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2B2F98">
      <w:pPr>
        <w:pStyle w:val="2"/>
        <w:numPr>
          <w:ilvl w:val="0"/>
          <w:numId w:val="1"/>
        </w:numPr>
        <w:bidi w:val="0"/>
        <w:jc w:val="center"/>
        <w:rPr>
          <w:rFonts w:hint="eastAsia" w:ascii="宋体" w:hAnsi="宋体" w:eastAsia="宋体" w:cs="宋体"/>
          <w:color w:val="auto"/>
          <w:highlight w:val="none"/>
        </w:rPr>
      </w:pPr>
      <w:bookmarkStart w:id="1" w:name="_GoBack"/>
      <w:bookmarkStart w:id="0" w:name="_Toc20099"/>
      <w:r>
        <w:rPr>
          <w:rFonts w:hint="eastAsia" w:ascii="宋体" w:hAnsi="宋体" w:eastAsia="宋体" w:cs="宋体"/>
          <w:color w:val="auto"/>
          <w:highlight w:val="none"/>
        </w:rPr>
        <w:t>服务需求</w:t>
      </w:r>
      <w:bookmarkEnd w:id="0"/>
    </w:p>
    <w:p w14:paraId="4190AE94">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一、项目简介</w:t>
      </w:r>
    </w:p>
    <w:p w14:paraId="17CC7239">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（一）项目概况</w:t>
      </w:r>
    </w:p>
    <w:p w14:paraId="0009046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盘锦海关食堂2024年度主副食供应商采购配送项目。</w:t>
      </w:r>
    </w:p>
    <w:p w14:paraId="47BBCCE4">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（二）项目采购范围</w:t>
      </w:r>
    </w:p>
    <w:p w14:paraId="6E17F56B">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本次预计招收一家供应商，为采购人提供配送的食材种类包括：鲜肉 （猪、牛、羊等肉类）、水产品、蛋类、大米、食用调和油、面、奶及奶制品、其它肉类、蔬菜、水果、调料及干货等。</w:t>
      </w:r>
    </w:p>
    <w:p w14:paraId="6B8247E8">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（三）项目合同服务期限</w:t>
      </w:r>
    </w:p>
    <w:p w14:paraId="27A06F93">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自合同签订之日起一年，服务期满后，经采购人综合考核合格后，如双方无异议，可续签1年。</w:t>
      </w:r>
    </w:p>
    <w:p w14:paraId="480E9EA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二、项目需求</w:t>
      </w:r>
    </w:p>
    <w:p w14:paraId="571379B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（一）配送食材要求及标准</w:t>
      </w:r>
    </w:p>
    <w:p w14:paraId="2310CBE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 米、油、面、豆类</w:t>
      </w:r>
    </w:p>
    <w:p w14:paraId="2F3899D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米、油、面、豆类货物必须符合卫生，不得有腐烂、变质、油脂酸败、霉变、生虫、污秽不洁、混有异物或者其他感官性状异常，并可能对人体健康有害的物质。散装粉、面需提供生产厂家营业执照、卫生许可证、国家机关发出的产品检验合格证书。</w:t>
      </w:r>
    </w:p>
    <w:p w14:paraId="050E602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米、油：国家机关发出的产品检验合格证书。包装食品：包装箱完整，同时包装箱要印有注册商标、生产厂家名称、厂址、出厂日期、产品合格证、保质期限、产品成份、厂家电话号码。散装类：提供生产厂家营业执照、卫生许可证、国家机关发出的产品检验合格证书。供应商所提供产品质量必须要符合行业标准要求，不得有掺假、变质、变味、过期等现象出现，严禁伪劣、假冒、无证不合格物品进入仓库。</w:t>
      </w:r>
    </w:p>
    <w:p w14:paraId="26146D0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(3)供应商在供应过程中，如果发生出现质量问题或造成食物中毒，如变质等情况，经查实后确属供应商责任，供应商应承担全部责任，主要包括食物中毒人员医疗费、误工费、事故处理费等，直至追究刑事责任。</w:t>
      </w:r>
    </w:p>
    <w:p w14:paraId="77B6DE7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2.肉类、水产品、蛋类：（包括但不限于）</w:t>
      </w:r>
    </w:p>
    <w:tbl>
      <w:tblPr>
        <w:tblStyle w:val="5"/>
        <w:tblW w:w="5408" w:type="pct"/>
        <w:jc w:val="center"/>
        <w:tblLayout w:type="autofit"/>
        <w:tblCellMar>
          <w:top w:w="0" w:type="dxa"/>
          <w:left w:w="108" w:type="dxa"/>
          <w:bottom w:w="0" w:type="dxa"/>
          <w:right w:w="108" w:type="dxa"/>
        </w:tblCellMar>
      </w:tblPr>
      <w:tblGrid>
        <w:gridCol w:w="788"/>
        <w:gridCol w:w="1110"/>
        <w:gridCol w:w="7097"/>
      </w:tblGrid>
      <w:tr w14:paraId="38594200">
        <w:tblPrEx>
          <w:tblCellMar>
            <w:top w:w="0" w:type="dxa"/>
            <w:left w:w="108" w:type="dxa"/>
            <w:bottom w:w="0" w:type="dxa"/>
            <w:right w:w="108" w:type="dxa"/>
          </w:tblCellMar>
        </w:tblPrEx>
        <w:trPr>
          <w:trHeight w:val="480"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2D13D76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1ABFA0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品名</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82CA4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r>
      <w:tr w14:paraId="018924B9">
        <w:tblPrEx>
          <w:tblCellMar>
            <w:top w:w="0" w:type="dxa"/>
            <w:left w:w="108" w:type="dxa"/>
            <w:bottom w:w="0" w:type="dxa"/>
            <w:right w:w="108" w:type="dxa"/>
          </w:tblCellMar>
        </w:tblPrEx>
        <w:trPr>
          <w:trHeight w:val="934"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5F368A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29C326C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去皮五花</w:t>
            </w:r>
          </w:p>
          <w:p w14:paraId="5F8004E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肉</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8F087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肥瘦比例为 7:3，肉呈均匀的红色，有光泽，肉质紧密，有坚实感；肉的外表及切面微湿润，不粘手，脂肪洁白。</w:t>
            </w:r>
          </w:p>
        </w:tc>
      </w:tr>
      <w:tr w14:paraId="1470EFA2">
        <w:tblPrEx>
          <w:tblCellMar>
            <w:top w:w="0" w:type="dxa"/>
            <w:left w:w="108" w:type="dxa"/>
            <w:bottom w:w="0" w:type="dxa"/>
            <w:right w:w="108" w:type="dxa"/>
          </w:tblCellMar>
        </w:tblPrEx>
        <w:trPr>
          <w:trHeight w:val="846"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0FC25C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736CA4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去皮猪肉</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799BC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肉呈均匀的红色，有光泽、肉质紧密，有坚实感；肉的外表及切面微湿润，不粘手，脂肪洁白。</w:t>
            </w:r>
          </w:p>
        </w:tc>
      </w:tr>
      <w:tr w14:paraId="39DFA527">
        <w:tblPrEx>
          <w:tblCellMar>
            <w:top w:w="0" w:type="dxa"/>
            <w:left w:w="108" w:type="dxa"/>
            <w:bottom w:w="0" w:type="dxa"/>
            <w:right w:w="108" w:type="dxa"/>
          </w:tblCellMar>
        </w:tblPrEx>
        <w:trPr>
          <w:trHeight w:val="888"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759D1D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35B9137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牛肉</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570D2D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有光泽，脂肪呈白色或微黄色，肌肉外表微干或风干膜，或外表湿润，但都不粘手，肌肉结构紧密，有坚实感，肌纤维韧性强。</w:t>
            </w:r>
          </w:p>
        </w:tc>
      </w:tr>
      <w:tr w14:paraId="52AE8A5E">
        <w:tblPrEx>
          <w:tblCellMar>
            <w:top w:w="0" w:type="dxa"/>
            <w:left w:w="108" w:type="dxa"/>
            <w:bottom w:w="0" w:type="dxa"/>
            <w:right w:w="108" w:type="dxa"/>
          </w:tblCellMar>
        </w:tblPrEx>
        <w:trPr>
          <w:trHeight w:val="1384"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4A8C6C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2958D9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白条鸡</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0BD3E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整鸡表皮光滑，新鲜肥嫩，有头颈，有腿翅，无内脏，规格从 1 至 1.5kg，鸡肉的眼球饱满或平坦，皮肤有光泽，在品种不同而呈黄、浅黄、淡红、灰白等色，肌肉切面有光泽，外表微湿润，不粘手。</w:t>
            </w:r>
          </w:p>
        </w:tc>
      </w:tr>
      <w:tr w14:paraId="08B33DEF">
        <w:tblPrEx>
          <w:tblCellMar>
            <w:top w:w="0" w:type="dxa"/>
            <w:left w:w="108" w:type="dxa"/>
            <w:bottom w:w="0" w:type="dxa"/>
            <w:right w:w="108" w:type="dxa"/>
          </w:tblCellMar>
        </w:tblPrEx>
        <w:trPr>
          <w:trHeight w:val="1479"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32A0A3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1953759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白条鸭</w:t>
            </w:r>
          </w:p>
          <w:p w14:paraId="52691B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p w14:paraId="6B5F19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p w14:paraId="1D6335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p w14:paraId="69B637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06258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表皮光滑，新鲜肥嫩，无内脏，每只不低于 1KG，鸭的眼球饱满或平坦，皮肤有光泽，在品种不同而呈黄、浅黄、淡红、灰白等色，肌肉切面有光泽，外表微湿润，不粘手。</w:t>
            </w:r>
          </w:p>
        </w:tc>
      </w:tr>
      <w:tr w14:paraId="2F969FE6">
        <w:tblPrEx>
          <w:tblCellMar>
            <w:top w:w="0" w:type="dxa"/>
            <w:left w:w="108" w:type="dxa"/>
            <w:bottom w:w="0" w:type="dxa"/>
            <w:right w:w="108" w:type="dxa"/>
          </w:tblCellMar>
        </w:tblPrEx>
        <w:trPr>
          <w:trHeight w:val="1540"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0FD60E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20727A8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贡丸</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CDA1F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15G/粒(500G 约 40 粒).具有良好的弹性，水煮后用手捏应不轻易破裂，且手松开后能恢复。切开丸体其剖面应比较平整，不能有明显的冰晶状物。水分≤60，蛋白质≥10，脂肪≤25，淀粉含量≤10 。</w:t>
            </w:r>
          </w:p>
        </w:tc>
      </w:tr>
      <w:tr w14:paraId="2C973755">
        <w:tblPrEx>
          <w:tblCellMar>
            <w:top w:w="0" w:type="dxa"/>
            <w:left w:w="108" w:type="dxa"/>
            <w:bottom w:w="0" w:type="dxa"/>
            <w:right w:w="108" w:type="dxa"/>
          </w:tblCellMar>
        </w:tblPrEx>
        <w:trPr>
          <w:trHeight w:val="1421"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00A436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6F0A899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牛肉丸</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6795D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15G / 粒(500G 约 40 粒).具有良好的弹性，水煮后用手捏应不轻易破裂，且手松开后能恢复。切开丸体其剖面应比较平整，不能有明显的冰晶状物。水分≤60，蛋白质≥10，脂肪≤25，淀粉含量≤10。</w:t>
            </w:r>
          </w:p>
        </w:tc>
      </w:tr>
      <w:tr w14:paraId="7309E30C">
        <w:tblPrEx>
          <w:tblCellMar>
            <w:top w:w="0" w:type="dxa"/>
            <w:left w:w="108" w:type="dxa"/>
            <w:bottom w:w="0" w:type="dxa"/>
            <w:right w:w="108" w:type="dxa"/>
          </w:tblCellMar>
        </w:tblPrEx>
        <w:trPr>
          <w:trHeight w:val="1096"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1E61D9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7C41934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鱼丸</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78C441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具有良好的弹性，水煮后用水捏应不轻易破裂，且手松开后能恢复。切开丸体其剖面应比较完整，不能有明显的冰晶状物。</w:t>
            </w:r>
          </w:p>
        </w:tc>
      </w:tr>
      <w:tr w14:paraId="2C217E18">
        <w:tblPrEx>
          <w:tblCellMar>
            <w:top w:w="0" w:type="dxa"/>
            <w:left w:w="108" w:type="dxa"/>
            <w:bottom w:w="0" w:type="dxa"/>
            <w:right w:w="108" w:type="dxa"/>
          </w:tblCellMar>
        </w:tblPrEx>
        <w:trPr>
          <w:trHeight w:val="1054"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58485E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419D67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鲳鱼</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6C3474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每条不低于 200G，鱼眼睛清亮，角膜透明，眼球略微隆起，鳍展平张开，鳞片上覆有冻结的透明黏液层，皮肤天然色泽明显。</w:t>
            </w:r>
          </w:p>
        </w:tc>
      </w:tr>
      <w:tr w14:paraId="555F15C7">
        <w:tblPrEx>
          <w:tblCellMar>
            <w:top w:w="0" w:type="dxa"/>
            <w:left w:w="108" w:type="dxa"/>
            <w:bottom w:w="0" w:type="dxa"/>
            <w:right w:w="108" w:type="dxa"/>
          </w:tblCellMar>
        </w:tblPrEx>
        <w:trPr>
          <w:trHeight w:val="1030"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09AB5A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p w14:paraId="4B9F40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2A3ECDE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带鱼</w:t>
            </w:r>
          </w:p>
          <w:p w14:paraId="46278A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422DAF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每条不低于 500G，鱼眼睛清亮，角膜透明，眼球略微隆起，鳍展平张开，鳞片上覆有冻结的透明黏液层，皮肤天然色泽明显。</w:t>
            </w:r>
          </w:p>
        </w:tc>
      </w:tr>
      <w:tr w14:paraId="306D3374">
        <w:tblPrEx>
          <w:tblCellMar>
            <w:top w:w="0" w:type="dxa"/>
            <w:left w:w="108" w:type="dxa"/>
            <w:bottom w:w="0" w:type="dxa"/>
            <w:right w:w="108" w:type="dxa"/>
          </w:tblCellMar>
        </w:tblPrEx>
        <w:trPr>
          <w:trHeight w:val="1042"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5D2B67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63A0A8C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其他鱼类</w:t>
            </w:r>
          </w:p>
          <w:p w14:paraId="438C46D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水产</w:t>
            </w:r>
          </w:p>
          <w:p w14:paraId="46D482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15BC39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水产类健康，体态匀称，游动活泼，体色鲜明，体表光滑，眼睛明亮，鳞片鳍条完好。</w:t>
            </w:r>
          </w:p>
        </w:tc>
      </w:tr>
      <w:tr w14:paraId="126F8CA7">
        <w:tblPrEx>
          <w:tblCellMar>
            <w:top w:w="0" w:type="dxa"/>
            <w:left w:w="108" w:type="dxa"/>
            <w:bottom w:w="0" w:type="dxa"/>
            <w:right w:w="108" w:type="dxa"/>
          </w:tblCellMar>
        </w:tblPrEx>
        <w:trPr>
          <w:trHeight w:val="1483"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2EBBE3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3B0EE29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猪肝</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561D9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整体呈红褐色或棕黄色，有光泽，湿润，略有弹性，组织结实，微实，肝叶完整无脂肪，无寄生虫、炎症水疱、薄膜、无胆汁污染，略有腥味。</w:t>
            </w:r>
          </w:p>
        </w:tc>
      </w:tr>
      <w:tr w14:paraId="340FC91F">
        <w:tblPrEx>
          <w:tblCellMar>
            <w:top w:w="0" w:type="dxa"/>
            <w:left w:w="108" w:type="dxa"/>
            <w:bottom w:w="0" w:type="dxa"/>
            <w:right w:w="108" w:type="dxa"/>
          </w:tblCellMar>
        </w:tblPrEx>
        <w:trPr>
          <w:trHeight w:val="1522"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162F15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601F0A6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豆腐</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A4B04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呈均匀的乳白色或淡黄色，稍有光泽，块形完整，软硬适度，富有一定的弹性质地细嫩，结构均匀，无杂质，具有豆腐特有的香味，取样品品尝时口感细腻鲜嫩，味道纯正清香。</w:t>
            </w:r>
          </w:p>
        </w:tc>
      </w:tr>
      <w:tr w14:paraId="4A0107F3">
        <w:tblPrEx>
          <w:tblCellMar>
            <w:top w:w="0" w:type="dxa"/>
            <w:left w:w="108" w:type="dxa"/>
            <w:bottom w:w="0" w:type="dxa"/>
            <w:right w:w="108" w:type="dxa"/>
          </w:tblCellMar>
        </w:tblPrEx>
        <w:trPr>
          <w:trHeight w:val="513"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4AA337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3A0082A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鸡翅</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361BAA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交货以干净、新鲜、无异味，大小适合规格要求为标准。</w:t>
            </w:r>
          </w:p>
        </w:tc>
      </w:tr>
      <w:tr w14:paraId="18FEFB59">
        <w:tblPrEx>
          <w:tblCellMar>
            <w:top w:w="0" w:type="dxa"/>
            <w:left w:w="108" w:type="dxa"/>
            <w:bottom w:w="0" w:type="dxa"/>
            <w:right w:w="108" w:type="dxa"/>
          </w:tblCellMar>
        </w:tblPrEx>
        <w:trPr>
          <w:trHeight w:val="570"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647436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21ADA4F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鱿鱼</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2D803B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每条不低于 200G.皮肤天然色泽明显，表面黏液不粘手，无异味。</w:t>
            </w:r>
          </w:p>
        </w:tc>
      </w:tr>
      <w:tr w14:paraId="2FE8326D">
        <w:tblPrEx>
          <w:tblCellMar>
            <w:top w:w="0" w:type="dxa"/>
            <w:left w:w="108" w:type="dxa"/>
            <w:bottom w:w="0" w:type="dxa"/>
            <w:right w:w="108" w:type="dxa"/>
          </w:tblCellMar>
        </w:tblPrEx>
        <w:trPr>
          <w:trHeight w:val="1023" w:hRule="exact"/>
          <w:jc w:val="center"/>
        </w:trPr>
        <w:tc>
          <w:tcPr>
            <w:tcW w:w="438" w:type="pct"/>
            <w:tcBorders>
              <w:top w:val="single" w:color="000000" w:sz="4" w:space="0"/>
              <w:left w:val="single" w:color="000000" w:sz="4" w:space="0"/>
              <w:bottom w:val="single" w:color="000000" w:sz="4" w:space="0"/>
              <w:right w:val="single" w:color="000000" w:sz="2" w:space="0"/>
            </w:tcBorders>
            <w:noWrap w:val="0"/>
            <w:tcMar>
              <w:left w:w="0" w:type="dxa"/>
              <w:right w:w="0" w:type="dxa"/>
            </w:tcMar>
            <w:vAlign w:val="top"/>
          </w:tcPr>
          <w:p w14:paraId="05714A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 </w:t>
            </w:r>
          </w:p>
        </w:tc>
        <w:tc>
          <w:tcPr>
            <w:tcW w:w="617" w:type="pct"/>
            <w:tcBorders>
              <w:top w:val="single" w:color="000000" w:sz="4" w:space="0"/>
              <w:left w:val="single" w:color="000000" w:sz="2" w:space="0"/>
              <w:bottom w:val="single" w:color="000000" w:sz="4" w:space="0"/>
              <w:right w:val="single" w:color="000000" w:sz="4" w:space="0"/>
            </w:tcBorders>
            <w:noWrap w:val="0"/>
            <w:tcMar>
              <w:left w:w="0" w:type="dxa"/>
              <w:right w:w="0" w:type="dxa"/>
            </w:tcMar>
            <w:vAlign w:val="top"/>
          </w:tcPr>
          <w:p w14:paraId="594A71B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瘦肉</w:t>
            </w:r>
          </w:p>
        </w:tc>
        <w:tc>
          <w:tcPr>
            <w:tcW w:w="3944" w:type="pct"/>
            <w:tcBorders>
              <w:top w:val="single" w:color="000000" w:sz="4" w:space="0"/>
              <w:left w:val="single" w:color="000000" w:sz="4" w:space="0"/>
              <w:bottom w:val="single" w:color="000000" w:sz="4" w:space="0"/>
              <w:right w:val="single" w:color="000000" w:sz="4" w:space="0"/>
            </w:tcBorders>
            <w:noWrap w:val="0"/>
            <w:tcMar>
              <w:left w:w="0" w:type="dxa"/>
              <w:right w:w="0" w:type="dxa"/>
            </w:tcMar>
            <w:vAlign w:val="top"/>
          </w:tcPr>
          <w:p w14:paraId="03AACB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脂肪含量低于 5%。肉呈均匀的红色，有光泽，肉质紧密，有坚实感；肉的外表及切面微湿润，不粘手。</w:t>
            </w:r>
          </w:p>
        </w:tc>
      </w:tr>
      <w:tr w14:paraId="67DC58C4">
        <w:tblPrEx>
          <w:tblCellMar>
            <w:top w:w="0" w:type="dxa"/>
            <w:left w:w="108" w:type="dxa"/>
            <w:bottom w:w="0" w:type="dxa"/>
            <w:right w:w="108" w:type="dxa"/>
          </w:tblCellMar>
        </w:tblPrEx>
        <w:trPr>
          <w:trHeight w:val="1116"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18D450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71B9814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有颈前排</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298053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带颈骨及前五条排骨，肉体冻实而坚硬，敲之回音清脆，无化冻现象。</w:t>
            </w:r>
          </w:p>
        </w:tc>
      </w:tr>
      <w:tr w14:paraId="6C4F5A67">
        <w:tblPrEx>
          <w:tblCellMar>
            <w:top w:w="0" w:type="dxa"/>
            <w:left w:w="108" w:type="dxa"/>
            <w:bottom w:w="0" w:type="dxa"/>
            <w:right w:w="108" w:type="dxa"/>
          </w:tblCellMar>
        </w:tblPrEx>
        <w:trPr>
          <w:trHeight w:val="576"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244216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5FD2D02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猪后腿</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360EE1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肉体冻实而坚硬，敲之回音淸脆，无化冻现象。</w:t>
            </w:r>
          </w:p>
        </w:tc>
      </w:tr>
      <w:tr w14:paraId="1623BBBC">
        <w:tblPrEx>
          <w:tblCellMar>
            <w:top w:w="0" w:type="dxa"/>
            <w:left w:w="108" w:type="dxa"/>
            <w:bottom w:w="0" w:type="dxa"/>
            <w:right w:w="108" w:type="dxa"/>
          </w:tblCellMar>
        </w:tblPrEx>
        <w:trPr>
          <w:trHeight w:val="515"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24F9BA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497C1CB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脊骨</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5CE984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肉体冻实而坚硬，敲之回音清脆，无化冻现象。</w:t>
            </w:r>
          </w:p>
        </w:tc>
      </w:tr>
      <w:tr w14:paraId="1FC3141C">
        <w:tblPrEx>
          <w:tblCellMar>
            <w:top w:w="0" w:type="dxa"/>
            <w:left w:w="108" w:type="dxa"/>
            <w:bottom w:w="0" w:type="dxa"/>
            <w:right w:w="108" w:type="dxa"/>
          </w:tblCellMar>
        </w:tblPrEx>
        <w:trPr>
          <w:trHeight w:val="1003"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3D1475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0040F0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猪蹄</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top"/>
          </w:tcPr>
          <w:p w14:paraId="44D4D5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应去除一切毛污物，无异味，交货以干净、新鲜、大小适合规格要求为标准。</w:t>
            </w:r>
          </w:p>
        </w:tc>
      </w:tr>
      <w:tr w14:paraId="3CC3C483">
        <w:tblPrEx>
          <w:tblCellMar>
            <w:top w:w="0" w:type="dxa"/>
            <w:left w:w="108" w:type="dxa"/>
            <w:bottom w:w="0" w:type="dxa"/>
            <w:right w:w="108" w:type="dxa"/>
          </w:tblCellMar>
        </w:tblPrEx>
        <w:trPr>
          <w:trHeight w:val="1098"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555E49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27FC15D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腊（肉）肠</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420960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有商标、牌号、产地、卫生检验合格证，国家冗认证。表面干爽、肉呈鲜红色或暗红色，无霉变，无异味，脂肪透明或呈乳白色。</w:t>
            </w:r>
          </w:p>
        </w:tc>
      </w:tr>
      <w:tr w14:paraId="2894F676">
        <w:tblPrEx>
          <w:tblCellMar>
            <w:top w:w="0" w:type="dxa"/>
            <w:left w:w="108" w:type="dxa"/>
            <w:bottom w:w="0" w:type="dxa"/>
            <w:right w:w="108" w:type="dxa"/>
          </w:tblCellMar>
        </w:tblPrEx>
        <w:trPr>
          <w:trHeight w:val="1992"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36D679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4777436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贝类、螺类</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107399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送货时需带冰保持低温，除了干货类，非鲜活的不采购；带有轻微的海水或海藻味，带有强烈鱼腥味或臭味的拒收；要求壳完整闭合，开口或者壳破碎的拒收；要求尽量不带沙，若在采购人处静置一夜后仍有沙无法使用，退货处理。</w:t>
            </w:r>
          </w:p>
        </w:tc>
      </w:tr>
      <w:tr w14:paraId="2BE2691C">
        <w:tblPrEx>
          <w:tblCellMar>
            <w:top w:w="0" w:type="dxa"/>
            <w:left w:w="108" w:type="dxa"/>
            <w:bottom w:w="0" w:type="dxa"/>
            <w:right w:w="108" w:type="dxa"/>
          </w:tblCellMar>
        </w:tblPrEx>
        <w:trPr>
          <w:trHeight w:val="2080" w:hRule="exact"/>
          <w:jc w:val="center"/>
        </w:trPr>
        <w:tc>
          <w:tcPr>
            <w:tcW w:w="438"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345195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617"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622CD27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蛋类</w:t>
            </w:r>
          </w:p>
        </w:tc>
        <w:tc>
          <w:tcPr>
            <w:tcW w:w="3944" w:type="pct"/>
            <w:tcBorders>
              <w:top w:val="single" w:color="auto" w:sz="6" w:space="0"/>
              <w:left w:val="single" w:color="auto" w:sz="6" w:space="0"/>
              <w:bottom w:val="single" w:color="auto" w:sz="6" w:space="0"/>
              <w:right w:val="single" w:color="auto" w:sz="6" w:space="0"/>
            </w:tcBorders>
            <w:noWrap w:val="0"/>
            <w:tcMar>
              <w:left w:w="0" w:type="dxa"/>
              <w:right w:w="0" w:type="dxa"/>
            </w:tcMar>
            <w:vAlign w:val="center"/>
          </w:tcPr>
          <w:p w14:paraId="2682D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蛋类每次供货时需提供不少于总重量或总数量1%的产品作为破损备用品。鲜蛋类表面及外包装上没有污渍，干净整洁。鲜蛋产品感官标准:蛋壳坚固，有光泽，蛋壳上有白霜，蛋比较沉，摇晃无响声，无异味，蛋壳表面整洁，破损率不得超过 1%。</w:t>
            </w:r>
          </w:p>
        </w:tc>
      </w:tr>
    </w:tbl>
    <w:p w14:paraId="29330D06">
      <w:pPr>
        <w:spacing w:line="360" w:lineRule="auto"/>
        <w:ind w:firstLine="480" w:firstLineChars="200"/>
        <w:rPr>
          <w:rFonts w:hint="eastAsia" w:ascii="宋体" w:hAnsi="宋体" w:eastAsia="宋体" w:cs="宋体"/>
          <w:sz w:val="24"/>
          <w:szCs w:val="24"/>
          <w:highlight w:val="none"/>
          <w:lang w:val="en-US" w:eastAsia="zh-CN"/>
        </w:rPr>
      </w:pPr>
    </w:p>
    <w:p w14:paraId="3D30649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3.蔬菜、水果质量要求：</w:t>
      </w:r>
    </w:p>
    <w:p w14:paraId="24AB043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瓜、果、蔬菜应是优质货品，不得含有残留农药或污染物，供应商保证所供应的蔬菜符合卫生质量标准，同时承担因所供蔬菜问题引起的一切事故后果。卫生质量指标是指至少符合我国无公害蔬农产品的卫生指标规定。</w:t>
      </w:r>
    </w:p>
    <w:p w14:paraId="4972C5B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（1）常见蔬菜具体感观要求：</w:t>
      </w:r>
    </w:p>
    <w:p w14:paraId="5245AC3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从蔬菜色泽看，各种蔬菜都应具有本品种固有的颜色，大多数有发亮的光泽，以此显示蔬菜的成熟度及鲜嫩程度；从蔬菜气味看，多数蔬菜具有清馨、甘辛香、甜酸香等气味，可凭嗅觉识别不同品种的质量，不允许有腐烂变质的亚硝酸盐味和其他异常气味；从蔬菜滋味看，因品种不同而各异，多数蔬菜滋味甘淡、甜酸、清爽鲜美，少数具有辛酸、苦涩等特殊风味以刺激食欲，如失去本品种原有的滋味即为异常；从蔬菜形态看，应尽量避免由于客观因素而造成的各种非正常、不新鲜的蔬菜，例如萎蔫、枯塌、损伤、病变、虫害侵蚀等引起的形态异常等。所采购的蔬菜应避免采购到使用过无法清洗去除掉的保鲜剂蔬菜。</w:t>
      </w:r>
    </w:p>
    <w:tbl>
      <w:tblPr>
        <w:tblStyle w:val="5"/>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260"/>
        <w:gridCol w:w="6420"/>
      </w:tblGrid>
      <w:tr w14:paraId="4398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260" w:type="dxa"/>
            <w:noWrap/>
            <w:vAlign w:val="center"/>
          </w:tcPr>
          <w:p w14:paraId="06C2D7D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1260" w:type="dxa"/>
            <w:noWrap/>
            <w:vAlign w:val="center"/>
          </w:tcPr>
          <w:p w14:paraId="74AE406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品名</w:t>
            </w:r>
          </w:p>
        </w:tc>
        <w:tc>
          <w:tcPr>
            <w:tcW w:w="6420" w:type="dxa"/>
            <w:noWrap w:val="0"/>
            <w:vAlign w:val="center"/>
          </w:tcPr>
          <w:p w14:paraId="4E4C622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r>
      <w:tr w14:paraId="74BF3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260" w:type="dxa"/>
            <w:noWrap/>
            <w:vAlign w:val="center"/>
          </w:tcPr>
          <w:p w14:paraId="05571AB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60" w:type="dxa"/>
            <w:noWrap/>
            <w:vAlign w:val="center"/>
          </w:tcPr>
          <w:p w14:paraId="2952CB6F">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叶菜类</w:t>
            </w:r>
          </w:p>
        </w:tc>
        <w:tc>
          <w:tcPr>
            <w:tcW w:w="6420" w:type="dxa"/>
            <w:noWrap w:val="0"/>
            <w:vAlign w:val="center"/>
          </w:tcPr>
          <w:p w14:paraId="4B804C3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大白菜、小白菜、菠菜、荠菜、空心菜、茼蒿、苋菜、芹菜等绿叶菜类。属同一品种规格，肉质鲜嫩形态好，色泽正常，茎基部削平，无枯黄叶、病叶、泥土、明显机械伤和病虫害伤，无烧心焦边、腐烂等现象，无抽苔（菜心除外），无畸形、异味，结球叶菜要结球适度，花椰菜应新鲜洁白，不带叶麸，无畸形花。</w:t>
            </w:r>
          </w:p>
        </w:tc>
      </w:tr>
      <w:tr w14:paraId="48B4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260" w:type="dxa"/>
            <w:noWrap/>
            <w:vAlign w:val="center"/>
          </w:tcPr>
          <w:p w14:paraId="7C7BA8A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60" w:type="dxa"/>
            <w:noWrap/>
            <w:vAlign w:val="center"/>
          </w:tcPr>
          <w:p w14:paraId="3000C9E6">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茄果类</w:t>
            </w:r>
          </w:p>
        </w:tc>
        <w:tc>
          <w:tcPr>
            <w:tcW w:w="6420" w:type="dxa"/>
            <w:noWrap w:val="0"/>
            <w:vAlign w:val="center"/>
          </w:tcPr>
          <w:p w14:paraId="4BFAB14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番茄、茄子、甜椒、辣椒等。属同一品种规格，果实整洁，成熟度适中，番茄花蒂不明显，无裂果及空洞现象，茄果不能有裂蒂及果皮变硬现象，无腐烂、畸形、异味，无明显机械伤。</w:t>
            </w:r>
          </w:p>
        </w:tc>
      </w:tr>
      <w:tr w14:paraId="24DF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260" w:type="dxa"/>
            <w:noWrap/>
            <w:vAlign w:val="center"/>
          </w:tcPr>
          <w:p w14:paraId="300DE7C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260" w:type="dxa"/>
            <w:noWrap/>
            <w:vAlign w:val="center"/>
          </w:tcPr>
          <w:p w14:paraId="3DFDC80F">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瓜果类</w:t>
            </w:r>
          </w:p>
        </w:tc>
        <w:tc>
          <w:tcPr>
            <w:tcW w:w="6420" w:type="dxa"/>
            <w:noWrap w:val="0"/>
            <w:vAlign w:val="center"/>
          </w:tcPr>
          <w:p w14:paraId="603E240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黄瓜、冬瓜、丝瓜、苦瓜、南瓜等。属同一品种规格，形状、色泽一致，瓜条均匀，无疤点，无断裂，无腐烂、畸形、异味、明显机械伤，不带泥土。</w:t>
            </w:r>
          </w:p>
        </w:tc>
      </w:tr>
      <w:tr w14:paraId="61BF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260" w:type="dxa"/>
            <w:noWrap/>
            <w:vAlign w:val="center"/>
          </w:tcPr>
          <w:p w14:paraId="2E16633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260" w:type="dxa"/>
            <w:noWrap/>
            <w:vAlign w:val="center"/>
          </w:tcPr>
          <w:p w14:paraId="46F8F938">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根菜类</w:t>
            </w:r>
          </w:p>
        </w:tc>
        <w:tc>
          <w:tcPr>
            <w:tcW w:w="6420" w:type="dxa"/>
            <w:noWrap w:val="0"/>
            <w:vAlign w:val="center"/>
          </w:tcPr>
          <w:p w14:paraId="07C7E20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萝卜、胡萝卜等。属同一品种规格，皮细光滑，大小均匀，肉质脆嫩致密新 鲜，无腐烂、畸形、裂痕、糠心、异味，不带泥沙，不带茎叶和需根。</w:t>
            </w:r>
          </w:p>
        </w:tc>
      </w:tr>
      <w:tr w14:paraId="0F59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1260" w:type="dxa"/>
            <w:noWrap/>
            <w:vAlign w:val="center"/>
          </w:tcPr>
          <w:p w14:paraId="775337B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260" w:type="dxa"/>
            <w:noWrap/>
            <w:vAlign w:val="center"/>
          </w:tcPr>
          <w:p w14:paraId="580EF606">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薯芋类</w:t>
            </w:r>
          </w:p>
        </w:tc>
        <w:tc>
          <w:tcPr>
            <w:tcW w:w="6420" w:type="dxa"/>
            <w:noWrap w:val="0"/>
            <w:vAlign w:val="center"/>
          </w:tcPr>
          <w:p w14:paraId="7692112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马铃薯、番薯、芋、姜等。厲同一品种规格，色泽一致，不带泥沙，不带需根、茎叶，不干瘪，无腐烂、畸形、异味、明显机械伤、病虫害斑，马铃薯无发芽，皮未变绿。</w:t>
            </w:r>
          </w:p>
        </w:tc>
      </w:tr>
      <w:tr w14:paraId="4A68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1260" w:type="dxa"/>
            <w:noWrap/>
            <w:vAlign w:val="center"/>
          </w:tcPr>
          <w:p w14:paraId="11CE3E1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60" w:type="dxa"/>
            <w:noWrap/>
            <w:vAlign w:val="center"/>
          </w:tcPr>
          <w:p w14:paraId="00D9D905">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葱蒜类</w:t>
            </w:r>
          </w:p>
        </w:tc>
        <w:tc>
          <w:tcPr>
            <w:tcW w:w="6420" w:type="dxa"/>
            <w:noWrap w:val="0"/>
            <w:vAlign w:val="center"/>
          </w:tcPr>
          <w:p w14:paraId="42F1C37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葱、蒜、韭菜、洋葱、蒜薹等。属向一品种规格，允许葱、青蒜类保留干净需根，葱、蒜韭菜不带老叶，蒜头、洋葱去根去枯叶，可食部分新鲜幼嫩，无腐烂、畸形、异味。</w:t>
            </w:r>
          </w:p>
        </w:tc>
      </w:tr>
      <w:tr w14:paraId="68A9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260" w:type="dxa"/>
            <w:noWrap/>
            <w:vAlign w:val="top"/>
          </w:tcPr>
          <w:p w14:paraId="488192B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260" w:type="dxa"/>
            <w:noWrap/>
            <w:vAlign w:val="top"/>
          </w:tcPr>
          <w:p w14:paraId="267F98B6">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豆类</w:t>
            </w:r>
          </w:p>
        </w:tc>
        <w:tc>
          <w:tcPr>
            <w:tcW w:w="6420" w:type="dxa"/>
            <w:noWrap w:val="0"/>
            <w:vAlign w:val="top"/>
          </w:tcPr>
          <w:p w14:paraId="4198381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扁豆、豌豆、毛豆等。属同一品种规格，形态完整，成熟度适中，无腐烂、畸形、异味，豆荚类新鲜、幼嫩、均匀，豆仁类籽粒饱满，较均匀，无发芽，不带泥土杂质。</w:t>
            </w:r>
          </w:p>
        </w:tc>
      </w:tr>
      <w:tr w14:paraId="3650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260" w:type="dxa"/>
            <w:noWrap/>
            <w:vAlign w:val="top"/>
          </w:tcPr>
          <w:p w14:paraId="5EF671C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260" w:type="dxa"/>
            <w:noWrap/>
            <w:vAlign w:val="top"/>
          </w:tcPr>
          <w:p w14:paraId="59197740">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水生菜</w:t>
            </w:r>
          </w:p>
        </w:tc>
        <w:tc>
          <w:tcPr>
            <w:tcW w:w="6420" w:type="dxa"/>
            <w:noWrap w:val="0"/>
            <w:vAlign w:val="top"/>
          </w:tcPr>
          <w:p w14:paraId="3F2030E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藕、慈菇、茭白、马蹄、菱等。属同一品种规格，肉质嫩，成熟度适中，无 腐烂、畸形、异味，无明显机械伤，不带泥土和杂质，不干瘪，茭白不黑心。</w:t>
            </w:r>
          </w:p>
        </w:tc>
      </w:tr>
      <w:tr w14:paraId="2F4E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260" w:type="dxa"/>
            <w:noWrap/>
            <w:vAlign w:val="top"/>
          </w:tcPr>
          <w:p w14:paraId="0FA5345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260" w:type="dxa"/>
            <w:noWrap/>
            <w:vAlign w:val="top"/>
          </w:tcPr>
          <w:p w14:paraId="27FBC15D">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食用菌</w:t>
            </w:r>
          </w:p>
        </w:tc>
        <w:tc>
          <w:tcPr>
            <w:tcW w:w="6420" w:type="dxa"/>
            <w:noWrap w:val="0"/>
            <w:vAlign w:val="top"/>
          </w:tcPr>
          <w:p w14:paraId="64932AF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蘑菇、草菇、香菇、木耳等。属于一品种规格，蘑菇、草菇菌盖圆整略展幵，柄粗壮，菌膜紧，菇柄切削平整，不浸泡水（蘑菇允许浸盐水保鲜），新鲜，无杂质，无畸形菇，无腐烂、异味。</w:t>
            </w:r>
          </w:p>
        </w:tc>
      </w:tr>
      <w:tr w14:paraId="3BB4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260" w:type="dxa"/>
            <w:noWrap/>
            <w:vAlign w:val="center"/>
          </w:tcPr>
          <w:p w14:paraId="47BE334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1260" w:type="dxa"/>
            <w:noWrap/>
            <w:vAlign w:val="center"/>
          </w:tcPr>
          <w:p w14:paraId="5810939C">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芽苗类</w:t>
            </w:r>
          </w:p>
        </w:tc>
        <w:tc>
          <w:tcPr>
            <w:tcW w:w="6420" w:type="dxa"/>
            <w:noWrap w:val="0"/>
            <w:vAlign w:val="center"/>
          </w:tcPr>
          <w:p w14:paraId="4DA0F49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绿豆芽、黄豆芽、香樁苗等。豆芽类禁止使用添加剂催芽，浸泡，芽苗幼嫩， 不带豆壳杂质，新鲜，不浸水'无腐烂、异味。</w:t>
            </w:r>
          </w:p>
        </w:tc>
      </w:tr>
    </w:tbl>
    <w:p w14:paraId="0B9974F0">
      <w:pPr>
        <w:spacing w:line="360" w:lineRule="auto"/>
        <w:ind w:firstLine="480" w:firstLineChars="200"/>
        <w:rPr>
          <w:rFonts w:hint="eastAsia" w:ascii="宋体" w:hAnsi="宋体" w:eastAsia="宋体" w:cs="宋体"/>
          <w:sz w:val="24"/>
          <w:szCs w:val="24"/>
          <w:highlight w:val="none"/>
          <w:lang w:val="en-US" w:eastAsia="zh-CN"/>
        </w:rPr>
      </w:pPr>
    </w:p>
    <w:p w14:paraId="2D96957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（2）常见水果具体感观要求：</w:t>
      </w:r>
    </w:p>
    <w:p w14:paraId="6FC3340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要采购当季时令水果，产品来源应是正规渠道，提供的商品品质要确保新鲜，个头均匀，无斑点，无破损，果实成熟，味道纯正。供应商应保证所供应的产品符合卫生质量标准，同时承担因所供水果问题引起的一切事故后果。卫生质量指标是指至少符合我国无公害农产品的卫生指标规定。</w:t>
      </w:r>
    </w:p>
    <w:p w14:paraId="205A41C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包装要求：容器(框、箱、袋)要求清洁、干燥、牢固、透气，无污染、无异味、无霉变现象。</w:t>
      </w:r>
    </w:p>
    <w:p w14:paraId="0EB41DA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几种水果的质量标准：（包括但不限于）</w:t>
      </w:r>
    </w:p>
    <w:tbl>
      <w:tblPr>
        <w:tblStyle w:val="5"/>
        <w:tblW w:w="9023" w:type="dxa"/>
        <w:jc w:val="center"/>
        <w:tblLayout w:type="fixed"/>
        <w:tblCellMar>
          <w:top w:w="0" w:type="dxa"/>
          <w:left w:w="108" w:type="dxa"/>
          <w:bottom w:w="0" w:type="dxa"/>
          <w:right w:w="108" w:type="dxa"/>
        </w:tblCellMar>
      </w:tblPr>
      <w:tblGrid>
        <w:gridCol w:w="1003"/>
        <w:gridCol w:w="1640"/>
        <w:gridCol w:w="6380"/>
      </w:tblGrid>
      <w:tr w14:paraId="0EA56EF2">
        <w:tblPrEx>
          <w:tblCellMar>
            <w:top w:w="0" w:type="dxa"/>
            <w:left w:w="108" w:type="dxa"/>
            <w:bottom w:w="0" w:type="dxa"/>
            <w:right w:w="108" w:type="dxa"/>
          </w:tblCellMar>
        </w:tblPrEx>
        <w:trPr>
          <w:trHeight w:val="255" w:hRule="atLeast"/>
          <w:jc w:val="center"/>
        </w:trPr>
        <w:tc>
          <w:tcPr>
            <w:tcW w:w="1003" w:type="dxa"/>
            <w:tcBorders>
              <w:top w:val="single" w:color="auto" w:sz="4" w:space="0"/>
              <w:left w:val="single" w:color="auto" w:sz="4" w:space="0"/>
              <w:bottom w:val="single" w:color="auto" w:sz="4" w:space="0"/>
              <w:right w:val="single" w:color="auto" w:sz="4" w:space="0"/>
            </w:tcBorders>
            <w:noWrap/>
            <w:vAlign w:val="top"/>
          </w:tcPr>
          <w:p w14:paraId="37AF32CC">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1640" w:type="dxa"/>
            <w:tcBorders>
              <w:top w:val="single" w:color="auto" w:sz="4" w:space="0"/>
              <w:left w:val="nil"/>
              <w:bottom w:val="single" w:color="auto" w:sz="4" w:space="0"/>
              <w:right w:val="single" w:color="auto" w:sz="4" w:space="0"/>
            </w:tcBorders>
            <w:noWrap/>
            <w:vAlign w:val="top"/>
          </w:tcPr>
          <w:p w14:paraId="509D961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品名</w:t>
            </w:r>
          </w:p>
        </w:tc>
        <w:tc>
          <w:tcPr>
            <w:tcW w:w="6380" w:type="dxa"/>
            <w:tcBorders>
              <w:top w:val="single" w:color="auto" w:sz="4" w:space="0"/>
              <w:left w:val="nil"/>
              <w:bottom w:val="single" w:color="auto" w:sz="4" w:space="0"/>
              <w:right w:val="single" w:color="auto" w:sz="4" w:space="0"/>
            </w:tcBorders>
            <w:noWrap/>
            <w:vAlign w:val="top"/>
          </w:tcPr>
          <w:p w14:paraId="2D68DC2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r>
      <w:tr w14:paraId="1421424E">
        <w:tblPrEx>
          <w:tblCellMar>
            <w:top w:w="0" w:type="dxa"/>
            <w:left w:w="108" w:type="dxa"/>
            <w:bottom w:w="0" w:type="dxa"/>
            <w:right w:w="108" w:type="dxa"/>
          </w:tblCellMar>
        </w:tblPrEx>
        <w:trPr>
          <w:trHeight w:val="1170" w:hRule="atLeast"/>
          <w:jc w:val="center"/>
        </w:trPr>
        <w:tc>
          <w:tcPr>
            <w:tcW w:w="1003" w:type="dxa"/>
            <w:tcBorders>
              <w:top w:val="nil"/>
              <w:left w:val="single" w:color="auto" w:sz="4" w:space="0"/>
              <w:bottom w:val="single" w:color="auto" w:sz="4" w:space="0"/>
              <w:right w:val="single" w:color="auto" w:sz="4" w:space="0"/>
            </w:tcBorders>
            <w:noWrap/>
            <w:vAlign w:val="center"/>
          </w:tcPr>
          <w:p w14:paraId="3C10762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640" w:type="dxa"/>
            <w:tcBorders>
              <w:top w:val="nil"/>
              <w:left w:val="nil"/>
              <w:bottom w:val="single" w:color="auto" w:sz="4" w:space="0"/>
              <w:right w:val="single" w:color="auto" w:sz="4" w:space="0"/>
            </w:tcBorders>
            <w:noWrap/>
            <w:vAlign w:val="center"/>
          </w:tcPr>
          <w:p w14:paraId="59ADA95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苹果类</w:t>
            </w:r>
          </w:p>
        </w:tc>
        <w:tc>
          <w:tcPr>
            <w:tcW w:w="6380" w:type="dxa"/>
            <w:tcBorders>
              <w:top w:val="nil"/>
              <w:left w:val="nil"/>
              <w:bottom w:val="single" w:color="auto" w:sz="4" w:space="0"/>
              <w:right w:val="single" w:color="auto" w:sz="4" w:space="0"/>
            </w:tcBorders>
            <w:noWrap w:val="0"/>
            <w:vAlign w:val="center"/>
          </w:tcPr>
          <w:p w14:paraId="49AF17C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大小均匀，果面光滑有光泽，具有本品种应有的自然色泽；无斑点或极少果锈，不起皱，无裂口，无压痕及其他机械损伤和冻伤黑斑；果身重，硬朗；口感汁液饱满，无苦涩味，无木栓化组织。</w:t>
            </w:r>
          </w:p>
        </w:tc>
      </w:tr>
      <w:tr w14:paraId="3002CD52">
        <w:tblPrEx>
          <w:tblCellMar>
            <w:top w:w="0" w:type="dxa"/>
            <w:left w:w="108" w:type="dxa"/>
            <w:bottom w:w="0" w:type="dxa"/>
            <w:right w:w="108" w:type="dxa"/>
          </w:tblCellMar>
        </w:tblPrEx>
        <w:trPr>
          <w:trHeight w:val="510" w:hRule="atLeast"/>
          <w:jc w:val="center"/>
        </w:trPr>
        <w:tc>
          <w:tcPr>
            <w:tcW w:w="1003" w:type="dxa"/>
            <w:tcBorders>
              <w:top w:val="nil"/>
              <w:left w:val="single" w:color="auto" w:sz="4" w:space="0"/>
              <w:bottom w:val="single" w:color="auto" w:sz="4" w:space="0"/>
              <w:right w:val="single" w:color="auto" w:sz="4" w:space="0"/>
            </w:tcBorders>
            <w:noWrap/>
            <w:vAlign w:val="center"/>
          </w:tcPr>
          <w:p w14:paraId="7A71BA2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640" w:type="dxa"/>
            <w:tcBorders>
              <w:top w:val="nil"/>
              <w:left w:val="nil"/>
              <w:bottom w:val="single" w:color="auto" w:sz="4" w:space="0"/>
              <w:right w:val="single" w:color="auto" w:sz="4" w:space="0"/>
            </w:tcBorders>
            <w:noWrap/>
            <w:vAlign w:val="center"/>
          </w:tcPr>
          <w:p w14:paraId="55642AD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梨类</w:t>
            </w:r>
          </w:p>
        </w:tc>
        <w:tc>
          <w:tcPr>
            <w:tcW w:w="6380" w:type="dxa"/>
            <w:tcBorders>
              <w:top w:val="nil"/>
              <w:left w:val="nil"/>
              <w:bottom w:val="single" w:color="auto" w:sz="4" w:space="0"/>
              <w:right w:val="single" w:color="auto" w:sz="4" w:space="0"/>
            </w:tcBorders>
            <w:noWrap w:val="0"/>
            <w:vAlign w:val="center"/>
          </w:tcPr>
          <w:p w14:paraId="413B622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果形端正，大小均匀，无畸形果，带果柄：果面新鲜洁净，无刺划伤， 无压痕，无病虫害，身重结实，味道爽甜。</w:t>
            </w:r>
          </w:p>
        </w:tc>
      </w:tr>
      <w:tr w14:paraId="4409AA43">
        <w:tblPrEx>
          <w:tblCellMar>
            <w:top w:w="0" w:type="dxa"/>
            <w:left w:w="108" w:type="dxa"/>
            <w:bottom w:w="0" w:type="dxa"/>
            <w:right w:w="108" w:type="dxa"/>
          </w:tblCellMar>
        </w:tblPrEx>
        <w:trPr>
          <w:trHeight w:val="1050" w:hRule="atLeast"/>
          <w:jc w:val="center"/>
        </w:trPr>
        <w:tc>
          <w:tcPr>
            <w:tcW w:w="1003" w:type="dxa"/>
            <w:tcBorders>
              <w:top w:val="nil"/>
              <w:left w:val="single" w:color="auto" w:sz="4" w:space="0"/>
              <w:bottom w:val="single" w:color="auto" w:sz="4" w:space="0"/>
              <w:right w:val="single" w:color="auto" w:sz="4" w:space="0"/>
            </w:tcBorders>
            <w:noWrap/>
            <w:vAlign w:val="center"/>
          </w:tcPr>
          <w:p w14:paraId="72C4192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640" w:type="dxa"/>
            <w:tcBorders>
              <w:top w:val="nil"/>
              <w:left w:val="nil"/>
              <w:bottom w:val="single" w:color="auto" w:sz="4" w:space="0"/>
              <w:right w:val="single" w:color="auto" w:sz="4" w:space="0"/>
            </w:tcBorders>
            <w:noWrap/>
            <w:vAlign w:val="top"/>
          </w:tcPr>
          <w:p w14:paraId="52190CD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柑桔类</w:t>
            </w:r>
          </w:p>
        </w:tc>
        <w:tc>
          <w:tcPr>
            <w:tcW w:w="6380" w:type="dxa"/>
            <w:tcBorders>
              <w:top w:val="nil"/>
              <w:left w:val="nil"/>
              <w:bottom w:val="single" w:color="auto" w:sz="4" w:space="0"/>
              <w:right w:val="single" w:color="auto" w:sz="4" w:space="0"/>
            </w:tcBorders>
            <w:noWrap w:val="0"/>
            <w:vAlign w:val="center"/>
          </w:tcPr>
          <w:p w14:paraId="3D50B92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果实小而扁，大小均匀，果面新鲜光洁无裂口，无机械伤、病斑及腐烂现象，果蒂完整平齐，易剥落，桔络少。蜜柑红柑桔类果实大近似球形，无异状突起瘤、无病虫害所呈现的绿斑、黑斑，无霉烂，无机械伤，果面清新洁净，大小均匀，果实无萎蔫，色泽自然。</w:t>
            </w:r>
          </w:p>
        </w:tc>
      </w:tr>
      <w:tr w14:paraId="04E9D987">
        <w:tblPrEx>
          <w:tblCellMar>
            <w:top w:w="0" w:type="dxa"/>
            <w:left w:w="108" w:type="dxa"/>
            <w:bottom w:w="0" w:type="dxa"/>
            <w:right w:w="108" w:type="dxa"/>
          </w:tblCellMar>
        </w:tblPrEx>
        <w:trPr>
          <w:trHeight w:val="1275" w:hRule="atLeast"/>
          <w:jc w:val="center"/>
        </w:trPr>
        <w:tc>
          <w:tcPr>
            <w:tcW w:w="1003" w:type="dxa"/>
            <w:tcBorders>
              <w:top w:val="nil"/>
              <w:left w:val="single" w:color="auto" w:sz="4" w:space="0"/>
              <w:bottom w:val="single" w:color="auto" w:sz="4" w:space="0"/>
              <w:right w:val="single" w:color="auto" w:sz="4" w:space="0"/>
            </w:tcBorders>
            <w:noWrap/>
            <w:vAlign w:val="center"/>
          </w:tcPr>
          <w:p w14:paraId="7FC01C6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640" w:type="dxa"/>
            <w:tcBorders>
              <w:top w:val="nil"/>
              <w:left w:val="nil"/>
              <w:bottom w:val="single" w:color="auto" w:sz="4" w:space="0"/>
              <w:right w:val="single" w:color="auto" w:sz="4" w:space="0"/>
            </w:tcBorders>
            <w:noWrap/>
            <w:vAlign w:val="top"/>
          </w:tcPr>
          <w:p w14:paraId="1B6155B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蕉类</w:t>
            </w:r>
          </w:p>
        </w:tc>
        <w:tc>
          <w:tcPr>
            <w:tcW w:w="6380" w:type="dxa"/>
            <w:tcBorders>
              <w:top w:val="nil"/>
              <w:left w:val="nil"/>
              <w:bottom w:val="single" w:color="auto" w:sz="4" w:space="0"/>
              <w:right w:val="single" w:color="auto" w:sz="4" w:space="0"/>
            </w:tcBorders>
            <w:noWrap w:val="0"/>
            <w:vAlign w:val="center"/>
          </w:tcPr>
          <w:p w14:paraId="4C6D326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果实丰满，果形端正，梳柄完整，不缺只口，单果均匀；色泽自然、光亮；皮色青黄，果面光滑，无病黑斑，无虫疱，无霉菌，无创伤；果肉稍硬：果皮可剥或易剥。</w:t>
            </w:r>
          </w:p>
        </w:tc>
      </w:tr>
      <w:tr w14:paraId="10800031">
        <w:tblPrEx>
          <w:tblCellMar>
            <w:top w:w="0" w:type="dxa"/>
            <w:left w:w="108" w:type="dxa"/>
            <w:bottom w:w="0" w:type="dxa"/>
            <w:right w:w="108" w:type="dxa"/>
          </w:tblCellMar>
        </w:tblPrEx>
        <w:trPr>
          <w:trHeight w:val="1155" w:hRule="atLeast"/>
          <w:jc w:val="center"/>
        </w:trPr>
        <w:tc>
          <w:tcPr>
            <w:tcW w:w="1003" w:type="dxa"/>
            <w:tcBorders>
              <w:top w:val="nil"/>
              <w:left w:val="single" w:color="auto" w:sz="4" w:space="0"/>
              <w:bottom w:val="single" w:color="auto" w:sz="4" w:space="0"/>
              <w:right w:val="single" w:color="auto" w:sz="4" w:space="0"/>
            </w:tcBorders>
            <w:noWrap/>
            <w:vAlign w:val="center"/>
          </w:tcPr>
          <w:p w14:paraId="54F7ACD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640" w:type="dxa"/>
            <w:tcBorders>
              <w:top w:val="nil"/>
              <w:left w:val="nil"/>
              <w:bottom w:val="single" w:color="auto" w:sz="4" w:space="0"/>
              <w:right w:val="single" w:color="auto" w:sz="4" w:space="0"/>
            </w:tcBorders>
            <w:noWrap/>
            <w:vAlign w:val="center"/>
          </w:tcPr>
          <w:p w14:paraId="2E52B16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葡萄类</w:t>
            </w:r>
          </w:p>
        </w:tc>
        <w:tc>
          <w:tcPr>
            <w:tcW w:w="6380" w:type="dxa"/>
            <w:tcBorders>
              <w:top w:val="nil"/>
              <w:left w:val="nil"/>
              <w:bottom w:val="single" w:color="auto" w:sz="4" w:space="0"/>
              <w:right w:val="single" w:color="auto" w:sz="4" w:space="0"/>
            </w:tcBorders>
            <w:noWrap w:val="0"/>
            <w:vAlign w:val="center"/>
          </w:tcPr>
          <w:p w14:paraId="7B5DA91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具有本品种应具有的外形、色泽：果粒面完好，皮上无斑痕，果珠饱满， 大小均匀：轻提果穂枝梗，微微抖动，果实不抖落或抖落极少。</w:t>
            </w:r>
          </w:p>
        </w:tc>
      </w:tr>
      <w:tr w14:paraId="1E66E78C">
        <w:tblPrEx>
          <w:tblCellMar>
            <w:top w:w="0" w:type="dxa"/>
            <w:left w:w="108" w:type="dxa"/>
            <w:bottom w:w="0" w:type="dxa"/>
            <w:right w:w="108" w:type="dxa"/>
          </w:tblCellMar>
        </w:tblPrEx>
        <w:trPr>
          <w:trHeight w:val="804" w:hRule="atLeast"/>
          <w:jc w:val="center"/>
        </w:trPr>
        <w:tc>
          <w:tcPr>
            <w:tcW w:w="1003" w:type="dxa"/>
            <w:tcBorders>
              <w:top w:val="nil"/>
              <w:left w:val="single" w:color="auto" w:sz="4" w:space="0"/>
              <w:bottom w:val="single" w:color="auto" w:sz="4" w:space="0"/>
              <w:right w:val="single" w:color="auto" w:sz="4" w:space="0"/>
            </w:tcBorders>
            <w:noWrap/>
            <w:vAlign w:val="center"/>
          </w:tcPr>
          <w:p w14:paraId="5D02314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640" w:type="dxa"/>
            <w:tcBorders>
              <w:top w:val="nil"/>
              <w:left w:val="nil"/>
              <w:bottom w:val="single" w:color="auto" w:sz="4" w:space="0"/>
              <w:right w:val="single" w:color="auto" w:sz="4" w:space="0"/>
            </w:tcBorders>
            <w:noWrap/>
            <w:vAlign w:val="center"/>
          </w:tcPr>
          <w:p w14:paraId="630403A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瓜类</w:t>
            </w:r>
          </w:p>
        </w:tc>
        <w:tc>
          <w:tcPr>
            <w:tcW w:w="6380" w:type="dxa"/>
            <w:tcBorders>
              <w:top w:val="nil"/>
              <w:left w:val="nil"/>
              <w:bottom w:val="single" w:color="auto" w:sz="4" w:space="0"/>
              <w:right w:val="single" w:color="auto" w:sz="4" w:space="0"/>
            </w:tcBorders>
            <w:noWrap w:val="0"/>
            <w:vAlign w:val="center"/>
          </w:tcPr>
          <w:p w14:paraId="7153CFA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外皮呈长椭圆形，结实，果把新鲜，网纹绸密者为上品，无裂痕，无压伤。</w:t>
            </w:r>
          </w:p>
        </w:tc>
      </w:tr>
    </w:tbl>
    <w:p w14:paraId="1A3A8A83">
      <w:pPr>
        <w:spacing w:line="360" w:lineRule="auto"/>
        <w:ind w:firstLine="480" w:firstLineChars="200"/>
        <w:rPr>
          <w:rFonts w:hint="eastAsia" w:ascii="宋体" w:hAnsi="宋体" w:eastAsia="宋体" w:cs="宋体"/>
          <w:sz w:val="24"/>
          <w:szCs w:val="24"/>
          <w:highlight w:val="none"/>
          <w:lang w:val="en-US" w:eastAsia="zh-CN"/>
        </w:rPr>
      </w:pPr>
    </w:p>
    <w:p w14:paraId="214E9C5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4.干货、调料品类要求：（包括但不限于）</w:t>
      </w:r>
    </w:p>
    <w:p w14:paraId="7AF921C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（1）有“SC”标志，标明商品名称、规格、生产商、产地、生产日期、保质期或保存期，产品批号等，严格执行国家相关质量标准和卫生标准。</w:t>
      </w:r>
    </w:p>
    <w:p w14:paraId="31A9619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食品的质量基本标准要求符合国家行业标准，干爽、无霉烂、整齐、均匀、完整、无虫蛀、无杂质，保持应有的色泽。确保产品质量稳定、绿色安全。从加工、包装、运输、贮存到销售全部符合国家规定标准。干货二氧化硫残留量、总砷含量不超过国家卫生标准，水分含量不能超过国家标准要求。采购人对需要的副食品进行品质检查，对质量未达到标准的副食品采购人有权拒绝接受。</w:t>
      </w:r>
    </w:p>
    <w:p w14:paraId="31F727E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（3）几种干货制品的质量标准：（包括但不限于）</w:t>
      </w:r>
    </w:p>
    <w:tbl>
      <w:tblPr>
        <w:tblStyle w:val="5"/>
        <w:tblW w:w="8969" w:type="dxa"/>
        <w:jc w:val="center"/>
        <w:tblLayout w:type="fixed"/>
        <w:tblCellMar>
          <w:top w:w="0" w:type="dxa"/>
          <w:left w:w="108" w:type="dxa"/>
          <w:bottom w:w="0" w:type="dxa"/>
          <w:right w:w="108" w:type="dxa"/>
        </w:tblCellMar>
      </w:tblPr>
      <w:tblGrid>
        <w:gridCol w:w="1057"/>
        <w:gridCol w:w="1260"/>
        <w:gridCol w:w="6652"/>
      </w:tblGrid>
      <w:tr w14:paraId="60796B8A">
        <w:tblPrEx>
          <w:tblCellMar>
            <w:top w:w="0" w:type="dxa"/>
            <w:left w:w="108" w:type="dxa"/>
            <w:bottom w:w="0" w:type="dxa"/>
            <w:right w:w="108" w:type="dxa"/>
          </w:tblCellMar>
        </w:tblPrEx>
        <w:trPr>
          <w:trHeight w:val="255" w:hRule="atLeast"/>
          <w:jc w:val="center"/>
        </w:trPr>
        <w:tc>
          <w:tcPr>
            <w:tcW w:w="1057" w:type="dxa"/>
            <w:tcBorders>
              <w:top w:val="single" w:color="auto" w:sz="4" w:space="0"/>
              <w:left w:val="single" w:color="auto" w:sz="4" w:space="0"/>
              <w:bottom w:val="single" w:color="auto" w:sz="4" w:space="0"/>
              <w:right w:val="single" w:color="auto" w:sz="4" w:space="0"/>
            </w:tcBorders>
            <w:noWrap/>
            <w:vAlign w:val="top"/>
          </w:tcPr>
          <w:p w14:paraId="71823F02">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1260" w:type="dxa"/>
            <w:tcBorders>
              <w:top w:val="single" w:color="auto" w:sz="4" w:space="0"/>
              <w:left w:val="nil"/>
              <w:bottom w:val="single" w:color="auto" w:sz="4" w:space="0"/>
              <w:right w:val="single" w:color="auto" w:sz="4" w:space="0"/>
            </w:tcBorders>
            <w:noWrap/>
            <w:vAlign w:val="top"/>
          </w:tcPr>
          <w:p w14:paraId="571D2A9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品名</w:t>
            </w:r>
          </w:p>
        </w:tc>
        <w:tc>
          <w:tcPr>
            <w:tcW w:w="6652" w:type="dxa"/>
            <w:tcBorders>
              <w:top w:val="single" w:color="auto" w:sz="4" w:space="0"/>
              <w:left w:val="nil"/>
              <w:bottom w:val="single" w:color="auto" w:sz="4" w:space="0"/>
              <w:right w:val="single" w:color="auto" w:sz="4" w:space="0"/>
            </w:tcBorders>
            <w:noWrap/>
            <w:vAlign w:val="top"/>
          </w:tcPr>
          <w:p w14:paraId="54041CB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r>
      <w:tr w14:paraId="143679FA">
        <w:tblPrEx>
          <w:tblCellMar>
            <w:top w:w="0" w:type="dxa"/>
            <w:left w:w="108" w:type="dxa"/>
            <w:bottom w:w="0" w:type="dxa"/>
            <w:right w:w="108" w:type="dxa"/>
          </w:tblCellMar>
        </w:tblPrEx>
        <w:trPr>
          <w:trHeight w:val="750" w:hRule="atLeast"/>
          <w:jc w:val="center"/>
        </w:trPr>
        <w:tc>
          <w:tcPr>
            <w:tcW w:w="1057" w:type="dxa"/>
            <w:tcBorders>
              <w:top w:val="nil"/>
              <w:left w:val="single" w:color="auto" w:sz="4" w:space="0"/>
              <w:bottom w:val="single" w:color="auto" w:sz="4" w:space="0"/>
              <w:right w:val="single" w:color="auto" w:sz="4" w:space="0"/>
            </w:tcBorders>
            <w:noWrap/>
            <w:vAlign w:val="center"/>
          </w:tcPr>
          <w:p w14:paraId="0220E9B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260" w:type="dxa"/>
            <w:tcBorders>
              <w:top w:val="nil"/>
              <w:left w:val="nil"/>
              <w:bottom w:val="single" w:color="auto" w:sz="4" w:space="0"/>
              <w:right w:val="single" w:color="auto" w:sz="4" w:space="0"/>
            </w:tcBorders>
            <w:noWrap/>
            <w:vAlign w:val="center"/>
          </w:tcPr>
          <w:p w14:paraId="316A3075">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黄花菜</w:t>
            </w:r>
          </w:p>
        </w:tc>
        <w:tc>
          <w:tcPr>
            <w:tcW w:w="6652" w:type="dxa"/>
            <w:tcBorders>
              <w:top w:val="nil"/>
              <w:left w:val="nil"/>
              <w:bottom w:val="single" w:color="auto" w:sz="4" w:space="0"/>
              <w:right w:val="single" w:color="auto" w:sz="4" w:space="0"/>
            </w:tcBorders>
            <w:noWrap w:val="0"/>
            <w:vAlign w:val="center"/>
          </w:tcPr>
          <w:p w14:paraId="5CBD69C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又名金针菜，干燥、有清香味，菜色黄亮、身条长而粗壮、条杆粗细均勾者。</w:t>
            </w:r>
          </w:p>
        </w:tc>
      </w:tr>
      <w:tr w14:paraId="22122D08">
        <w:tblPrEx>
          <w:tblCellMar>
            <w:top w:w="0" w:type="dxa"/>
            <w:left w:w="108" w:type="dxa"/>
            <w:bottom w:w="0" w:type="dxa"/>
            <w:right w:w="108" w:type="dxa"/>
          </w:tblCellMar>
        </w:tblPrEx>
        <w:trPr>
          <w:trHeight w:val="735" w:hRule="atLeast"/>
          <w:jc w:val="center"/>
        </w:trPr>
        <w:tc>
          <w:tcPr>
            <w:tcW w:w="1057" w:type="dxa"/>
            <w:tcBorders>
              <w:top w:val="nil"/>
              <w:left w:val="single" w:color="auto" w:sz="4" w:space="0"/>
              <w:bottom w:val="single" w:color="auto" w:sz="4" w:space="0"/>
              <w:right w:val="single" w:color="auto" w:sz="4" w:space="0"/>
            </w:tcBorders>
            <w:noWrap/>
            <w:vAlign w:val="center"/>
          </w:tcPr>
          <w:p w14:paraId="5B75E04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260" w:type="dxa"/>
            <w:tcBorders>
              <w:top w:val="nil"/>
              <w:left w:val="nil"/>
              <w:bottom w:val="single" w:color="auto" w:sz="4" w:space="0"/>
              <w:right w:val="single" w:color="auto" w:sz="4" w:space="0"/>
            </w:tcBorders>
            <w:noWrap/>
            <w:vAlign w:val="center"/>
          </w:tcPr>
          <w:p w14:paraId="3138D456">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黑木耳</w:t>
            </w:r>
          </w:p>
        </w:tc>
        <w:tc>
          <w:tcPr>
            <w:tcW w:w="6652" w:type="dxa"/>
            <w:tcBorders>
              <w:top w:val="nil"/>
              <w:left w:val="nil"/>
              <w:bottom w:val="single" w:color="auto" w:sz="4" w:space="0"/>
              <w:right w:val="single" w:color="auto" w:sz="4" w:space="0"/>
            </w:tcBorders>
            <w:noWrap w:val="0"/>
            <w:vAlign w:val="center"/>
          </w:tcPr>
          <w:p w14:paraId="54719D2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以条形大而完整，耳瓣舒展少卷曲，内厚黑，富于光泽，体干不霉，无杂质。</w:t>
            </w:r>
          </w:p>
        </w:tc>
      </w:tr>
      <w:tr w14:paraId="12327C15">
        <w:tblPrEx>
          <w:tblCellMar>
            <w:top w:w="0" w:type="dxa"/>
            <w:left w:w="108" w:type="dxa"/>
            <w:bottom w:w="0" w:type="dxa"/>
            <w:right w:w="108" w:type="dxa"/>
          </w:tblCellMar>
        </w:tblPrEx>
        <w:trPr>
          <w:trHeight w:val="750" w:hRule="atLeast"/>
          <w:jc w:val="center"/>
        </w:trPr>
        <w:tc>
          <w:tcPr>
            <w:tcW w:w="1057" w:type="dxa"/>
            <w:tcBorders>
              <w:top w:val="nil"/>
              <w:left w:val="single" w:color="auto" w:sz="4" w:space="0"/>
              <w:bottom w:val="single" w:color="auto" w:sz="4" w:space="0"/>
              <w:right w:val="single" w:color="auto" w:sz="4" w:space="0"/>
            </w:tcBorders>
            <w:noWrap/>
            <w:vAlign w:val="top"/>
          </w:tcPr>
          <w:p w14:paraId="70CCAA3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260" w:type="dxa"/>
            <w:tcBorders>
              <w:top w:val="nil"/>
              <w:left w:val="nil"/>
              <w:bottom w:val="single" w:color="auto" w:sz="4" w:space="0"/>
              <w:right w:val="single" w:color="auto" w:sz="4" w:space="0"/>
            </w:tcBorders>
            <w:noWrap/>
            <w:vAlign w:val="top"/>
          </w:tcPr>
          <w:p w14:paraId="3FF07C24">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银耳</w:t>
            </w:r>
          </w:p>
        </w:tc>
        <w:tc>
          <w:tcPr>
            <w:tcW w:w="6652" w:type="dxa"/>
            <w:tcBorders>
              <w:top w:val="nil"/>
              <w:left w:val="nil"/>
              <w:bottom w:val="single" w:color="auto" w:sz="4" w:space="0"/>
              <w:right w:val="single" w:color="auto" w:sz="4" w:space="0"/>
            </w:tcBorders>
            <w:noWrap w:val="0"/>
            <w:vAlign w:val="top"/>
          </w:tcPr>
          <w:p w14:paraId="7FBFB5C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银耳又称白木耳，朵大、色洁白、有光泽、无杂质，根小、干度足，完整。</w:t>
            </w:r>
          </w:p>
        </w:tc>
      </w:tr>
      <w:tr w14:paraId="6EA90A24">
        <w:tblPrEx>
          <w:tblCellMar>
            <w:top w:w="0" w:type="dxa"/>
            <w:left w:w="108" w:type="dxa"/>
            <w:bottom w:w="0" w:type="dxa"/>
            <w:right w:w="108" w:type="dxa"/>
          </w:tblCellMar>
        </w:tblPrEx>
        <w:trPr>
          <w:trHeight w:val="735" w:hRule="atLeast"/>
          <w:jc w:val="center"/>
        </w:trPr>
        <w:tc>
          <w:tcPr>
            <w:tcW w:w="1057" w:type="dxa"/>
            <w:tcBorders>
              <w:top w:val="nil"/>
              <w:left w:val="single" w:color="auto" w:sz="4" w:space="0"/>
              <w:bottom w:val="single" w:color="auto" w:sz="4" w:space="0"/>
              <w:right w:val="single" w:color="auto" w:sz="4" w:space="0"/>
            </w:tcBorders>
            <w:noWrap/>
            <w:vAlign w:val="center"/>
          </w:tcPr>
          <w:p w14:paraId="2AA761C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260" w:type="dxa"/>
            <w:tcBorders>
              <w:top w:val="nil"/>
              <w:left w:val="nil"/>
              <w:bottom w:val="single" w:color="auto" w:sz="4" w:space="0"/>
              <w:right w:val="single" w:color="auto" w:sz="4" w:space="0"/>
            </w:tcBorders>
            <w:noWrap/>
            <w:vAlign w:val="center"/>
          </w:tcPr>
          <w:p w14:paraId="4364409B">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腐竹</w:t>
            </w:r>
          </w:p>
        </w:tc>
        <w:tc>
          <w:tcPr>
            <w:tcW w:w="6652" w:type="dxa"/>
            <w:tcBorders>
              <w:top w:val="nil"/>
              <w:left w:val="nil"/>
              <w:bottom w:val="single" w:color="auto" w:sz="4" w:space="0"/>
              <w:right w:val="single" w:color="auto" w:sz="4" w:space="0"/>
            </w:tcBorders>
            <w:noWrap w:val="0"/>
            <w:vAlign w:val="center"/>
          </w:tcPr>
          <w:p w14:paraId="0AAA69F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腐竹又名豆腐皮和油皮，色泽黄亮、干燥筋韧、耐贮、无碎块，取样品品尝其滋味具有腐竹固有的鲜香滋味。</w:t>
            </w:r>
          </w:p>
        </w:tc>
      </w:tr>
      <w:tr w14:paraId="361B0CCD">
        <w:tblPrEx>
          <w:tblCellMar>
            <w:top w:w="0" w:type="dxa"/>
            <w:left w:w="108" w:type="dxa"/>
            <w:bottom w:w="0" w:type="dxa"/>
            <w:right w:w="108" w:type="dxa"/>
          </w:tblCellMar>
        </w:tblPrEx>
        <w:trPr>
          <w:trHeight w:val="675" w:hRule="atLeast"/>
          <w:jc w:val="center"/>
        </w:trPr>
        <w:tc>
          <w:tcPr>
            <w:tcW w:w="1057" w:type="dxa"/>
            <w:tcBorders>
              <w:top w:val="nil"/>
              <w:left w:val="single" w:color="auto" w:sz="4" w:space="0"/>
              <w:bottom w:val="single" w:color="auto" w:sz="4" w:space="0"/>
              <w:right w:val="single" w:color="auto" w:sz="4" w:space="0"/>
            </w:tcBorders>
            <w:noWrap/>
            <w:vAlign w:val="center"/>
          </w:tcPr>
          <w:p w14:paraId="3A53B0C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260" w:type="dxa"/>
            <w:tcBorders>
              <w:top w:val="nil"/>
              <w:left w:val="nil"/>
              <w:bottom w:val="single" w:color="auto" w:sz="4" w:space="0"/>
              <w:right w:val="single" w:color="auto" w:sz="4" w:space="0"/>
            </w:tcBorders>
            <w:noWrap/>
            <w:vAlign w:val="center"/>
          </w:tcPr>
          <w:p w14:paraId="08E3FF1A">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粉丝</w:t>
            </w:r>
          </w:p>
        </w:tc>
        <w:tc>
          <w:tcPr>
            <w:tcW w:w="6652" w:type="dxa"/>
            <w:tcBorders>
              <w:top w:val="nil"/>
              <w:left w:val="nil"/>
              <w:bottom w:val="single" w:color="auto" w:sz="4" w:space="0"/>
              <w:right w:val="single" w:color="auto" w:sz="4" w:space="0"/>
            </w:tcBorders>
            <w:noWrap w:val="0"/>
            <w:vAlign w:val="center"/>
          </w:tcPr>
          <w:p w14:paraId="741C752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粉条细长、白净、晶莹透明、丝条均匀、整齐、干燥，不易折断，无斑点、 黑迹，无霉变，有粉丝特有的光泽。</w:t>
            </w:r>
          </w:p>
        </w:tc>
      </w:tr>
      <w:tr w14:paraId="24E31CFE">
        <w:tblPrEx>
          <w:tblCellMar>
            <w:top w:w="0" w:type="dxa"/>
            <w:left w:w="108" w:type="dxa"/>
            <w:bottom w:w="0" w:type="dxa"/>
            <w:right w:w="108" w:type="dxa"/>
          </w:tblCellMar>
        </w:tblPrEx>
        <w:trPr>
          <w:trHeight w:val="435" w:hRule="atLeast"/>
          <w:jc w:val="center"/>
        </w:trPr>
        <w:tc>
          <w:tcPr>
            <w:tcW w:w="1057" w:type="dxa"/>
            <w:tcBorders>
              <w:top w:val="nil"/>
              <w:left w:val="single" w:color="auto" w:sz="4" w:space="0"/>
              <w:bottom w:val="single" w:color="auto" w:sz="4" w:space="0"/>
              <w:right w:val="single" w:color="auto" w:sz="4" w:space="0"/>
            </w:tcBorders>
            <w:noWrap/>
            <w:vAlign w:val="top"/>
          </w:tcPr>
          <w:p w14:paraId="5BFF8C3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260" w:type="dxa"/>
            <w:tcBorders>
              <w:top w:val="nil"/>
              <w:left w:val="nil"/>
              <w:bottom w:val="single" w:color="auto" w:sz="4" w:space="0"/>
              <w:right w:val="single" w:color="auto" w:sz="4" w:space="0"/>
            </w:tcBorders>
            <w:noWrap/>
            <w:vAlign w:val="top"/>
          </w:tcPr>
          <w:p w14:paraId="776C7088">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紫菜</w:t>
            </w:r>
          </w:p>
        </w:tc>
        <w:tc>
          <w:tcPr>
            <w:tcW w:w="6652" w:type="dxa"/>
            <w:tcBorders>
              <w:top w:val="nil"/>
              <w:left w:val="nil"/>
              <w:bottom w:val="single" w:color="auto" w:sz="4" w:space="0"/>
              <w:right w:val="single" w:color="auto" w:sz="4" w:space="0"/>
            </w:tcBorders>
            <w:noWrap/>
            <w:vAlign w:val="top"/>
          </w:tcPr>
          <w:p w14:paraId="4449BD7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柔嫩微脆、叶薄、色紫清香鲜美。</w:t>
            </w:r>
          </w:p>
        </w:tc>
      </w:tr>
      <w:tr w14:paraId="5B629FF9">
        <w:tblPrEx>
          <w:tblCellMar>
            <w:top w:w="0" w:type="dxa"/>
            <w:left w:w="108" w:type="dxa"/>
            <w:bottom w:w="0" w:type="dxa"/>
            <w:right w:w="108" w:type="dxa"/>
          </w:tblCellMar>
        </w:tblPrEx>
        <w:trPr>
          <w:trHeight w:val="1350" w:hRule="atLeast"/>
          <w:jc w:val="center"/>
        </w:trPr>
        <w:tc>
          <w:tcPr>
            <w:tcW w:w="1057" w:type="dxa"/>
            <w:tcBorders>
              <w:top w:val="nil"/>
              <w:left w:val="single" w:color="auto" w:sz="4" w:space="0"/>
              <w:bottom w:val="single" w:color="auto" w:sz="4" w:space="0"/>
              <w:right w:val="single" w:color="auto" w:sz="4" w:space="0"/>
            </w:tcBorders>
            <w:noWrap/>
            <w:vAlign w:val="center"/>
          </w:tcPr>
          <w:p w14:paraId="7398360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260" w:type="dxa"/>
            <w:tcBorders>
              <w:top w:val="nil"/>
              <w:left w:val="nil"/>
              <w:bottom w:val="single" w:color="auto" w:sz="4" w:space="0"/>
              <w:right w:val="single" w:color="auto" w:sz="4" w:space="0"/>
            </w:tcBorders>
            <w:noWrap/>
            <w:vAlign w:val="center"/>
          </w:tcPr>
          <w:p w14:paraId="5EC9E97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皮蛋</w:t>
            </w:r>
          </w:p>
        </w:tc>
        <w:tc>
          <w:tcPr>
            <w:tcW w:w="6652" w:type="dxa"/>
            <w:tcBorders>
              <w:top w:val="nil"/>
              <w:left w:val="nil"/>
              <w:bottom w:val="single" w:color="auto" w:sz="4" w:space="0"/>
              <w:right w:val="single" w:color="auto" w:sz="4" w:space="0"/>
            </w:tcBorders>
            <w:noWrap w:val="0"/>
            <w:vAlign w:val="center"/>
          </w:tcPr>
          <w:p w14:paraId="3466616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表泥状包料完整、无霉斑，包料除掉后蛋壳亦完整无损，灯光透照蛋内容 物凝固不动，打开观察，整个蛋凝固、不粘壳、淸洁而有弹性，呈半透明 的棕黄色，闻起来有芳香，无辛辣气。</w:t>
            </w:r>
          </w:p>
        </w:tc>
      </w:tr>
      <w:tr w14:paraId="056A23CF">
        <w:tblPrEx>
          <w:tblCellMar>
            <w:top w:w="0" w:type="dxa"/>
            <w:left w:w="108" w:type="dxa"/>
            <w:bottom w:w="0" w:type="dxa"/>
            <w:right w:w="108" w:type="dxa"/>
          </w:tblCellMar>
        </w:tblPrEx>
        <w:trPr>
          <w:trHeight w:val="1605" w:hRule="atLeast"/>
          <w:jc w:val="center"/>
        </w:trPr>
        <w:tc>
          <w:tcPr>
            <w:tcW w:w="1057" w:type="dxa"/>
            <w:tcBorders>
              <w:top w:val="nil"/>
              <w:left w:val="single" w:color="auto" w:sz="4" w:space="0"/>
              <w:bottom w:val="single" w:color="auto" w:sz="4" w:space="0"/>
              <w:right w:val="single" w:color="auto" w:sz="4" w:space="0"/>
            </w:tcBorders>
            <w:noWrap/>
            <w:vAlign w:val="center"/>
          </w:tcPr>
          <w:p w14:paraId="1B3054A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260" w:type="dxa"/>
            <w:tcBorders>
              <w:top w:val="nil"/>
              <w:left w:val="nil"/>
              <w:bottom w:val="single" w:color="auto" w:sz="4" w:space="0"/>
              <w:right w:val="single" w:color="auto" w:sz="4" w:space="0"/>
            </w:tcBorders>
            <w:noWrap/>
            <w:vAlign w:val="center"/>
          </w:tcPr>
          <w:p w14:paraId="0EA066D2">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咸蛋</w:t>
            </w:r>
          </w:p>
        </w:tc>
        <w:tc>
          <w:tcPr>
            <w:tcW w:w="6652" w:type="dxa"/>
            <w:tcBorders>
              <w:top w:val="nil"/>
              <w:left w:val="nil"/>
              <w:bottom w:val="single" w:color="auto" w:sz="4" w:space="0"/>
              <w:right w:val="single" w:color="auto" w:sz="4" w:space="0"/>
            </w:tcBorders>
            <w:noWrap w:val="0"/>
            <w:vAlign w:val="center"/>
          </w:tcPr>
          <w:p w14:paraId="2AF6863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壳完整无损，无裂纹或霉斑，摇动时有轻度水荡漾感觉，灯光透视蛋黄凝结、呈橙黄色且靠近蛋壳，蛋消呈白色水样透明，生蛋打开可见蛋清稀薄透明，蛋黄呈红色或淡红色，浓缩粘度增强，但不硬固，煮熟后打幵，可见蛋洁白嫩，蛋黄口味有细沙感富于油脂，品尝则有咸蛋固有的香味。</w:t>
            </w:r>
          </w:p>
        </w:tc>
      </w:tr>
      <w:tr w14:paraId="469B25B3">
        <w:tblPrEx>
          <w:tblCellMar>
            <w:top w:w="0" w:type="dxa"/>
            <w:left w:w="108" w:type="dxa"/>
            <w:bottom w:w="0" w:type="dxa"/>
            <w:right w:w="108" w:type="dxa"/>
          </w:tblCellMar>
        </w:tblPrEx>
        <w:trPr>
          <w:trHeight w:val="1365" w:hRule="atLeast"/>
          <w:jc w:val="center"/>
        </w:trPr>
        <w:tc>
          <w:tcPr>
            <w:tcW w:w="1057" w:type="dxa"/>
            <w:tcBorders>
              <w:top w:val="nil"/>
              <w:left w:val="single" w:color="auto" w:sz="4" w:space="0"/>
              <w:bottom w:val="single" w:color="auto" w:sz="4" w:space="0"/>
              <w:right w:val="single" w:color="auto" w:sz="4" w:space="0"/>
            </w:tcBorders>
            <w:noWrap/>
            <w:vAlign w:val="center"/>
          </w:tcPr>
          <w:p w14:paraId="5C1BABE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260" w:type="dxa"/>
            <w:tcBorders>
              <w:top w:val="nil"/>
              <w:left w:val="nil"/>
              <w:bottom w:val="single" w:color="auto" w:sz="4" w:space="0"/>
              <w:right w:val="single" w:color="auto" w:sz="4" w:space="0"/>
            </w:tcBorders>
            <w:noWrap w:val="0"/>
            <w:vAlign w:val="center"/>
          </w:tcPr>
          <w:p w14:paraId="38BDE18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油炸豆腐</w:t>
            </w:r>
          </w:p>
        </w:tc>
        <w:tc>
          <w:tcPr>
            <w:tcW w:w="6652" w:type="dxa"/>
            <w:tcBorders>
              <w:top w:val="nil"/>
              <w:left w:val="nil"/>
              <w:bottom w:val="single" w:color="auto" w:sz="4" w:space="0"/>
              <w:right w:val="single" w:color="auto" w:sz="4" w:space="0"/>
            </w:tcBorders>
            <w:noWrap w:val="0"/>
            <w:vAlign w:val="center"/>
          </w:tcPr>
          <w:p w14:paraId="2ECAE95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金黄色或棕黄色，色彩鲜艳而有光泽，块形整齐，有弹性，皮脆，内质呈 蜂窝状，不粘不散，无杂质，具有豆腐泡特有的清香风味，无其他任何不 良气味，取样品细细咀嚼，外皮酥脆适门，泡内软嫩，咸香适度，具有豆 腐泡固有的滋味。</w:t>
            </w:r>
          </w:p>
        </w:tc>
      </w:tr>
    </w:tbl>
    <w:p w14:paraId="756C027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（4）几种主要调料的质量要求：（包括但不限于）</w:t>
      </w:r>
    </w:p>
    <w:tbl>
      <w:tblPr>
        <w:tblStyle w:val="5"/>
        <w:tblW w:w="9078" w:type="dxa"/>
        <w:jc w:val="center"/>
        <w:tblLayout w:type="fixed"/>
        <w:tblCellMar>
          <w:top w:w="0" w:type="dxa"/>
          <w:left w:w="108" w:type="dxa"/>
          <w:bottom w:w="0" w:type="dxa"/>
          <w:right w:w="108" w:type="dxa"/>
        </w:tblCellMar>
      </w:tblPr>
      <w:tblGrid>
        <w:gridCol w:w="1138"/>
        <w:gridCol w:w="1480"/>
        <w:gridCol w:w="6460"/>
      </w:tblGrid>
      <w:tr w14:paraId="505875F9">
        <w:tblPrEx>
          <w:tblCellMar>
            <w:top w:w="0" w:type="dxa"/>
            <w:left w:w="108" w:type="dxa"/>
            <w:bottom w:w="0" w:type="dxa"/>
            <w:right w:w="108" w:type="dxa"/>
          </w:tblCellMar>
        </w:tblPrEx>
        <w:trPr>
          <w:trHeight w:val="255" w:hRule="atLeast"/>
          <w:jc w:val="center"/>
        </w:trPr>
        <w:tc>
          <w:tcPr>
            <w:tcW w:w="1138" w:type="dxa"/>
            <w:tcBorders>
              <w:top w:val="single" w:color="auto" w:sz="4" w:space="0"/>
              <w:left w:val="single" w:color="auto" w:sz="4" w:space="0"/>
              <w:bottom w:val="single" w:color="auto" w:sz="4" w:space="0"/>
              <w:right w:val="single" w:color="auto" w:sz="4" w:space="0"/>
            </w:tcBorders>
            <w:noWrap/>
            <w:vAlign w:val="top"/>
          </w:tcPr>
          <w:p w14:paraId="72A69C99">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1480" w:type="dxa"/>
            <w:tcBorders>
              <w:top w:val="single" w:color="auto" w:sz="4" w:space="0"/>
              <w:left w:val="nil"/>
              <w:bottom w:val="single" w:color="auto" w:sz="4" w:space="0"/>
              <w:right w:val="single" w:color="auto" w:sz="4" w:space="0"/>
            </w:tcBorders>
            <w:noWrap/>
            <w:vAlign w:val="top"/>
          </w:tcPr>
          <w:p w14:paraId="090649B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品名</w:t>
            </w:r>
          </w:p>
        </w:tc>
        <w:tc>
          <w:tcPr>
            <w:tcW w:w="6460" w:type="dxa"/>
            <w:tcBorders>
              <w:top w:val="single" w:color="auto" w:sz="4" w:space="0"/>
              <w:left w:val="nil"/>
              <w:bottom w:val="single" w:color="auto" w:sz="4" w:space="0"/>
              <w:right w:val="single" w:color="auto" w:sz="4" w:space="0"/>
            </w:tcBorders>
            <w:noWrap/>
            <w:vAlign w:val="top"/>
          </w:tcPr>
          <w:p w14:paraId="3E10235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质量标准</w:t>
            </w:r>
          </w:p>
        </w:tc>
      </w:tr>
      <w:tr w14:paraId="6C1B2B14">
        <w:tblPrEx>
          <w:tblCellMar>
            <w:top w:w="0" w:type="dxa"/>
            <w:left w:w="108" w:type="dxa"/>
            <w:bottom w:w="0" w:type="dxa"/>
            <w:right w:w="108" w:type="dxa"/>
          </w:tblCellMar>
        </w:tblPrEx>
        <w:trPr>
          <w:trHeight w:val="540" w:hRule="atLeast"/>
          <w:jc w:val="center"/>
        </w:trPr>
        <w:tc>
          <w:tcPr>
            <w:tcW w:w="1138" w:type="dxa"/>
            <w:tcBorders>
              <w:top w:val="nil"/>
              <w:left w:val="single" w:color="auto" w:sz="4" w:space="0"/>
              <w:bottom w:val="single" w:color="auto" w:sz="4" w:space="0"/>
              <w:right w:val="single" w:color="auto" w:sz="4" w:space="0"/>
            </w:tcBorders>
            <w:noWrap w:val="0"/>
            <w:vAlign w:val="center"/>
          </w:tcPr>
          <w:p w14:paraId="08B9233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480" w:type="dxa"/>
            <w:tcBorders>
              <w:top w:val="nil"/>
              <w:left w:val="nil"/>
              <w:bottom w:val="single" w:color="auto" w:sz="4" w:space="0"/>
              <w:right w:val="single" w:color="auto" w:sz="4" w:space="0"/>
            </w:tcBorders>
            <w:noWrap w:val="0"/>
            <w:vAlign w:val="center"/>
          </w:tcPr>
          <w:p w14:paraId="6C2DEE7C">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酱油</w:t>
            </w:r>
          </w:p>
        </w:tc>
        <w:tc>
          <w:tcPr>
            <w:tcW w:w="6460" w:type="dxa"/>
            <w:tcBorders>
              <w:top w:val="nil"/>
              <w:left w:val="nil"/>
              <w:bottom w:val="single" w:color="auto" w:sz="4" w:space="0"/>
              <w:right w:val="single" w:color="auto" w:sz="4" w:space="0"/>
            </w:tcBorders>
            <w:noWrap w:val="0"/>
            <w:vAlign w:val="center"/>
          </w:tcPr>
          <w:p w14:paraId="44EBAB5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颜色较红、亮，有光泽、透明，倒入瓶子中，产生的泡沫细腻，保持持久， 挂碗现象好。</w:t>
            </w:r>
          </w:p>
        </w:tc>
      </w:tr>
      <w:tr w14:paraId="250E90BE">
        <w:tblPrEx>
          <w:tblCellMar>
            <w:top w:w="0" w:type="dxa"/>
            <w:left w:w="108" w:type="dxa"/>
            <w:bottom w:w="0" w:type="dxa"/>
            <w:right w:w="108" w:type="dxa"/>
          </w:tblCellMar>
        </w:tblPrEx>
        <w:trPr>
          <w:trHeight w:val="585" w:hRule="atLeast"/>
          <w:jc w:val="center"/>
        </w:trPr>
        <w:tc>
          <w:tcPr>
            <w:tcW w:w="1138" w:type="dxa"/>
            <w:tcBorders>
              <w:top w:val="nil"/>
              <w:left w:val="single" w:color="auto" w:sz="4" w:space="0"/>
              <w:bottom w:val="single" w:color="auto" w:sz="4" w:space="0"/>
              <w:right w:val="single" w:color="auto" w:sz="4" w:space="0"/>
            </w:tcBorders>
            <w:noWrap w:val="0"/>
            <w:vAlign w:val="top"/>
          </w:tcPr>
          <w:p w14:paraId="6244C46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480" w:type="dxa"/>
            <w:tcBorders>
              <w:top w:val="nil"/>
              <w:left w:val="nil"/>
              <w:bottom w:val="single" w:color="auto" w:sz="4" w:space="0"/>
              <w:right w:val="single" w:color="auto" w:sz="4" w:space="0"/>
            </w:tcBorders>
            <w:noWrap w:val="0"/>
            <w:vAlign w:val="top"/>
          </w:tcPr>
          <w:p w14:paraId="2F4F535F">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味精</w:t>
            </w:r>
          </w:p>
        </w:tc>
        <w:tc>
          <w:tcPr>
            <w:tcW w:w="6460" w:type="dxa"/>
            <w:tcBorders>
              <w:top w:val="nil"/>
              <w:left w:val="nil"/>
              <w:bottom w:val="single" w:color="auto" w:sz="4" w:space="0"/>
              <w:right w:val="single" w:color="auto" w:sz="4" w:space="0"/>
            </w:tcBorders>
            <w:noWrap w:val="0"/>
            <w:vAlign w:val="top"/>
          </w:tcPr>
          <w:p w14:paraId="06DF714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白色结晶或粉末，具有特殊的鲜味，无异味，无肉眼可见杂质。</w:t>
            </w:r>
          </w:p>
        </w:tc>
      </w:tr>
      <w:tr w14:paraId="6CB5342B">
        <w:tblPrEx>
          <w:tblCellMar>
            <w:top w:w="0" w:type="dxa"/>
            <w:left w:w="108" w:type="dxa"/>
            <w:bottom w:w="0" w:type="dxa"/>
            <w:right w:w="108" w:type="dxa"/>
          </w:tblCellMar>
        </w:tblPrEx>
        <w:trPr>
          <w:trHeight w:val="495" w:hRule="atLeast"/>
          <w:jc w:val="center"/>
        </w:trPr>
        <w:tc>
          <w:tcPr>
            <w:tcW w:w="1138" w:type="dxa"/>
            <w:tcBorders>
              <w:top w:val="nil"/>
              <w:left w:val="single" w:color="auto" w:sz="4" w:space="0"/>
              <w:bottom w:val="single" w:color="auto" w:sz="4" w:space="0"/>
              <w:right w:val="single" w:color="auto" w:sz="4" w:space="0"/>
            </w:tcBorders>
            <w:noWrap w:val="0"/>
            <w:vAlign w:val="center"/>
          </w:tcPr>
          <w:p w14:paraId="70389DE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80" w:type="dxa"/>
            <w:tcBorders>
              <w:top w:val="nil"/>
              <w:left w:val="nil"/>
              <w:bottom w:val="single" w:color="auto" w:sz="4" w:space="0"/>
              <w:right w:val="single" w:color="auto" w:sz="4" w:space="0"/>
            </w:tcBorders>
            <w:noWrap w:val="0"/>
            <w:vAlign w:val="center"/>
          </w:tcPr>
          <w:p w14:paraId="50F84EF2">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食醋</w:t>
            </w:r>
          </w:p>
        </w:tc>
        <w:tc>
          <w:tcPr>
            <w:tcW w:w="6460" w:type="dxa"/>
            <w:tcBorders>
              <w:top w:val="nil"/>
              <w:left w:val="nil"/>
              <w:bottom w:val="single" w:color="auto" w:sz="4" w:space="0"/>
              <w:right w:val="single" w:color="auto" w:sz="4" w:space="0"/>
            </w:tcBorders>
            <w:noWrap w:val="0"/>
            <w:vAlign w:val="center"/>
          </w:tcPr>
          <w:p w14:paraId="64A1B40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有正常食醋的色泽、气味和滋味，不涩，无其他不良气味与异味，无浮物， 不浑浊，无沉淀，无异物。</w:t>
            </w:r>
          </w:p>
        </w:tc>
      </w:tr>
      <w:tr w14:paraId="173F6E0D">
        <w:tblPrEx>
          <w:tblCellMar>
            <w:top w:w="0" w:type="dxa"/>
            <w:left w:w="108" w:type="dxa"/>
            <w:bottom w:w="0" w:type="dxa"/>
            <w:right w:w="108" w:type="dxa"/>
          </w:tblCellMar>
        </w:tblPrEx>
        <w:trPr>
          <w:trHeight w:val="570" w:hRule="atLeast"/>
          <w:jc w:val="center"/>
        </w:trPr>
        <w:tc>
          <w:tcPr>
            <w:tcW w:w="1138" w:type="dxa"/>
            <w:tcBorders>
              <w:top w:val="nil"/>
              <w:left w:val="single" w:color="auto" w:sz="4" w:space="0"/>
              <w:bottom w:val="single" w:color="auto" w:sz="4" w:space="0"/>
              <w:right w:val="single" w:color="auto" w:sz="4" w:space="0"/>
            </w:tcBorders>
            <w:noWrap w:val="0"/>
            <w:vAlign w:val="top"/>
          </w:tcPr>
          <w:p w14:paraId="2FF0B88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80" w:type="dxa"/>
            <w:tcBorders>
              <w:top w:val="nil"/>
              <w:left w:val="nil"/>
              <w:bottom w:val="single" w:color="auto" w:sz="4" w:space="0"/>
              <w:right w:val="single" w:color="auto" w:sz="4" w:space="0"/>
            </w:tcBorders>
            <w:noWrap w:val="0"/>
            <w:vAlign w:val="top"/>
          </w:tcPr>
          <w:p w14:paraId="7D99BBF4">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酱腌菜</w:t>
            </w:r>
          </w:p>
        </w:tc>
        <w:tc>
          <w:tcPr>
            <w:tcW w:w="6460" w:type="dxa"/>
            <w:tcBorders>
              <w:top w:val="nil"/>
              <w:left w:val="nil"/>
              <w:bottom w:val="single" w:color="auto" w:sz="4" w:space="0"/>
              <w:right w:val="single" w:color="auto" w:sz="4" w:space="0"/>
            </w:tcBorders>
            <w:noWrap w:val="0"/>
            <w:vAlign w:val="top"/>
          </w:tcPr>
          <w:p w14:paraId="10F4C85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有酱腌菜固有的色、香、味，无杂质，无其他不良气味，不得有霉斑白膜。</w:t>
            </w:r>
          </w:p>
        </w:tc>
      </w:tr>
      <w:tr w14:paraId="269E2F33">
        <w:tblPrEx>
          <w:tblCellMar>
            <w:top w:w="0" w:type="dxa"/>
            <w:left w:w="108" w:type="dxa"/>
            <w:bottom w:w="0" w:type="dxa"/>
            <w:right w:w="108" w:type="dxa"/>
          </w:tblCellMar>
        </w:tblPrEx>
        <w:trPr>
          <w:trHeight w:val="510" w:hRule="atLeast"/>
          <w:jc w:val="center"/>
        </w:trPr>
        <w:tc>
          <w:tcPr>
            <w:tcW w:w="1138" w:type="dxa"/>
            <w:tcBorders>
              <w:top w:val="nil"/>
              <w:left w:val="single" w:color="auto" w:sz="4" w:space="0"/>
              <w:bottom w:val="single" w:color="auto" w:sz="4" w:space="0"/>
              <w:right w:val="single" w:color="auto" w:sz="4" w:space="0"/>
            </w:tcBorders>
            <w:noWrap w:val="0"/>
            <w:vAlign w:val="center"/>
          </w:tcPr>
          <w:p w14:paraId="1C74EAA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80" w:type="dxa"/>
            <w:tcBorders>
              <w:top w:val="nil"/>
              <w:left w:val="nil"/>
              <w:bottom w:val="single" w:color="auto" w:sz="4" w:space="0"/>
              <w:right w:val="single" w:color="auto" w:sz="4" w:space="0"/>
            </w:tcBorders>
            <w:noWrap w:val="0"/>
            <w:vAlign w:val="center"/>
          </w:tcPr>
          <w:p w14:paraId="68BC1C15">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酱类食品</w:t>
            </w:r>
          </w:p>
        </w:tc>
        <w:tc>
          <w:tcPr>
            <w:tcW w:w="6460" w:type="dxa"/>
            <w:tcBorders>
              <w:top w:val="nil"/>
              <w:left w:val="nil"/>
              <w:bottom w:val="single" w:color="auto" w:sz="4" w:space="0"/>
              <w:right w:val="single" w:color="auto" w:sz="4" w:space="0"/>
            </w:tcBorders>
            <w:noWrap w:val="0"/>
            <w:vAlign w:val="center"/>
          </w:tcPr>
          <w:p w14:paraId="611CE9A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有正常酿造酱的色泽、气味和滋味，不涩，无其他不良气味，不得有酸、 苦、焦糊及其它异味、异物。</w:t>
            </w:r>
          </w:p>
        </w:tc>
      </w:tr>
      <w:tr w14:paraId="4CAD6D11">
        <w:tblPrEx>
          <w:tblCellMar>
            <w:top w:w="0" w:type="dxa"/>
            <w:left w:w="108" w:type="dxa"/>
            <w:bottom w:w="0" w:type="dxa"/>
            <w:right w:w="108" w:type="dxa"/>
          </w:tblCellMar>
        </w:tblPrEx>
        <w:trPr>
          <w:trHeight w:val="510" w:hRule="atLeast"/>
          <w:jc w:val="center"/>
        </w:trPr>
        <w:tc>
          <w:tcPr>
            <w:tcW w:w="1138" w:type="dxa"/>
            <w:tcBorders>
              <w:top w:val="nil"/>
              <w:left w:val="single" w:color="auto" w:sz="4" w:space="0"/>
              <w:bottom w:val="single" w:color="auto" w:sz="4" w:space="0"/>
              <w:right w:val="single" w:color="auto" w:sz="4" w:space="0"/>
            </w:tcBorders>
            <w:noWrap w:val="0"/>
            <w:vAlign w:val="center"/>
          </w:tcPr>
          <w:p w14:paraId="4FEE682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480" w:type="dxa"/>
            <w:tcBorders>
              <w:top w:val="nil"/>
              <w:left w:val="nil"/>
              <w:bottom w:val="single" w:color="auto" w:sz="4" w:space="0"/>
              <w:right w:val="single" w:color="auto" w:sz="4" w:space="0"/>
            </w:tcBorders>
            <w:noWrap w:val="0"/>
            <w:vAlign w:val="center"/>
          </w:tcPr>
          <w:p w14:paraId="7107480D">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淀粉制品</w:t>
            </w:r>
          </w:p>
        </w:tc>
        <w:tc>
          <w:tcPr>
            <w:tcW w:w="6460" w:type="dxa"/>
            <w:tcBorders>
              <w:top w:val="nil"/>
              <w:left w:val="nil"/>
              <w:bottom w:val="single" w:color="auto" w:sz="4" w:space="0"/>
              <w:right w:val="single" w:color="auto" w:sz="4" w:space="0"/>
            </w:tcBorders>
            <w:noWrap w:val="0"/>
            <w:vAlign w:val="center"/>
          </w:tcPr>
          <w:p w14:paraId="0FC8D96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有各自品种固有的形态和色泽，不酸、不粘、不发霉，无变质，无异味， 无杂质，口尝无砂质。</w:t>
            </w:r>
          </w:p>
        </w:tc>
      </w:tr>
      <w:tr w14:paraId="30981DDD">
        <w:tblPrEx>
          <w:tblCellMar>
            <w:top w:w="0" w:type="dxa"/>
            <w:left w:w="108" w:type="dxa"/>
            <w:bottom w:w="0" w:type="dxa"/>
            <w:right w:w="108" w:type="dxa"/>
          </w:tblCellMar>
        </w:tblPrEx>
        <w:trPr>
          <w:trHeight w:val="735" w:hRule="atLeast"/>
          <w:jc w:val="center"/>
        </w:trPr>
        <w:tc>
          <w:tcPr>
            <w:tcW w:w="1138" w:type="dxa"/>
            <w:tcBorders>
              <w:top w:val="nil"/>
              <w:left w:val="single" w:color="auto" w:sz="4" w:space="0"/>
              <w:bottom w:val="single" w:color="auto" w:sz="4" w:space="0"/>
              <w:right w:val="single" w:color="auto" w:sz="4" w:space="0"/>
            </w:tcBorders>
            <w:noWrap w:val="0"/>
            <w:vAlign w:val="top"/>
          </w:tcPr>
          <w:p w14:paraId="5EA5D14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480" w:type="dxa"/>
            <w:tcBorders>
              <w:top w:val="nil"/>
              <w:left w:val="nil"/>
              <w:bottom w:val="single" w:color="auto" w:sz="4" w:space="0"/>
              <w:right w:val="single" w:color="auto" w:sz="4" w:space="0"/>
            </w:tcBorders>
            <w:noWrap w:val="0"/>
            <w:vAlign w:val="top"/>
          </w:tcPr>
          <w:p w14:paraId="23FE247C">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食盐</w:t>
            </w:r>
          </w:p>
        </w:tc>
        <w:tc>
          <w:tcPr>
            <w:tcW w:w="6460" w:type="dxa"/>
            <w:tcBorders>
              <w:top w:val="nil"/>
              <w:left w:val="nil"/>
              <w:bottom w:val="single" w:color="auto" w:sz="4" w:space="0"/>
              <w:right w:val="single" w:color="auto" w:sz="4" w:space="0"/>
            </w:tcBorders>
            <w:noWrap w:val="0"/>
            <w:vAlign w:val="top"/>
          </w:tcPr>
          <w:p w14:paraId="4519641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晶体整齐一致，坚硬光滑，呈透明或半透明，不结块，无反卤吸潮现象，无杂质，沾取少许尝试具有纯正的咸味。</w:t>
            </w:r>
          </w:p>
        </w:tc>
      </w:tr>
      <w:tr w14:paraId="476F37F1">
        <w:tblPrEx>
          <w:tblCellMar>
            <w:top w:w="0" w:type="dxa"/>
            <w:left w:w="108" w:type="dxa"/>
            <w:bottom w:w="0" w:type="dxa"/>
            <w:right w:w="108" w:type="dxa"/>
          </w:tblCellMar>
        </w:tblPrEx>
        <w:trPr>
          <w:trHeight w:val="735" w:hRule="atLeast"/>
          <w:jc w:val="center"/>
        </w:trPr>
        <w:tc>
          <w:tcPr>
            <w:tcW w:w="1138" w:type="dxa"/>
            <w:tcBorders>
              <w:top w:val="nil"/>
              <w:left w:val="single" w:color="auto" w:sz="4" w:space="0"/>
              <w:bottom w:val="single" w:color="auto" w:sz="4" w:space="0"/>
              <w:right w:val="single" w:color="auto" w:sz="4" w:space="0"/>
            </w:tcBorders>
            <w:noWrap w:val="0"/>
            <w:vAlign w:val="top"/>
          </w:tcPr>
          <w:p w14:paraId="2CFF8A4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480" w:type="dxa"/>
            <w:tcBorders>
              <w:top w:val="nil"/>
              <w:left w:val="nil"/>
              <w:bottom w:val="single" w:color="auto" w:sz="4" w:space="0"/>
              <w:right w:val="single" w:color="auto" w:sz="4" w:space="0"/>
            </w:tcBorders>
            <w:noWrap w:val="0"/>
            <w:vAlign w:val="top"/>
          </w:tcPr>
          <w:p w14:paraId="3241FFA2">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辛辣料</w:t>
            </w:r>
          </w:p>
        </w:tc>
        <w:tc>
          <w:tcPr>
            <w:tcW w:w="6460" w:type="dxa"/>
            <w:tcBorders>
              <w:top w:val="nil"/>
              <w:left w:val="nil"/>
              <w:bottom w:val="single" w:color="auto" w:sz="4" w:space="0"/>
              <w:right w:val="single" w:color="auto" w:sz="4" w:space="0"/>
            </w:tcBorders>
            <w:noWrap w:val="0"/>
            <w:vAlign w:val="top"/>
          </w:tcPr>
          <w:p w14:paraId="452A957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呈千燥状，具有该种香料植物所特有的色、香、味，没有不纯正的气味和味道，无发霉味或其他异味。</w:t>
            </w:r>
          </w:p>
        </w:tc>
      </w:tr>
    </w:tbl>
    <w:p w14:paraId="58F2E20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三、服务需求</w:t>
      </w:r>
    </w:p>
    <w:p w14:paraId="78526CB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（1）食品安全保障措施： </w:t>
      </w:r>
    </w:p>
    <w:p w14:paraId="2957B61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1.供应商应遵守国家规定的《食品安全法》、《农产品质量安全法》等法律和行政法规的规定，严禁配送假冒、变质、过期的农副产品。 </w:t>
      </w:r>
    </w:p>
    <w:p w14:paraId="24B2C4F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2.如因供应商所送的食品引起食用者身体不适、发生食物中毒等问题，经县级或以上质量检验部门确定后是供应商的责任，由供应商承担全部经济赔偿和法律责任。 </w:t>
      </w:r>
    </w:p>
    <w:p w14:paraId="6B7FBF1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应充分理解并认真遵循本采购文件的要求，所提供的商品应是满足采购文件的要求。保障供应的商品均为正规生产的新鲜（冰鲜除外）检验合格、无毒、无辐射、无侵权商品，符合国家有关卫生、质量、包装和保质标准。除鲜货外，供应商所配送副食品应有独立包装，不得有“三无”产品，要使用有效期内的商品，生产日期至供应当日不得超过保质期的三分之一。 </w:t>
      </w:r>
    </w:p>
    <w:p w14:paraId="7A0010E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4.供应商提供的鲜活鱼、肉类保证每日新鲜，提供的猪肉牛肉羊肉均为定点屠厂(场) 经检疫和肉品品质检验合格的产品，具有由定点屠宰厂(场)加盖验讫印章并出具《畜产品检验证明》或《动物检疫合格证明》，所有产品并可追溯。 </w:t>
      </w:r>
    </w:p>
    <w:p w14:paraId="26BF75D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5.供应商提供的蔬菜应保证每日新鲜，符合食品卫生安全法要求并出具有效的《农产品检验报告》。 </w:t>
      </w:r>
    </w:p>
    <w:p w14:paraId="5CF59F7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6.商品有包装的，商品的包装应完整清洁(无损、无污、无皱)，采购人有权拒收包装不整齐、已拆封的商品。 </w:t>
      </w:r>
    </w:p>
    <w:p w14:paraId="0A4CCE1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7.采购人发现商品出现损坏(包括表面损坏)，或出现水渍、串味、受潮等导致商品性质改变的，供应商应无条件退货或更换商品。 </w:t>
      </w:r>
    </w:p>
    <w:p w14:paraId="1B9B769F">
      <w:pPr>
        <w:spacing w:line="360" w:lineRule="auto"/>
        <w:ind w:firstLine="480" w:firstLineChars="200"/>
        <w:rPr>
          <w:rFonts w:hint="eastAsia" w:ascii="宋体" w:hAnsi="宋体" w:eastAsia="宋体" w:cs="宋体"/>
          <w:sz w:val="24"/>
          <w:szCs w:val="24"/>
          <w:highlight w:val="none"/>
          <w:lang w:val="en-US" w:eastAsia="zh-CN"/>
        </w:rPr>
      </w:pPr>
    </w:p>
    <w:p w14:paraId="3852B88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（2）配送要求：</w:t>
      </w:r>
    </w:p>
    <w:p w14:paraId="023B9DC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1、本项目报价方式为折扣率，原则上在保证货物质量的情况下折扣率低者优先考虑。</w:t>
      </w:r>
    </w:p>
    <w:p w14:paraId="40C0BF4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2、所有配送食材价格随行就巿。所有物品的价格均以当日《</w:t>
      </w:r>
      <w:r>
        <w:rPr>
          <w:rFonts w:hint="eastAsia" w:ascii="宋体" w:hAnsi="宋体" w:eastAsia="宋体" w:cs="宋体"/>
          <w:sz w:val="24"/>
          <w:szCs w:val="24"/>
          <w:highlight w:val="none"/>
          <w:lang w:val="en-US" w:eastAsia="zh-CN"/>
        </w:rPr>
        <w:t>辽宁省发展和改革委员会</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https://fgw.ln.gov.cn/fgw/xxgk/jgjc/mrjg/index.shtml）价格为准，上述网站未公布品种，价格不得高于盘锦大型商超当日价格，如全都有、大润发等。当日价格</w:t>
      </w:r>
      <w:r>
        <w:rPr>
          <w:rFonts w:hint="eastAsia" w:ascii="宋体" w:hAnsi="宋体" w:eastAsia="宋体" w:cs="宋体"/>
          <w:sz w:val="24"/>
          <w:szCs w:val="24"/>
          <w:highlight w:val="none"/>
          <w:lang w:val="en-US" w:eastAsia="zh-CN"/>
        </w:rPr>
        <w:t>乘以乙方的折扣率。关于折扣解释：以</w:t>
      </w:r>
      <w:r>
        <w:rPr>
          <w:rFonts w:hint="eastAsia" w:ascii="宋体" w:hAnsi="宋体" w:eastAsia="宋体" w:cs="宋体"/>
          <w:sz w:val="24"/>
          <w:szCs w:val="24"/>
          <w:highlight w:val="none"/>
          <w:lang w:val="en-US" w:eastAsia="zh-CN"/>
        </w:rPr>
        <w:t>官网及大型商超</w:t>
      </w:r>
      <w:r>
        <w:rPr>
          <w:rFonts w:hint="eastAsia" w:ascii="宋体" w:hAnsi="宋体" w:eastAsia="宋体" w:cs="宋体"/>
          <w:sz w:val="24"/>
          <w:szCs w:val="24"/>
          <w:highlight w:val="none"/>
          <w:lang w:val="en-US" w:eastAsia="zh-CN"/>
        </w:rPr>
        <w:t>商品价格公示为基准，综合考虑本次采购所有物品食品的物价变动而作出的报价，而供应商所报的折扣率将作为采购人在采购期间购买货物的款项计算依据。例如：采购人需采购大白菜 1000 公斤，超市卖场的价格以 2 元/公斤为例，若中标折扣率为 90%，则需要付给供应商的款项计算如下：1000公斤*2 元/公斤*90%（折扣率）=1800 元。被供应商所报的折扣率在合同执行期间不作改变。在供货过程中，甲方有权抽查乙方提供的价格是否准确，若乙方报价超过价格标准，甲方有权要求乙方补偿差价或取消合同。</w:t>
      </w:r>
    </w:p>
    <w:p w14:paraId="4A71FD7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3、供货价格须包含巿场调查、货物采购、税点、包装、运输、装卸、搬运、不合格货物的退换、所有工作人员的工勤费用以及合同实施过程中的可预见及不可预见费用。</w:t>
      </w:r>
    </w:p>
    <w:p w14:paraId="6669FB8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4.采购人提前一天以邮件、传真、微信或电话方式向供应商下订单，订单内容包括食材的名称、规格、数量等。</w:t>
      </w:r>
    </w:p>
    <w:p w14:paraId="00A3277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应在接到采购人订单之日起与采购人约定的时间将采购人所订购的货物送至采购人指定地点。如果采购人临时改变订购的货物种类、规格、数量等，供应商应在接到通知后需在采购人指定的时限内将货物送达，待采购人验收、核对后，供货才算完成。 </w:t>
      </w:r>
    </w:p>
    <w:p w14:paraId="17BBCA6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供应商所提供的货物应符合卫生标准和营养要求、无毒、无害、具有良好的感官性状以及满足采购人的要求，否则，采购人有权退货。供应商在每一次送货时，要将货物供货清单随同交到采购人指定的负责人手中。对不合格产品，需及时更换，80分钟（含）内送到。 </w:t>
      </w:r>
    </w:p>
    <w:p w14:paraId="1802A7C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每次送货，供应商应委派专门负责人，负责货物的运输、过秤、协助放至到采购人指定地点，协助采购人验收货品，货品的品种和重量以采购人验收的结果为准。订购单由采购人指定的人员签名确认后，将作为有效结算单据。参与直接食品接触的送货人必须具备有效健康证明。（投标时提供承诺函）。 </w:t>
      </w:r>
    </w:p>
    <w:p w14:paraId="7640A89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8.供应商送货车辆应实行80分钟（含）内配送圈运作，肉类、鱼类和冰鲜类等需冷藏保鲜的食品，需用冷藏手段保证肉类中心温度控制在-2 至 7℃的范围之内，保证运输过程冷链不中断。</w:t>
      </w:r>
    </w:p>
    <w:p w14:paraId="500EBB5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9.供应商必须承诺，若有需要，将根据采购人的需求，提供 1 名初加工人员（具有有效健康证明），配合采购人完成所供食材的初加工，并承担用工责任（投标时提供承诺函）。 </w:t>
      </w:r>
    </w:p>
    <w:p w14:paraId="763E200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10.供应商除不可抗力因素外，不得因其他任何理由延迟送货。如遇特殊情况需推迟送货， 应提前通知采购人。供应商因延误交货日期的（采购人要求推迟的除外），采购人有权自行采购，并由供应商承担由此产生的一切损失和费用。</w:t>
      </w:r>
    </w:p>
    <w:p w14:paraId="68D724C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采购人有权进行不定期检查，有权对配送食材进行检测，必要时采取第三方有资质的检测机构来衡量食材质量问题，如果发现不符合合同规定的食品，采购人第一次给予书面警告，供应商要无条件收回所供应的食品并给予采购人书面答复说明原因，造成的损失由供应商负责，并在要求内更换好所需食品。第三次取消中标单位食堂配送资格，并将情况反映采购监管部门。（投标时提供承诺函）</w:t>
      </w:r>
    </w:p>
    <w:p w14:paraId="5FFC1459">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供应商被海关食堂查出问题三次或造成一次安全（监管和食品卫生）事故的，采购人可单方面解除合同。问题包括但不限于结算价格超过卖场价格乘以折扣率、供应货品与订购货品品类不符、缺斤少两、质量不合格、规格不符合订购要求等。</w:t>
      </w:r>
    </w:p>
    <w:p w14:paraId="0426481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15.供应商需要投保安全责任险（需在保险期内），提供购买安全责任险发票复印件及合同复印件，或承诺签订合同后 15 天内购买。 投保食品安全责任险200万或以上。</w:t>
      </w:r>
    </w:p>
    <w:p w14:paraId="0E04680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16.甲方有权在招标期间和合同期间对供应商提供的资质信息的真实性进行审核，对提供相关文件、资质与实际不相符合的供应商，甲方有权利撤销其资格。</w:t>
      </w:r>
    </w:p>
    <w:p w14:paraId="0C77531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17.由于乙方原因导致合同终止的，乙方需按照本合同总价的5%承担违约责任。</w:t>
      </w:r>
    </w:p>
    <w:p w14:paraId="6F238D7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四、项目验收要求</w:t>
      </w:r>
    </w:p>
    <w:p w14:paraId="537F148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（一）检验验收流程</w:t>
      </w:r>
    </w:p>
    <w:p w14:paraId="17CE9E9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验收工作人员应验收清单、检验质量、核对重量等步骤，以确保品种符合要求。如确定有所差异，应即刻通知送货人员。如发现有损坏的情况，应在相关单据上记录所有损坏情况。建议对货物损坏情况进行拍照并存档。对于验收的全部信息数据，采购人的验收人员应和供应商一起确认，并保留双方签字单据。</w:t>
      </w:r>
    </w:p>
    <w:p w14:paraId="35CDD63A">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（二）退（补）货流程</w:t>
      </w:r>
    </w:p>
    <w:p w14:paraId="5078041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不符合采购要求的由验收人员提出清退，退货前应实行留样备案并做好登记，由双方共同签名确认，如双方对质量争议可送国家质监部门检测，如检测结果属供应商的责任，相关检测费用由供应商支付。对缺斤短两（或含水量超标）的应按实际重量扣减，并记录下来，作为日常考核依据。出现退（补）货情况， 应及时报告。在退货过程中，对有碍公共卫生安全的，应按国家有关规定处理或进行协议销毁，而不是退货给供应商。</w:t>
      </w:r>
    </w:p>
    <w:p w14:paraId="42EE2D70">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（三）其他</w:t>
      </w:r>
    </w:p>
    <w:p w14:paraId="516FF35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供应商应在送货前提前通知采购人送货时间，以便做好交收工作。如供应商未能按时交货的。采购人有权自行采购，并由供应商承担因此产生的一切损失和费用（包括直接经济损失和间接经济损失）。</w:t>
      </w:r>
    </w:p>
    <w:p w14:paraId="2E5D2A3D">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五、其他要求</w:t>
      </w:r>
    </w:p>
    <w:p w14:paraId="0CCD048E">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（一）付款方式：</w:t>
      </w:r>
    </w:p>
    <w:p w14:paraId="7251FD3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1、货款按月结算，在办理付款手续之前双方应对供应货物的品种、数量、单价、金额等进行统计，并核实无误。</w:t>
      </w:r>
    </w:p>
    <w:p w14:paraId="050104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2、供应商在完成当月供货订单后，于次月凭发票向采购人申请付款，采购人收到发票后在 20 个工作日内办理支付手续。 如果遇到采购单位年终封账决算等情况，结算日期顺延。</w:t>
      </w:r>
    </w:p>
    <w:p w14:paraId="52C7E3B4">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3、结算方式 </w:t>
      </w:r>
    </w:p>
    <w:p w14:paraId="36331661">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 结算价=实际采购量×审核后的基准价格×中标折扣率</w:t>
      </w:r>
    </w:p>
    <w:p w14:paraId="4EE5F0CF">
      <w:pPr>
        <w:pStyle w:val="3"/>
        <w:pageBreakBefore w:val="0"/>
        <w:widowControl w:val="0"/>
        <w:kinsoku/>
        <w:wordWrap/>
        <w:overflowPunct/>
        <w:topLinePunct w:val="0"/>
        <w:autoSpaceDE/>
        <w:autoSpaceDN/>
        <w:bidi w:val="0"/>
        <w:adjustRightInd/>
        <w:snapToGrid/>
        <w:spacing w:line="312" w:lineRule="auto"/>
        <w:textAlignment w:val="auto"/>
        <w:rPr>
          <w:rFonts w:hint="eastAsia" w:ascii="宋体" w:hAnsi="宋体" w:cs="宋体"/>
          <w:kern w:val="0"/>
          <w:sz w:val="24"/>
          <w:szCs w:val="24"/>
          <w:highlight w:val="none"/>
        </w:rPr>
      </w:pPr>
      <w:r>
        <w:rPr>
          <w:rFonts w:hint="eastAsia" w:ascii="宋体" w:hAnsi="宋体" w:eastAsia="宋体" w:cs="宋体"/>
          <w:b/>
          <w:bCs/>
          <w:color w:val="auto"/>
          <w:sz w:val="24"/>
          <w:szCs w:val="24"/>
          <w:highlight w:val="none"/>
          <w:lang w:eastAsia="zh-CN"/>
        </w:rPr>
        <w:t>注：投标供应商需对上述第三章内容全部进行响应，并不得作负偏离，如未完全响应或作负偏离响应，则判定无效标处理。</w:t>
      </w:r>
    </w:p>
    <w:p w14:paraId="5BF10124">
      <w:pPr>
        <w:rPr>
          <w:highlight w:val="none"/>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D19165"/>
    <w:multiLevelType w:val="singleLevel"/>
    <w:tmpl w:val="FBD19165"/>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ZkYmY4YmFhM2U4NTAwMTY2ZGYzZDA1ZGJhYmM4MDIifQ=="/>
  </w:docVars>
  <w:rsids>
    <w:rsidRoot w:val="637940D6"/>
    <w:rsid w:val="637940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2"/>
    <w:next w:val="4"/>
    <w:qFormat/>
    <w:uiPriority w:val="0"/>
    <w:pPr>
      <w:keepNext/>
      <w:keepLines/>
      <w:spacing w:before="260" w:after="260" w:line="413" w:lineRule="auto"/>
      <w:outlineLvl w:val="1"/>
    </w:pPr>
    <w:rPr>
      <w:rFonts w:ascii="Arial" w:hAnsi="Arial" w:eastAsia="黑体"/>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2024-09-13T07:17:00Z</dcterms:created>
  <dc:creator>Administrator</dc:creator>
  <cp:lastModifiedBy>Administrator</cp:lastModifiedBy>
  <dcterms:modified xsi:type="dcterms:W3CDTF">2024-09-13T07:17:46Z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8302B5B593DA4D0DA468D30F3DAC50FC_11</vt:lpwstr>
  </property>
</Properties>
</file>