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AFF819">
      <w:pPr>
        <w:snapToGrid w:val="0"/>
        <w:spacing w:line="360" w:lineRule="auto"/>
        <w:rPr>
          <w:rFonts w:hint="eastAsia" w:ascii="宋体" w:hAnsi="宋体" w:eastAsia="宋体" w:cs="宋体"/>
          <w:b/>
          <w:bCs/>
          <w:color w:val="000000"/>
          <w:kern w:val="24"/>
          <w:sz w:val="24"/>
          <w:highlight w:val="none"/>
        </w:rPr>
      </w:pPr>
      <w:r>
        <w:rPr>
          <w:rFonts w:hint="eastAsia" w:ascii="宋体" w:hAnsi="宋体" w:eastAsia="宋体" w:cs="宋体"/>
          <w:b/>
          <w:bCs/>
          <w:color w:val="000000"/>
          <w:kern w:val="24"/>
          <w:sz w:val="24"/>
          <w:highlight w:val="none"/>
        </w:rPr>
        <w:t>一、项目情况</w:t>
      </w:r>
    </w:p>
    <w:p w14:paraId="77C5444F">
      <w:pPr>
        <w:autoSpaceDE w:val="0"/>
        <w:autoSpaceDN w:val="0"/>
        <w:adjustRightInd w:val="0"/>
        <w:snapToGrid w:val="0"/>
        <w:spacing w:line="360" w:lineRule="auto"/>
        <w:ind w:firstLine="420" w:firstLineChars="200"/>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1.项目名称：</w:t>
      </w:r>
      <w:r>
        <w:rPr>
          <w:rFonts w:hint="eastAsia" w:ascii="宋体" w:hAnsi="宋体" w:eastAsia="宋体" w:cs="宋体"/>
          <w:color w:val="000000"/>
          <w:szCs w:val="21"/>
          <w:highlight w:val="none"/>
          <w:lang w:val="en-US" w:eastAsia="zh-CN"/>
        </w:rPr>
        <w:t>长沙高速公路快反一张网系统建设</w:t>
      </w:r>
    </w:p>
    <w:p w14:paraId="64AD650B">
      <w:pPr>
        <w:autoSpaceDE w:val="0"/>
        <w:autoSpaceDN w:val="0"/>
        <w:adjustRightInd w:val="0"/>
        <w:snapToGrid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2.采购预算：</w:t>
      </w:r>
      <w:r>
        <w:rPr>
          <w:rFonts w:hint="eastAsia" w:ascii="宋体" w:hAnsi="宋体" w:eastAsia="宋体" w:cs="宋体"/>
          <w:color w:val="000000"/>
          <w:szCs w:val="21"/>
          <w:highlight w:val="none"/>
          <w:lang w:val="en-US" w:eastAsia="zh-CN"/>
        </w:rPr>
        <w:t>210400</w:t>
      </w:r>
      <w:r>
        <w:rPr>
          <w:rFonts w:hint="eastAsia" w:ascii="宋体" w:hAnsi="宋体" w:eastAsia="宋体" w:cs="宋体"/>
          <w:color w:val="000000"/>
          <w:szCs w:val="21"/>
          <w:highlight w:val="none"/>
          <w:lang w:eastAsia="zh-CN"/>
        </w:rPr>
        <w:t>.00</w:t>
      </w:r>
      <w:r>
        <w:rPr>
          <w:rFonts w:hint="eastAsia" w:ascii="宋体" w:hAnsi="宋体" w:eastAsia="宋体" w:cs="宋体"/>
          <w:color w:val="000000"/>
          <w:szCs w:val="21"/>
          <w:highlight w:val="none"/>
        </w:rPr>
        <w:t>元，响应报价最高限价：</w:t>
      </w:r>
      <w:r>
        <w:rPr>
          <w:rFonts w:hint="eastAsia" w:ascii="宋体" w:hAnsi="宋体" w:eastAsia="宋体" w:cs="宋体"/>
          <w:color w:val="000000"/>
          <w:szCs w:val="21"/>
          <w:highlight w:val="none"/>
          <w:lang w:val="en-US" w:eastAsia="zh-CN"/>
        </w:rPr>
        <w:t>210400</w:t>
      </w:r>
      <w:r>
        <w:rPr>
          <w:rFonts w:hint="eastAsia" w:ascii="宋体" w:hAnsi="宋体" w:eastAsia="宋体" w:cs="宋体"/>
          <w:color w:val="000000"/>
          <w:szCs w:val="21"/>
          <w:highlight w:val="none"/>
          <w:lang w:eastAsia="zh-CN"/>
        </w:rPr>
        <w:t>.00</w:t>
      </w:r>
      <w:r>
        <w:rPr>
          <w:rFonts w:hint="eastAsia" w:ascii="宋体" w:hAnsi="宋体" w:eastAsia="宋体" w:cs="宋体"/>
          <w:color w:val="000000"/>
          <w:szCs w:val="21"/>
          <w:highlight w:val="none"/>
        </w:rPr>
        <w:t>元。</w:t>
      </w:r>
    </w:p>
    <w:p w14:paraId="26F9D038">
      <w:pPr>
        <w:autoSpaceDE w:val="0"/>
        <w:autoSpaceDN w:val="0"/>
        <w:adjustRightInd w:val="0"/>
        <w:snapToGrid w:val="0"/>
        <w:spacing w:line="360" w:lineRule="auto"/>
        <w:ind w:firstLine="420" w:firstLineChars="200"/>
        <w:rPr>
          <w:rFonts w:hint="default" w:ascii="宋体" w:hAnsi="宋体" w:eastAsia="宋体" w:cs="宋体"/>
          <w:color w:val="000000"/>
          <w:szCs w:val="21"/>
          <w:highlight w:val="none"/>
          <w:lang w:val="en-US"/>
        </w:rPr>
      </w:pPr>
      <w:r>
        <w:rPr>
          <w:rFonts w:hint="eastAsia" w:ascii="宋体" w:hAnsi="宋体" w:eastAsia="宋体" w:cs="宋体"/>
          <w:color w:val="000000"/>
          <w:szCs w:val="21"/>
          <w:highlight w:val="none"/>
        </w:rPr>
        <w:t>3.</w:t>
      </w:r>
      <w:r>
        <w:rPr>
          <w:rFonts w:hint="eastAsia" w:ascii="宋体" w:hAnsi="宋体" w:eastAsia="宋体" w:cs="宋体"/>
          <w:color w:val="000000"/>
          <w:szCs w:val="21"/>
          <w:highlight w:val="none"/>
          <w:lang w:val="en-US" w:eastAsia="zh-CN"/>
        </w:rPr>
        <w:t>委托代理编号</w:t>
      </w:r>
      <w:r>
        <w:rPr>
          <w:rFonts w:hint="eastAsia" w:ascii="宋体" w:hAnsi="宋体" w:eastAsia="宋体" w:cs="宋体"/>
          <w:color w:val="000000"/>
          <w:szCs w:val="21"/>
          <w:highlight w:val="none"/>
        </w:rPr>
        <w:t>：</w:t>
      </w:r>
      <w:r>
        <w:rPr>
          <w:rFonts w:hint="eastAsia" w:ascii="宋体" w:hAnsi="宋体" w:eastAsia="宋体" w:cs="宋体"/>
          <w:color w:val="000000"/>
          <w:highlight w:val="none"/>
          <w:lang w:val="en-US" w:eastAsia="zh-CN"/>
        </w:rPr>
        <w:t>HNZW-2025ZXCG01001</w:t>
      </w:r>
    </w:p>
    <w:p w14:paraId="58C69EF1">
      <w:pPr>
        <w:snapToGrid w:val="0"/>
        <w:spacing w:line="360" w:lineRule="auto"/>
        <w:rPr>
          <w:rFonts w:hint="eastAsia" w:ascii="宋体" w:hAnsi="宋体" w:eastAsia="宋体" w:cs="宋体"/>
          <w:b/>
          <w:bCs/>
          <w:color w:val="000000"/>
          <w:kern w:val="24"/>
          <w:sz w:val="24"/>
          <w:highlight w:val="none"/>
        </w:rPr>
      </w:pPr>
      <w:r>
        <w:rPr>
          <w:rFonts w:hint="eastAsia" w:ascii="宋体" w:hAnsi="宋体" w:eastAsia="宋体" w:cs="宋体"/>
          <w:b/>
          <w:bCs/>
          <w:color w:val="000000"/>
          <w:kern w:val="24"/>
          <w:sz w:val="24"/>
          <w:highlight w:val="none"/>
          <w:lang w:val="en-US" w:eastAsia="zh-CN"/>
        </w:rPr>
        <w:t>二、</w:t>
      </w:r>
      <w:r>
        <w:rPr>
          <w:rFonts w:hint="eastAsia" w:ascii="宋体" w:hAnsi="宋体" w:eastAsia="宋体" w:cs="宋体"/>
          <w:b/>
          <w:bCs/>
          <w:color w:val="000000"/>
          <w:kern w:val="24"/>
          <w:sz w:val="24"/>
          <w:highlight w:val="none"/>
        </w:rPr>
        <w:t>采购清单及技术参数</w:t>
      </w:r>
    </w:p>
    <w:p w14:paraId="3A3DCC2B">
      <w:pPr>
        <w:autoSpaceDE w:val="0"/>
        <w:autoSpaceDN w:val="0"/>
        <w:adjustRightInd w:val="0"/>
        <w:snapToGrid w:val="0"/>
        <w:spacing w:line="360" w:lineRule="auto"/>
        <w:ind w:firstLine="420" w:firstLineChars="20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本项目</w:t>
      </w:r>
      <w:r>
        <w:rPr>
          <w:rFonts w:hint="eastAsia" w:ascii="宋体" w:hAnsi="宋体" w:eastAsia="宋体" w:cs="宋体"/>
          <w:color w:val="000000"/>
          <w:szCs w:val="21"/>
          <w:highlight w:val="none"/>
          <w:lang w:val="en-US" w:eastAsia="zh-CN"/>
        </w:rPr>
        <w:t>主要为高速管理局长沙支队提供8条高速慧浮动感知数据，包括事故、行人、抛洒物、故障等，提供北斗定位设备、一台工作站以及视频点、大屏点、消防栓点图层上图等。</w:t>
      </w:r>
    </w:p>
    <w:p w14:paraId="7BC7CDFF">
      <w:pPr>
        <w:keepNext w:val="0"/>
        <w:keepLines w:val="0"/>
        <w:pageBreakBefore w:val="0"/>
        <w:kinsoku/>
        <w:wordWrap/>
        <w:overflowPunct/>
        <w:topLinePunct w:val="0"/>
        <w:bidi w:val="0"/>
        <w:snapToGrid/>
        <w:spacing w:line="360" w:lineRule="auto"/>
        <w:textAlignment w:val="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设备清单及技术参数</w:t>
      </w:r>
    </w:p>
    <w:tbl>
      <w:tblPr>
        <w:tblStyle w:val="2"/>
        <w:tblW w:w="896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22"/>
        <w:gridCol w:w="525"/>
        <w:gridCol w:w="1976"/>
        <w:gridCol w:w="4027"/>
        <w:gridCol w:w="656"/>
        <w:gridCol w:w="656"/>
      </w:tblGrid>
      <w:tr w14:paraId="55B33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EC28A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服务内容</w:t>
            </w:r>
          </w:p>
        </w:tc>
        <w:tc>
          <w:tcPr>
            <w:tcW w:w="2501" w:type="dxa"/>
            <w:gridSpan w:val="2"/>
            <w:tcBorders>
              <w:top w:val="single" w:color="000000" w:sz="4" w:space="0"/>
              <w:left w:val="single" w:color="000000" w:sz="4" w:space="0"/>
              <w:bottom w:val="single" w:color="000000" w:sz="4" w:space="0"/>
              <w:right w:val="single" w:color="000000" w:sz="4" w:space="0"/>
            </w:tcBorders>
            <w:shd w:val="clear" w:color="auto" w:fill="B5C6EA"/>
            <w:vAlign w:val="center"/>
          </w:tcPr>
          <w:p w14:paraId="723E49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服务名称</w:t>
            </w:r>
          </w:p>
        </w:tc>
        <w:tc>
          <w:tcPr>
            <w:tcW w:w="4027"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2C414B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详细描述</w:t>
            </w:r>
          </w:p>
        </w:tc>
        <w:tc>
          <w:tcPr>
            <w:tcW w:w="656"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3BA928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656" w:type="dxa"/>
            <w:tcBorders>
              <w:top w:val="single" w:color="000000" w:sz="4" w:space="0"/>
              <w:left w:val="single" w:color="000000" w:sz="4" w:space="0"/>
              <w:bottom w:val="single" w:color="000000" w:sz="4" w:space="0"/>
              <w:right w:val="single" w:color="000000" w:sz="4" w:space="0"/>
            </w:tcBorders>
            <w:shd w:val="clear" w:color="auto" w:fill="B5C6EA"/>
            <w:vAlign w:val="center"/>
          </w:tcPr>
          <w:p w14:paraId="5C77EC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r>
      <w:tr w14:paraId="56A4B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restart"/>
            <w:tcBorders>
              <w:top w:val="single" w:color="000000" w:sz="4" w:space="0"/>
              <w:left w:val="single" w:color="000000" w:sz="4" w:space="0"/>
              <w:bottom w:val="nil"/>
              <w:right w:val="single" w:color="000000" w:sz="4" w:space="0"/>
            </w:tcBorders>
            <w:vAlign w:val="center"/>
          </w:tcPr>
          <w:p w14:paraId="0907C8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数据服务</w:t>
            </w:r>
          </w:p>
        </w:tc>
        <w:tc>
          <w:tcPr>
            <w:tcW w:w="525" w:type="dxa"/>
            <w:tcBorders>
              <w:top w:val="single" w:color="000000" w:sz="4" w:space="0"/>
              <w:left w:val="single" w:color="000000" w:sz="4" w:space="0"/>
              <w:bottom w:val="single" w:color="000000" w:sz="4" w:space="0"/>
              <w:right w:val="single" w:color="000000" w:sz="4" w:space="0"/>
            </w:tcBorders>
            <w:vAlign w:val="center"/>
          </w:tcPr>
          <w:p w14:paraId="562457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移动视频巡查服务</w:t>
            </w:r>
          </w:p>
        </w:tc>
        <w:tc>
          <w:tcPr>
            <w:tcW w:w="1976" w:type="dxa"/>
            <w:tcBorders>
              <w:top w:val="single" w:color="000000" w:sz="4" w:space="0"/>
              <w:left w:val="single" w:color="000000" w:sz="4" w:space="0"/>
              <w:bottom w:val="single" w:color="000000" w:sz="4" w:space="0"/>
              <w:right w:val="single" w:color="000000" w:sz="4" w:space="0"/>
            </w:tcBorders>
            <w:vAlign w:val="center"/>
          </w:tcPr>
          <w:p w14:paraId="71269E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车辆实时视频直播</w:t>
            </w:r>
          </w:p>
        </w:tc>
        <w:tc>
          <w:tcPr>
            <w:tcW w:w="4027" w:type="dxa"/>
            <w:tcBorders>
              <w:top w:val="single" w:color="000000" w:sz="4" w:space="0"/>
              <w:left w:val="single" w:color="000000" w:sz="4" w:space="0"/>
              <w:bottom w:val="single" w:color="000000" w:sz="4" w:space="0"/>
              <w:right w:val="single" w:color="000000" w:sz="4" w:space="0"/>
            </w:tcBorders>
            <w:vAlign w:val="center"/>
          </w:tcPr>
          <w:p w14:paraId="642A0B9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浮动车实景实时视频转码服务，以网络直播的方式，保证车辆直播视频的实时性和流畅度。</w:t>
            </w:r>
          </w:p>
        </w:tc>
        <w:tc>
          <w:tcPr>
            <w:tcW w:w="656" w:type="dxa"/>
            <w:tcBorders>
              <w:top w:val="single" w:color="000000" w:sz="4" w:space="0"/>
              <w:left w:val="single" w:color="000000" w:sz="4" w:space="0"/>
              <w:bottom w:val="single" w:color="000000" w:sz="4" w:space="0"/>
              <w:right w:val="single" w:color="000000" w:sz="4" w:space="0"/>
            </w:tcBorders>
            <w:vAlign w:val="center"/>
          </w:tcPr>
          <w:p w14:paraId="10BD54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季度</w:t>
            </w:r>
          </w:p>
        </w:tc>
        <w:tc>
          <w:tcPr>
            <w:tcW w:w="656" w:type="dxa"/>
            <w:tcBorders>
              <w:top w:val="single" w:color="000000" w:sz="4" w:space="0"/>
              <w:left w:val="single" w:color="000000" w:sz="4" w:space="0"/>
              <w:bottom w:val="single" w:color="000000" w:sz="4" w:space="0"/>
              <w:right w:val="single" w:color="000000" w:sz="4" w:space="0"/>
            </w:tcBorders>
            <w:vAlign w:val="center"/>
          </w:tcPr>
          <w:p w14:paraId="0E73B3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A5F4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61809850">
            <w:pPr>
              <w:jc w:val="center"/>
              <w:rPr>
                <w:rFonts w:hint="eastAsia" w:ascii="宋体" w:hAnsi="宋体" w:eastAsia="宋体" w:cs="宋体"/>
                <w:i w:val="0"/>
                <w:iCs w:val="0"/>
                <w:color w:val="000000"/>
                <w:sz w:val="22"/>
                <w:szCs w:val="22"/>
                <w:u w:val="none"/>
              </w:rPr>
            </w:pPr>
          </w:p>
        </w:tc>
        <w:tc>
          <w:tcPr>
            <w:tcW w:w="525" w:type="dxa"/>
            <w:vMerge w:val="restart"/>
            <w:tcBorders>
              <w:top w:val="single" w:color="000000" w:sz="4" w:space="0"/>
              <w:left w:val="single" w:color="000000" w:sz="4" w:space="0"/>
              <w:bottom w:val="single" w:color="000000" w:sz="4" w:space="0"/>
              <w:right w:val="single" w:color="000000" w:sz="4" w:space="0"/>
            </w:tcBorders>
            <w:vAlign w:val="center"/>
          </w:tcPr>
          <w:p w14:paraId="2BAB5B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高速事件识别服务</w:t>
            </w:r>
          </w:p>
        </w:tc>
        <w:tc>
          <w:tcPr>
            <w:tcW w:w="1976" w:type="dxa"/>
            <w:tcBorders>
              <w:top w:val="single" w:color="000000" w:sz="4" w:space="0"/>
              <w:left w:val="single" w:color="000000" w:sz="4" w:space="0"/>
              <w:bottom w:val="single" w:color="000000" w:sz="4" w:space="0"/>
              <w:right w:val="single" w:color="000000" w:sz="4" w:space="0"/>
            </w:tcBorders>
            <w:vAlign w:val="center"/>
          </w:tcPr>
          <w:p w14:paraId="4829D1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高速占道自动感知</w:t>
            </w:r>
          </w:p>
        </w:tc>
        <w:tc>
          <w:tcPr>
            <w:tcW w:w="4027" w:type="dxa"/>
            <w:vMerge w:val="restart"/>
            <w:tcBorders>
              <w:top w:val="single" w:color="000000" w:sz="4" w:space="0"/>
              <w:left w:val="single" w:color="000000" w:sz="4" w:space="0"/>
              <w:bottom w:val="single" w:color="000000" w:sz="4" w:space="0"/>
              <w:right w:val="single" w:color="000000" w:sz="4" w:space="0"/>
            </w:tcBorders>
            <w:vAlign w:val="center"/>
          </w:tcPr>
          <w:p w14:paraId="6AE1E857">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提供长沙市高速事件智能AI图像识别服务，对采集的实时视频数据进行识别处理，对实时识别到的高速危险事件进行告警服务，并实时传送至服务器和研判平台，提供事件照片、轨迹、位置等数据。</w:t>
            </w:r>
          </w:p>
        </w:tc>
        <w:tc>
          <w:tcPr>
            <w:tcW w:w="656" w:type="dxa"/>
            <w:vMerge w:val="restart"/>
            <w:tcBorders>
              <w:top w:val="single" w:color="000000" w:sz="4" w:space="0"/>
              <w:left w:val="single" w:color="000000" w:sz="4" w:space="0"/>
              <w:bottom w:val="single" w:color="000000" w:sz="4" w:space="0"/>
              <w:right w:val="single" w:color="000000" w:sz="4" w:space="0"/>
            </w:tcBorders>
            <w:vAlign w:val="center"/>
          </w:tcPr>
          <w:p w14:paraId="3507FF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季度</w:t>
            </w:r>
          </w:p>
        </w:tc>
        <w:tc>
          <w:tcPr>
            <w:tcW w:w="656" w:type="dxa"/>
            <w:vMerge w:val="restart"/>
            <w:tcBorders>
              <w:top w:val="single" w:color="000000" w:sz="4" w:space="0"/>
              <w:left w:val="single" w:color="000000" w:sz="4" w:space="0"/>
              <w:bottom w:val="single" w:color="000000" w:sz="4" w:space="0"/>
              <w:right w:val="single" w:color="000000" w:sz="4" w:space="0"/>
            </w:tcBorders>
            <w:vAlign w:val="center"/>
          </w:tcPr>
          <w:p w14:paraId="2B0CDB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E470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03830FCC">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73CABEB7">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4D5074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事故自动感知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5823EEB0">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6818E9BA">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504A6567">
            <w:pPr>
              <w:jc w:val="center"/>
              <w:rPr>
                <w:rFonts w:hint="eastAsia" w:ascii="宋体" w:hAnsi="宋体" w:eastAsia="宋体" w:cs="宋体"/>
                <w:i w:val="0"/>
                <w:iCs w:val="0"/>
                <w:color w:val="000000"/>
                <w:sz w:val="22"/>
                <w:szCs w:val="22"/>
                <w:u w:val="none"/>
              </w:rPr>
            </w:pPr>
          </w:p>
        </w:tc>
      </w:tr>
      <w:tr w14:paraId="29319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343D4582">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3E76877B">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09074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行人自动感知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232293D0">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7DBEEA0E">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0CDF35BB">
            <w:pPr>
              <w:jc w:val="center"/>
              <w:rPr>
                <w:rFonts w:hint="eastAsia" w:ascii="宋体" w:hAnsi="宋体" w:eastAsia="宋体" w:cs="宋体"/>
                <w:i w:val="0"/>
                <w:iCs w:val="0"/>
                <w:color w:val="000000"/>
                <w:sz w:val="22"/>
                <w:szCs w:val="22"/>
                <w:u w:val="none"/>
              </w:rPr>
            </w:pPr>
          </w:p>
        </w:tc>
      </w:tr>
      <w:tr w14:paraId="6A227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4A66D82">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381FFD19">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0D0CB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抛洒物自动感知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34E631CD">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4CA921F5">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231328C9">
            <w:pPr>
              <w:jc w:val="center"/>
              <w:rPr>
                <w:rFonts w:hint="eastAsia" w:ascii="宋体" w:hAnsi="宋体" w:eastAsia="宋体" w:cs="宋体"/>
                <w:i w:val="0"/>
                <w:iCs w:val="0"/>
                <w:color w:val="000000"/>
                <w:sz w:val="22"/>
                <w:szCs w:val="22"/>
                <w:u w:val="none"/>
              </w:rPr>
            </w:pPr>
          </w:p>
        </w:tc>
      </w:tr>
      <w:tr w14:paraId="673E3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759550E">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5D196ACA">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1F3F36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施工自动感知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69FF622F">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4654DA3B">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29D67A1A">
            <w:pPr>
              <w:jc w:val="center"/>
              <w:rPr>
                <w:rFonts w:hint="eastAsia" w:ascii="宋体" w:hAnsi="宋体" w:eastAsia="宋体" w:cs="宋体"/>
                <w:i w:val="0"/>
                <w:iCs w:val="0"/>
                <w:color w:val="000000"/>
                <w:sz w:val="22"/>
                <w:szCs w:val="22"/>
                <w:u w:val="none"/>
              </w:rPr>
            </w:pPr>
          </w:p>
        </w:tc>
      </w:tr>
      <w:tr w14:paraId="32C54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9514FD9">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02F6459D">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18B0A1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拥堵自动感知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0866E941">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7BA1716E">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562061B2">
            <w:pPr>
              <w:jc w:val="center"/>
              <w:rPr>
                <w:rFonts w:hint="eastAsia" w:ascii="宋体" w:hAnsi="宋体" w:eastAsia="宋体" w:cs="宋体"/>
                <w:i w:val="0"/>
                <w:iCs w:val="0"/>
                <w:color w:val="000000"/>
                <w:sz w:val="22"/>
                <w:szCs w:val="22"/>
                <w:u w:val="none"/>
              </w:rPr>
            </w:pPr>
          </w:p>
        </w:tc>
      </w:tr>
      <w:tr w14:paraId="023ED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3157E55B">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3EC92D2B">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7D121F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团雾自动感知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61A178CA">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08873B1F">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7D152208">
            <w:pPr>
              <w:jc w:val="center"/>
              <w:rPr>
                <w:rFonts w:hint="eastAsia" w:ascii="宋体" w:hAnsi="宋体" w:eastAsia="宋体" w:cs="宋体"/>
                <w:i w:val="0"/>
                <w:iCs w:val="0"/>
                <w:color w:val="000000"/>
                <w:sz w:val="22"/>
                <w:szCs w:val="22"/>
                <w:u w:val="none"/>
              </w:rPr>
            </w:pPr>
          </w:p>
        </w:tc>
      </w:tr>
      <w:tr w14:paraId="15554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4B2A2EA6">
            <w:pPr>
              <w:jc w:val="center"/>
              <w:rPr>
                <w:rFonts w:hint="eastAsia" w:ascii="宋体" w:hAnsi="宋体" w:eastAsia="宋体" w:cs="宋体"/>
                <w:i w:val="0"/>
                <w:iCs w:val="0"/>
                <w:color w:val="000000"/>
                <w:sz w:val="22"/>
                <w:szCs w:val="22"/>
                <w:u w:val="none"/>
              </w:rPr>
            </w:pPr>
          </w:p>
        </w:tc>
        <w:tc>
          <w:tcPr>
            <w:tcW w:w="525" w:type="dxa"/>
            <w:vMerge w:val="continue"/>
            <w:tcBorders>
              <w:top w:val="single" w:color="000000" w:sz="4" w:space="0"/>
              <w:left w:val="single" w:color="000000" w:sz="4" w:space="0"/>
              <w:bottom w:val="single" w:color="000000" w:sz="4" w:space="0"/>
              <w:right w:val="single" w:color="000000" w:sz="4" w:space="0"/>
            </w:tcBorders>
            <w:vAlign w:val="center"/>
          </w:tcPr>
          <w:p w14:paraId="4EBB6549">
            <w:pPr>
              <w:jc w:val="center"/>
              <w:rPr>
                <w:rFonts w:hint="eastAsia" w:ascii="宋体" w:hAnsi="宋体" w:eastAsia="宋体" w:cs="宋体"/>
                <w:i w:val="0"/>
                <w:iCs w:val="0"/>
                <w:color w:val="000000"/>
                <w:sz w:val="22"/>
                <w:szCs w:val="22"/>
                <w:u w:val="none"/>
              </w:rPr>
            </w:pPr>
          </w:p>
        </w:tc>
        <w:tc>
          <w:tcPr>
            <w:tcW w:w="1976" w:type="dxa"/>
            <w:tcBorders>
              <w:top w:val="single" w:color="000000" w:sz="4" w:space="0"/>
              <w:left w:val="single" w:color="000000" w:sz="4" w:space="0"/>
              <w:bottom w:val="single" w:color="000000" w:sz="4" w:space="0"/>
              <w:right w:val="single" w:color="000000" w:sz="4" w:space="0"/>
            </w:tcBorders>
            <w:vAlign w:val="center"/>
          </w:tcPr>
          <w:p w14:paraId="744789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低速行驶自动感知</w:t>
            </w:r>
          </w:p>
        </w:tc>
        <w:tc>
          <w:tcPr>
            <w:tcW w:w="4027" w:type="dxa"/>
            <w:vMerge w:val="continue"/>
            <w:tcBorders>
              <w:top w:val="single" w:color="000000" w:sz="4" w:space="0"/>
              <w:left w:val="single" w:color="000000" w:sz="4" w:space="0"/>
              <w:bottom w:val="single" w:color="000000" w:sz="4" w:space="0"/>
              <w:right w:val="single" w:color="000000" w:sz="4" w:space="0"/>
            </w:tcBorders>
            <w:vAlign w:val="center"/>
          </w:tcPr>
          <w:p w14:paraId="2997392E">
            <w:pPr>
              <w:jc w:val="both"/>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5C09B026">
            <w:pPr>
              <w:jc w:val="center"/>
              <w:rPr>
                <w:rFonts w:hint="eastAsia" w:ascii="宋体" w:hAnsi="宋体" w:eastAsia="宋体" w:cs="宋体"/>
                <w:i w:val="0"/>
                <w:iCs w:val="0"/>
                <w:color w:val="000000"/>
                <w:sz w:val="22"/>
                <w:szCs w:val="22"/>
                <w:u w:val="none"/>
              </w:rPr>
            </w:pPr>
          </w:p>
        </w:tc>
        <w:tc>
          <w:tcPr>
            <w:tcW w:w="656" w:type="dxa"/>
            <w:vMerge w:val="continue"/>
            <w:tcBorders>
              <w:top w:val="single" w:color="000000" w:sz="4" w:space="0"/>
              <w:left w:val="single" w:color="000000" w:sz="4" w:space="0"/>
              <w:bottom w:val="single" w:color="000000" w:sz="4" w:space="0"/>
              <w:right w:val="single" w:color="000000" w:sz="4" w:space="0"/>
            </w:tcBorders>
            <w:vAlign w:val="center"/>
          </w:tcPr>
          <w:p w14:paraId="12FB43E8">
            <w:pPr>
              <w:jc w:val="center"/>
              <w:rPr>
                <w:rFonts w:hint="eastAsia" w:ascii="宋体" w:hAnsi="宋体" w:eastAsia="宋体" w:cs="宋体"/>
                <w:i w:val="0"/>
                <w:iCs w:val="0"/>
                <w:color w:val="000000"/>
                <w:sz w:val="22"/>
                <w:szCs w:val="22"/>
                <w:u w:val="none"/>
              </w:rPr>
            </w:pPr>
          </w:p>
        </w:tc>
      </w:tr>
      <w:tr w14:paraId="54E3E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F82237C">
            <w:pPr>
              <w:jc w:val="center"/>
              <w:rPr>
                <w:rFonts w:hint="eastAsia" w:ascii="宋体" w:hAnsi="宋体" w:eastAsia="宋体" w:cs="宋体"/>
                <w:i w:val="0"/>
                <w:iCs w:val="0"/>
                <w:color w:val="000000"/>
                <w:sz w:val="22"/>
                <w:szCs w:val="22"/>
                <w:u w:val="none"/>
              </w:rPr>
            </w:pPr>
          </w:p>
        </w:tc>
        <w:tc>
          <w:tcPr>
            <w:tcW w:w="525" w:type="dxa"/>
            <w:tcBorders>
              <w:top w:val="nil"/>
              <w:left w:val="single" w:color="000000" w:sz="4" w:space="0"/>
              <w:bottom w:val="single" w:color="000000" w:sz="4" w:space="0"/>
              <w:right w:val="single" w:color="000000" w:sz="4" w:space="0"/>
            </w:tcBorders>
            <w:vAlign w:val="center"/>
          </w:tcPr>
          <w:p w14:paraId="418730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视频点</w:t>
            </w:r>
          </w:p>
        </w:tc>
        <w:tc>
          <w:tcPr>
            <w:tcW w:w="1976" w:type="dxa"/>
            <w:tcBorders>
              <w:top w:val="single" w:color="000000" w:sz="4" w:space="0"/>
              <w:left w:val="single" w:color="000000" w:sz="4" w:space="0"/>
              <w:bottom w:val="single" w:color="000000" w:sz="4" w:space="0"/>
              <w:right w:val="single" w:color="000000" w:sz="4" w:space="0"/>
            </w:tcBorders>
            <w:vAlign w:val="center"/>
          </w:tcPr>
          <w:p w14:paraId="7B88A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视频点图层</w:t>
            </w:r>
          </w:p>
        </w:tc>
        <w:tc>
          <w:tcPr>
            <w:tcW w:w="4027" w:type="dxa"/>
            <w:tcBorders>
              <w:top w:val="nil"/>
              <w:left w:val="single" w:color="000000" w:sz="4" w:space="0"/>
              <w:bottom w:val="single" w:color="000000" w:sz="4" w:space="0"/>
              <w:right w:val="single" w:color="000000" w:sz="4" w:space="0"/>
            </w:tcBorders>
            <w:vAlign w:val="center"/>
          </w:tcPr>
          <w:p w14:paraId="215464C5">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采集视频点坐标且标注在高速地图上</w:t>
            </w:r>
          </w:p>
        </w:tc>
        <w:tc>
          <w:tcPr>
            <w:tcW w:w="656" w:type="dxa"/>
            <w:tcBorders>
              <w:top w:val="nil"/>
              <w:left w:val="single" w:color="000000" w:sz="4" w:space="0"/>
              <w:bottom w:val="single" w:color="000000" w:sz="4" w:space="0"/>
              <w:right w:val="single" w:color="000000" w:sz="4" w:space="0"/>
            </w:tcBorders>
            <w:vAlign w:val="center"/>
          </w:tcPr>
          <w:p w14:paraId="4F26FE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nil"/>
              <w:left w:val="single" w:color="000000" w:sz="4" w:space="0"/>
              <w:bottom w:val="single" w:color="000000" w:sz="4" w:space="0"/>
              <w:right w:val="single" w:color="000000" w:sz="4" w:space="0"/>
            </w:tcBorders>
            <w:vAlign w:val="center"/>
          </w:tcPr>
          <w:p w14:paraId="529BB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00C11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44B51DF8">
            <w:pPr>
              <w:jc w:val="center"/>
              <w:rPr>
                <w:rFonts w:hint="eastAsia" w:ascii="宋体" w:hAnsi="宋体" w:eastAsia="宋体" w:cs="宋体"/>
                <w:i w:val="0"/>
                <w:iCs w:val="0"/>
                <w:color w:val="000000"/>
                <w:sz w:val="22"/>
                <w:szCs w:val="22"/>
                <w:u w:val="none"/>
              </w:rPr>
            </w:pPr>
          </w:p>
        </w:tc>
        <w:tc>
          <w:tcPr>
            <w:tcW w:w="525" w:type="dxa"/>
            <w:tcBorders>
              <w:top w:val="nil"/>
              <w:left w:val="single" w:color="000000" w:sz="4" w:space="0"/>
              <w:bottom w:val="single" w:color="000000" w:sz="4" w:space="0"/>
              <w:right w:val="single" w:color="000000" w:sz="4" w:space="0"/>
            </w:tcBorders>
            <w:vAlign w:val="center"/>
          </w:tcPr>
          <w:p w14:paraId="612B69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大屏点</w:t>
            </w:r>
          </w:p>
        </w:tc>
        <w:tc>
          <w:tcPr>
            <w:tcW w:w="1976" w:type="dxa"/>
            <w:tcBorders>
              <w:top w:val="single" w:color="000000" w:sz="4" w:space="0"/>
              <w:left w:val="single" w:color="000000" w:sz="4" w:space="0"/>
              <w:bottom w:val="single" w:color="000000" w:sz="4" w:space="0"/>
              <w:right w:val="single" w:color="000000" w:sz="4" w:space="0"/>
            </w:tcBorders>
            <w:vAlign w:val="center"/>
          </w:tcPr>
          <w:p w14:paraId="42A89A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大屏点图层</w:t>
            </w:r>
          </w:p>
        </w:tc>
        <w:tc>
          <w:tcPr>
            <w:tcW w:w="4027" w:type="dxa"/>
            <w:tcBorders>
              <w:top w:val="nil"/>
              <w:left w:val="single" w:color="000000" w:sz="4" w:space="0"/>
              <w:bottom w:val="single" w:color="000000" w:sz="4" w:space="0"/>
              <w:right w:val="single" w:color="000000" w:sz="4" w:space="0"/>
            </w:tcBorders>
            <w:vAlign w:val="center"/>
          </w:tcPr>
          <w:p w14:paraId="385123E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采集大屏点坐标且标注在高速地图上</w:t>
            </w:r>
          </w:p>
        </w:tc>
        <w:tc>
          <w:tcPr>
            <w:tcW w:w="656" w:type="dxa"/>
            <w:tcBorders>
              <w:top w:val="nil"/>
              <w:left w:val="single" w:color="000000" w:sz="4" w:space="0"/>
              <w:bottom w:val="single" w:color="000000" w:sz="4" w:space="0"/>
              <w:right w:val="single" w:color="000000" w:sz="4" w:space="0"/>
            </w:tcBorders>
            <w:vAlign w:val="center"/>
          </w:tcPr>
          <w:p w14:paraId="4BD4AF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nil"/>
              <w:left w:val="single" w:color="000000" w:sz="4" w:space="0"/>
              <w:bottom w:val="single" w:color="000000" w:sz="4" w:space="0"/>
              <w:right w:val="single" w:color="000000" w:sz="4" w:space="0"/>
            </w:tcBorders>
            <w:vAlign w:val="center"/>
          </w:tcPr>
          <w:p w14:paraId="337C0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AF69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1122" w:type="dxa"/>
            <w:vMerge w:val="continue"/>
            <w:tcBorders>
              <w:top w:val="single" w:color="000000" w:sz="4" w:space="0"/>
              <w:left w:val="single" w:color="000000" w:sz="4" w:space="0"/>
              <w:bottom w:val="nil"/>
              <w:right w:val="single" w:color="000000" w:sz="4" w:space="0"/>
            </w:tcBorders>
            <w:vAlign w:val="center"/>
          </w:tcPr>
          <w:p w14:paraId="5D1FFA07">
            <w:pPr>
              <w:jc w:val="center"/>
              <w:rPr>
                <w:rFonts w:hint="eastAsia" w:ascii="宋体" w:hAnsi="宋体" w:eastAsia="宋体" w:cs="宋体"/>
                <w:i w:val="0"/>
                <w:iCs w:val="0"/>
                <w:color w:val="000000"/>
                <w:sz w:val="22"/>
                <w:szCs w:val="22"/>
                <w:u w:val="none"/>
              </w:rPr>
            </w:pPr>
          </w:p>
        </w:tc>
        <w:tc>
          <w:tcPr>
            <w:tcW w:w="525" w:type="dxa"/>
            <w:tcBorders>
              <w:top w:val="nil"/>
              <w:left w:val="single" w:color="000000" w:sz="4" w:space="0"/>
              <w:bottom w:val="single" w:color="000000" w:sz="4" w:space="0"/>
              <w:right w:val="single" w:color="000000" w:sz="4" w:space="0"/>
            </w:tcBorders>
            <w:vAlign w:val="center"/>
          </w:tcPr>
          <w:p w14:paraId="5C55C8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消防点</w:t>
            </w:r>
          </w:p>
        </w:tc>
        <w:tc>
          <w:tcPr>
            <w:tcW w:w="1976" w:type="dxa"/>
            <w:tcBorders>
              <w:top w:val="single" w:color="000000" w:sz="4" w:space="0"/>
              <w:left w:val="single" w:color="000000" w:sz="4" w:space="0"/>
              <w:bottom w:val="single" w:color="000000" w:sz="4" w:space="0"/>
              <w:right w:val="single" w:color="000000" w:sz="4" w:space="0"/>
            </w:tcBorders>
            <w:vAlign w:val="center"/>
          </w:tcPr>
          <w:p w14:paraId="504B77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消防点图层</w:t>
            </w:r>
          </w:p>
        </w:tc>
        <w:tc>
          <w:tcPr>
            <w:tcW w:w="4027" w:type="dxa"/>
            <w:tcBorders>
              <w:top w:val="nil"/>
              <w:left w:val="single" w:color="000000" w:sz="4" w:space="0"/>
              <w:bottom w:val="single" w:color="000000" w:sz="4" w:space="0"/>
              <w:right w:val="single" w:color="000000" w:sz="4" w:space="0"/>
            </w:tcBorders>
            <w:vAlign w:val="center"/>
          </w:tcPr>
          <w:p w14:paraId="16A9FC5B">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采集消防点坐标且标注在高速地图上</w:t>
            </w:r>
          </w:p>
        </w:tc>
        <w:tc>
          <w:tcPr>
            <w:tcW w:w="656" w:type="dxa"/>
            <w:tcBorders>
              <w:top w:val="nil"/>
              <w:left w:val="single" w:color="000000" w:sz="4" w:space="0"/>
              <w:bottom w:val="single" w:color="000000" w:sz="4" w:space="0"/>
              <w:right w:val="single" w:color="000000" w:sz="4" w:space="0"/>
            </w:tcBorders>
            <w:vAlign w:val="center"/>
          </w:tcPr>
          <w:p w14:paraId="12EFD1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nil"/>
              <w:left w:val="single" w:color="000000" w:sz="4" w:space="0"/>
              <w:bottom w:val="single" w:color="000000" w:sz="4" w:space="0"/>
              <w:right w:val="single" w:color="000000" w:sz="4" w:space="0"/>
            </w:tcBorders>
            <w:vAlign w:val="center"/>
          </w:tcPr>
          <w:p w14:paraId="1AACC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DAE2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continue"/>
            <w:tcBorders>
              <w:top w:val="single" w:color="000000" w:sz="4" w:space="0"/>
              <w:left w:val="single" w:color="000000" w:sz="4" w:space="0"/>
              <w:bottom w:val="nil"/>
              <w:right w:val="single" w:color="000000" w:sz="4" w:space="0"/>
            </w:tcBorders>
            <w:vAlign w:val="center"/>
          </w:tcPr>
          <w:p w14:paraId="645E02B1">
            <w:pPr>
              <w:jc w:val="center"/>
              <w:rPr>
                <w:rFonts w:hint="eastAsia" w:ascii="宋体" w:hAnsi="宋体" w:eastAsia="宋体" w:cs="宋体"/>
                <w:i w:val="0"/>
                <w:iCs w:val="0"/>
                <w:color w:val="000000"/>
                <w:sz w:val="22"/>
                <w:szCs w:val="22"/>
                <w:u w:val="none"/>
              </w:rPr>
            </w:pPr>
          </w:p>
        </w:tc>
        <w:tc>
          <w:tcPr>
            <w:tcW w:w="525" w:type="dxa"/>
            <w:tcBorders>
              <w:top w:val="nil"/>
              <w:left w:val="single" w:color="000000" w:sz="4" w:space="0"/>
              <w:bottom w:val="single" w:color="000000" w:sz="4" w:space="0"/>
              <w:right w:val="single" w:color="000000" w:sz="4" w:space="0"/>
            </w:tcBorders>
            <w:vAlign w:val="center"/>
          </w:tcPr>
          <w:p w14:paraId="100AFE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北斗定位数据接入</w:t>
            </w:r>
          </w:p>
        </w:tc>
        <w:tc>
          <w:tcPr>
            <w:tcW w:w="1976" w:type="dxa"/>
            <w:tcBorders>
              <w:top w:val="single" w:color="000000" w:sz="4" w:space="0"/>
              <w:left w:val="single" w:color="000000" w:sz="4" w:space="0"/>
              <w:bottom w:val="single" w:color="000000" w:sz="4" w:space="0"/>
              <w:right w:val="single" w:color="000000" w:sz="4" w:space="0"/>
            </w:tcBorders>
            <w:vAlign w:val="center"/>
          </w:tcPr>
          <w:p w14:paraId="6ED2C6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北斗定位数据接入</w:t>
            </w:r>
          </w:p>
        </w:tc>
        <w:tc>
          <w:tcPr>
            <w:tcW w:w="4027" w:type="dxa"/>
            <w:tcBorders>
              <w:top w:val="nil"/>
              <w:left w:val="single" w:color="000000" w:sz="4" w:space="0"/>
              <w:bottom w:val="single" w:color="000000" w:sz="4" w:space="0"/>
              <w:right w:val="single" w:color="000000" w:sz="4" w:space="0"/>
            </w:tcBorders>
            <w:vAlign w:val="center"/>
          </w:tcPr>
          <w:p w14:paraId="2150D691">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将北斗定位数据接入到高速慧眼服务平台</w:t>
            </w:r>
          </w:p>
        </w:tc>
        <w:tc>
          <w:tcPr>
            <w:tcW w:w="656" w:type="dxa"/>
            <w:tcBorders>
              <w:top w:val="nil"/>
              <w:left w:val="single" w:color="000000" w:sz="4" w:space="0"/>
              <w:bottom w:val="single" w:color="000000" w:sz="4" w:space="0"/>
              <w:right w:val="single" w:color="000000" w:sz="4" w:space="0"/>
            </w:tcBorders>
            <w:vAlign w:val="center"/>
          </w:tcPr>
          <w:p w14:paraId="12E75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w:t>
            </w:r>
          </w:p>
        </w:tc>
        <w:tc>
          <w:tcPr>
            <w:tcW w:w="656" w:type="dxa"/>
            <w:tcBorders>
              <w:top w:val="nil"/>
              <w:left w:val="single" w:color="000000" w:sz="4" w:space="0"/>
              <w:bottom w:val="single" w:color="000000" w:sz="4" w:space="0"/>
              <w:right w:val="single" w:color="000000" w:sz="4" w:space="0"/>
            </w:tcBorders>
            <w:vAlign w:val="center"/>
          </w:tcPr>
          <w:p w14:paraId="71B828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D9E9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122" w:type="dxa"/>
            <w:vMerge w:val="restart"/>
            <w:tcBorders>
              <w:top w:val="single" w:color="000000" w:sz="4" w:space="0"/>
              <w:left w:val="single" w:color="000000" w:sz="4" w:space="0"/>
              <w:bottom w:val="single" w:color="000000" w:sz="4" w:space="0"/>
              <w:right w:val="single" w:color="000000" w:sz="4" w:space="0"/>
            </w:tcBorders>
            <w:vAlign w:val="center"/>
          </w:tcPr>
          <w:p w14:paraId="2C3FCA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高速慧眼平台</w:t>
            </w: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407FFD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智能感知</w:t>
            </w:r>
          </w:p>
        </w:tc>
        <w:tc>
          <w:tcPr>
            <w:tcW w:w="4027" w:type="dxa"/>
            <w:tcBorders>
              <w:top w:val="single" w:color="000000" w:sz="4" w:space="0"/>
              <w:left w:val="single" w:color="000000" w:sz="4" w:space="0"/>
              <w:bottom w:val="single" w:color="000000" w:sz="4" w:space="0"/>
              <w:right w:val="single" w:color="000000" w:sz="4" w:space="0"/>
            </w:tcBorders>
            <w:vAlign w:val="center"/>
          </w:tcPr>
          <w:p w14:paraId="59153756">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支持道路状况智能感知、异常事件智能感知的上图及预警提醒，系统对这些事件进行分类分级，方便工作人员根据事件紧急程度进行处置。</w:t>
            </w:r>
          </w:p>
        </w:tc>
        <w:tc>
          <w:tcPr>
            <w:tcW w:w="656" w:type="dxa"/>
            <w:tcBorders>
              <w:top w:val="single" w:color="000000" w:sz="4" w:space="0"/>
              <w:left w:val="single" w:color="000000" w:sz="4" w:space="0"/>
              <w:bottom w:val="single" w:color="000000" w:sz="4" w:space="0"/>
              <w:right w:val="single" w:color="000000" w:sz="4" w:space="0"/>
            </w:tcBorders>
            <w:vAlign w:val="center"/>
          </w:tcPr>
          <w:p w14:paraId="18E3E2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377FB3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614A0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35EB3225">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468555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智能巡检</w:t>
            </w:r>
          </w:p>
        </w:tc>
        <w:tc>
          <w:tcPr>
            <w:tcW w:w="4027" w:type="dxa"/>
            <w:tcBorders>
              <w:top w:val="single" w:color="000000" w:sz="4" w:space="0"/>
              <w:left w:val="single" w:color="000000" w:sz="4" w:space="0"/>
              <w:bottom w:val="single" w:color="000000" w:sz="4" w:space="0"/>
              <w:right w:val="single" w:color="000000" w:sz="4" w:space="0"/>
            </w:tcBorders>
            <w:vAlign w:val="center"/>
          </w:tcPr>
          <w:p w14:paraId="7AD254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支持浮动车辆上图，提供车辆车牌、行驶位置、在线状态等信息；并可以点击车辆图标进行视频播放，通过直播视频巡查远程、快速、移动感知路面情况。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对于2小时内无车辆巡检经过的路段，系统会将路段渲染为虚线，可以安排人工进行补充巡检，实现人机互补的精细化巡检。</w:t>
            </w:r>
          </w:p>
        </w:tc>
        <w:tc>
          <w:tcPr>
            <w:tcW w:w="656" w:type="dxa"/>
            <w:tcBorders>
              <w:top w:val="single" w:color="000000" w:sz="4" w:space="0"/>
              <w:left w:val="single" w:color="000000" w:sz="4" w:space="0"/>
              <w:bottom w:val="single" w:color="000000" w:sz="4" w:space="0"/>
              <w:right w:val="single" w:color="000000" w:sz="4" w:space="0"/>
            </w:tcBorders>
            <w:vAlign w:val="center"/>
          </w:tcPr>
          <w:p w14:paraId="041D31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2F8B3E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315CB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08892D00">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7EDC9D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事件处理</w:t>
            </w:r>
          </w:p>
        </w:tc>
        <w:tc>
          <w:tcPr>
            <w:tcW w:w="4027" w:type="dxa"/>
            <w:tcBorders>
              <w:top w:val="single" w:color="000000" w:sz="4" w:space="0"/>
              <w:left w:val="single" w:color="000000" w:sz="4" w:space="0"/>
              <w:bottom w:val="single" w:color="000000" w:sz="4" w:space="0"/>
              <w:right w:val="single" w:color="000000" w:sz="4" w:space="0"/>
            </w:tcBorders>
            <w:vAlign w:val="center"/>
          </w:tcPr>
          <w:p w14:paraId="7D7E28A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可在高速慧眼平台上查看事件处理状态，并对事件进行分派处置。</w:t>
            </w:r>
          </w:p>
        </w:tc>
        <w:tc>
          <w:tcPr>
            <w:tcW w:w="656" w:type="dxa"/>
            <w:tcBorders>
              <w:top w:val="single" w:color="000000" w:sz="4" w:space="0"/>
              <w:left w:val="single" w:color="000000" w:sz="4" w:space="0"/>
              <w:bottom w:val="single" w:color="000000" w:sz="4" w:space="0"/>
              <w:right w:val="single" w:color="000000" w:sz="4" w:space="0"/>
            </w:tcBorders>
            <w:vAlign w:val="center"/>
          </w:tcPr>
          <w:p w14:paraId="4459BF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36AF67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78394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4978AF6D">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3DB08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数据统计看板</w:t>
            </w:r>
          </w:p>
        </w:tc>
        <w:tc>
          <w:tcPr>
            <w:tcW w:w="4027" w:type="dxa"/>
            <w:tcBorders>
              <w:top w:val="single" w:color="000000" w:sz="4" w:space="0"/>
              <w:left w:val="single" w:color="000000" w:sz="4" w:space="0"/>
              <w:bottom w:val="single" w:color="000000" w:sz="4" w:space="0"/>
              <w:right w:val="single" w:color="000000" w:sz="4" w:space="0"/>
            </w:tcBorders>
            <w:vAlign w:val="center"/>
          </w:tcPr>
          <w:p w14:paraId="2C8DDFF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展示总事件数量、接单率等，可导出历史事件详细数据。</w:t>
            </w:r>
          </w:p>
        </w:tc>
        <w:tc>
          <w:tcPr>
            <w:tcW w:w="656" w:type="dxa"/>
            <w:tcBorders>
              <w:top w:val="single" w:color="000000" w:sz="4" w:space="0"/>
              <w:left w:val="single" w:color="000000" w:sz="4" w:space="0"/>
              <w:bottom w:val="single" w:color="000000" w:sz="4" w:space="0"/>
              <w:right w:val="single" w:color="000000" w:sz="4" w:space="0"/>
            </w:tcBorders>
            <w:vAlign w:val="center"/>
          </w:tcPr>
          <w:p w14:paraId="445EB5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39383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D27D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78310CC3">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7C5D02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高速慧眼平台</w:t>
            </w:r>
          </w:p>
        </w:tc>
        <w:tc>
          <w:tcPr>
            <w:tcW w:w="4027" w:type="dxa"/>
            <w:tcBorders>
              <w:top w:val="single" w:color="000000" w:sz="4" w:space="0"/>
              <w:left w:val="single" w:color="000000" w:sz="4" w:space="0"/>
              <w:bottom w:val="single" w:color="000000" w:sz="4" w:space="0"/>
              <w:right w:val="single" w:color="000000" w:sz="4" w:space="0"/>
            </w:tcBorders>
            <w:vAlign w:val="center"/>
          </w:tcPr>
          <w:p w14:paraId="79255B9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提供一套最新的高速慧眼平台，界面风格后续可根据客户要求修改。</w:t>
            </w:r>
          </w:p>
        </w:tc>
        <w:tc>
          <w:tcPr>
            <w:tcW w:w="656" w:type="dxa"/>
            <w:tcBorders>
              <w:top w:val="single" w:color="000000" w:sz="4" w:space="0"/>
              <w:left w:val="single" w:color="000000" w:sz="4" w:space="0"/>
              <w:bottom w:val="single" w:color="000000" w:sz="4" w:space="0"/>
              <w:right w:val="single" w:color="000000" w:sz="4" w:space="0"/>
            </w:tcBorders>
            <w:vAlign w:val="center"/>
          </w:tcPr>
          <w:p w14:paraId="7DD6AE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656" w:type="dxa"/>
            <w:tcBorders>
              <w:top w:val="single" w:color="000000" w:sz="4" w:space="0"/>
              <w:left w:val="single" w:color="000000" w:sz="4" w:space="0"/>
              <w:bottom w:val="single" w:color="000000" w:sz="4" w:space="0"/>
              <w:right w:val="single" w:color="000000" w:sz="4" w:space="0"/>
            </w:tcBorders>
            <w:vAlign w:val="center"/>
          </w:tcPr>
          <w:p w14:paraId="417EFB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14:paraId="2728E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122" w:type="dxa"/>
            <w:vMerge w:val="restart"/>
            <w:tcBorders>
              <w:top w:val="single" w:color="000000" w:sz="4" w:space="0"/>
              <w:left w:val="single" w:color="000000" w:sz="4" w:space="0"/>
              <w:bottom w:val="single" w:color="000000" w:sz="4" w:space="0"/>
              <w:right w:val="single" w:color="000000" w:sz="4" w:space="0"/>
            </w:tcBorders>
            <w:vAlign w:val="center"/>
          </w:tcPr>
          <w:p w14:paraId="4320CE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硬件设备</w:t>
            </w: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612287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北斗定位设备</w:t>
            </w:r>
          </w:p>
        </w:tc>
        <w:tc>
          <w:tcPr>
            <w:tcW w:w="4027" w:type="dxa"/>
            <w:tcBorders>
              <w:top w:val="single" w:color="000000" w:sz="4" w:space="0"/>
              <w:left w:val="single" w:color="000000" w:sz="4" w:space="0"/>
              <w:bottom w:val="single" w:color="000000" w:sz="4" w:space="0"/>
              <w:right w:val="single" w:color="000000" w:sz="4" w:space="0"/>
            </w:tcBorders>
            <w:vAlign w:val="center"/>
          </w:tcPr>
          <w:p w14:paraId="689C2EA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北斗定位设备，含安装、流量等，提供一年维保服务。</w:t>
            </w:r>
          </w:p>
        </w:tc>
        <w:tc>
          <w:tcPr>
            <w:tcW w:w="656" w:type="dxa"/>
            <w:tcBorders>
              <w:top w:val="single" w:color="000000" w:sz="4" w:space="0"/>
              <w:left w:val="single" w:color="000000" w:sz="4" w:space="0"/>
              <w:bottom w:val="single" w:color="000000" w:sz="4" w:space="0"/>
              <w:right w:val="single" w:color="000000" w:sz="4" w:space="0"/>
            </w:tcBorders>
            <w:vAlign w:val="center"/>
          </w:tcPr>
          <w:p w14:paraId="6ACFA3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w:t>
            </w:r>
          </w:p>
        </w:tc>
        <w:tc>
          <w:tcPr>
            <w:tcW w:w="656" w:type="dxa"/>
            <w:tcBorders>
              <w:top w:val="single" w:color="000000" w:sz="4" w:space="0"/>
              <w:left w:val="single" w:color="000000" w:sz="4" w:space="0"/>
              <w:bottom w:val="single" w:color="000000" w:sz="4" w:space="0"/>
              <w:right w:val="single" w:color="000000" w:sz="4" w:space="0"/>
            </w:tcBorders>
            <w:vAlign w:val="center"/>
          </w:tcPr>
          <w:p w14:paraId="0A0010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r>
      <w:tr w14:paraId="7535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1122" w:type="dxa"/>
            <w:vMerge w:val="continue"/>
            <w:tcBorders>
              <w:top w:val="single" w:color="000000" w:sz="4" w:space="0"/>
              <w:left w:val="single" w:color="000000" w:sz="4" w:space="0"/>
              <w:bottom w:val="single" w:color="000000" w:sz="4" w:space="0"/>
              <w:right w:val="single" w:color="000000" w:sz="4" w:space="0"/>
            </w:tcBorders>
            <w:vAlign w:val="center"/>
          </w:tcPr>
          <w:p w14:paraId="353844A1">
            <w:pPr>
              <w:jc w:val="center"/>
              <w:rPr>
                <w:rFonts w:hint="eastAsia" w:ascii="宋体" w:hAnsi="宋体" w:eastAsia="宋体" w:cs="宋体"/>
                <w:i w:val="0"/>
                <w:iCs w:val="0"/>
                <w:color w:val="000000"/>
                <w:sz w:val="22"/>
                <w:szCs w:val="22"/>
                <w:u w:val="none"/>
              </w:rPr>
            </w:pPr>
          </w:p>
        </w:tc>
        <w:tc>
          <w:tcPr>
            <w:tcW w:w="2501" w:type="dxa"/>
            <w:gridSpan w:val="2"/>
            <w:tcBorders>
              <w:top w:val="single" w:color="000000" w:sz="4" w:space="0"/>
              <w:left w:val="single" w:color="000000" w:sz="4" w:space="0"/>
              <w:bottom w:val="single" w:color="000000" w:sz="4" w:space="0"/>
              <w:right w:val="single" w:color="000000" w:sz="4" w:space="0"/>
            </w:tcBorders>
            <w:vAlign w:val="center"/>
          </w:tcPr>
          <w:p w14:paraId="6E5221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台式电脑</w:t>
            </w:r>
          </w:p>
        </w:tc>
        <w:tc>
          <w:tcPr>
            <w:tcW w:w="4027" w:type="dxa"/>
            <w:tcBorders>
              <w:top w:val="single" w:color="000000" w:sz="4" w:space="0"/>
              <w:left w:val="single" w:color="000000" w:sz="4" w:space="0"/>
              <w:bottom w:val="single" w:color="000000" w:sz="4" w:space="0"/>
              <w:right w:val="single" w:color="000000" w:sz="4" w:space="0"/>
            </w:tcBorders>
            <w:vAlign w:val="center"/>
          </w:tcPr>
          <w:p w14:paraId="102D887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1、酷睿12 I7 12700  (2.1G/8P+4E/20T/25M/65W)，加风扇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2、金士顿 16G/3200SP DDR4*2共32G；</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3、西数2T   蓝 SN580NVME4.0 R/W4150/4150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4、技嘉H410M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5、长城机箱+长城额定300W电源</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6、AOC 27寸显示器</w:t>
            </w:r>
          </w:p>
        </w:tc>
        <w:tc>
          <w:tcPr>
            <w:tcW w:w="656" w:type="dxa"/>
            <w:tcBorders>
              <w:top w:val="single" w:color="000000" w:sz="4" w:space="0"/>
              <w:left w:val="single" w:color="000000" w:sz="4" w:space="0"/>
              <w:bottom w:val="single" w:color="000000" w:sz="4" w:space="0"/>
              <w:right w:val="single" w:color="000000" w:sz="4" w:space="0"/>
            </w:tcBorders>
            <w:vAlign w:val="center"/>
          </w:tcPr>
          <w:p w14:paraId="7EC8B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656" w:type="dxa"/>
            <w:tcBorders>
              <w:top w:val="single" w:color="000000" w:sz="4" w:space="0"/>
              <w:left w:val="single" w:color="000000" w:sz="4" w:space="0"/>
              <w:bottom w:val="single" w:color="000000" w:sz="4" w:space="0"/>
              <w:right w:val="single" w:color="000000" w:sz="4" w:space="0"/>
            </w:tcBorders>
            <w:vAlign w:val="center"/>
          </w:tcPr>
          <w:p w14:paraId="7133F6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14:paraId="75237A40">
      <w:pPr>
        <w:keepNext/>
        <w:widowControl w:val="0"/>
        <w:spacing w:after="50" w:afterLines="50"/>
        <w:jc w:val="center"/>
        <w:outlineLvl w:val="0"/>
        <w:rPr>
          <w:rFonts w:hint="eastAsia" w:ascii="Times New Roman" w:hAnsi="Times New Roman" w:eastAsia="宋体" w:cs="Times New Roman"/>
          <w:b/>
          <w:bCs/>
          <w:kern w:val="0"/>
          <w:sz w:val="32"/>
          <w:szCs w:val="20"/>
          <w:lang w:val="en-US" w:eastAsia="zh-CN" w:bidi="ar-SA"/>
        </w:rPr>
      </w:pPr>
    </w:p>
    <w:p w14:paraId="30E9A48A">
      <w:pPr>
        <w:spacing w:line="360" w:lineRule="auto"/>
        <w:ind w:firstLine="420" w:firstLineChars="20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采购预算金额：210400.00元  最高限价金额：210400.00元，各投标单位投标报价不得高于210400.00。</w:t>
      </w:r>
    </w:p>
    <w:p w14:paraId="42E2F13A">
      <w:pPr>
        <w:spacing w:line="360" w:lineRule="auto"/>
        <w:jc w:val="left"/>
        <w:rPr>
          <w:rFonts w:hint="eastAsia" w:ascii="宋体" w:hAnsi="宋体" w:eastAsia="宋体" w:cs="宋体"/>
          <w:kern w:val="0"/>
          <w:sz w:val="21"/>
          <w:szCs w:val="21"/>
        </w:rPr>
      </w:pPr>
      <w:r>
        <w:rPr>
          <w:rFonts w:hint="eastAsia" w:ascii="宋体" w:hAnsi="宋体" w:eastAsia="宋体" w:cs="宋体"/>
          <w:kern w:val="0"/>
          <w:sz w:val="21"/>
          <w:szCs w:val="21"/>
        </w:rPr>
        <w:t>三、</w:t>
      </w:r>
      <w:r>
        <w:rPr>
          <w:rFonts w:hint="eastAsia" w:ascii="宋体" w:hAnsi="宋体" w:eastAsia="宋体" w:cs="宋体"/>
          <w:kern w:val="0"/>
          <w:sz w:val="21"/>
          <w:szCs w:val="21"/>
          <w:lang w:eastAsia="zh-Hans"/>
        </w:rPr>
        <w:t>项目建设要求及说明</w:t>
      </w:r>
      <w:r>
        <w:rPr>
          <w:rFonts w:hint="eastAsia" w:ascii="宋体" w:hAnsi="宋体" w:eastAsia="宋体" w:cs="宋体"/>
          <w:kern w:val="0"/>
          <w:sz w:val="21"/>
          <w:szCs w:val="21"/>
        </w:rPr>
        <w:t>：</w:t>
      </w:r>
    </w:p>
    <w:p w14:paraId="479300EF">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 产品运输、保险及保管</w:t>
      </w:r>
    </w:p>
    <w:p w14:paraId="2368E131">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1.1 中标人负责产品到安装地点的全部运输，包括装卸及现场搬运等。</w:t>
      </w:r>
    </w:p>
    <w:p w14:paraId="5218E515">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1.2 中标人负责产品在安装地点的保管，直至项目验收合格。</w:t>
      </w:r>
    </w:p>
    <w:p w14:paraId="5DF18B41">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1.3 中标人负责其派出的安装人员的人身意外保险。 </w:t>
      </w:r>
    </w:p>
    <w:p w14:paraId="10852120">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1.4 中标人负责购买安装工程范围内所有险。</w:t>
      </w:r>
    </w:p>
    <w:p w14:paraId="3AE71F38">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2. 施工要求 </w:t>
      </w:r>
    </w:p>
    <w:p w14:paraId="52C7F86D">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2.1 中标人需组织相关安装管理团队，明确项目负责人和技术安全负责人。加强安装的组织管理，所有人员须遵守有关规章制度。 </w:t>
      </w:r>
    </w:p>
    <w:p w14:paraId="0612C98E">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2.2 中标人施工前必须与甲方进行实地考察后提供设计稿及按甲方要求进行制作与安装。制作过程中，乙方制作的产品应在双方约定的时间拿出样品呈报甲方，须由甲方认可后，方可继续进行。</w:t>
      </w:r>
    </w:p>
    <w:p w14:paraId="1D64E527">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2.3 项目完成后，中标人应将项目有关的全部资料，包括产品资料、技术文档、施工图纸等（含电子文档），移交采购人。</w:t>
      </w:r>
    </w:p>
    <w:p w14:paraId="492C4446">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eastAsia="zh-Hans"/>
        </w:rPr>
        <w:t>2.4 成果汇报及方案讨论会议、现场重大问题协调会议等，乙方项目负责人必须参加。</w:t>
      </w:r>
    </w:p>
    <w:p w14:paraId="792539E5">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3. 质量保证 </w:t>
      </w:r>
    </w:p>
    <w:p w14:paraId="0353947E">
      <w:pPr>
        <w:spacing w:line="24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lang w:eastAsia="zh-Hans"/>
        </w:rPr>
        <w:t xml:space="preserve">1 中标人提供的产品应是原装正品，符合国家质量检测标准，具有出厂检验证书、出厂合格证或国家鉴定合格证。 </w:t>
      </w:r>
    </w:p>
    <w:p w14:paraId="423812EA">
      <w:pPr>
        <w:spacing w:line="24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val="en-US" w:eastAsia="zh-CN"/>
        </w:rPr>
        <w:t>3.2</w:t>
      </w:r>
      <w:r>
        <w:rPr>
          <w:rFonts w:hint="eastAsia" w:ascii="宋体" w:hAnsi="宋体" w:eastAsia="宋体" w:cs="宋体"/>
          <w:kern w:val="0"/>
          <w:sz w:val="21"/>
          <w:szCs w:val="21"/>
          <w:lang w:eastAsia="zh-Hans"/>
        </w:rPr>
        <w:t>本</w:t>
      </w:r>
      <w:r>
        <w:rPr>
          <w:rFonts w:hint="eastAsia" w:ascii="宋体" w:hAnsi="宋体" w:eastAsia="宋体" w:cs="宋体"/>
          <w:kern w:val="0"/>
          <w:sz w:val="21"/>
          <w:szCs w:val="21"/>
          <w:lang w:val="en-US" w:eastAsia="zh-CN"/>
        </w:rPr>
        <w:t>项目数据服务为一个季度，其他为</w:t>
      </w:r>
      <w:r>
        <w:rPr>
          <w:rFonts w:hint="eastAsia" w:ascii="宋体" w:hAnsi="宋体" w:eastAsia="宋体" w:cs="宋体"/>
          <w:kern w:val="0"/>
          <w:sz w:val="21"/>
          <w:szCs w:val="21"/>
          <w:lang w:eastAsia="zh-Hans"/>
        </w:rPr>
        <w:t>为</w:t>
      </w:r>
      <w:r>
        <w:rPr>
          <w:rFonts w:hint="eastAsia" w:ascii="宋体" w:hAnsi="宋体" w:eastAsia="宋体" w:cs="宋体"/>
          <w:kern w:val="0"/>
          <w:sz w:val="21"/>
          <w:szCs w:val="21"/>
          <w:lang w:val="en-US" w:eastAsia="zh-CN"/>
        </w:rPr>
        <w:t>一</w:t>
      </w:r>
      <w:r>
        <w:rPr>
          <w:rFonts w:hint="eastAsia" w:ascii="宋体" w:hAnsi="宋体" w:eastAsia="宋体" w:cs="宋体"/>
          <w:kern w:val="0"/>
          <w:sz w:val="21"/>
          <w:szCs w:val="21"/>
          <w:lang w:eastAsia="zh-Hans"/>
        </w:rPr>
        <w:t>年，保期从</w:t>
      </w:r>
      <w:r>
        <w:rPr>
          <w:rFonts w:hint="eastAsia" w:ascii="宋体" w:hAnsi="宋体" w:eastAsia="宋体" w:cs="宋体"/>
          <w:kern w:val="0"/>
          <w:sz w:val="21"/>
          <w:szCs w:val="21"/>
          <w:lang w:val="en-US" w:eastAsia="zh-CN"/>
        </w:rPr>
        <w:t>合同签订</w:t>
      </w:r>
      <w:r>
        <w:rPr>
          <w:rFonts w:hint="eastAsia" w:ascii="宋体" w:hAnsi="宋体" w:eastAsia="宋体" w:cs="宋体"/>
          <w:kern w:val="0"/>
          <w:sz w:val="21"/>
          <w:szCs w:val="21"/>
          <w:lang w:eastAsia="zh-Hans"/>
        </w:rPr>
        <w:t>开始计算。保修标准按相关行业规定的最高标准执行，免费提供所有产品的维修、维护服务，由此产生的费用均不再收取。安装验收合格后的</w:t>
      </w:r>
      <w:r>
        <w:rPr>
          <w:rFonts w:hint="eastAsia" w:ascii="宋体" w:hAnsi="宋体" w:eastAsia="宋体" w:cs="宋体"/>
          <w:kern w:val="0"/>
          <w:sz w:val="21"/>
          <w:szCs w:val="21"/>
          <w:lang w:val="en-US" w:eastAsia="zh-CN"/>
        </w:rPr>
        <w:t>一</w:t>
      </w:r>
      <w:r>
        <w:rPr>
          <w:rFonts w:hint="eastAsia" w:ascii="宋体" w:hAnsi="宋体" w:eastAsia="宋体" w:cs="宋体"/>
          <w:kern w:val="0"/>
          <w:sz w:val="21"/>
          <w:szCs w:val="21"/>
          <w:lang w:eastAsia="zh-Hans"/>
        </w:rPr>
        <w:t>年内，如因标识质量问题造成人员伤亡或给甲方及第三方造成一切财物损失，人身伤害由乙方承担全责和全部费用，甲方不负任何责任。</w:t>
      </w:r>
    </w:p>
    <w:p w14:paraId="67741C22">
      <w:pPr>
        <w:spacing w:line="24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val="en-US" w:eastAsia="zh-CN"/>
        </w:rPr>
        <w:t>3.3</w:t>
      </w:r>
      <w:r>
        <w:rPr>
          <w:rFonts w:hint="eastAsia" w:ascii="宋体" w:hAnsi="宋体" w:eastAsia="宋体" w:cs="宋体"/>
          <w:kern w:val="0"/>
          <w:sz w:val="21"/>
          <w:szCs w:val="21"/>
          <w:lang w:eastAsia="zh-Hans"/>
        </w:rPr>
        <w:t>中标人承诺的质保期长于招标文件规定时，以中标人的投标文件为准， 出现任何质量问题（人为破坏或自然灾害等不可抗力除外），由中标人负责全免费（免全部工时费、材料费、管理费、财务费等等）更换或维修。</w:t>
      </w:r>
    </w:p>
    <w:p w14:paraId="4D646031">
      <w:pPr>
        <w:spacing w:line="24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val="en-US" w:eastAsia="zh-CN"/>
        </w:rPr>
        <w:t>3.4</w:t>
      </w:r>
      <w:r>
        <w:rPr>
          <w:rFonts w:hint="eastAsia" w:ascii="宋体" w:hAnsi="宋体" w:eastAsia="宋体" w:cs="宋体"/>
          <w:kern w:val="0"/>
          <w:sz w:val="21"/>
          <w:szCs w:val="21"/>
          <w:lang w:eastAsia="zh-Hans"/>
        </w:rPr>
        <w:t xml:space="preserve">中标人应保证产品是完全符合相应国家标准和行业标准要求，美观、牢固、耐用。 </w:t>
      </w:r>
    </w:p>
    <w:p w14:paraId="7AD0C04F">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val="en-US" w:eastAsia="zh-CN"/>
        </w:rPr>
        <w:t>3.5</w:t>
      </w:r>
      <w:r>
        <w:rPr>
          <w:rFonts w:hint="eastAsia" w:ascii="宋体" w:hAnsi="宋体" w:eastAsia="宋体" w:cs="宋体"/>
          <w:kern w:val="0"/>
          <w:sz w:val="21"/>
          <w:szCs w:val="21"/>
          <w:lang w:eastAsia="zh-Hans"/>
        </w:rPr>
        <w:t xml:space="preserve">施工过程中，不得损坏甲方的设备、设施，如有损坏应负责修复或照价赔偿。 </w:t>
      </w:r>
    </w:p>
    <w:p w14:paraId="258A03C0">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4. 售后服务</w:t>
      </w:r>
    </w:p>
    <w:p w14:paraId="1765844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4.1、系统维护。要求提交以下内容。</w:t>
      </w:r>
    </w:p>
    <w:p w14:paraId="6E10211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1）定期维护计划。</w:t>
      </w:r>
    </w:p>
    <w:p w14:paraId="2C4C45B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2）对采购人不定期维护要求的响应措施。 </w:t>
      </w:r>
    </w:p>
    <w:p w14:paraId="3090469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3）对用户修改设计要求的响应措施。</w:t>
      </w:r>
    </w:p>
    <w:p w14:paraId="5B78002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4.</w:t>
      </w:r>
      <w:r>
        <w:rPr>
          <w:rFonts w:hint="eastAsia" w:ascii="宋体" w:hAnsi="宋体" w:eastAsia="宋体" w:cs="宋体"/>
          <w:kern w:val="0"/>
          <w:sz w:val="21"/>
          <w:szCs w:val="21"/>
        </w:rPr>
        <w:t>2</w:t>
      </w:r>
      <w:r>
        <w:rPr>
          <w:rFonts w:hint="eastAsia" w:ascii="宋体" w:hAnsi="宋体" w:eastAsia="宋体" w:cs="宋体"/>
          <w:kern w:val="0"/>
          <w:sz w:val="21"/>
          <w:szCs w:val="21"/>
          <w:lang w:eastAsia="zh-Hans"/>
        </w:rPr>
        <w:t>、质保期内出现任何质量问题（人为破坏或自然灾害等不可抗力除外），由中标单位负责全免费（免全部工时费、材料费、管理费、财务费等等）更换或维修。质保期满后，无论采购人是否另行选择维保供应商，中标单位应及时优惠提供所需的备品备件。</w:t>
      </w:r>
    </w:p>
    <w:p w14:paraId="09D41383">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rPr>
        <w:t>四</w:t>
      </w:r>
      <w:r>
        <w:rPr>
          <w:rFonts w:hint="eastAsia" w:ascii="宋体" w:hAnsi="宋体" w:eastAsia="宋体" w:cs="宋体"/>
          <w:kern w:val="0"/>
          <w:sz w:val="21"/>
          <w:szCs w:val="21"/>
          <w:lang w:eastAsia="zh-Hans"/>
        </w:rPr>
        <w:t>、验收标准和方法</w:t>
      </w:r>
    </w:p>
    <w:p w14:paraId="0E2A580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 验收标准：按照</w:t>
      </w:r>
      <w:r>
        <w:rPr>
          <w:rFonts w:hint="eastAsia" w:ascii="宋体" w:hAnsi="宋体" w:eastAsia="宋体" w:cs="宋体"/>
          <w:kern w:val="0"/>
          <w:sz w:val="21"/>
          <w:szCs w:val="21"/>
        </w:rPr>
        <w:t>简易验收标准</w:t>
      </w:r>
      <w:r>
        <w:rPr>
          <w:rFonts w:hint="eastAsia" w:ascii="宋体" w:hAnsi="宋体" w:eastAsia="宋体" w:cs="宋体"/>
          <w:kern w:val="0"/>
          <w:sz w:val="21"/>
          <w:szCs w:val="21"/>
          <w:lang w:eastAsia="zh-Hans"/>
        </w:rPr>
        <w:t>要求</w:t>
      </w:r>
      <w:r>
        <w:rPr>
          <w:rFonts w:hint="eastAsia" w:ascii="宋体" w:hAnsi="宋体" w:eastAsia="宋体" w:cs="宋体"/>
          <w:kern w:val="0"/>
          <w:sz w:val="21"/>
          <w:szCs w:val="21"/>
        </w:rPr>
        <w:t>进行</w:t>
      </w:r>
      <w:r>
        <w:rPr>
          <w:rFonts w:hint="eastAsia" w:ascii="宋体" w:hAnsi="宋体" w:eastAsia="宋体" w:cs="宋体"/>
          <w:kern w:val="0"/>
          <w:sz w:val="21"/>
          <w:szCs w:val="21"/>
          <w:lang w:eastAsia="zh-Hans"/>
        </w:rPr>
        <w:t>验收</w:t>
      </w:r>
      <w:r>
        <w:rPr>
          <w:rFonts w:hint="eastAsia" w:ascii="宋体" w:hAnsi="宋体" w:eastAsia="宋体" w:cs="宋体"/>
          <w:kern w:val="0"/>
          <w:sz w:val="21"/>
          <w:szCs w:val="21"/>
        </w:rPr>
        <w:t>。</w:t>
      </w:r>
      <w:r>
        <w:rPr>
          <w:rFonts w:hint="eastAsia" w:ascii="宋体" w:hAnsi="宋体" w:eastAsia="宋体" w:cs="宋体"/>
          <w:kern w:val="0"/>
          <w:sz w:val="21"/>
          <w:szCs w:val="21"/>
          <w:lang w:eastAsia="zh-Hans"/>
        </w:rPr>
        <w:t xml:space="preserve"> </w:t>
      </w:r>
    </w:p>
    <w:p w14:paraId="76AA13E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 货物运抵买方指定地点后，由买方对到货产品的数量、型号、外观质量、随机备品备件、技术资料等进行检查，要求卖方提供验收方案，与买方协商后确定。要求卖方在验收前向买方提供汇集成册的全套技术文件及资料、具有法律效力的质量保证、保修维护文件，以及安装、验收报告等文档。</w:t>
      </w:r>
    </w:p>
    <w:p w14:paraId="69DC3D7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3． 验收地点：采购人指定地点 </w:t>
      </w:r>
    </w:p>
    <w:p w14:paraId="332C258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4． 项目验收完全由使用单位负责并严格按照国家及行业相关标准进行验收，若项目验收不合格，由中标人更换为合格产品，再行验收，以及给采购人造成的损失等费用由中标人承担。连续两次项目验收不合格的，采购人可终止合同，另行按规定选择其他投标人采购，由此带来的一切损失由中标人承担。</w:t>
      </w:r>
    </w:p>
    <w:p w14:paraId="405ADAA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5． 因中标人所提供的产品出现质量问题而引起纠纷，则由具有资质的相关质检机构进行检测，由此而发生的费用由中标人负责。</w:t>
      </w:r>
    </w:p>
    <w:p w14:paraId="2716857D">
      <w:pPr>
        <w:spacing w:line="360" w:lineRule="auto"/>
        <w:jc w:val="left"/>
        <w:outlineLvl w:val="2"/>
        <w:rPr>
          <w:rFonts w:hint="eastAsia" w:ascii="宋体" w:hAnsi="宋体" w:eastAsia="宋体" w:cs="宋体"/>
          <w:kern w:val="0"/>
          <w:sz w:val="21"/>
          <w:szCs w:val="21"/>
          <w:lang w:eastAsia="zh-Hans"/>
        </w:rPr>
      </w:pPr>
      <w:r>
        <w:rPr>
          <w:rFonts w:hint="eastAsia" w:ascii="宋体" w:hAnsi="宋体" w:eastAsia="宋体" w:cs="宋体"/>
          <w:b/>
          <w:kern w:val="0"/>
          <w:sz w:val="21"/>
          <w:szCs w:val="21"/>
        </w:rPr>
        <w:t>五、</w:t>
      </w:r>
      <w:r>
        <w:rPr>
          <w:rFonts w:hint="eastAsia" w:ascii="宋体" w:hAnsi="宋体" w:eastAsia="宋体" w:cs="宋体"/>
          <w:b/>
          <w:kern w:val="0"/>
          <w:sz w:val="21"/>
          <w:szCs w:val="21"/>
          <w:lang w:eastAsia="zh-Hans"/>
        </w:rPr>
        <w:t>其他要求</w:t>
      </w:r>
    </w:p>
    <w:p w14:paraId="2CF4828B">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 交货时间及地点</w:t>
      </w:r>
    </w:p>
    <w:p w14:paraId="556AE6B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1.1 ★交货时间：合同签订后</w:t>
      </w:r>
      <w:r>
        <w:rPr>
          <w:rFonts w:hint="eastAsia" w:ascii="宋体" w:hAnsi="宋体" w:eastAsia="宋体" w:cs="宋体"/>
          <w:kern w:val="0"/>
          <w:sz w:val="21"/>
          <w:szCs w:val="21"/>
          <w:lang w:val="en-US" w:eastAsia="zh-CN"/>
        </w:rPr>
        <w:t>15</w:t>
      </w:r>
      <w:r>
        <w:rPr>
          <w:rFonts w:hint="eastAsia" w:ascii="宋体" w:hAnsi="宋体" w:eastAsia="宋体" w:cs="宋体"/>
          <w:kern w:val="0"/>
          <w:sz w:val="21"/>
          <w:szCs w:val="21"/>
          <w:lang w:eastAsia="zh-Hans"/>
        </w:rPr>
        <w:t>天（日历天）内交货，并安装调试完毕。</w:t>
      </w:r>
    </w:p>
    <w:p w14:paraId="4A6D323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1.2 交货地点：采购人指定地点。（具体地点以实际安装情况为准）</w:t>
      </w:r>
    </w:p>
    <w:p w14:paraId="2D0E5E46">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 项目验收</w:t>
      </w:r>
    </w:p>
    <w:p w14:paraId="28C45A6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w:t>
      </w:r>
      <w:r>
        <w:rPr>
          <w:rFonts w:hint="eastAsia" w:ascii="宋体" w:hAnsi="宋体" w:eastAsia="宋体" w:cs="宋体"/>
          <w:kern w:val="0"/>
          <w:sz w:val="21"/>
          <w:szCs w:val="21"/>
        </w:rPr>
        <w:t>1</w:t>
      </w:r>
      <w:r>
        <w:rPr>
          <w:rFonts w:hint="eastAsia" w:ascii="宋体" w:hAnsi="宋体" w:eastAsia="宋体" w:cs="宋体"/>
          <w:kern w:val="0"/>
          <w:sz w:val="21"/>
          <w:szCs w:val="21"/>
          <w:lang w:eastAsia="zh-Hans"/>
        </w:rPr>
        <w:t xml:space="preserve"> 严格按合同展开制作与安装，在工程完成后，积极配合甲方的验收工作，如出现质量问题，应按甲方意见进行整改，直到符合验收标准。 </w:t>
      </w:r>
    </w:p>
    <w:p w14:paraId="0A9DB431">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2.</w:t>
      </w:r>
      <w:r>
        <w:rPr>
          <w:rFonts w:hint="eastAsia" w:ascii="宋体" w:hAnsi="宋体" w:eastAsia="宋体" w:cs="宋体"/>
          <w:kern w:val="0"/>
          <w:sz w:val="21"/>
          <w:szCs w:val="21"/>
        </w:rPr>
        <w:t>2</w:t>
      </w:r>
      <w:r>
        <w:rPr>
          <w:rFonts w:hint="eastAsia" w:ascii="宋体" w:hAnsi="宋体" w:eastAsia="宋体" w:cs="宋体"/>
          <w:kern w:val="0"/>
          <w:sz w:val="21"/>
          <w:szCs w:val="21"/>
          <w:lang w:eastAsia="zh-Hans"/>
        </w:rPr>
        <w:t xml:space="preserve"> 若因为乙方在制作过程中没有积极配合而导致交付时间拖延的情况，由乙方自行负责相关费用并向甲方承担违约责任。造成延误时间超过7天，甲方有权终止合同，并有权要求乙方支付全部款项。</w:t>
      </w:r>
    </w:p>
    <w:p w14:paraId="2CFD299C">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 </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eastAsia="zh-Hans"/>
        </w:rPr>
        <w:t>2.</w:t>
      </w:r>
      <w:r>
        <w:rPr>
          <w:rFonts w:hint="eastAsia" w:ascii="宋体" w:hAnsi="宋体" w:eastAsia="宋体" w:cs="宋体"/>
          <w:kern w:val="0"/>
          <w:sz w:val="21"/>
          <w:szCs w:val="21"/>
        </w:rPr>
        <w:t>3</w:t>
      </w:r>
      <w:r>
        <w:rPr>
          <w:rFonts w:hint="eastAsia" w:ascii="宋体" w:hAnsi="宋体" w:eastAsia="宋体" w:cs="宋体"/>
          <w:kern w:val="0"/>
          <w:sz w:val="21"/>
          <w:szCs w:val="21"/>
          <w:lang w:eastAsia="zh-Hans"/>
        </w:rPr>
        <w:t xml:space="preserve"> 中标人交货前应对产品作出全面检查和对验收文件进行整理，并列出清单，作为甲方收货验收和使用的技术条件依据，验收时乙方必须在现场，验收完毕后作出验收结果报告，验收费用由乙方负担，检验的结果应随货物交甲方。 </w:t>
      </w:r>
    </w:p>
    <w:p w14:paraId="1D803B4E">
      <w:pPr>
        <w:spacing w:line="360" w:lineRule="auto"/>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 xml:space="preserve">3． 结算方法 </w:t>
      </w:r>
    </w:p>
    <w:p w14:paraId="171A7AE4">
      <w:pPr>
        <w:spacing w:line="360" w:lineRule="auto"/>
        <w:ind w:firstLine="420" w:firstLineChars="200"/>
        <w:jc w:val="left"/>
        <w:rPr>
          <w:rFonts w:hint="eastAsia" w:ascii="宋体" w:hAnsi="宋体" w:eastAsia="宋体" w:cs="宋体"/>
          <w:kern w:val="0"/>
          <w:sz w:val="21"/>
          <w:szCs w:val="21"/>
          <w:lang w:eastAsia="zh-Hans"/>
        </w:rPr>
      </w:pPr>
      <w:r>
        <w:rPr>
          <w:rFonts w:hint="eastAsia" w:ascii="宋体" w:hAnsi="宋体" w:eastAsia="宋体" w:cs="宋体"/>
          <w:kern w:val="0"/>
          <w:sz w:val="21"/>
          <w:szCs w:val="21"/>
          <w:lang w:eastAsia="zh-Hans"/>
        </w:rPr>
        <w:t>3.1 支付方式：</w:t>
      </w:r>
      <w:r>
        <w:rPr>
          <w:rFonts w:hint="eastAsia" w:ascii="宋体" w:hAnsi="宋体" w:eastAsia="宋体" w:cs="宋体"/>
          <w:kern w:val="2"/>
          <w:sz w:val="21"/>
          <w:szCs w:val="21"/>
        </w:rPr>
        <w:t>湖南省高速公路交通警察局</w:t>
      </w:r>
      <w:r>
        <w:rPr>
          <w:rFonts w:hint="eastAsia" w:ascii="宋体" w:hAnsi="宋体" w:eastAsia="宋体" w:cs="宋体"/>
          <w:kern w:val="2"/>
          <w:sz w:val="21"/>
          <w:szCs w:val="21"/>
          <w:lang w:eastAsia="zh-Hans"/>
        </w:rPr>
        <w:t>长沙支队</w:t>
      </w:r>
      <w:r>
        <w:rPr>
          <w:rFonts w:hint="eastAsia" w:ascii="宋体" w:hAnsi="宋体" w:eastAsia="宋体" w:cs="宋体"/>
          <w:kern w:val="0"/>
          <w:sz w:val="21"/>
          <w:szCs w:val="21"/>
          <w:lang w:eastAsia="zh-Hans"/>
        </w:rPr>
        <w:t xml:space="preserve"> </w:t>
      </w:r>
    </w:p>
    <w:p w14:paraId="50CE46F3">
      <w:pPr>
        <w:spacing w:line="360" w:lineRule="auto"/>
        <w:ind w:firstLine="420" w:firstLineChars="200"/>
        <w:jc w:val="left"/>
        <w:rPr>
          <w:rFonts w:hint="eastAsia" w:ascii="宋体" w:hAnsi="宋体" w:eastAsia="宋体" w:cs="宋体"/>
          <w:kern w:val="2"/>
          <w:sz w:val="21"/>
          <w:szCs w:val="21"/>
          <w:lang w:val="en-US" w:eastAsia="zh-CN"/>
        </w:rPr>
      </w:pPr>
      <w:r>
        <w:rPr>
          <w:rFonts w:hint="eastAsia" w:ascii="宋体" w:hAnsi="宋体" w:eastAsia="宋体" w:cs="宋体"/>
          <w:kern w:val="0"/>
          <w:sz w:val="21"/>
          <w:szCs w:val="21"/>
          <w:lang w:eastAsia="zh-Hans"/>
        </w:rPr>
        <w:t>3</w:t>
      </w:r>
      <w:r>
        <w:rPr>
          <w:rFonts w:hint="eastAsia" w:ascii="宋体" w:hAnsi="宋体" w:eastAsia="宋体" w:cs="宋体"/>
          <w:kern w:val="2"/>
          <w:sz w:val="21"/>
          <w:szCs w:val="21"/>
          <w:lang w:eastAsia="zh-Hans"/>
        </w:rPr>
        <w:t>.2 付款方式：所有</w:t>
      </w:r>
      <w:r>
        <w:rPr>
          <w:rFonts w:hint="eastAsia" w:ascii="宋体" w:hAnsi="宋体" w:eastAsia="宋体" w:cs="宋体"/>
          <w:kern w:val="2"/>
          <w:sz w:val="21"/>
          <w:szCs w:val="21"/>
        </w:rPr>
        <w:t>设备</w:t>
      </w:r>
      <w:r>
        <w:rPr>
          <w:rFonts w:hint="eastAsia" w:ascii="宋体" w:hAnsi="宋体" w:eastAsia="宋体" w:cs="宋体"/>
          <w:kern w:val="2"/>
          <w:sz w:val="21"/>
          <w:szCs w:val="21"/>
          <w:lang w:eastAsia="zh-Hans"/>
        </w:rPr>
        <w:t>安装完毕并经采购人验收合格后支付至合同总金额的</w:t>
      </w:r>
      <w:r>
        <w:rPr>
          <w:rFonts w:hint="eastAsia" w:ascii="宋体" w:hAnsi="宋体" w:eastAsia="宋体" w:cs="宋体"/>
          <w:kern w:val="2"/>
          <w:sz w:val="21"/>
          <w:szCs w:val="21"/>
          <w:lang w:val="en-US" w:eastAsia="zh-CN"/>
        </w:rPr>
        <w:t>100</w:t>
      </w:r>
      <w:r>
        <w:rPr>
          <w:rFonts w:hint="eastAsia" w:ascii="宋体" w:hAnsi="宋体" w:eastAsia="宋体" w:cs="宋体"/>
          <w:kern w:val="2"/>
          <w:sz w:val="21"/>
          <w:szCs w:val="21"/>
          <w:lang w:eastAsia="zh-Hans"/>
        </w:rPr>
        <w:t>%</w:t>
      </w:r>
      <w:r>
        <w:rPr>
          <w:rFonts w:hint="eastAsia" w:ascii="宋体" w:hAnsi="宋体" w:eastAsia="宋体" w:cs="宋体"/>
          <w:kern w:val="2"/>
          <w:sz w:val="21"/>
          <w:szCs w:val="21"/>
          <w:lang w:eastAsia="zh-CN"/>
        </w:rPr>
        <w:t>。</w:t>
      </w:r>
    </w:p>
    <w:p w14:paraId="7117AA7B">
      <w:pPr>
        <w:adjustRightInd w:val="0"/>
        <w:snapToGrid w:val="0"/>
        <w:spacing w:line="360" w:lineRule="auto"/>
        <w:ind w:right="21" w:rightChars="10" w:firstLine="422" w:firstLineChars="200"/>
        <w:rPr>
          <w:rFonts w:hint="eastAsia" w:ascii="宋体" w:hAnsi="宋体" w:eastAsia="宋体" w:cs="宋体"/>
          <w:b/>
          <w:bCs/>
          <w:kern w:val="0"/>
          <w:sz w:val="21"/>
          <w:szCs w:val="21"/>
          <w:lang w:val="en-US" w:eastAsia="zh-Hans" w:bidi="ar-SA"/>
        </w:rPr>
      </w:pPr>
      <w:r>
        <w:rPr>
          <w:rFonts w:hint="eastAsia" w:ascii="宋体" w:hAnsi="宋体" w:eastAsia="宋体" w:cs="宋体"/>
          <w:b/>
          <w:bCs/>
          <w:kern w:val="0"/>
          <w:sz w:val="21"/>
          <w:szCs w:val="21"/>
          <w:lang w:val="en-US" w:eastAsia="zh-Hans" w:bidi="ar-SA"/>
        </w:rPr>
        <w:t>4. 本项目采用费用包干方式，各供应商应根据项目要求和情况详细列明项目所需的所有费用，以及人工、管理等费用，如一旦成交，在项目实施中出现任何遗漏，均由供应商免费提供，采购人不再支付任何费用。</w:t>
      </w:r>
    </w:p>
    <w:p w14:paraId="2887282C">
      <w:pPr>
        <w:adjustRightInd w:val="0"/>
        <w:snapToGrid w:val="0"/>
        <w:spacing w:line="360" w:lineRule="auto"/>
        <w:ind w:right="21" w:rightChars="10" w:firstLine="422" w:firstLineChars="200"/>
        <w:rPr>
          <w:rFonts w:hint="eastAsia" w:ascii="宋体" w:hAnsi="宋体" w:eastAsia="宋体" w:cs="宋体"/>
          <w:b/>
          <w:color w:val="000000"/>
          <w:kern w:val="0"/>
          <w:sz w:val="32"/>
          <w:szCs w:val="32"/>
        </w:rPr>
      </w:pPr>
      <w:r>
        <w:rPr>
          <w:rFonts w:hint="eastAsia" w:ascii="宋体" w:hAnsi="宋体" w:eastAsia="宋体" w:cs="宋体"/>
          <w:b/>
          <w:bCs/>
          <w:color w:val="000000"/>
          <w:kern w:val="0"/>
          <w:szCs w:val="21"/>
        </w:rPr>
        <w:t>对于上述项目要求，投标人应在投标文件中进行回应，</w:t>
      </w:r>
      <w:r>
        <w:rPr>
          <w:rFonts w:hint="eastAsia" w:ascii="宋体" w:hAnsi="宋体" w:eastAsia="宋体" w:cs="宋体"/>
          <w:b/>
          <w:bCs/>
          <w:color w:val="000000"/>
          <w:kern w:val="0"/>
          <w:szCs w:val="21"/>
          <w:lang w:val="en-US" w:eastAsia="zh-CN"/>
        </w:rPr>
        <w:t>全部</w:t>
      </w:r>
      <w:r>
        <w:rPr>
          <w:rFonts w:hint="eastAsia" w:ascii="宋体" w:hAnsi="宋体" w:eastAsia="宋体" w:cs="宋体"/>
          <w:b/>
          <w:bCs/>
          <w:color w:val="000000"/>
          <w:kern w:val="0"/>
          <w:szCs w:val="21"/>
        </w:rPr>
        <w:t>做出承诺及说明。</w:t>
      </w:r>
    </w:p>
    <w:p w14:paraId="6979A5F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2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997790"/>
    <w:rsid w:val="76997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2025-01-09T03:06:00Z</dcterms:created>
  <dc:creator>Administrator</dc:creator>
  <cp:lastModifiedBy>Administrator</cp:lastModifiedBy>
  <dcterms:modified xsi:type="dcterms:W3CDTF">2025-01-09T03:07:18Z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A6934830E5F14C43BC23CA0AE2F5F834_11</vt:lpwstr>
  </property>
  <property fmtid="{D5CDD505-2E9C-101B-9397-08002B2CF9AE}" pid="4" name="KSOTemplateDocerSaveRecord">
    <vt:lpwstr>eyJoZGlkIjoiOTRjZTQyZDE4OTJiOTk2YTc3MTk4MDllODQ3YzYzNDUiLCJ1c2VySWQiOiI2OTg1MDQ2MDkifQ==</vt:lpwstr>
  </property>
</Properties>
</file>