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C42221">
      <w:pPr>
        <w:wordWrap w:val="0"/>
        <w:ind w:firstLine="480"/>
        <w:jc w:val="right"/>
        <w:rPr>
          <w:rFonts w:ascii="仿宋" w:hAnsi="仿宋" w:eastAsia="仿宋"/>
          <w:color w:val="auto"/>
          <w:sz w:val="32"/>
        </w:rPr>
      </w:pPr>
      <w:r>
        <w:rPr>
          <w:rFonts w:hint="eastAsia" w:ascii="仿宋" w:hAnsi="仿宋" w:eastAsia="仿宋"/>
          <w:color w:val="auto"/>
          <w:kern w:val="0"/>
          <w:sz w:val="24"/>
        </w:rPr>
        <w:drawing>
          <wp:inline distT="0" distB="0" distL="0" distR="0">
            <wp:extent cx="1055370" cy="1076325"/>
            <wp:effectExtent l="0" t="0" r="0" b="0"/>
            <wp:docPr id="2" name="图片 1" descr="5BBBBQK%[9YTF6UF23BHVX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5BBBBQK%[9YTF6UF23BHVXU"/>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1055370" cy="1076325"/>
                    </a:xfrm>
                    <a:prstGeom prst="rect">
                      <a:avLst/>
                    </a:prstGeom>
                    <a:noFill/>
                    <a:ln>
                      <a:noFill/>
                    </a:ln>
                  </pic:spPr>
                </pic:pic>
              </a:graphicData>
            </a:graphic>
          </wp:inline>
        </w:drawing>
      </w:r>
    </w:p>
    <w:p w14:paraId="285E1F29">
      <w:pPr>
        <w:adjustRightInd w:val="0"/>
        <w:snapToGrid w:val="0"/>
        <w:spacing w:line="480" w:lineRule="auto"/>
        <w:ind w:firstLine="0" w:firstLineChars="0"/>
        <w:rPr>
          <w:rFonts w:ascii="仿宋" w:hAnsi="仿宋" w:eastAsia="仿宋"/>
          <w:color w:val="auto"/>
          <w:sz w:val="30"/>
          <w:szCs w:val="30"/>
          <w:lang w:val="hr-HR" w:bidi="ar-EG"/>
        </w:rPr>
      </w:pPr>
      <w:bookmarkStart w:id="0" w:name="_Hlk135610433"/>
    </w:p>
    <w:p w14:paraId="3DDE3333">
      <w:pPr>
        <w:spacing w:before="120" w:beforeLines="50" w:after="120" w:afterLines="50" w:line="240" w:lineRule="auto"/>
        <w:ind w:firstLine="0" w:firstLineChars="0"/>
        <w:jc w:val="center"/>
        <w:rPr>
          <w:rFonts w:ascii="仿宋" w:hAnsi="仿宋" w:eastAsia="仿宋" w:cs="微软雅黑"/>
          <w:color w:val="auto"/>
          <w:sz w:val="52"/>
          <w:szCs w:val="52"/>
        </w:rPr>
      </w:pPr>
      <w:r>
        <w:rPr>
          <w:rFonts w:hint="eastAsia" w:ascii="仿宋" w:hAnsi="仿宋" w:eastAsia="仿宋" w:cs="微软雅黑"/>
          <w:color w:val="auto"/>
          <w:sz w:val="52"/>
          <w:szCs w:val="52"/>
        </w:rPr>
        <w:t>政府采购项目</w:t>
      </w:r>
    </w:p>
    <w:p w14:paraId="105EF410">
      <w:pPr>
        <w:spacing w:before="120" w:beforeLines="50" w:after="120" w:afterLines="50" w:line="240" w:lineRule="auto"/>
        <w:ind w:firstLine="0" w:firstLineChars="0"/>
        <w:jc w:val="distribute"/>
        <w:rPr>
          <w:rFonts w:ascii="仿宋" w:hAnsi="仿宋" w:eastAsia="仿宋"/>
          <w:color w:val="auto"/>
          <w:sz w:val="120"/>
          <w:szCs w:val="120"/>
        </w:rPr>
      </w:pPr>
      <w:r>
        <w:rPr>
          <w:rFonts w:hint="eastAsia" w:ascii="仿宋" w:hAnsi="仿宋" w:eastAsia="仿宋"/>
          <w:color w:val="auto"/>
          <w:sz w:val="120"/>
          <w:szCs w:val="120"/>
        </w:rPr>
        <w:t>公开招标文件</w:t>
      </w:r>
    </w:p>
    <w:p w14:paraId="25C5B6B2">
      <w:pPr>
        <w:spacing w:line="480" w:lineRule="auto"/>
        <w:ind w:firstLine="0" w:firstLineChars="0"/>
        <w:rPr>
          <w:rFonts w:ascii="仿宋" w:hAnsi="仿宋" w:eastAsia="仿宋"/>
          <w:color w:val="auto"/>
          <w:sz w:val="30"/>
          <w:szCs w:val="30"/>
          <w:lang w:bidi="ar-EG"/>
        </w:rPr>
      </w:pPr>
      <w:bookmarkStart w:id="1" w:name="_Hlk135610387"/>
    </w:p>
    <w:p w14:paraId="2CFE9CF0">
      <w:pPr>
        <w:spacing w:line="480" w:lineRule="auto"/>
        <w:ind w:firstLine="0" w:firstLineChars="0"/>
        <w:rPr>
          <w:rFonts w:ascii="仿宋" w:hAnsi="仿宋" w:eastAsia="仿宋"/>
          <w:color w:val="auto"/>
          <w:sz w:val="30"/>
          <w:szCs w:val="30"/>
          <w:lang w:val="hr-HR" w:bidi="ar-EG"/>
        </w:rPr>
      </w:pPr>
    </w:p>
    <w:tbl>
      <w:tblPr>
        <w:tblStyle w:val="4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65"/>
        <w:gridCol w:w="5932"/>
      </w:tblGrid>
      <w:tr w14:paraId="7CE29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7" w:hRule="atLeast"/>
          <w:jc w:val="center"/>
        </w:trPr>
        <w:tc>
          <w:tcPr>
            <w:tcW w:w="1865" w:type="dxa"/>
          </w:tcPr>
          <w:p w14:paraId="3ED76799">
            <w:pPr>
              <w:adjustRightInd w:val="0"/>
              <w:snapToGrid w:val="0"/>
              <w:ind w:firstLine="0" w:firstLineChars="0"/>
              <w:rPr>
                <w:rFonts w:ascii="仿宋" w:hAnsi="仿宋" w:eastAsia="仿宋"/>
                <w:color w:val="auto"/>
                <w:sz w:val="30"/>
                <w:szCs w:val="30"/>
                <w:lang w:val="hr-HR" w:bidi="ar-EG"/>
              </w:rPr>
            </w:pPr>
            <w:r>
              <w:rPr>
                <w:rFonts w:hint="eastAsia" w:ascii="仿宋" w:hAnsi="仿宋" w:eastAsia="仿宋"/>
                <w:color w:val="auto"/>
                <w:sz w:val="30"/>
                <w:szCs w:val="30"/>
                <w:lang w:val="hr-HR" w:bidi="ar-EG"/>
              </w:rPr>
              <w:t>项目编号：</w:t>
            </w:r>
          </w:p>
        </w:tc>
        <w:tc>
          <w:tcPr>
            <w:tcW w:w="5932" w:type="dxa"/>
          </w:tcPr>
          <w:p w14:paraId="68AE2C33">
            <w:pPr>
              <w:adjustRightInd w:val="0"/>
              <w:snapToGrid w:val="0"/>
              <w:ind w:firstLine="0" w:firstLineChars="0"/>
              <w:rPr>
                <w:rFonts w:ascii="仿宋" w:hAnsi="仿宋" w:eastAsia="仿宋"/>
                <w:color w:val="auto"/>
                <w:sz w:val="30"/>
                <w:szCs w:val="30"/>
                <w:lang w:val="hr-HR" w:bidi="ar-EG"/>
              </w:rPr>
            </w:pPr>
            <w:r>
              <w:rPr>
                <w:rFonts w:hint="eastAsia" w:ascii="仿宋" w:hAnsi="仿宋" w:eastAsia="仿宋"/>
                <w:color w:val="auto"/>
                <w:sz w:val="30"/>
                <w:szCs w:val="30"/>
                <w:lang w:bidi="ar-EG"/>
              </w:rPr>
              <w:t>HBCZ-22020156-</w:t>
            </w:r>
            <w:r>
              <w:rPr>
                <w:rFonts w:ascii="仿宋" w:hAnsi="仿宋" w:eastAsia="仿宋"/>
                <w:color w:val="auto"/>
                <w:sz w:val="30"/>
                <w:szCs w:val="30"/>
                <w:lang w:bidi="ar-EG"/>
              </w:rPr>
              <w:t>243849</w:t>
            </w:r>
          </w:p>
        </w:tc>
      </w:tr>
      <w:tr w14:paraId="2A34D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7" w:hRule="atLeast"/>
          <w:jc w:val="center"/>
        </w:trPr>
        <w:tc>
          <w:tcPr>
            <w:tcW w:w="1865" w:type="dxa"/>
          </w:tcPr>
          <w:p w14:paraId="1B938AC0">
            <w:pPr>
              <w:adjustRightInd w:val="0"/>
              <w:snapToGrid w:val="0"/>
              <w:ind w:firstLine="0" w:firstLineChars="0"/>
              <w:rPr>
                <w:rFonts w:ascii="仿宋" w:hAnsi="仿宋" w:eastAsia="仿宋"/>
                <w:color w:val="auto"/>
                <w:sz w:val="30"/>
                <w:szCs w:val="30"/>
                <w:lang w:val="hr-HR" w:bidi="ar-EG"/>
              </w:rPr>
            </w:pPr>
            <w:r>
              <w:rPr>
                <w:rFonts w:hint="eastAsia" w:ascii="仿宋" w:hAnsi="仿宋" w:eastAsia="仿宋"/>
                <w:color w:val="auto"/>
                <w:sz w:val="30"/>
                <w:szCs w:val="30"/>
                <w:lang w:val="hr-HR" w:bidi="ar-EG"/>
              </w:rPr>
              <w:t>项目名称：</w:t>
            </w:r>
          </w:p>
        </w:tc>
        <w:tc>
          <w:tcPr>
            <w:tcW w:w="5932" w:type="dxa"/>
          </w:tcPr>
          <w:p w14:paraId="063E9709">
            <w:pPr>
              <w:adjustRightInd w:val="0"/>
              <w:snapToGrid w:val="0"/>
              <w:ind w:firstLine="0" w:firstLineChars="0"/>
              <w:rPr>
                <w:rFonts w:ascii="仿宋" w:hAnsi="仿宋" w:eastAsia="仿宋"/>
                <w:color w:val="auto"/>
                <w:sz w:val="30"/>
                <w:szCs w:val="30"/>
                <w:lang w:val="hr-HR" w:bidi="ar-EG"/>
              </w:rPr>
            </w:pPr>
            <w:r>
              <w:rPr>
                <w:rFonts w:hint="eastAsia" w:ascii="仿宋" w:hAnsi="仿宋" w:eastAsia="仿宋"/>
                <w:color w:val="auto"/>
                <w:sz w:val="30"/>
                <w:szCs w:val="30"/>
                <w:lang w:val="hr-HR" w:bidi="ar-EG"/>
              </w:rPr>
              <w:t>华中科技大学同济医学院附属同济医院自动细胞显微图像扫描系统采购项目</w:t>
            </w:r>
          </w:p>
        </w:tc>
      </w:tr>
      <w:tr w14:paraId="6AF64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7" w:hRule="atLeast"/>
          <w:jc w:val="center"/>
        </w:trPr>
        <w:tc>
          <w:tcPr>
            <w:tcW w:w="1865" w:type="dxa"/>
          </w:tcPr>
          <w:p w14:paraId="48751589">
            <w:pPr>
              <w:adjustRightInd w:val="0"/>
              <w:snapToGrid w:val="0"/>
              <w:ind w:firstLine="0" w:firstLineChars="0"/>
              <w:rPr>
                <w:rFonts w:ascii="仿宋" w:hAnsi="仿宋" w:eastAsia="仿宋"/>
                <w:color w:val="auto"/>
                <w:sz w:val="30"/>
                <w:szCs w:val="30"/>
                <w:lang w:val="hr-HR" w:bidi="ar-EG"/>
              </w:rPr>
            </w:pPr>
            <w:r>
              <w:rPr>
                <w:rFonts w:hint="eastAsia" w:ascii="仿宋" w:hAnsi="仿宋" w:eastAsia="仿宋"/>
                <w:color w:val="auto"/>
                <w:sz w:val="30"/>
                <w:szCs w:val="30"/>
                <w:lang w:val="hr-HR" w:bidi="ar-EG"/>
              </w:rPr>
              <w:t>采购内容：</w:t>
            </w:r>
          </w:p>
        </w:tc>
        <w:tc>
          <w:tcPr>
            <w:tcW w:w="5932" w:type="dxa"/>
          </w:tcPr>
          <w:p w14:paraId="4EC80861">
            <w:pPr>
              <w:adjustRightInd w:val="0"/>
              <w:snapToGrid w:val="0"/>
              <w:ind w:firstLine="0" w:firstLineChars="0"/>
              <w:rPr>
                <w:rFonts w:ascii="仿宋" w:hAnsi="仿宋" w:eastAsia="仿宋"/>
                <w:color w:val="auto"/>
                <w:sz w:val="30"/>
                <w:szCs w:val="30"/>
                <w:lang w:val="hr-HR" w:bidi="ar-EG"/>
              </w:rPr>
            </w:pPr>
            <w:r>
              <w:rPr>
                <w:rFonts w:hint="eastAsia" w:ascii="仿宋" w:hAnsi="仿宋" w:eastAsia="仿宋"/>
                <w:color w:val="auto"/>
                <w:sz w:val="30"/>
                <w:szCs w:val="30"/>
                <w:lang w:val="hr-HR" w:bidi="ar-EG"/>
              </w:rPr>
              <w:t>自动细胞显微图像扫描系统</w:t>
            </w:r>
          </w:p>
        </w:tc>
      </w:tr>
      <w:tr w14:paraId="2A91B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9" w:hRule="atLeast"/>
          <w:jc w:val="center"/>
        </w:trPr>
        <w:tc>
          <w:tcPr>
            <w:tcW w:w="1865" w:type="dxa"/>
          </w:tcPr>
          <w:p w14:paraId="045D9EF1">
            <w:pPr>
              <w:adjustRightInd w:val="0"/>
              <w:snapToGrid w:val="0"/>
              <w:ind w:firstLine="0" w:firstLineChars="0"/>
              <w:rPr>
                <w:rFonts w:ascii="仿宋" w:hAnsi="仿宋" w:eastAsia="仿宋"/>
                <w:color w:val="auto"/>
                <w:sz w:val="30"/>
                <w:szCs w:val="30"/>
                <w:lang w:val="hr-HR" w:bidi="ar-EG"/>
              </w:rPr>
            </w:pPr>
            <w:r>
              <w:rPr>
                <w:rFonts w:hint="eastAsia" w:ascii="仿宋" w:hAnsi="仿宋" w:eastAsia="仿宋"/>
                <w:color w:val="auto"/>
                <w:sz w:val="30"/>
                <w:szCs w:val="30"/>
                <w:lang w:bidi="ar-EG"/>
              </w:rPr>
              <w:t>采 购 人：</w:t>
            </w:r>
          </w:p>
        </w:tc>
        <w:tc>
          <w:tcPr>
            <w:tcW w:w="5932" w:type="dxa"/>
          </w:tcPr>
          <w:p w14:paraId="16A7486A">
            <w:pPr>
              <w:adjustRightInd w:val="0"/>
              <w:snapToGrid w:val="0"/>
              <w:ind w:firstLine="0" w:firstLineChars="0"/>
              <w:rPr>
                <w:rFonts w:ascii="仿宋" w:hAnsi="仿宋" w:eastAsia="仿宋"/>
                <w:color w:val="auto"/>
                <w:sz w:val="30"/>
                <w:szCs w:val="30"/>
                <w:lang w:bidi="ar-EG"/>
              </w:rPr>
            </w:pPr>
            <w:r>
              <w:rPr>
                <w:rFonts w:hint="eastAsia" w:ascii="仿宋" w:hAnsi="仿宋" w:eastAsia="仿宋"/>
                <w:color w:val="auto"/>
                <w:sz w:val="30"/>
                <w:szCs w:val="30"/>
                <w:lang w:val="hr-HR" w:bidi="ar-EG"/>
              </w:rPr>
              <w:t>华中科技大学同济医学院附属同济医院</w:t>
            </w:r>
          </w:p>
        </w:tc>
      </w:tr>
      <w:tr w14:paraId="741F3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7" w:hRule="atLeast"/>
          <w:jc w:val="center"/>
        </w:trPr>
        <w:tc>
          <w:tcPr>
            <w:tcW w:w="1865" w:type="dxa"/>
          </w:tcPr>
          <w:p w14:paraId="33C7E301">
            <w:pPr>
              <w:adjustRightInd w:val="0"/>
              <w:snapToGrid w:val="0"/>
              <w:ind w:firstLine="0" w:firstLineChars="0"/>
              <w:rPr>
                <w:rFonts w:ascii="仿宋" w:hAnsi="仿宋" w:eastAsia="仿宋"/>
                <w:color w:val="auto"/>
                <w:sz w:val="30"/>
                <w:szCs w:val="30"/>
                <w:lang w:val="hr-HR" w:bidi="ar-EG"/>
              </w:rPr>
            </w:pPr>
            <w:r>
              <w:rPr>
                <w:rFonts w:hint="eastAsia" w:ascii="仿宋" w:hAnsi="仿宋" w:eastAsia="仿宋"/>
                <w:color w:val="auto"/>
                <w:sz w:val="30"/>
                <w:szCs w:val="30"/>
                <w:lang w:val="hr-HR" w:bidi="ar-EG"/>
              </w:rPr>
              <w:t>代理机构：</w:t>
            </w:r>
          </w:p>
        </w:tc>
        <w:tc>
          <w:tcPr>
            <w:tcW w:w="5932" w:type="dxa"/>
          </w:tcPr>
          <w:p w14:paraId="165C75C8">
            <w:pPr>
              <w:adjustRightInd w:val="0"/>
              <w:snapToGrid w:val="0"/>
              <w:ind w:firstLine="0" w:firstLineChars="0"/>
              <w:rPr>
                <w:rFonts w:ascii="仿宋" w:hAnsi="仿宋" w:eastAsia="仿宋"/>
                <w:color w:val="auto"/>
                <w:sz w:val="30"/>
                <w:szCs w:val="30"/>
                <w:lang w:val="zh-CN" w:bidi="ar-EG"/>
              </w:rPr>
            </w:pPr>
            <w:r>
              <w:rPr>
                <w:rFonts w:hint="eastAsia" w:ascii="仿宋" w:hAnsi="仿宋" w:eastAsia="仿宋"/>
                <w:color w:val="auto"/>
                <w:sz w:val="30"/>
                <w:szCs w:val="30"/>
                <w:lang w:val="zh-CN" w:bidi="ar-EG"/>
              </w:rPr>
              <w:t>湖北省成套招标股份有限公司</w:t>
            </w:r>
          </w:p>
        </w:tc>
      </w:tr>
      <w:tr w14:paraId="785D4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9" w:hRule="atLeast"/>
          <w:jc w:val="center"/>
        </w:trPr>
        <w:tc>
          <w:tcPr>
            <w:tcW w:w="1865" w:type="dxa"/>
          </w:tcPr>
          <w:p w14:paraId="6D01ACC7">
            <w:pPr>
              <w:adjustRightInd w:val="0"/>
              <w:snapToGrid w:val="0"/>
              <w:ind w:firstLine="0" w:firstLineChars="0"/>
              <w:rPr>
                <w:rFonts w:ascii="仿宋" w:hAnsi="仿宋" w:eastAsia="仿宋"/>
                <w:color w:val="auto"/>
                <w:sz w:val="30"/>
                <w:szCs w:val="30"/>
                <w:lang w:val="hr-HR" w:bidi="ar-EG"/>
              </w:rPr>
            </w:pPr>
            <w:r>
              <w:rPr>
                <w:rFonts w:hint="eastAsia" w:ascii="仿宋" w:hAnsi="仿宋" w:eastAsia="仿宋"/>
                <w:color w:val="auto"/>
                <w:sz w:val="30"/>
                <w:szCs w:val="30"/>
                <w:lang w:val="hr-HR" w:bidi="ar-EG"/>
              </w:rPr>
              <w:t>编制时间：</w:t>
            </w:r>
          </w:p>
        </w:tc>
        <w:tc>
          <w:tcPr>
            <w:tcW w:w="5932" w:type="dxa"/>
          </w:tcPr>
          <w:p w14:paraId="744E3BE9">
            <w:pPr>
              <w:adjustRightInd w:val="0"/>
              <w:snapToGrid w:val="0"/>
              <w:ind w:firstLine="0" w:firstLineChars="0"/>
              <w:rPr>
                <w:rFonts w:ascii="仿宋" w:hAnsi="仿宋" w:eastAsia="仿宋"/>
                <w:color w:val="auto"/>
                <w:sz w:val="30"/>
                <w:szCs w:val="30"/>
                <w:lang w:val="hr-HR" w:bidi="ar-EG"/>
              </w:rPr>
            </w:pPr>
            <w:r>
              <w:rPr>
                <w:rFonts w:hint="eastAsia" w:ascii="仿宋" w:hAnsi="仿宋" w:eastAsia="仿宋"/>
                <w:color w:val="auto"/>
                <w:sz w:val="30"/>
                <w:szCs w:val="30"/>
                <w:lang w:val="hr-HR" w:bidi="ar-EG"/>
              </w:rPr>
              <w:t>二零二</w:t>
            </w:r>
            <w:r>
              <w:rPr>
                <w:rFonts w:hint="eastAsia" w:ascii="仿宋" w:hAnsi="仿宋" w:eastAsia="仿宋"/>
                <w:color w:val="auto"/>
                <w:sz w:val="30"/>
                <w:szCs w:val="30"/>
                <w:lang w:val="en-US" w:eastAsia="zh-CN" w:bidi="ar-EG"/>
              </w:rPr>
              <w:t>五</w:t>
            </w:r>
            <w:r>
              <w:rPr>
                <w:rFonts w:hint="eastAsia" w:ascii="仿宋" w:hAnsi="仿宋" w:eastAsia="仿宋"/>
                <w:color w:val="auto"/>
                <w:sz w:val="30"/>
                <w:szCs w:val="30"/>
                <w:lang w:val="hr-HR" w:bidi="ar-EG"/>
              </w:rPr>
              <w:t>年</w:t>
            </w:r>
            <w:r>
              <w:rPr>
                <w:rFonts w:hint="eastAsia" w:ascii="仿宋" w:hAnsi="仿宋" w:eastAsia="仿宋"/>
                <w:color w:val="auto"/>
                <w:sz w:val="30"/>
                <w:szCs w:val="30"/>
                <w:lang w:val="en-US" w:eastAsia="zh-CN" w:bidi="ar-EG"/>
              </w:rPr>
              <w:t>一</w:t>
            </w:r>
            <w:r>
              <w:rPr>
                <w:rFonts w:hint="eastAsia" w:ascii="仿宋" w:hAnsi="仿宋" w:eastAsia="仿宋"/>
                <w:color w:val="auto"/>
                <w:sz w:val="30"/>
                <w:szCs w:val="30"/>
                <w:lang w:val="hr-HR" w:bidi="ar-EG"/>
              </w:rPr>
              <w:t>月</w:t>
            </w:r>
          </w:p>
        </w:tc>
      </w:tr>
    </w:tbl>
    <w:p w14:paraId="2ED13CA7">
      <w:pPr>
        <w:spacing w:line="480" w:lineRule="auto"/>
        <w:ind w:firstLine="0" w:firstLineChars="0"/>
        <w:rPr>
          <w:rFonts w:ascii="仿宋" w:hAnsi="仿宋" w:eastAsia="仿宋"/>
          <w:color w:val="auto"/>
          <w:sz w:val="30"/>
          <w:szCs w:val="30"/>
          <w:lang w:val="hr-HR" w:bidi="ar-EG"/>
        </w:rPr>
      </w:pPr>
    </w:p>
    <w:bookmarkEnd w:id="1"/>
    <w:p w14:paraId="2C1093A2">
      <w:pPr>
        <w:adjustRightInd w:val="0"/>
        <w:snapToGrid w:val="0"/>
        <w:spacing w:line="480" w:lineRule="auto"/>
        <w:ind w:firstLine="600"/>
        <w:rPr>
          <w:rFonts w:ascii="仿宋" w:hAnsi="仿宋" w:eastAsia="仿宋"/>
          <w:color w:val="auto"/>
          <w:sz w:val="30"/>
          <w:szCs w:val="30"/>
          <w:lang w:val="hr-HR" w:bidi="ar-EG"/>
        </w:rPr>
      </w:pPr>
    </w:p>
    <w:bookmarkEnd w:id="0"/>
    <w:p w14:paraId="5C7BB7D1">
      <w:pPr>
        <w:widowControl/>
        <w:spacing w:line="240" w:lineRule="auto"/>
        <w:ind w:firstLine="0" w:firstLineChars="0"/>
        <w:jc w:val="left"/>
        <w:rPr>
          <w:rFonts w:ascii="仿宋" w:hAnsi="仿宋" w:eastAsia="仿宋"/>
          <w:color w:val="auto"/>
          <w:szCs w:val="21"/>
        </w:rPr>
        <w:sectPr>
          <w:headerReference r:id="rId7" w:type="first"/>
          <w:footerReference r:id="rId10" w:type="first"/>
          <w:headerReference r:id="rId5" w:type="default"/>
          <w:footerReference r:id="rId8" w:type="default"/>
          <w:headerReference r:id="rId6" w:type="even"/>
          <w:footerReference r:id="rId9" w:type="even"/>
          <w:type w:val="continuous"/>
          <w:pgSz w:w="11906" w:h="16838"/>
          <w:pgMar w:top="1440" w:right="1800" w:bottom="1440" w:left="1800" w:header="851" w:footer="992" w:gutter="0"/>
          <w:pgNumType w:start="0"/>
          <w:cols w:space="720" w:num="1"/>
          <w:docGrid w:linePitch="312" w:charSpace="0"/>
        </w:sectPr>
      </w:pPr>
    </w:p>
    <w:p w14:paraId="79F4A53E">
      <w:pPr>
        <w:widowControl/>
        <w:spacing w:line="240" w:lineRule="auto"/>
        <w:ind w:firstLine="0" w:firstLineChars="0"/>
        <w:jc w:val="left"/>
        <w:rPr>
          <w:rFonts w:ascii="仿宋" w:hAnsi="仿宋" w:eastAsia="仿宋"/>
          <w:bCs/>
          <w:color w:val="auto"/>
          <w:sz w:val="36"/>
          <w:szCs w:val="36"/>
        </w:rPr>
      </w:pPr>
      <w:r>
        <w:rPr>
          <w:rFonts w:ascii="仿宋" w:hAnsi="仿宋" w:eastAsia="仿宋"/>
          <w:bCs/>
          <w:color w:val="auto"/>
          <w:sz w:val="36"/>
          <w:szCs w:val="36"/>
        </w:rPr>
        <w:br w:type="page"/>
      </w:r>
    </w:p>
    <w:p w14:paraId="397426D2">
      <w:pPr>
        <w:spacing w:before="120" w:beforeLines="50" w:after="120" w:afterLines="50" w:line="240" w:lineRule="auto"/>
        <w:ind w:firstLine="0" w:firstLineChars="0"/>
        <w:jc w:val="center"/>
        <w:rPr>
          <w:rFonts w:ascii="仿宋" w:hAnsi="仿宋" w:eastAsia="仿宋"/>
          <w:bCs/>
          <w:color w:val="auto"/>
          <w:sz w:val="36"/>
          <w:szCs w:val="36"/>
        </w:rPr>
      </w:pPr>
      <w:r>
        <w:rPr>
          <w:rFonts w:hint="eastAsia" w:ascii="仿宋" w:hAnsi="仿宋" w:eastAsia="仿宋"/>
          <w:bCs/>
          <w:color w:val="auto"/>
          <w:sz w:val="36"/>
          <w:szCs w:val="36"/>
        </w:rPr>
        <w:t>目录</w:t>
      </w:r>
    </w:p>
    <w:p w14:paraId="323746D6">
      <w:pPr>
        <w:pStyle w:val="29"/>
        <w:tabs>
          <w:tab w:val="right" w:leader="dot" w:pos="8296"/>
        </w:tabs>
        <w:ind w:left="210" w:right="210" w:firstLine="480"/>
        <w:rPr>
          <w:rFonts w:asciiTheme="minorHAnsi" w:hAnsiTheme="minorHAnsi" w:eastAsiaTheme="minorEastAsia" w:cstheme="minorBidi"/>
          <w:color w:val="auto"/>
          <w:szCs w:val="22"/>
        </w:rPr>
      </w:pPr>
      <w:r>
        <w:rPr>
          <w:rFonts w:hint="eastAsia" w:ascii="仿宋" w:hAnsi="仿宋" w:eastAsia="仿宋" w:cs="宋体"/>
          <w:color w:val="auto"/>
          <w:sz w:val="24"/>
        </w:rPr>
        <w:fldChar w:fldCharType="begin"/>
      </w:r>
      <w:r>
        <w:rPr>
          <w:rFonts w:hint="eastAsia" w:ascii="仿宋" w:hAnsi="仿宋" w:eastAsia="仿宋" w:cs="宋体"/>
          <w:color w:val="auto"/>
          <w:sz w:val="24"/>
        </w:rPr>
        <w:instrText xml:space="preserve"> TOC \o "1-3" \h \z \u </w:instrText>
      </w:r>
      <w:r>
        <w:rPr>
          <w:rFonts w:hint="eastAsia" w:ascii="仿宋" w:hAnsi="仿宋" w:eastAsia="仿宋" w:cs="宋体"/>
          <w:color w:val="auto"/>
          <w:sz w:val="24"/>
        </w:rPr>
        <w:fldChar w:fldCharType="separate"/>
      </w:r>
      <w:r>
        <w:rPr>
          <w:color w:val="auto"/>
        </w:rPr>
        <w:fldChar w:fldCharType="begin"/>
      </w:r>
      <w:r>
        <w:rPr>
          <w:color w:val="auto"/>
        </w:rPr>
        <w:instrText xml:space="preserve"> HYPERLINK \l "_Toc181712875" </w:instrText>
      </w:r>
      <w:r>
        <w:rPr>
          <w:color w:val="auto"/>
        </w:rPr>
        <w:fldChar w:fldCharType="separate"/>
      </w:r>
      <w:r>
        <w:rPr>
          <w:rStyle w:val="50"/>
          <w:rFonts w:ascii="仿宋" w:hAnsi="仿宋" w:eastAsia="仿宋"/>
          <w:bCs/>
          <w:color w:val="auto"/>
        </w:rPr>
        <w:t>第一章 招标公告（代投标邀请函）</w:t>
      </w:r>
      <w:r>
        <w:rPr>
          <w:color w:val="auto"/>
        </w:rPr>
        <w:tab/>
      </w:r>
      <w:r>
        <w:rPr>
          <w:color w:val="auto"/>
        </w:rPr>
        <w:fldChar w:fldCharType="begin"/>
      </w:r>
      <w:r>
        <w:rPr>
          <w:color w:val="auto"/>
        </w:rPr>
        <w:instrText xml:space="preserve"> PAGEREF _Toc181712875 \h </w:instrText>
      </w:r>
      <w:r>
        <w:rPr>
          <w:color w:val="auto"/>
        </w:rPr>
        <w:fldChar w:fldCharType="separate"/>
      </w:r>
      <w:r>
        <w:rPr>
          <w:color w:val="auto"/>
        </w:rPr>
        <w:t>3</w:t>
      </w:r>
      <w:r>
        <w:rPr>
          <w:color w:val="auto"/>
        </w:rPr>
        <w:fldChar w:fldCharType="end"/>
      </w:r>
      <w:r>
        <w:rPr>
          <w:color w:val="auto"/>
        </w:rPr>
        <w:fldChar w:fldCharType="end"/>
      </w:r>
    </w:p>
    <w:p w14:paraId="0DA551CB">
      <w:pPr>
        <w:pStyle w:val="29"/>
        <w:tabs>
          <w:tab w:val="right" w:leader="dot" w:pos="8296"/>
        </w:tabs>
        <w:ind w:left="210" w:right="210"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"_Toc181712876" </w:instrText>
      </w:r>
      <w:r>
        <w:rPr>
          <w:color w:val="auto"/>
        </w:rPr>
        <w:fldChar w:fldCharType="separate"/>
      </w:r>
      <w:r>
        <w:rPr>
          <w:rStyle w:val="50"/>
          <w:rFonts w:ascii="仿宋" w:hAnsi="仿宋" w:eastAsia="仿宋"/>
          <w:bCs/>
          <w:color w:val="auto"/>
        </w:rPr>
        <w:t>第二章 投标人须知</w:t>
      </w:r>
      <w:r>
        <w:rPr>
          <w:color w:val="auto"/>
        </w:rPr>
        <w:tab/>
      </w:r>
      <w:r>
        <w:rPr>
          <w:color w:val="auto"/>
        </w:rPr>
        <w:fldChar w:fldCharType="begin"/>
      </w:r>
      <w:r>
        <w:rPr>
          <w:color w:val="auto"/>
        </w:rPr>
        <w:instrText xml:space="preserve"> PAGEREF _Toc181712876 \h </w:instrText>
      </w:r>
      <w:r>
        <w:rPr>
          <w:color w:val="auto"/>
        </w:rPr>
        <w:fldChar w:fldCharType="separate"/>
      </w:r>
      <w:r>
        <w:rPr>
          <w:color w:val="auto"/>
        </w:rPr>
        <w:t>6</w:t>
      </w:r>
      <w:r>
        <w:rPr>
          <w:color w:val="auto"/>
        </w:rPr>
        <w:fldChar w:fldCharType="end"/>
      </w:r>
      <w:r>
        <w:rPr>
          <w:color w:val="auto"/>
        </w:rPr>
        <w:fldChar w:fldCharType="end"/>
      </w:r>
    </w:p>
    <w:p w14:paraId="1A3F8841">
      <w:pPr>
        <w:pStyle w:val="36"/>
        <w:tabs>
          <w:tab w:val="right" w:leader="dot" w:pos="8296"/>
        </w:tabs>
        <w:ind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"_Toc181712877" </w:instrText>
      </w:r>
      <w:r>
        <w:rPr>
          <w:color w:val="auto"/>
        </w:rPr>
        <w:fldChar w:fldCharType="separate"/>
      </w:r>
      <w:r>
        <w:rPr>
          <w:rStyle w:val="50"/>
          <w:rFonts w:ascii="仿宋" w:hAnsi="仿宋" w:eastAsia="仿宋"/>
          <w:color w:val="auto"/>
        </w:rPr>
        <w:t>一、投标人须知前附表</w:t>
      </w:r>
      <w:r>
        <w:rPr>
          <w:color w:val="auto"/>
        </w:rPr>
        <w:tab/>
      </w:r>
      <w:r>
        <w:rPr>
          <w:color w:val="auto"/>
        </w:rPr>
        <w:fldChar w:fldCharType="begin"/>
      </w:r>
      <w:r>
        <w:rPr>
          <w:color w:val="auto"/>
        </w:rPr>
        <w:instrText xml:space="preserve"> PAGEREF _Toc181712877 \h </w:instrText>
      </w:r>
      <w:r>
        <w:rPr>
          <w:color w:val="auto"/>
        </w:rPr>
        <w:fldChar w:fldCharType="separate"/>
      </w:r>
      <w:r>
        <w:rPr>
          <w:color w:val="auto"/>
        </w:rPr>
        <w:t>6</w:t>
      </w:r>
      <w:r>
        <w:rPr>
          <w:color w:val="auto"/>
        </w:rPr>
        <w:fldChar w:fldCharType="end"/>
      </w:r>
      <w:r>
        <w:rPr>
          <w:color w:val="auto"/>
        </w:rPr>
        <w:fldChar w:fldCharType="end"/>
      </w:r>
    </w:p>
    <w:p w14:paraId="125ADF3C">
      <w:pPr>
        <w:pStyle w:val="36"/>
        <w:tabs>
          <w:tab w:val="right" w:leader="dot" w:pos="8296"/>
        </w:tabs>
        <w:ind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"_Toc181712878" </w:instrText>
      </w:r>
      <w:r>
        <w:rPr>
          <w:color w:val="auto"/>
        </w:rPr>
        <w:fldChar w:fldCharType="separate"/>
      </w:r>
      <w:r>
        <w:rPr>
          <w:rStyle w:val="50"/>
          <w:rFonts w:ascii="仿宋" w:hAnsi="仿宋" w:eastAsia="仿宋" w:cs="宋体"/>
          <w:bCs/>
          <w:color w:val="auto"/>
        </w:rPr>
        <w:t>二、</w:t>
      </w:r>
      <w:r>
        <w:rPr>
          <w:rStyle w:val="50"/>
          <w:rFonts w:ascii="仿宋" w:hAnsi="仿宋" w:eastAsia="仿宋"/>
          <w:bCs/>
          <w:color w:val="auto"/>
        </w:rPr>
        <w:t>投标人须知</w:t>
      </w:r>
      <w:r>
        <w:rPr>
          <w:color w:val="auto"/>
        </w:rPr>
        <w:tab/>
      </w:r>
      <w:r>
        <w:rPr>
          <w:color w:val="auto"/>
        </w:rPr>
        <w:fldChar w:fldCharType="begin"/>
      </w:r>
      <w:r>
        <w:rPr>
          <w:color w:val="auto"/>
        </w:rPr>
        <w:instrText xml:space="preserve"> PAGEREF _Toc181712878 \h </w:instrText>
      </w:r>
      <w:r>
        <w:rPr>
          <w:color w:val="auto"/>
        </w:rPr>
        <w:fldChar w:fldCharType="separate"/>
      </w:r>
      <w:r>
        <w:rPr>
          <w:color w:val="auto"/>
        </w:rPr>
        <w:t>12</w:t>
      </w:r>
      <w:r>
        <w:rPr>
          <w:color w:val="auto"/>
        </w:rPr>
        <w:fldChar w:fldCharType="end"/>
      </w:r>
      <w:r>
        <w:rPr>
          <w:color w:val="auto"/>
        </w:rPr>
        <w:fldChar w:fldCharType="end"/>
      </w:r>
    </w:p>
    <w:p w14:paraId="4332CE6C">
      <w:pPr>
        <w:pStyle w:val="21"/>
        <w:tabs>
          <w:tab w:val="right" w:leader="dot" w:pos="8296"/>
        </w:tabs>
        <w:ind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"_Toc181712879" </w:instrText>
      </w:r>
      <w:r>
        <w:rPr>
          <w:color w:val="auto"/>
        </w:rPr>
        <w:fldChar w:fldCharType="separate"/>
      </w:r>
      <w:r>
        <w:rPr>
          <w:rStyle w:val="50"/>
          <w:rFonts w:ascii="仿宋" w:hAnsi="仿宋" w:eastAsia="仿宋"/>
          <w:color w:val="auto"/>
        </w:rPr>
        <w:t>（一）总则</w:t>
      </w:r>
      <w:r>
        <w:rPr>
          <w:color w:val="auto"/>
        </w:rPr>
        <w:tab/>
      </w:r>
      <w:r>
        <w:rPr>
          <w:color w:val="auto"/>
        </w:rPr>
        <w:fldChar w:fldCharType="begin"/>
      </w:r>
      <w:r>
        <w:rPr>
          <w:color w:val="auto"/>
        </w:rPr>
        <w:instrText xml:space="preserve"> PAGEREF _Toc181712879 \h </w:instrText>
      </w:r>
      <w:r>
        <w:rPr>
          <w:color w:val="auto"/>
        </w:rPr>
        <w:fldChar w:fldCharType="separate"/>
      </w:r>
      <w:r>
        <w:rPr>
          <w:color w:val="auto"/>
        </w:rPr>
        <w:t>12</w:t>
      </w:r>
      <w:r>
        <w:rPr>
          <w:color w:val="auto"/>
        </w:rPr>
        <w:fldChar w:fldCharType="end"/>
      </w:r>
      <w:r>
        <w:rPr>
          <w:color w:val="auto"/>
        </w:rPr>
        <w:fldChar w:fldCharType="end"/>
      </w:r>
    </w:p>
    <w:p w14:paraId="0F25E5F8">
      <w:pPr>
        <w:pStyle w:val="21"/>
        <w:tabs>
          <w:tab w:val="right" w:leader="dot" w:pos="8296"/>
        </w:tabs>
        <w:ind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"_Toc181712880" </w:instrText>
      </w:r>
      <w:r>
        <w:rPr>
          <w:color w:val="auto"/>
        </w:rPr>
        <w:fldChar w:fldCharType="separate"/>
      </w:r>
      <w:r>
        <w:rPr>
          <w:rStyle w:val="50"/>
          <w:rFonts w:ascii="仿宋" w:hAnsi="仿宋" w:eastAsia="仿宋"/>
          <w:color w:val="auto"/>
        </w:rPr>
        <w:t>（二）招标文件</w:t>
      </w:r>
      <w:r>
        <w:rPr>
          <w:color w:val="auto"/>
        </w:rPr>
        <w:tab/>
      </w:r>
      <w:r>
        <w:rPr>
          <w:color w:val="auto"/>
        </w:rPr>
        <w:fldChar w:fldCharType="begin"/>
      </w:r>
      <w:r>
        <w:rPr>
          <w:color w:val="auto"/>
        </w:rPr>
        <w:instrText xml:space="preserve"> PAGEREF _Toc181712880 \h </w:instrText>
      </w:r>
      <w:r>
        <w:rPr>
          <w:color w:val="auto"/>
        </w:rPr>
        <w:fldChar w:fldCharType="separate"/>
      </w:r>
      <w:r>
        <w:rPr>
          <w:color w:val="auto"/>
        </w:rPr>
        <w:t>12</w:t>
      </w:r>
      <w:r>
        <w:rPr>
          <w:color w:val="auto"/>
        </w:rPr>
        <w:fldChar w:fldCharType="end"/>
      </w:r>
      <w:r>
        <w:rPr>
          <w:color w:val="auto"/>
        </w:rPr>
        <w:fldChar w:fldCharType="end"/>
      </w:r>
    </w:p>
    <w:p w14:paraId="3BF421AD">
      <w:pPr>
        <w:pStyle w:val="21"/>
        <w:tabs>
          <w:tab w:val="right" w:leader="dot" w:pos="8296"/>
        </w:tabs>
        <w:ind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"_Toc181712881" </w:instrText>
      </w:r>
      <w:r>
        <w:rPr>
          <w:color w:val="auto"/>
        </w:rPr>
        <w:fldChar w:fldCharType="separate"/>
      </w:r>
      <w:r>
        <w:rPr>
          <w:rStyle w:val="50"/>
          <w:rFonts w:ascii="仿宋" w:hAnsi="仿宋" w:eastAsia="仿宋"/>
          <w:color w:val="auto"/>
        </w:rPr>
        <w:t>（三）投标文件</w:t>
      </w:r>
      <w:r>
        <w:rPr>
          <w:color w:val="auto"/>
        </w:rPr>
        <w:tab/>
      </w:r>
      <w:r>
        <w:rPr>
          <w:color w:val="auto"/>
        </w:rPr>
        <w:fldChar w:fldCharType="begin"/>
      </w:r>
      <w:r>
        <w:rPr>
          <w:color w:val="auto"/>
        </w:rPr>
        <w:instrText xml:space="preserve"> PAGEREF _Toc181712881 \h </w:instrText>
      </w:r>
      <w:r>
        <w:rPr>
          <w:color w:val="auto"/>
        </w:rPr>
        <w:fldChar w:fldCharType="separate"/>
      </w:r>
      <w:r>
        <w:rPr>
          <w:color w:val="auto"/>
        </w:rPr>
        <w:t>13</w:t>
      </w:r>
      <w:r>
        <w:rPr>
          <w:color w:val="auto"/>
        </w:rPr>
        <w:fldChar w:fldCharType="end"/>
      </w:r>
      <w:r>
        <w:rPr>
          <w:color w:val="auto"/>
        </w:rPr>
        <w:fldChar w:fldCharType="end"/>
      </w:r>
    </w:p>
    <w:p w14:paraId="1FBCC7BC">
      <w:pPr>
        <w:pStyle w:val="21"/>
        <w:tabs>
          <w:tab w:val="right" w:leader="dot" w:pos="8296"/>
        </w:tabs>
        <w:ind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"_Toc181712882" </w:instrText>
      </w:r>
      <w:r>
        <w:rPr>
          <w:color w:val="auto"/>
        </w:rPr>
        <w:fldChar w:fldCharType="separate"/>
      </w:r>
      <w:r>
        <w:rPr>
          <w:rStyle w:val="50"/>
          <w:rFonts w:ascii="仿宋" w:hAnsi="仿宋" w:eastAsia="仿宋"/>
          <w:color w:val="auto"/>
        </w:rPr>
        <w:t>（四）投标文件的递交</w:t>
      </w:r>
      <w:r>
        <w:rPr>
          <w:color w:val="auto"/>
        </w:rPr>
        <w:tab/>
      </w:r>
      <w:r>
        <w:rPr>
          <w:color w:val="auto"/>
        </w:rPr>
        <w:fldChar w:fldCharType="begin"/>
      </w:r>
      <w:r>
        <w:rPr>
          <w:color w:val="auto"/>
        </w:rPr>
        <w:instrText xml:space="preserve"> PAGEREF _Toc181712882 \h </w:instrText>
      </w:r>
      <w:r>
        <w:rPr>
          <w:color w:val="auto"/>
        </w:rPr>
        <w:fldChar w:fldCharType="separate"/>
      </w:r>
      <w:r>
        <w:rPr>
          <w:color w:val="auto"/>
        </w:rPr>
        <w:t>17</w:t>
      </w:r>
      <w:r>
        <w:rPr>
          <w:color w:val="auto"/>
        </w:rPr>
        <w:fldChar w:fldCharType="end"/>
      </w:r>
      <w:r>
        <w:rPr>
          <w:color w:val="auto"/>
        </w:rPr>
        <w:fldChar w:fldCharType="end"/>
      </w:r>
    </w:p>
    <w:p w14:paraId="284741A1">
      <w:pPr>
        <w:pStyle w:val="21"/>
        <w:tabs>
          <w:tab w:val="right" w:leader="dot" w:pos="8296"/>
        </w:tabs>
        <w:ind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"_Toc181712883" </w:instrText>
      </w:r>
      <w:r>
        <w:rPr>
          <w:color w:val="auto"/>
        </w:rPr>
        <w:fldChar w:fldCharType="separate"/>
      </w:r>
      <w:r>
        <w:rPr>
          <w:rStyle w:val="50"/>
          <w:rFonts w:ascii="仿宋" w:hAnsi="仿宋" w:eastAsia="仿宋"/>
          <w:color w:val="auto"/>
        </w:rPr>
        <w:t>（五）开标与评标</w:t>
      </w:r>
      <w:r>
        <w:rPr>
          <w:color w:val="auto"/>
        </w:rPr>
        <w:tab/>
      </w:r>
      <w:r>
        <w:rPr>
          <w:color w:val="auto"/>
        </w:rPr>
        <w:fldChar w:fldCharType="begin"/>
      </w:r>
      <w:r>
        <w:rPr>
          <w:color w:val="auto"/>
        </w:rPr>
        <w:instrText xml:space="preserve"> PAGEREF _Toc181712883 \h </w:instrText>
      </w:r>
      <w:r>
        <w:rPr>
          <w:color w:val="auto"/>
        </w:rPr>
        <w:fldChar w:fldCharType="separate"/>
      </w:r>
      <w:r>
        <w:rPr>
          <w:color w:val="auto"/>
        </w:rPr>
        <w:t>17</w:t>
      </w:r>
      <w:r>
        <w:rPr>
          <w:color w:val="auto"/>
        </w:rPr>
        <w:fldChar w:fldCharType="end"/>
      </w:r>
      <w:r>
        <w:rPr>
          <w:color w:val="auto"/>
        </w:rPr>
        <w:fldChar w:fldCharType="end"/>
      </w:r>
    </w:p>
    <w:p w14:paraId="50AD7828">
      <w:pPr>
        <w:pStyle w:val="21"/>
        <w:tabs>
          <w:tab w:val="right" w:leader="dot" w:pos="8296"/>
        </w:tabs>
        <w:ind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"_Toc181712884" </w:instrText>
      </w:r>
      <w:r>
        <w:rPr>
          <w:color w:val="auto"/>
        </w:rPr>
        <w:fldChar w:fldCharType="separate"/>
      </w:r>
      <w:r>
        <w:rPr>
          <w:rStyle w:val="50"/>
          <w:rFonts w:ascii="仿宋" w:hAnsi="仿宋" w:eastAsia="仿宋"/>
          <w:color w:val="auto"/>
        </w:rPr>
        <w:t>（六）定标与签订合同</w:t>
      </w:r>
      <w:r>
        <w:rPr>
          <w:color w:val="auto"/>
        </w:rPr>
        <w:tab/>
      </w:r>
      <w:r>
        <w:rPr>
          <w:color w:val="auto"/>
        </w:rPr>
        <w:fldChar w:fldCharType="begin"/>
      </w:r>
      <w:r>
        <w:rPr>
          <w:color w:val="auto"/>
        </w:rPr>
        <w:instrText xml:space="preserve"> PAGEREF _Toc181712884 \h </w:instrText>
      </w:r>
      <w:r>
        <w:rPr>
          <w:color w:val="auto"/>
        </w:rPr>
        <w:fldChar w:fldCharType="separate"/>
      </w:r>
      <w:r>
        <w:rPr>
          <w:color w:val="auto"/>
        </w:rPr>
        <w:t>19</w:t>
      </w:r>
      <w:r>
        <w:rPr>
          <w:color w:val="auto"/>
        </w:rPr>
        <w:fldChar w:fldCharType="end"/>
      </w:r>
      <w:r>
        <w:rPr>
          <w:color w:val="auto"/>
        </w:rPr>
        <w:fldChar w:fldCharType="end"/>
      </w:r>
    </w:p>
    <w:p w14:paraId="29E778FD">
      <w:pPr>
        <w:pStyle w:val="21"/>
        <w:tabs>
          <w:tab w:val="right" w:leader="dot" w:pos="8296"/>
        </w:tabs>
        <w:ind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"_Toc181712885" </w:instrText>
      </w:r>
      <w:r>
        <w:rPr>
          <w:color w:val="auto"/>
        </w:rPr>
        <w:fldChar w:fldCharType="separate"/>
      </w:r>
      <w:r>
        <w:rPr>
          <w:rStyle w:val="50"/>
          <w:rFonts w:ascii="仿宋" w:hAnsi="仿宋" w:eastAsia="仿宋"/>
          <w:color w:val="auto"/>
        </w:rPr>
        <w:t>（七）其他要求</w:t>
      </w:r>
      <w:r>
        <w:rPr>
          <w:color w:val="auto"/>
        </w:rPr>
        <w:tab/>
      </w:r>
      <w:r>
        <w:rPr>
          <w:color w:val="auto"/>
        </w:rPr>
        <w:fldChar w:fldCharType="begin"/>
      </w:r>
      <w:r>
        <w:rPr>
          <w:color w:val="auto"/>
        </w:rPr>
        <w:instrText xml:space="preserve"> PAGEREF _Toc181712885 \h </w:instrText>
      </w:r>
      <w:r>
        <w:rPr>
          <w:color w:val="auto"/>
        </w:rPr>
        <w:fldChar w:fldCharType="separate"/>
      </w:r>
      <w:r>
        <w:rPr>
          <w:color w:val="auto"/>
        </w:rPr>
        <w:t>20</w:t>
      </w:r>
      <w:r>
        <w:rPr>
          <w:color w:val="auto"/>
        </w:rPr>
        <w:fldChar w:fldCharType="end"/>
      </w:r>
      <w:r>
        <w:rPr>
          <w:color w:val="auto"/>
        </w:rPr>
        <w:fldChar w:fldCharType="end"/>
      </w:r>
    </w:p>
    <w:p w14:paraId="30194F50">
      <w:pPr>
        <w:pStyle w:val="21"/>
        <w:tabs>
          <w:tab w:val="right" w:leader="dot" w:pos="8296"/>
        </w:tabs>
        <w:ind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"_Toc181712886" </w:instrText>
      </w:r>
      <w:r>
        <w:rPr>
          <w:color w:val="auto"/>
        </w:rPr>
        <w:fldChar w:fldCharType="separate"/>
      </w:r>
      <w:r>
        <w:rPr>
          <w:rStyle w:val="50"/>
          <w:rFonts w:ascii="仿宋" w:hAnsi="仿宋" w:eastAsia="仿宋"/>
          <w:color w:val="auto"/>
        </w:rPr>
        <w:t>（八）适用法律</w:t>
      </w:r>
      <w:r>
        <w:rPr>
          <w:color w:val="auto"/>
        </w:rPr>
        <w:tab/>
      </w:r>
      <w:r>
        <w:rPr>
          <w:color w:val="auto"/>
        </w:rPr>
        <w:fldChar w:fldCharType="begin"/>
      </w:r>
      <w:r>
        <w:rPr>
          <w:color w:val="auto"/>
        </w:rPr>
        <w:instrText xml:space="preserve"> PAGEREF _Toc181712886 \h </w:instrText>
      </w:r>
      <w:r>
        <w:rPr>
          <w:color w:val="auto"/>
        </w:rPr>
        <w:fldChar w:fldCharType="separate"/>
      </w:r>
      <w:r>
        <w:rPr>
          <w:color w:val="auto"/>
        </w:rPr>
        <w:t>21</w:t>
      </w:r>
      <w:r>
        <w:rPr>
          <w:color w:val="auto"/>
        </w:rPr>
        <w:fldChar w:fldCharType="end"/>
      </w:r>
      <w:r>
        <w:rPr>
          <w:color w:val="auto"/>
        </w:rPr>
        <w:fldChar w:fldCharType="end"/>
      </w:r>
    </w:p>
    <w:p w14:paraId="56047BE4">
      <w:pPr>
        <w:pStyle w:val="29"/>
        <w:tabs>
          <w:tab w:val="right" w:leader="dot" w:pos="8296"/>
        </w:tabs>
        <w:ind w:left="210" w:right="210"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"_Toc181712887" </w:instrText>
      </w:r>
      <w:r>
        <w:rPr>
          <w:color w:val="auto"/>
        </w:rPr>
        <w:fldChar w:fldCharType="separate"/>
      </w:r>
      <w:r>
        <w:rPr>
          <w:rStyle w:val="50"/>
          <w:rFonts w:ascii="仿宋" w:hAnsi="仿宋" w:eastAsia="仿宋"/>
          <w:bCs/>
          <w:color w:val="auto"/>
        </w:rPr>
        <w:t>第三章 采购需求</w:t>
      </w:r>
      <w:r>
        <w:rPr>
          <w:color w:val="auto"/>
        </w:rPr>
        <w:tab/>
      </w:r>
      <w:r>
        <w:rPr>
          <w:color w:val="auto"/>
        </w:rPr>
        <w:fldChar w:fldCharType="begin"/>
      </w:r>
      <w:r>
        <w:rPr>
          <w:color w:val="auto"/>
        </w:rPr>
        <w:instrText xml:space="preserve"> PAGEREF _Toc181712887 \h </w:instrText>
      </w:r>
      <w:r>
        <w:rPr>
          <w:color w:val="auto"/>
        </w:rPr>
        <w:fldChar w:fldCharType="separate"/>
      </w:r>
      <w:r>
        <w:rPr>
          <w:color w:val="auto"/>
        </w:rPr>
        <w:t>22</w:t>
      </w:r>
      <w:r>
        <w:rPr>
          <w:color w:val="auto"/>
        </w:rPr>
        <w:fldChar w:fldCharType="end"/>
      </w:r>
      <w:r>
        <w:rPr>
          <w:color w:val="auto"/>
        </w:rPr>
        <w:fldChar w:fldCharType="end"/>
      </w:r>
    </w:p>
    <w:p w14:paraId="0511ACC7">
      <w:pPr>
        <w:pStyle w:val="36"/>
        <w:tabs>
          <w:tab w:val="right" w:leader="dot" w:pos="8296"/>
        </w:tabs>
        <w:ind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"_Toc181712888" </w:instrText>
      </w:r>
      <w:r>
        <w:rPr>
          <w:color w:val="auto"/>
        </w:rPr>
        <w:fldChar w:fldCharType="separate"/>
      </w:r>
      <w:r>
        <w:rPr>
          <w:rStyle w:val="50"/>
          <w:rFonts w:ascii="仿宋" w:hAnsi="仿宋" w:eastAsia="仿宋" w:cs="宋体"/>
          <w:b/>
          <w:bCs/>
          <w:snapToGrid w:val="0"/>
          <w:color w:val="auto"/>
          <w:kern w:val="0"/>
          <w:lang w:val="zh-CN"/>
        </w:rPr>
        <w:t>一、招标范围</w:t>
      </w:r>
      <w:r>
        <w:rPr>
          <w:color w:val="auto"/>
        </w:rPr>
        <w:tab/>
      </w:r>
      <w:r>
        <w:rPr>
          <w:color w:val="auto"/>
        </w:rPr>
        <w:fldChar w:fldCharType="begin"/>
      </w:r>
      <w:r>
        <w:rPr>
          <w:color w:val="auto"/>
        </w:rPr>
        <w:instrText xml:space="preserve"> PAGEREF _Toc181712888 \h </w:instrText>
      </w:r>
      <w:r>
        <w:rPr>
          <w:color w:val="auto"/>
        </w:rPr>
        <w:fldChar w:fldCharType="separate"/>
      </w:r>
      <w:r>
        <w:rPr>
          <w:color w:val="auto"/>
        </w:rPr>
        <w:t>22</w:t>
      </w:r>
      <w:r>
        <w:rPr>
          <w:color w:val="auto"/>
        </w:rPr>
        <w:fldChar w:fldCharType="end"/>
      </w:r>
      <w:r>
        <w:rPr>
          <w:color w:val="auto"/>
        </w:rPr>
        <w:fldChar w:fldCharType="end"/>
      </w:r>
    </w:p>
    <w:p w14:paraId="121E04B2">
      <w:pPr>
        <w:pStyle w:val="36"/>
        <w:tabs>
          <w:tab w:val="right" w:leader="dot" w:pos="8296"/>
        </w:tabs>
        <w:ind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"_Toc181712889" </w:instrText>
      </w:r>
      <w:r>
        <w:rPr>
          <w:color w:val="auto"/>
        </w:rPr>
        <w:fldChar w:fldCharType="separate"/>
      </w:r>
      <w:r>
        <w:rPr>
          <w:rStyle w:val="50"/>
          <w:rFonts w:ascii="仿宋" w:hAnsi="仿宋" w:eastAsia="仿宋" w:cs="宋体"/>
          <w:b/>
          <w:bCs/>
          <w:snapToGrid w:val="0"/>
          <w:color w:val="auto"/>
          <w:kern w:val="0"/>
          <w:lang w:val="zh-CN"/>
        </w:rPr>
        <w:t>二、技术要求（</w:t>
      </w:r>
      <w:r>
        <w:rPr>
          <w:rStyle w:val="50"/>
          <w:rFonts w:ascii="仿宋" w:hAnsi="仿宋" w:eastAsia="仿宋" w:cs="宋体"/>
          <w:b/>
          <w:bCs/>
          <w:snapToGrid w:val="0"/>
          <w:color w:val="auto"/>
          <w:kern w:val="0"/>
        </w:rPr>
        <w:t>应等于或优于下列要求</w:t>
      </w:r>
      <w:r>
        <w:rPr>
          <w:rStyle w:val="50"/>
          <w:rFonts w:ascii="仿宋" w:hAnsi="仿宋" w:eastAsia="仿宋" w:cs="宋体"/>
          <w:b/>
          <w:bCs/>
          <w:snapToGrid w:val="0"/>
          <w:color w:val="auto"/>
          <w:kern w:val="0"/>
          <w:lang w:val="zh-CN"/>
        </w:rPr>
        <w:t>）</w:t>
      </w:r>
      <w:r>
        <w:rPr>
          <w:color w:val="auto"/>
        </w:rPr>
        <w:tab/>
      </w:r>
      <w:r>
        <w:rPr>
          <w:color w:val="auto"/>
        </w:rPr>
        <w:fldChar w:fldCharType="begin"/>
      </w:r>
      <w:r>
        <w:rPr>
          <w:color w:val="auto"/>
        </w:rPr>
        <w:instrText xml:space="preserve"> PAGEREF _Toc181712889 \h </w:instrText>
      </w:r>
      <w:r>
        <w:rPr>
          <w:color w:val="auto"/>
        </w:rPr>
        <w:fldChar w:fldCharType="separate"/>
      </w:r>
      <w:r>
        <w:rPr>
          <w:color w:val="auto"/>
        </w:rPr>
        <w:t>22</w:t>
      </w:r>
      <w:r>
        <w:rPr>
          <w:color w:val="auto"/>
        </w:rPr>
        <w:fldChar w:fldCharType="end"/>
      </w:r>
      <w:r>
        <w:rPr>
          <w:color w:val="auto"/>
        </w:rPr>
        <w:fldChar w:fldCharType="end"/>
      </w:r>
    </w:p>
    <w:p w14:paraId="24A6CF32">
      <w:pPr>
        <w:pStyle w:val="36"/>
        <w:tabs>
          <w:tab w:val="right" w:leader="dot" w:pos="8296"/>
        </w:tabs>
        <w:ind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"_Toc181712890" </w:instrText>
      </w:r>
      <w:r>
        <w:rPr>
          <w:color w:val="auto"/>
        </w:rPr>
        <w:fldChar w:fldCharType="separate"/>
      </w:r>
      <w:r>
        <w:rPr>
          <w:rStyle w:val="50"/>
          <w:rFonts w:ascii="仿宋" w:hAnsi="仿宋" w:eastAsia="仿宋" w:cs="宋体"/>
          <w:b/>
          <w:bCs/>
          <w:snapToGrid w:val="0"/>
          <w:color w:val="auto"/>
          <w:kern w:val="0"/>
          <w:lang w:val="zh-CN"/>
        </w:rPr>
        <w:t>三、配置清单（</w:t>
      </w:r>
      <w:r>
        <w:rPr>
          <w:rStyle w:val="50"/>
          <w:rFonts w:ascii="仿宋" w:hAnsi="仿宋" w:eastAsia="仿宋" w:cs="宋体"/>
          <w:b/>
          <w:bCs/>
          <w:snapToGrid w:val="0"/>
          <w:color w:val="auto"/>
          <w:kern w:val="0"/>
        </w:rPr>
        <w:t>应等于或优于下列要求</w:t>
      </w:r>
      <w:r>
        <w:rPr>
          <w:rStyle w:val="50"/>
          <w:rFonts w:ascii="仿宋" w:hAnsi="仿宋" w:eastAsia="仿宋" w:cs="宋体"/>
          <w:b/>
          <w:bCs/>
          <w:snapToGrid w:val="0"/>
          <w:color w:val="auto"/>
          <w:kern w:val="0"/>
          <w:lang w:val="zh-CN"/>
        </w:rPr>
        <w:t>）</w:t>
      </w:r>
      <w:r>
        <w:rPr>
          <w:color w:val="auto"/>
        </w:rPr>
        <w:tab/>
      </w:r>
      <w:r>
        <w:rPr>
          <w:color w:val="auto"/>
        </w:rPr>
        <w:fldChar w:fldCharType="begin"/>
      </w:r>
      <w:r>
        <w:rPr>
          <w:color w:val="auto"/>
        </w:rPr>
        <w:instrText xml:space="preserve"> PAGEREF _Toc181712890 \h </w:instrText>
      </w:r>
      <w:r>
        <w:rPr>
          <w:color w:val="auto"/>
        </w:rPr>
        <w:fldChar w:fldCharType="separate"/>
      </w:r>
      <w:r>
        <w:rPr>
          <w:color w:val="auto"/>
        </w:rPr>
        <w:t>24</w:t>
      </w:r>
      <w:r>
        <w:rPr>
          <w:color w:val="auto"/>
        </w:rPr>
        <w:fldChar w:fldCharType="end"/>
      </w:r>
      <w:r>
        <w:rPr>
          <w:color w:val="auto"/>
        </w:rPr>
        <w:fldChar w:fldCharType="end"/>
      </w:r>
    </w:p>
    <w:p w14:paraId="2E678349">
      <w:pPr>
        <w:pStyle w:val="36"/>
        <w:tabs>
          <w:tab w:val="right" w:leader="dot" w:pos="8296"/>
        </w:tabs>
        <w:ind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"_Toc181712891" </w:instrText>
      </w:r>
      <w:r>
        <w:rPr>
          <w:color w:val="auto"/>
        </w:rPr>
        <w:fldChar w:fldCharType="separate"/>
      </w:r>
      <w:r>
        <w:rPr>
          <w:rStyle w:val="50"/>
          <w:rFonts w:ascii="仿宋" w:hAnsi="仿宋" w:eastAsia="仿宋" w:cs="宋体"/>
          <w:b/>
          <w:bCs/>
          <w:snapToGrid w:val="0"/>
          <w:color w:val="auto"/>
          <w:kern w:val="0"/>
          <w:lang w:val="zh-CN"/>
        </w:rPr>
        <w:t>四、商务要求（参与投标即视为无条件响应）</w:t>
      </w:r>
      <w:r>
        <w:rPr>
          <w:color w:val="auto"/>
        </w:rPr>
        <w:tab/>
      </w:r>
      <w:r>
        <w:rPr>
          <w:color w:val="auto"/>
        </w:rPr>
        <w:fldChar w:fldCharType="begin"/>
      </w:r>
      <w:r>
        <w:rPr>
          <w:color w:val="auto"/>
        </w:rPr>
        <w:instrText xml:space="preserve"> PAGEREF _Toc181712891 \h </w:instrText>
      </w:r>
      <w:r>
        <w:rPr>
          <w:color w:val="auto"/>
        </w:rPr>
        <w:fldChar w:fldCharType="separate"/>
      </w:r>
      <w:r>
        <w:rPr>
          <w:color w:val="auto"/>
        </w:rPr>
        <w:t>25</w:t>
      </w:r>
      <w:r>
        <w:rPr>
          <w:color w:val="auto"/>
        </w:rPr>
        <w:fldChar w:fldCharType="end"/>
      </w:r>
      <w:r>
        <w:rPr>
          <w:color w:val="auto"/>
        </w:rPr>
        <w:fldChar w:fldCharType="end"/>
      </w:r>
    </w:p>
    <w:p w14:paraId="5424645B">
      <w:pPr>
        <w:pStyle w:val="29"/>
        <w:tabs>
          <w:tab w:val="right" w:leader="dot" w:pos="8296"/>
        </w:tabs>
        <w:ind w:left="210" w:right="210"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"_Toc181712892" </w:instrText>
      </w:r>
      <w:r>
        <w:rPr>
          <w:color w:val="auto"/>
        </w:rPr>
        <w:fldChar w:fldCharType="separate"/>
      </w:r>
      <w:r>
        <w:rPr>
          <w:rStyle w:val="50"/>
          <w:rFonts w:ascii="仿宋" w:hAnsi="仿宋" w:eastAsia="仿宋"/>
          <w:bCs/>
          <w:color w:val="auto"/>
        </w:rPr>
        <w:t>第四章 评标方法</w:t>
      </w:r>
      <w:r>
        <w:rPr>
          <w:color w:val="auto"/>
        </w:rPr>
        <w:tab/>
      </w:r>
      <w:r>
        <w:rPr>
          <w:color w:val="auto"/>
        </w:rPr>
        <w:fldChar w:fldCharType="begin"/>
      </w:r>
      <w:r>
        <w:rPr>
          <w:color w:val="auto"/>
        </w:rPr>
        <w:instrText xml:space="preserve"> PAGEREF _Toc181712892 \h </w:instrText>
      </w:r>
      <w:r>
        <w:rPr>
          <w:color w:val="auto"/>
        </w:rPr>
        <w:fldChar w:fldCharType="separate"/>
      </w:r>
      <w:r>
        <w:rPr>
          <w:color w:val="auto"/>
        </w:rPr>
        <w:t>27</w:t>
      </w:r>
      <w:r>
        <w:rPr>
          <w:color w:val="auto"/>
        </w:rPr>
        <w:fldChar w:fldCharType="end"/>
      </w:r>
      <w:r>
        <w:rPr>
          <w:color w:val="auto"/>
        </w:rPr>
        <w:fldChar w:fldCharType="end"/>
      </w:r>
    </w:p>
    <w:p w14:paraId="132AD2EC">
      <w:pPr>
        <w:pStyle w:val="36"/>
        <w:tabs>
          <w:tab w:val="right" w:leader="dot" w:pos="8296"/>
        </w:tabs>
        <w:ind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"_Toc181712893" </w:instrText>
      </w:r>
      <w:r>
        <w:rPr>
          <w:color w:val="auto"/>
        </w:rPr>
        <w:fldChar w:fldCharType="separate"/>
      </w:r>
      <w:r>
        <w:rPr>
          <w:rStyle w:val="50"/>
          <w:rFonts w:ascii="仿宋" w:hAnsi="仿宋" w:eastAsia="仿宋" w:cs="宋体"/>
          <w:snapToGrid w:val="0"/>
          <w:color w:val="auto"/>
          <w:kern w:val="0"/>
          <w:lang w:val="zh-CN"/>
        </w:rPr>
        <w:t>一、评标方法前附表</w:t>
      </w:r>
      <w:r>
        <w:rPr>
          <w:color w:val="auto"/>
        </w:rPr>
        <w:tab/>
      </w:r>
      <w:r>
        <w:rPr>
          <w:color w:val="auto"/>
        </w:rPr>
        <w:fldChar w:fldCharType="begin"/>
      </w:r>
      <w:r>
        <w:rPr>
          <w:color w:val="auto"/>
        </w:rPr>
        <w:instrText xml:space="preserve"> PAGEREF _Toc181712893 \h </w:instrText>
      </w:r>
      <w:r>
        <w:rPr>
          <w:color w:val="auto"/>
        </w:rPr>
        <w:fldChar w:fldCharType="separate"/>
      </w:r>
      <w:r>
        <w:rPr>
          <w:color w:val="auto"/>
        </w:rPr>
        <w:t>27</w:t>
      </w:r>
      <w:r>
        <w:rPr>
          <w:color w:val="auto"/>
        </w:rPr>
        <w:fldChar w:fldCharType="end"/>
      </w:r>
      <w:r>
        <w:rPr>
          <w:color w:val="auto"/>
        </w:rPr>
        <w:fldChar w:fldCharType="end"/>
      </w:r>
    </w:p>
    <w:p w14:paraId="6CEA75BB">
      <w:pPr>
        <w:pStyle w:val="36"/>
        <w:tabs>
          <w:tab w:val="right" w:leader="dot" w:pos="8296"/>
        </w:tabs>
        <w:ind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"_Toc181712894" </w:instrText>
      </w:r>
      <w:r>
        <w:rPr>
          <w:color w:val="auto"/>
        </w:rPr>
        <w:fldChar w:fldCharType="separate"/>
      </w:r>
      <w:r>
        <w:rPr>
          <w:rStyle w:val="50"/>
          <w:rFonts w:ascii="仿宋" w:hAnsi="仿宋" w:eastAsia="仿宋" w:cs="宋体"/>
          <w:snapToGrid w:val="0"/>
          <w:color w:val="auto"/>
          <w:kern w:val="0"/>
        </w:rPr>
        <w:t>二、评分细则表</w:t>
      </w:r>
      <w:r>
        <w:rPr>
          <w:color w:val="auto"/>
        </w:rPr>
        <w:tab/>
      </w:r>
      <w:r>
        <w:rPr>
          <w:color w:val="auto"/>
        </w:rPr>
        <w:fldChar w:fldCharType="begin"/>
      </w:r>
      <w:r>
        <w:rPr>
          <w:color w:val="auto"/>
        </w:rPr>
        <w:instrText xml:space="preserve"> PAGEREF _Toc181712894 \h </w:instrText>
      </w:r>
      <w:r>
        <w:rPr>
          <w:color w:val="auto"/>
        </w:rPr>
        <w:fldChar w:fldCharType="separate"/>
      </w:r>
      <w:r>
        <w:rPr>
          <w:color w:val="auto"/>
        </w:rPr>
        <w:t>27</w:t>
      </w:r>
      <w:r>
        <w:rPr>
          <w:color w:val="auto"/>
        </w:rPr>
        <w:fldChar w:fldCharType="end"/>
      </w:r>
      <w:r>
        <w:rPr>
          <w:color w:val="auto"/>
        </w:rPr>
        <w:fldChar w:fldCharType="end"/>
      </w:r>
    </w:p>
    <w:p w14:paraId="79B38A81">
      <w:pPr>
        <w:pStyle w:val="36"/>
        <w:tabs>
          <w:tab w:val="right" w:leader="dot" w:pos="8296"/>
        </w:tabs>
        <w:ind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"_Toc181712895" </w:instrText>
      </w:r>
      <w:r>
        <w:rPr>
          <w:color w:val="auto"/>
        </w:rPr>
        <w:fldChar w:fldCharType="separate"/>
      </w:r>
      <w:r>
        <w:rPr>
          <w:rStyle w:val="50"/>
          <w:rFonts w:ascii="仿宋" w:hAnsi="仿宋" w:eastAsia="仿宋" w:cs="宋体"/>
          <w:snapToGrid w:val="0"/>
          <w:color w:val="auto"/>
          <w:kern w:val="0"/>
        </w:rPr>
        <w:t>三、评标方法、步骤及标准</w:t>
      </w:r>
      <w:r>
        <w:rPr>
          <w:color w:val="auto"/>
        </w:rPr>
        <w:tab/>
      </w:r>
      <w:r>
        <w:rPr>
          <w:color w:val="auto"/>
        </w:rPr>
        <w:fldChar w:fldCharType="begin"/>
      </w:r>
      <w:r>
        <w:rPr>
          <w:color w:val="auto"/>
        </w:rPr>
        <w:instrText xml:space="preserve"> PAGEREF _Toc181712895 \h </w:instrText>
      </w:r>
      <w:r>
        <w:rPr>
          <w:color w:val="auto"/>
        </w:rPr>
        <w:fldChar w:fldCharType="separate"/>
      </w:r>
      <w:r>
        <w:rPr>
          <w:color w:val="auto"/>
        </w:rPr>
        <w:t>31</w:t>
      </w:r>
      <w:r>
        <w:rPr>
          <w:color w:val="auto"/>
        </w:rPr>
        <w:fldChar w:fldCharType="end"/>
      </w:r>
      <w:r>
        <w:rPr>
          <w:color w:val="auto"/>
        </w:rPr>
        <w:fldChar w:fldCharType="end"/>
      </w:r>
    </w:p>
    <w:p w14:paraId="77D57590">
      <w:pPr>
        <w:pStyle w:val="29"/>
        <w:tabs>
          <w:tab w:val="right" w:leader="dot" w:pos="8296"/>
        </w:tabs>
        <w:ind w:left="210" w:right="210"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"_Toc181712896" </w:instrText>
      </w:r>
      <w:r>
        <w:rPr>
          <w:color w:val="auto"/>
        </w:rPr>
        <w:fldChar w:fldCharType="separate"/>
      </w:r>
      <w:r>
        <w:rPr>
          <w:rStyle w:val="50"/>
          <w:rFonts w:ascii="仿宋" w:hAnsi="仿宋" w:eastAsia="仿宋"/>
          <w:bCs/>
          <w:color w:val="auto"/>
        </w:rPr>
        <w:t>第五章 合同书格式</w:t>
      </w:r>
      <w:r>
        <w:rPr>
          <w:color w:val="auto"/>
        </w:rPr>
        <w:tab/>
      </w:r>
      <w:r>
        <w:rPr>
          <w:color w:val="auto"/>
        </w:rPr>
        <w:fldChar w:fldCharType="begin"/>
      </w:r>
      <w:r>
        <w:rPr>
          <w:color w:val="auto"/>
        </w:rPr>
        <w:instrText xml:space="preserve"> PAGEREF _Toc181712896 \h </w:instrText>
      </w:r>
      <w:r>
        <w:rPr>
          <w:color w:val="auto"/>
        </w:rPr>
        <w:fldChar w:fldCharType="separate"/>
      </w:r>
      <w:r>
        <w:rPr>
          <w:color w:val="auto"/>
        </w:rPr>
        <w:t>35</w:t>
      </w:r>
      <w:r>
        <w:rPr>
          <w:color w:val="auto"/>
        </w:rPr>
        <w:fldChar w:fldCharType="end"/>
      </w:r>
      <w:r>
        <w:rPr>
          <w:color w:val="auto"/>
        </w:rPr>
        <w:fldChar w:fldCharType="end"/>
      </w:r>
    </w:p>
    <w:p w14:paraId="530C1B82">
      <w:pPr>
        <w:pStyle w:val="29"/>
        <w:tabs>
          <w:tab w:val="right" w:leader="dot" w:pos="8296"/>
        </w:tabs>
        <w:ind w:left="210" w:right="210"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"_Toc181712897" </w:instrText>
      </w:r>
      <w:r>
        <w:rPr>
          <w:color w:val="auto"/>
        </w:rPr>
        <w:fldChar w:fldCharType="separate"/>
      </w:r>
      <w:r>
        <w:rPr>
          <w:rStyle w:val="50"/>
          <w:rFonts w:ascii="仿宋" w:hAnsi="仿宋" w:eastAsia="仿宋" w:cs="仿宋_GB2312"/>
          <w:bCs/>
          <w:color w:val="auto"/>
        </w:rPr>
        <w:t>一、通用合同条款</w:t>
      </w:r>
      <w:r>
        <w:rPr>
          <w:color w:val="auto"/>
        </w:rPr>
        <w:tab/>
      </w:r>
      <w:r>
        <w:rPr>
          <w:color w:val="auto"/>
        </w:rPr>
        <w:fldChar w:fldCharType="begin"/>
      </w:r>
      <w:r>
        <w:rPr>
          <w:color w:val="auto"/>
        </w:rPr>
        <w:instrText xml:space="preserve"> PAGEREF _Toc181712897 \h </w:instrText>
      </w:r>
      <w:r>
        <w:rPr>
          <w:color w:val="auto"/>
        </w:rPr>
        <w:fldChar w:fldCharType="separate"/>
      </w:r>
      <w:r>
        <w:rPr>
          <w:color w:val="auto"/>
        </w:rPr>
        <w:t>35</w:t>
      </w:r>
      <w:r>
        <w:rPr>
          <w:color w:val="auto"/>
        </w:rPr>
        <w:fldChar w:fldCharType="end"/>
      </w:r>
      <w:r>
        <w:rPr>
          <w:color w:val="auto"/>
        </w:rPr>
        <w:fldChar w:fldCharType="end"/>
      </w:r>
    </w:p>
    <w:p w14:paraId="051B8264">
      <w:pPr>
        <w:pStyle w:val="29"/>
        <w:tabs>
          <w:tab w:val="right" w:leader="dot" w:pos="8296"/>
        </w:tabs>
        <w:ind w:left="210" w:right="210"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"_Toc181712920" </w:instrText>
      </w:r>
      <w:r>
        <w:rPr>
          <w:color w:val="auto"/>
        </w:rPr>
        <w:fldChar w:fldCharType="separate"/>
      </w:r>
      <w:r>
        <w:rPr>
          <w:rStyle w:val="50"/>
          <w:rFonts w:ascii="仿宋" w:hAnsi="仿宋" w:eastAsia="仿宋" w:cs="仿宋_GB2312"/>
          <w:bCs/>
          <w:color w:val="auto"/>
        </w:rPr>
        <w:t>二、合同专用条款</w:t>
      </w:r>
      <w:r>
        <w:rPr>
          <w:color w:val="auto"/>
        </w:rPr>
        <w:tab/>
      </w:r>
      <w:r>
        <w:rPr>
          <w:color w:val="auto"/>
        </w:rPr>
        <w:fldChar w:fldCharType="begin"/>
      </w:r>
      <w:r>
        <w:rPr>
          <w:color w:val="auto"/>
        </w:rPr>
        <w:instrText xml:space="preserve"> PAGEREF _Toc181712920 \h </w:instrText>
      </w:r>
      <w:r>
        <w:rPr>
          <w:color w:val="auto"/>
        </w:rPr>
        <w:fldChar w:fldCharType="separate"/>
      </w:r>
      <w:r>
        <w:rPr>
          <w:color w:val="auto"/>
        </w:rPr>
        <w:t>47</w:t>
      </w:r>
      <w:r>
        <w:rPr>
          <w:color w:val="auto"/>
        </w:rPr>
        <w:fldChar w:fldCharType="end"/>
      </w:r>
      <w:r>
        <w:rPr>
          <w:color w:val="auto"/>
        </w:rPr>
        <w:fldChar w:fldCharType="end"/>
      </w:r>
    </w:p>
    <w:p w14:paraId="0B65F905">
      <w:pPr>
        <w:pStyle w:val="29"/>
        <w:tabs>
          <w:tab w:val="right" w:leader="dot" w:pos="8296"/>
        </w:tabs>
        <w:ind w:left="210" w:right="210"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"_Toc181712921" </w:instrText>
      </w:r>
      <w:r>
        <w:rPr>
          <w:color w:val="auto"/>
        </w:rPr>
        <w:fldChar w:fldCharType="separate"/>
      </w:r>
      <w:r>
        <w:rPr>
          <w:rStyle w:val="50"/>
          <w:rFonts w:ascii="仿宋" w:hAnsi="仿宋" w:eastAsia="仿宋"/>
          <w:bCs/>
          <w:color w:val="auto"/>
        </w:rPr>
        <w:t>第六章 投标文件格式</w:t>
      </w:r>
      <w:r>
        <w:rPr>
          <w:color w:val="auto"/>
        </w:rPr>
        <w:tab/>
      </w:r>
      <w:r>
        <w:rPr>
          <w:color w:val="auto"/>
        </w:rPr>
        <w:fldChar w:fldCharType="begin"/>
      </w:r>
      <w:r>
        <w:rPr>
          <w:color w:val="auto"/>
        </w:rPr>
        <w:instrText xml:space="preserve"> PAGEREF _Toc181712921 \h </w:instrText>
      </w:r>
      <w:r>
        <w:rPr>
          <w:color w:val="auto"/>
        </w:rPr>
        <w:fldChar w:fldCharType="separate"/>
      </w:r>
      <w:r>
        <w:rPr>
          <w:color w:val="auto"/>
        </w:rPr>
        <w:t>48</w:t>
      </w:r>
      <w:r>
        <w:rPr>
          <w:color w:val="auto"/>
        </w:rPr>
        <w:fldChar w:fldCharType="end"/>
      </w:r>
      <w:r>
        <w:rPr>
          <w:color w:val="auto"/>
        </w:rPr>
        <w:fldChar w:fldCharType="end"/>
      </w:r>
    </w:p>
    <w:p w14:paraId="620EDB41">
      <w:pPr>
        <w:pStyle w:val="36"/>
        <w:tabs>
          <w:tab w:val="right" w:leader="dot" w:pos="8296"/>
        </w:tabs>
        <w:ind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"_Toc181712922" </w:instrText>
      </w:r>
      <w:r>
        <w:rPr>
          <w:color w:val="auto"/>
        </w:rPr>
        <w:fldChar w:fldCharType="separate"/>
      </w:r>
      <w:r>
        <w:rPr>
          <w:rStyle w:val="50"/>
          <w:rFonts w:ascii="仿宋" w:hAnsi="仿宋" w:eastAsia="仿宋"/>
          <w:bCs/>
          <w:color w:val="auto"/>
        </w:rPr>
        <w:t>投标文件目录</w:t>
      </w:r>
      <w:r>
        <w:rPr>
          <w:color w:val="auto"/>
        </w:rPr>
        <w:tab/>
      </w:r>
      <w:r>
        <w:rPr>
          <w:color w:val="auto"/>
        </w:rPr>
        <w:fldChar w:fldCharType="begin"/>
      </w:r>
      <w:r>
        <w:rPr>
          <w:color w:val="auto"/>
        </w:rPr>
        <w:instrText xml:space="preserve"> PAGEREF _Toc181712922 \h </w:instrText>
      </w:r>
      <w:r>
        <w:rPr>
          <w:color w:val="auto"/>
        </w:rPr>
        <w:fldChar w:fldCharType="separate"/>
      </w:r>
      <w:r>
        <w:rPr>
          <w:color w:val="auto"/>
        </w:rPr>
        <w:t>49</w:t>
      </w:r>
      <w:r>
        <w:rPr>
          <w:color w:val="auto"/>
        </w:rPr>
        <w:fldChar w:fldCharType="end"/>
      </w:r>
      <w:r>
        <w:rPr>
          <w:color w:val="auto"/>
        </w:rPr>
        <w:fldChar w:fldCharType="end"/>
      </w:r>
    </w:p>
    <w:p w14:paraId="6EFE2D6B">
      <w:pPr>
        <w:pStyle w:val="36"/>
        <w:tabs>
          <w:tab w:val="right" w:leader="dot" w:pos="8296"/>
        </w:tabs>
        <w:ind w:firstLine="420"/>
        <w:rPr>
          <w:rFonts w:asciiTheme="minorHAnsi" w:hAnsiTheme="minorHAnsi" w:eastAsiaTheme="minorEastAsia" w:cstheme="minorBidi"/>
          <w:color w:val="auto"/>
          <w:szCs w:val="22"/>
        </w:rPr>
      </w:pPr>
      <w:r>
        <w:rPr>
          <w:color w:val="auto"/>
        </w:rPr>
        <w:fldChar w:fldCharType="begin"/>
      </w:r>
      <w:r>
        <w:rPr>
          <w:color w:val="auto"/>
        </w:rPr>
        <w:instrText xml:space="preserve"> HYPERLINK \l "_Toc181712923" </w:instrText>
      </w:r>
      <w:r>
        <w:rPr>
          <w:color w:val="auto"/>
        </w:rPr>
        <w:fldChar w:fldCharType="separate"/>
      </w:r>
      <w:r>
        <w:rPr>
          <w:rStyle w:val="50"/>
          <w:rFonts w:ascii="仿宋" w:hAnsi="仿宋" w:eastAsia="仿宋"/>
          <w:bCs/>
          <w:color w:val="auto"/>
        </w:rPr>
        <w:t>投标文件导读表</w:t>
      </w:r>
      <w:r>
        <w:rPr>
          <w:color w:val="auto"/>
        </w:rPr>
        <w:tab/>
      </w:r>
      <w:r>
        <w:rPr>
          <w:color w:val="auto"/>
        </w:rPr>
        <w:fldChar w:fldCharType="begin"/>
      </w:r>
      <w:r>
        <w:rPr>
          <w:color w:val="auto"/>
        </w:rPr>
        <w:instrText xml:space="preserve"> PAGEREF _Toc181712923 \h </w:instrText>
      </w:r>
      <w:r>
        <w:rPr>
          <w:color w:val="auto"/>
        </w:rPr>
        <w:fldChar w:fldCharType="separate"/>
      </w:r>
      <w:r>
        <w:rPr>
          <w:color w:val="auto"/>
        </w:rPr>
        <w:t>50</w:t>
      </w:r>
      <w:r>
        <w:rPr>
          <w:color w:val="auto"/>
        </w:rPr>
        <w:fldChar w:fldCharType="end"/>
      </w:r>
      <w:r>
        <w:rPr>
          <w:color w:val="auto"/>
        </w:rPr>
        <w:fldChar w:fldCharType="end"/>
      </w:r>
    </w:p>
    <w:p w14:paraId="3287E8BF">
      <w:pPr>
        <w:ind w:firstLine="480"/>
        <w:rPr>
          <w:rFonts w:ascii="仿宋" w:hAnsi="仿宋" w:eastAsia="仿宋"/>
          <w:color w:val="auto"/>
          <w:sz w:val="24"/>
        </w:rPr>
      </w:pPr>
      <w:r>
        <w:rPr>
          <w:rFonts w:hint="eastAsia" w:ascii="仿宋" w:hAnsi="仿宋" w:eastAsia="仿宋" w:cs="宋体"/>
          <w:color w:val="auto"/>
          <w:sz w:val="24"/>
        </w:rPr>
        <w:fldChar w:fldCharType="end"/>
      </w:r>
    </w:p>
    <w:p w14:paraId="76F4150D">
      <w:pPr>
        <w:ind w:firstLine="480"/>
        <w:rPr>
          <w:rFonts w:ascii="仿宋" w:hAnsi="仿宋" w:eastAsia="仿宋"/>
          <w:color w:val="auto"/>
          <w:sz w:val="24"/>
        </w:rPr>
        <w:sectPr>
          <w:footerReference r:id="rId11" w:type="default"/>
          <w:type w:val="continuous"/>
          <w:pgSz w:w="11906" w:h="16838"/>
          <w:pgMar w:top="1440" w:right="1800" w:bottom="1440" w:left="1800" w:header="851" w:footer="992" w:gutter="0"/>
          <w:pgNumType w:start="1"/>
          <w:cols w:space="720" w:num="1"/>
          <w:docGrid w:linePitch="312" w:charSpace="0"/>
        </w:sectPr>
      </w:pPr>
    </w:p>
    <w:p w14:paraId="3BF1618E">
      <w:pPr>
        <w:spacing w:before="120" w:beforeLines="50" w:after="120" w:afterLines="50" w:line="240" w:lineRule="auto"/>
        <w:ind w:firstLine="0" w:firstLineChars="0"/>
        <w:jc w:val="center"/>
        <w:outlineLvl w:val="0"/>
        <w:rPr>
          <w:rFonts w:ascii="仿宋" w:hAnsi="仿宋" w:eastAsia="仿宋"/>
          <w:bCs/>
          <w:color w:val="auto"/>
          <w:sz w:val="36"/>
          <w:szCs w:val="36"/>
        </w:rPr>
      </w:pPr>
      <w:bookmarkStart w:id="2" w:name="_Toc494528916"/>
      <w:bookmarkStart w:id="3" w:name="_Toc181712875"/>
      <w:r>
        <w:rPr>
          <w:rFonts w:hint="eastAsia" w:ascii="仿宋" w:hAnsi="仿宋" w:eastAsia="仿宋"/>
          <w:bCs/>
          <w:color w:val="auto"/>
          <w:sz w:val="36"/>
          <w:szCs w:val="36"/>
        </w:rPr>
        <w:t>第一章 招标公告（代投标邀请函）</w:t>
      </w:r>
      <w:bookmarkEnd w:id="2"/>
      <w:bookmarkEnd w:id="3"/>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1A9C9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36384AF2">
            <w:pPr>
              <w:spacing w:line="276" w:lineRule="auto"/>
              <w:ind w:firstLine="0" w:firstLineChars="0"/>
              <w:rPr>
                <w:rFonts w:ascii="仿宋" w:hAnsi="仿宋" w:eastAsia="仿宋"/>
                <w:color w:val="auto"/>
                <w:kern w:val="0"/>
                <w:sz w:val="24"/>
              </w:rPr>
            </w:pPr>
            <w:r>
              <w:rPr>
                <w:rFonts w:hint="eastAsia" w:ascii="仿宋" w:hAnsi="仿宋" w:eastAsia="仿宋"/>
                <w:color w:val="auto"/>
                <w:kern w:val="0"/>
                <w:sz w:val="24"/>
              </w:rPr>
              <w:t>项目概况</w:t>
            </w:r>
          </w:p>
          <w:p w14:paraId="289FEEE5">
            <w:pPr>
              <w:spacing w:line="276" w:lineRule="auto"/>
              <w:ind w:firstLine="480"/>
              <w:rPr>
                <w:rFonts w:ascii="仿宋" w:hAnsi="仿宋" w:eastAsia="仿宋"/>
                <w:color w:val="auto"/>
                <w:kern w:val="0"/>
                <w:szCs w:val="21"/>
              </w:rPr>
            </w:pPr>
            <w:r>
              <w:rPr>
                <w:rFonts w:hint="eastAsia" w:ascii="仿宋" w:hAnsi="仿宋" w:eastAsia="仿宋"/>
                <w:color w:val="auto"/>
                <w:kern w:val="0"/>
                <w:sz w:val="24"/>
              </w:rPr>
              <w:t>本项目的潜在投标人应在湖北省成套招标股份有限公司7楼大厅或线上方式获取招标文件，并于202</w:t>
            </w:r>
            <w:r>
              <w:rPr>
                <w:rFonts w:ascii="仿宋" w:hAnsi="仿宋" w:eastAsia="仿宋"/>
                <w:color w:val="auto"/>
                <w:kern w:val="0"/>
                <w:sz w:val="24"/>
              </w:rPr>
              <w:t>5</w:t>
            </w:r>
            <w:r>
              <w:rPr>
                <w:rFonts w:hint="eastAsia" w:ascii="仿宋" w:hAnsi="仿宋" w:eastAsia="仿宋"/>
                <w:color w:val="auto"/>
                <w:kern w:val="0"/>
                <w:sz w:val="24"/>
              </w:rPr>
              <w:t>年</w:t>
            </w:r>
            <w:r>
              <w:rPr>
                <w:rFonts w:ascii="仿宋" w:hAnsi="仿宋" w:eastAsia="仿宋"/>
                <w:color w:val="auto"/>
                <w:kern w:val="0"/>
                <w:sz w:val="24"/>
              </w:rPr>
              <w:t>02</w:t>
            </w:r>
            <w:r>
              <w:rPr>
                <w:rFonts w:hint="eastAsia" w:ascii="仿宋" w:hAnsi="仿宋" w:eastAsia="仿宋"/>
                <w:color w:val="auto"/>
                <w:kern w:val="0"/>
                <w:sz w:val="24"/>
              </w:rPr>
              <w:t>月</w:t>
            </w:r>
            <w:r>
              <w:rPr>
                <w:rFonts w:hint="eastAsia" w:ascii="仿宋" w:hAnsi="仿宋" w:eastAsia="仿宋"/>
                <w:color w:val="auto"/>
                <w:kern w:val="0"/>
                <w:sz w:val="24"/>
                <w:lang w:val="en-US" w:eastAsia="zh-CN"/>
              </w:rPr>
              <w:t>14</w:t>
            </w:r>
            <w:r>
              <w:rPr>
                <w:rFonts w:hint="eastAsia" w:ascii="仿宋" w:hAnsi="仿宋" w:eastAsia="仿宋"/>
                <w:color w:val="auto"/>
                <w:kern w:val="0"/>
                <w:sz w:val="24"/>
              </w:rPr>
              <w:t>日09时30分（北京时间）前递交投标文件。</w:t>
            </w:r>
          </w:p>
        </w:tc>
      </w:tr>
    </w:tbl>
    <w:p w14:paraId="0561C704">
      <w:pPr>
        <w:ind w:firstLine="480"/>
        <w:rPr>
          <w:rFonts w:ascii="仿宋" w:hAnsi="仿宋" w:eastAsia="仿宋"/>
          <w:color w:val="auto"/>
          <w:sz w:val="24"/>
        </w:rPr>
      </w:pPr>
      <w:bookmarkStart w:id="4" w:name="_Toc124775827"/>
      <w:r>
        <w:rPr>
          <w:rFonts w:hint="eastAsia" w:ascii="仿宋" w:hAnsi="仿宋" w:eastAsia="仿宋"/>
          <w:color w:val="auto"/>
          <w:sz w:val="24"/>
        </w:rPr>
        <w:t>一、项目基本情况</w:t>
      </w:r>
      <w:bookmarkEnd w:id="4"/>
    </w:p>
    <w:p w14:paraId="131C84C0">
      <w:pPr>
        <w:ind w:firstLine="480"/>
        <w:rPr>
          <w:rFonts w:ascii="仿宋" w:hAnsi="仿宋" w:eastAsia="仿宋"/>
          <w:color w:val="auto"/>
          <w:sz w:val="24"/>
        </w:rPr>
      </w:pPr>
      <w:r>
        <w:rPr>
          <w:rFonts w:hint="eastAsia" w:ascii="仿宋" w:hAnsi="仿宋" w:eastAsia="仿宋"/>
          <w:color w:val="auto"/>
          <w:sz w:val="24"/>
        </w:rPr>
        <w:t>1.项目编号：</w:t>
      </w:r>
      <w:r>
        <w:rPr>
          <w:rFonts w:hint="eastAsia" w:ascii="仿宋" w:hAnsi="仿宋" w:eastAsia="仿宋"/>
          <w:color w:val="auto"/>
          <w:sz w:val="24"/>
          <w:lang w:bidi="ar-EG"/>
        </w:rPr>
        <w:t>HBCZ-22020156-</w:t>
      </w:r>
      <w:r>
        <w:rPr>
          <w:rFonts w:ascii="仿宋" w:hAnsi="仿宋" w:eastAsia="仿宋"/>
          <w:color w:val="auto"/>
          <w:sz w:val="24"/>
          <w:lang w:bidi="ar-EG"/>
        </w:rPr>
        <w:t>243849</w:t>
      </w:r>
    </w:p>
    <w:p w14:paraId="481D783D">
      <w:pPr>
        <w:ind w:firstLine="480"/>
        <w:rPr>
          <w:rFonts w:ascii="仿宋" w:hAnsi="仿宋" w:eastAsia="仿宋"/>
          <w:color w:val="auto"/>
          <w:sz w:val="24"/>
        </w:rPr>
      </w:pPr>
      <w:r>
        <w:rPr>
          <w:rFonts w:hint="eastAsia" w:ascii="仿宋" w:hAnsi="仿宋" w:eastAsia="仿宋"/>
          <w:color w:val="auto"/>
          <w:sz w:val="24"/>
        </w:rPr>
        <w:t>2.项目名称：华中科技大学同济医学院附属同济医院自动细胞显微图像扫描系统采购项目</w:t>
      </w:r>
    </w:p>
    <w:p w14:paraId="2D9AA8BC">
      <w:pPr>
        <w:ind w:firstLine="480"/>
        <w:rPr>
          <w:rFonts w:ascii="仿宋" w:hAnsi="仿宋" w:eastAsia="仿宋"/>
          <w:color w:val="auto"/>
          <w:sz w:val="24"/>
        </w:rPr>
      </w:pPr>
      <w:r>
        <w:rPr>
          <w:rFonts w:hint="eastAsia" w:ascii="仿宋" w:hAnsi="仿宋" w:eastAsia="仿宋"/>
          <w:color w:val="auto"/>
          <w:sz w:val="24"/>
        </w:rPr>
        <w:t>3.预算金额：</w:t>
      </w:r>
      <w:r>
        <w:rPr>
          <w:rFonts w:ascii="仿宋" w:hAnsi="仿宋" w:eastAsia="仿宋"/>
          <w:color w:val="auto"/>
          <w:sz w:val="24"/>
        </w:rPr>
        <w:t>75万元</w:t>
      </w:r>
      <w:r>
        <w:rPr>
          <w:rFonts w:hint="eastAsia" w:ascii="仿宋" w:hAnsi="仿宋" w:eastAsia="仿宋"/>
          <w:color w:val="auto"/>
          <w:sz w:val="24"/>
        </w:rPr>
        <w:t>（人民币）</w:t>
      </w:r>
    </w:p>
    <w:p w14:paraId="2147EF58">
      <w:pPr>
        <w:ind w:firstLine="480"/>
        <w:rPr>
          <w:rFonts w:ascii="仿宋" w:hAnsi="仿宋" w:eastAsia="仿宋"/>
          <w:color w:val="auto"/>
          <w:sz w:val="24"/>
        </w:rPr>
      </w:pPr>
      <w:r>
        <w:rPr>
          <w:rFonts w:hint="eastAsia" w:ascii="仿宋" w:hAnsi="仿宋" w:eastAsia="仿宋"/>
          <w:color w:val="auto"/>
          <w:sz w:val="24"/>
        </w:rPr>
        <w:t>4.最高限价：</w:t>
      </w:r>
      <w:r>
        <w:rPr>
          <w:rFonts w:ascii="仿宋" w:hAnsi="仿宋" w:eastAsia="仿宋"/>
          <w:color w:val="auto"/>
          <w:sz w:val="24"/>
        </w:rPr>
        <w:t>75万元</w:t>
      </w:r>
      <w:r>
        <w:rPr>
          <w:rFonts w:hint="eastAsia" w:ascii="仿宋" w:hAnsi="仿宋" w:eastAsia="仿宋"/>
          <w:color w:val="auto"/>
          <w:sz w:val="24"/>
        </w:rPr>
        <w:t>（人民币）</w:t>
      </w:r>
    </w:p>
    <w:p w14:paraId="5FB5BB8A">
      <w:pPr>
        <w:ind w:firstLine="480"/>
        <w:rPr>
          <w:rFonts w:ascii="仿宋" w:hAnsi="仿宋" w:eastAsia="仿宋"/>
          <w:color w:val="auto"/>
          <w:sz w:val="24"/>
        </w:rPr>
      </w:pPr>
      <w:r>
        <w:rPr>
          <w:rFonts w:hint="eastAsia" w:ascii="仿宋" w:hAnsi="仿宋" w:eastAsia="仿宋"/>
          <w:color w:val="auto"/>
          <w:sz w:val="24"/>
        </w:rPr>
        <w:t>5.采购需求：</w:t>
      </w:r>
    </w:p>
    <w:tbl>
      <w:tblPr>
        <w:tblStyle w:val="44"/>
        <w:tblW w:w="8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560"/>
        <w:gridCol w:w="708"/>
        <w:gridCol w:w="1418"/>
        <w:gridCol w:w="1107"/>
        <w:gridCol w:w="877"/>
        <w:gridCol w:w="1276"/>
        <w:gridCol w:w="709"/>
      </w:tblGrid>
      <w:tr w14:paraId="68002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567" w:type="dxa"/>
            <w:vAlign w:val="center"/>
          </w:tcPr>
          <w:p w14:paraId="59E87C4A">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包号</w:t>
            </w:r>
          </w:p>
        </w:tc>
        <w:tc>
          <w:tcPr>
            <w:tcW w:w="1560" w:type="dxa"/>
            <w:vAlign w:val="center"/>
          </w:tcPr>
          <w:p w14:paraId="46F516F2">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设备名称</w:t>
            </w:r>
          </w:p>
        </w:tc>
        <w:tc>
          <w:tcPr>
            <w:tcW w:w="708" w:type="dxa"/>
            <w:vAlign w:val="center"/>
          </w:tcPr>
          <w:p w14:paraId="437E299D">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数量</w:t>
            </w:r>
          </w:p>
        </w:tc>
        <w:tc>
          <w:tcPr>
            <w:tcW w:w="1418" w:type="dxa"/>
            <w:vAlign w:val="center"/>
          </w:tcPr>
          <w:p w14:paraId="5A0F54DC">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预算总价/</w:t>
            </w:r>
          </w:p>
          <w:p w14:paraId="19375A2F">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最高限价</w:t>
            </w:r>
          </w:p>
          <w:p w14:paraId="7B8B83E1">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（万元）</w:t>
            </w:r>
          </w:p>
        </w:tc>
        <w:tc>
          <w:tcPr>
            <w:tcW w:w="1107" w:type="dxa"/>
            <w:vAlign w:val="center"/>
          </w:tcPr>
          <w:p w14:paraId="324F4188">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交货验收期</w:t>
            </w:r>
          </w:p>
        </w:tc>
        <w:tc>
          <w:tcPr>
            <w:tcW w:w="877" w:type="dxa"/>
            <w:vAlign w:val="center"/>
          </w:tcPr>
          <w:p w14:paraId="2591BC60">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质保期</w:t>
            </w:r>
          </w:p>
        </w:tc>
        <w:tc>
          <w:tcPr>
            <w:tcW w:w="1276" w:type="dxa"/>
            <w:vAlign w:val="center"/>
          </w:tcPr>
          <w:p w14:paraId="62F46AAA">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是否可以采购进口产品</w:t>
            </w:r>
          </w:p>
        </w:tc>
        <w:tc>
          <w:tcPr>
            <w:tcW w:w="709" w:type="dxa"/>
            <w:vAlign w:val="center"/>
          </w:tcPr>
          <w:p w14:paraId="55ACFA03">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备注</w:t>
            </w:r>
          </w:p>
        </w:tc>
      </w:tr>
      <w:tr w14:paraId="2C9A1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jc w:val="center"/>
        </w:trPr>
        <w:tc>
          <w:tcPr>
            <w:tcW w:w="567" w:type="dxa"/>
            <w:vAlign w:val="center"/>
          </w:tcPr>
          <w:p w14:paraId="680E3DDD">
            <w:pPr>
              <w:adjustRightInd w:val="0"/>
              <w:snapToGrid w:val="0"/>
              <w:spacing w:line="276" w:lineRule="auto"/>
              <w:ind w:firstLine="0" w:firstLineChars="0"/>
              <w:jc w:val="center"/>
              <w:rPr>
                <w:rFonts w:ascii="仿宋" w:hAnsi="仿宋" w:eastAsia="仿宋"/>
                <w:color w:val="auto"/>
                <w:sz w:val="24"/>
              </w:rPr>
            </w:pPr>
            <w:r>
              <w:rPr>
                <w:rFonts w:ascii="仿宋" w:hAnsi="仿宋" w:eastAsia="仿宋"/>
                <w:color w:val="auto"/>
                <w:sz w:val="24"/>
              </w:rPr>
              <w:t>1</w:t>
            </w:r>
          </w:p>
        </w:tc>
        <w:tc>
          <w:tcPr>
            <w:tcW w:w="1560" w:type="dxa"/>
            <w:vAlign w:val="center"/>
          </w:tcPr>
          <w:p w14:paraId="05683223">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自动细胞显微图像扫描系统</w:t>
            </w:r>
          </w:p>
        </w:tc>
        <w:tc>
          <w:tcPr>
            <w:tcW w:w="708" w:type="dxa"/>
            <w:vAlign w:val="center"/>
          </w:tcPr>
          <w:p w14:paraId="09581CF2">
            <w:pPr>
              <w:adjustRightInd w:val="0"/>
              <w:snapToGrid w:val="0"/>
              <w:spacing w:line="276" w:lineRule="auto"/>
              <w:ind w:firstLine="0" w:firstLineChars="0"/>
              <w:jc w:val="center"/>
              <w:rPr>
                <w:rFonts w:ascii="仿宋" w:hAnsi="仿宋" w:eastAsia="仿宋"/>
                <w:color w:val="auto"/>
                <w:sz w:val="24"/>
              </w:rPr>
            </w:pPr>
            <w:r>
              <w:rPr>
                <w:rFonts w:ascii="仿宋" w:hAnsi="仿宋" w:eastAsia="仿宋"/>
                <w:color w:val="auto"/>
                <w:sz w:val="24"/>
              </w:rPr>
              <w:t>1</w:t>
            </w:r>
            <w:r>
              <w:rPr>
                <w:rFonts w:hint="eastAsia" w:ascii="仿宋" w:hAnsi="仿宋" w:eastAsia="仿宋"/>
                <w:color w:val="auto"/>
                <w:sz w:val="24"/>
              </w:rPr>
              <w:t>台</w:t>
            </w:r>
          </w:p>
        </w:tc>
        <w:tc>
          <w:tcPr>
            <w:tcW w:w="1418" w:type="dxa"/>
            <w:vAlign w:val="center"/>
          </w:tcPr>
          <w:p w14:paraId="145B142F">
            <w:pPr>
              <w:adjustRightInd w:val="0"/>
              <w:snapToGrid w:val="0"/>
              <w:spacing w:line="276" w:lineRule="auto"/>
              <w:ind w:firstLine="0" w:firstLineChars="0"/>
              <w:jc w:val="center"/>
              <w:rPr>
                <w:rFonts w:ascii="仿宋" w:hAnsi="仿宋" w:eastAsia="仿宋"/>
                <w:color w:val="auto"/>
                <w:sz w:val="24"/>
              </w:rPr>
            </w:pPr>
            <w:r>
              <w:rPr>
                <w:rFonts w:ascii="仿宋" w:hAnsi="仿宋" w:eastAsia="仿宋"/>
                <w:color w:val="auto"/>
                <w:sz w:val="24"/>
              </w:rPr>
              <w:t>75</w:t>
            </w:r>
          </w:p>
        </w:tc>
        <w:tc>
          <w:tcPr>
            <w:tcW w:w="1107" w:type="dxa"/>
            <w:vAlign w:val="center"/>
          </w:tcPr>
          <w:p w14:paraId="0521FF42">
            <w:pPr>
              <w:adjustRightInd w:val="0"/>
              <w:snapToGrid w:val="0"/>
              <w:spacing w:line="276" w:lineRule="auto"/>
              <w:ind w:firstLine="0" w:firstLineChars="0"/>
              <w:jc w:val="center"/>
              <w:rPr>
                <w:rFonts w:ascii="仿宋" w:hAnsi="仿宋" w:eastAsia="仿宋"/>
                <w:color w:val="auto"/>
                <w:sz w:val="24"/>
              </w:rPr>
            </w:pPr>
            <w:r>
              <w:rPr>
                <w:rFonts w:ascii="仿宋" w:hAnsi="仿宋" w:eastAsia="仿宋"/>
                <w:color w:val="auto"/>
                <w:sz w:val="24"/>
              </w:rPr>
              <w:t>合同签订后90天内</w:t>
            </w:r>
          </w:p>
        </w:tc>
        <w:tc>
          <w:tcPr>
            <w:tcW w:w="877" w:type="dxa"/>
            <w:vAlign w:val="center"/>
          </w:tcPr>
          <w:p w14:paraId="044A3297">
            <w:pPr>
              <w:adjustRightInd w:val="0"/>
              <w:snapToGrid w:val="0"/>
              <w:spacing w:line="276" w:lineRule="auto"/>
              <w:ind w:firstLine="0" w:firstLineChars="0"/>
              <w:jc w:val="center"/>
              <w:rPr>
                <w:rFonts w:ascii="仿宋" w:hAnsi="仿宋" w:eastAsia="仿宋"/>
                <w:color w:val="auto"/>
                <w:sz w:val="24"/>
              </w:rPr>
            </w:pPr>
            <w:r>
              <w:rPr>
                <w:rFonts w:ascii="仿宋" w:hAnsi="仿宋" w:eastAsia="仿宋"/>
                <w:color w:val="auto"/>
                <w:sz w:val="24"/>
              </w:rPr>
              <w:t>24</w:t>
            </w:r>
            <w:r>
              <w:rPr>
                <w:rFonts w:hint="eastAsia" w:ascii="仿宋" w:hAnsi="仿宋" w:eastAsia="仿宋"/>
                <w:color w:val="auto"/>
                <w:sz w:val="24"/>
              </w:rPr>
              <w:t>个月</w:t>
            </w:r>
          </w:p>
        </w:tc>
        <w:tc>
          <w:tcPr>
            <w:tcW w:w="1276" w:type="dxa"/>
            <w:vAlign w:val="center"/>
          </w:tcPr>
          <w:p w14:paraId="2D837365">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是</w:t>
            </w:r>
          </w:p>
        </w:tc>
        <w:tc>
          <w:tcPr>
            <w:tcW w:w="709" w:type="dxa"/>
            <w:vAlign w:val="center"/>
          </w:tcPr>
          <w:p w14:paraId="26EEA76F">
            <w:pPr>
              <w:adjustRightInd w:val="0"/>
              <w:snapToGrid w:val="0"/>
              <w:spacing w:line="276" w:lineRule="auto"/>
              <w:ind w:firstLine="0" w:firstLineChars="0"/>
              <w:jc w:val="center"/>
              <w:rPr>
                <w:rFonts w:ascii="仿宋" w:hAnsi="仿宋" w:eastAsia="仿宋"/>
                <w:color w:val="auto"/>
                <w:sz w:val="24"/>
              </w:rPr>
            </w:pPr>
          </w:p>
        </w:tc>
      </w:tr>
    </w:tbl>
    <w:p w14:paraId="2EFA5DA8">
      <w:pPr>
        <w:ind w:firstLine="480"/>
        <w:rPr>
          <w:rFonts w:ascii="仿宋" w:hAnsi="仿宋" w:eastAsia="仿宋"/>
          <w:color w:val="auto"/>
          <w:sz w:val="24"/>
        </w:rPr>
      </w:pPr>
      <w:r>
        <w:rPr>
          <w:rFonts w:hint="eastAsia" w:ascii="仿宋" w:hAnsi="仿宋" w:eastAsia="仿宋"/>
          <w:color w:val="auto"/>
          <w:sz w:val="24"/>
        </w:rPr>
        <w:t>6.合同履行期限：自签订合同之日起至质保期满</w:t>
      </w:r>
    </w:p>
    <w:p w14:paraId="55E7D138">
      <w:pPr>
        <w:ind w:firstLine="480"/>
        <w:rPr>
          <w:rFonts w:ascii="仿宋" w:hAnsi="仿宋" w:eastAsia="仿宋"/>
          <w:color w:val="auto"/>
          <w:sz w:val="24"/>
        </w:rPr>
      </w:pPr>
      <w:r>
        <w:rPr>
          <w:rFonts w:hint="eastAsia" w:ascii="仿宋" w:hAnsi="仿宋" w:eastAsia="仿宋"/>
          <w:color w:val="auto"/>
          <w:sz w:val="24"/>
        </w:rPr>
        <w:t>7.本项目不接受联合体投标。</w:t>
      </w:r>
    </w:p>
    <w:p w14:paraId="39522D5B">
      <w:pPr>
        <w:ind w:firstLine="480"/>
        <w:rPr>
          <w:rFonts w:ascii="仿宋" w:hAnsi="仿宋" w:eastAsia="仿宋"/>
          <w:color w:val="auto"/>
          <w:sz w:val="24"/>
        </w:rPr>
      </w:pPr>
      <w:bookmarkStart w:id="5" w:name="_Toc124775828"/>
    </w:p>
    <w:p w14:paraId="20A2D7FF">
      <w:pPr>
        <w:ind w:firstLine="480"/>
        <w:rPr>
          <w:rFonts w:ascii="仿宋" w:hAnsi="仿宋" w:eastAsia="仿宋"/>
          <w:color w:val="auto"/>
          <w:sz w:val="24"/>
        </w:rPr>
      </w:pPr>
      <w:r>
        <w:rPr>
          <w:rFonts w:hint="eastAsia" w:ascii="仿宋" w:hAnsi="仿宋" w:eastAsia="仿宋"/>
          <w:color w:val="auto"/>
          <w:sz w:val="24"/>
        </w:rPr>
        <w:t>二、申请人的资格要求</w:t>
      </w:r>
      <w:bookmarkEnd w:id="5"/>
    </w:p>
    <w:p w14:paraId="2245269C">
      <w:pPr>
        <w:ind w:firstLine="480"/>
        <w:rPr>
          <w:rFonts w:ascii="仿宋" w:hAnsi="仿宋" w:eastAsia="仿宋"/>
          <w:color w:val="auto"/>
          <w:sz w:val="24"/>
        </w:rPr>
      </w:pPr>
      <w:r>
        <w:rPr>
          <w:rFonts w:hint="eastAsia" w:ascii="仿宋" w:hAnsi="仿宋" w:eastAsia="仿宋"/>
          <w:color w:val="auto"/>
          <w:sz w:val="24"/>
        </w:rPr>
        <w:t>1.满足《中华人民共和国政府采购法》第二十二条规定：</w:t>
      </w:r>
    </w:p>
    <w:p w14:paraId="51E6E166">
      <w:pPr>
        <w:ind w:firstLine="480"/>
        <w:rPr>
          <w:rFonts w:ascii="仿宋" w:hAnsi="仿宋" w:eastAsia="仿宋"/>
          <w:color w:val="auto"/>
          <w:sz w:val="24"/>
        </w:rPr>
      </w:pPr>
      <w:r>
        <w:rPr>
          <w:rFonts w:hint="eastAsia" w:ascii="仿宋" w:hAnsi="仿宋" w:eastAsia="仿宋"/>
          <w:color w:val="auto"/>
          <w:sz w:val="24"/>
        </w:rPr>
        <w:t>（1）具有独立承担民事责任的能力；</w:t>
      </w:r>
    </w:p>
    <w:p w14:paraId="2161DEC6">
      <w:pPr>
        <w:ind w:firstLine="480"/>
        <w:rPr>
          <w:rFonts w:ascii="仿宋" w:hAnsi="仿宋" w:eastAsia="仿宋"/>
          <w:color w:val="auto"/>
          <w:sz w:val="24"/>
        </w:rPr>
      </w:pPr>
      <w:r>
        <w:rPr>
          <w:rFonts w:hint="eastAsia" w:ascii="仿宋" w:hAnsi="仿宋" w:eastAsia="仿宋"/>
          <w:color w:val="auto"/>
          <w:sz w:val="24"/>
        </w:rPr>
        <w:t>（2）具有良好的商业信誉和健全的财务会计制度；</w:t>
      </w:r>
    </w:p>
    <w:p w14:paraId="42AC07CE">
      <w:pPr>
        <w:ind w:firstLine="480"/>
        <w:rPr>
          <w:rFonts w:ascii="仿宋" w:hAnsi="仿宋" w:eastAsia="仿宋"/>
          <w:color w:val="auto"/>
          <w:sz w:val="24"/>
        </w:rPr>
      </w:pPr>
      <w:r>
        <w:rPr>
          <w:rFonts w:hint="eastAsia" w:ascii="仿宋" w:hAnsi="仿宋" w:eastAsia="仿宋"/>
          <w:color w:val="auto"/>
          <w:sz w:val="24"/>
        </w:rPr>
        <w:t>（3）具有履行合同所必需的设备和专业技术能力；</w:t>
      </w:r>
    </w:p>
    <w:p w14:paraId="5CB43450">
      <w:pPr>
        <w:ind w:firstLine="480"/>
        <w:rPr>
          <w:rFonts w:ascii="仿宋" w:hAnsi="仿宋" w:eastAsia="仿宋"/>
          <w:color w:val="auto"/>
          <w:sz w:val="24"/>
        </w:rPr>
      </w:pPr>
      <w:r>
        <w:rPr>
          <w:rFonts w:hint="eastAsia" w:ascii="仿宋" w:hAnsi="仿宋" w:eastAsia="仿宋"/>
          <w:color w:val="auto"/>
          <w:sz w:val="24"/>
        </w:rPr>
        <w:t>（4）有依法缴纳税收和社会保障资金的良好记录；</w:t>
      </w:r>
    </w:p>
    <w:p w14:paraId="0847D009">
      <w:pPr>
        <w:ind w:firstLine="480"/>
        <w:rPr>
          <w:rFonts w:ascii="仿宋" w:hAnsi="仿宋" w:eastAsia="仿宋"/>
          <w:color w:val="auto"/>
          <w:sz w:val="24"/>
        </w:rPr>
      </w:pPr>
      <w:r>
        <w:rPr>
          <w:rFonts w:hint="eastAsia" w:ascii="仿宋" w:hAnsi="仿宋" w:eastAsia="仿宋"/>
          <w:color w:val="auto"/>
          <w:sz w:val="24"/>
        </w:rPr>
        <w:t>（5）参加政府采购活动前三年内，在经营活动中没有重大违法记录；</w:t>
      </w:r>
    </w:p>
    <w:p w14:paraId="46049D1F">
      <w:pPr>
        <w:ind w:firstLine="480"/>
        <w:rPr>
          <w:rFonts w:ascii="仿宋" w:hAnsi="仿宋" w:eastAsia="仿宋"/>
          <w:color w:val="auto"/>
          <w:sz w:val="24"/>
        </w:rPr>
      </w:pPr>
      <w:r>
        <w:rPr>
          <w:rFonts w:hint="eastAsia" w:ascii="仿宋" w:hAnsi="仿宋" w:eastAsia="仿宋"/>
          <w:color w:val="auto"/>
          <w:sz w:val="24"/>
        </w:rPr>
        <w:t>（6）法律、行政法规规定的其他条件。</w:t>
      </w:r>
    </w:p>
    <w:p w14:paraId="3A0C7C6A">
      <w:pPr>
        <w:ind w:firstLine="480"/>
        <w:rPr>
          <w:rFonts w:ascii="仿宋" w:hAnsi="仿宋" w:eastAsia="仿宋"/>
          <w:color w:val="auto"/>
          <w:sz w:val="24"/>
        </w:rPr>
      </w:pPr>
      <w:r>
        <w:rPr>
          <w:rFonts w:hint="eastAsia" w:ascii="仿宋" w:hAnsi="仿宋" w:eastAsia="仿宋"/>
          <w:color w:val="auto"/>
          <w:sz w:val="24"/>
        </w:rPr>
        <w:t>2.落实政府采购政策需满足的资格要求：/</w:t>
      </w:r>
    </w:p>
    <w:p w14:paraId="0C0DB34C">
      <w:pPr>
        <w:ind w:firstLine="480"/>
        <w:rPr>
          <w:rFonts w:ascii="仿宋" w:hAnsi="仿宋" w:eastAsia="仿宋"/>
          <w:color w:val="auto"/>
          <w:sz w:val="24"/>
        </w:rPr>
      </w:pPr>
      <w:r>
        <w:rPr>
          <w:rFonts w:hint="eastAsia" w:ascii="仿宋" w:hAnsi="仿宋" w:eastAsia="仿宋"/>
          <w:color w:val="auto"/>
          <w:sz w:val="24"/>
        </w:rPr>
        <w:t>3.本项目的特定资格要求：</w:t>
      </w:r>
    </w:p>
    <w:p w14:paraId="04A41459">
      <w:pPr>
        <w:ind w:firstLine="480"/>
        <w:rPr>
          <w:rFonts w:ascii="仿宋" w:hAnsi="仿宋" w:eastAsia="仿宋"/>
          <w:color w:val="auto"/>
          <w:sz w:val="24"/>
        </w:rPr>
      </w:pPr>
      <w:r>
        <w:rPr>
          <w:rFonts w:hint="eastAsia" w:ascii="仿宋" w:hAnsi="仿宋" w:eastAsia="仿宋"/>
          <w:color w:val="auto"/>
          <w:sz w:val="24"/>
        </w:rPr>
        <w:t>（1）单位负责人为同一人或者存在直接控股、管理关系的不同投标人，不得参加同一合同项下的政府采购活动；</w:t>
      </w:r>
    </w:p>
    <w:p w14:paraId="25AD547A">
      <w:pPr>
        <w:ind w:firstLine="480"/>
        <w:rPr>
          <w:rFonts w:ascii="仿宋" w:hAnsi="仿宋" w:eastAsia="仿宋"/>
          <w:color w:val="auto"/>
          <w:sz w:val="24"/>
        </w:rPr>
      </w:pPr>
      <w:r>
        <w:rPr>
          <w:rFonts w:hint="eastAsia" w:ascii="仿宋" w:hAnsi="仿宋" w:eastAsia="仿宋"/>
          <w:color w:val="auto"/>
          <w:sz w:val="24"/>
        </w:rPr>
        <w:t>（2）为采购项目提供整体设计、规范编制或者项目管理、监理、检测等服务的投标人，不得再参加该采购项目的其他采购活动；</w:t>
      </w:r>
    </w:p>
    <w:p w14:paraId="058EA45D">
      <w:pPr>
        <w:ind w:firstLine="480"/>
        <w:rPr>
          <w:rFonts w:ascii="仿宋" w:hAnsi="仿宋" w:eastAsia="仿宋"/>
          <w:color w:val="auto"/>
          <w:sz w:val="24"/>
        </w:rPr>
      </w:pPr>
      <w:r>
        <w:rPr>
          <w:rFonts w:hint="eastAsia" w:ascii="仿宋" w:hAnsi="仿宋" w:eastAsia="仿宋"/>
          <w:color w:val="auto"/>
          <w:sz w:val="24"/>
        </w:rPr>
        <w:t>（3）本项目投标人所投产品属国家医疗器械管理的，二类及以上医疗器械须提供产品的《医疗器械注册证》；投标人所投产品为三类医疗器械的，须同时提供《医疗器械经营许可证》。国家另有规定的从其规定；</w:t>
      </w:r>
    </w:p>
    <w:p w14:paraId="4C4447AB">
      <w:pPr>
        <w:ind w:firstLine="480"/>
        <w:rPr>
          <w:rFonts w:ascii="仿宋" w:hAnsi="仿宋" w:eastAsia="仿宋"/>
          <w:color w:val="auto"/>
          <w:sz w:val="24"/>
        </w:rPr>
      </w:pPr>
      <w:r>
        <w:rPr>
          <w:rFonts w:hint="eastAsia" w:ascii="仿宋" w:hAnsi="仿宋" w:eastAsia="仿宋"/>
          <w:color w:val="auto"/>
          <w:sz w:val="24"/>
        </w:rPr>
        <w:t>（4）未被列入“信用中国”网站(www.creditchina.gov.cn)失信被执行人、重大税收违法失信主体名单，未被列入“中国政府采购”网站（www.ccgp.gov.cn）政府采购严重违法失信行为记录名单（采购代理机构将在开启文件之日查询相关信息）。</w:t>
      </w:r>
    </w:p>
    <w:p w14:paraId="727E5AB0">
      <w:pPr>
        <w:ind w:firstLine="480"/>
        <w:rPr>
          <w:rFonts w:ascii="仿宋" w:hAnsi="仿宋" w:eastAsia="仿宋"/>
          <w:color w:val="auto"/>
          <w:sz w:val="24"/>
        </w:rPr>
      </w:pPr>
      <w:bookmarkStart w:id="6" w:name="_Toc124775829"/>
    </w:p>
    <w:p w14:paraId="7469FD88">
      <w:pPr>
        <w:ind w:firstLine="480"/>
        <w:rPr>
          <w:rFonts w:ascii="仿宋" w:hAnsi="仿宋" w:eastAsia="仿宋"/>
          <w:color w:val="auto"/>
          <w:sz w:val="24"/>
        </w:rPr>
      </w:pPr>
      <w:r>
        <w:rPr>
          <w:rFonts w:hint="eastAsia" w:ascii="仿宋" w:hAnsi="仿宋" w:eastAsia="仿宋"/>
          <w:color w:val="auto"/>
          <w:sz w:val="24"/>
        </w:rPr>
        <w:t>三、获取招标文件</w:t>
      </w:r>
      <w:bookmarkEnd w:id="6"/>
    </w:p>
    <w:p w14:paraId="21304451">
      <w:pPr>
        <w:ind w:firstLine="480"/>
        <w:rPr>
          <w:rFonts w:ascii="仿宋" w:hAnsi="仿宋" w:eastAsia="仿宋"/>
          <w:color w:val="auto"/>
          <w:sz w:val="24"/>
        </w:rPr>
      </w:pPr>
      <w:r>
        <w:rPr>
          <w:rFonts w:hint="eastAsia" w:ascii="仿宋" w:hAnsi="仿宋" w:eastAsia="仿宋"/>
          <w:color w:val="auto"/>
          <w:sz w:val="24"/>
        </w:rPr>
        <w:t>1.时间：202</w:t>
      </w:r>
      <w:r>
        <w:rPr>
          <w:rFonts w:ascii="仿宋" w:hAnsi="仿宋" w:eastAsia="仿宋"/>
          <w:color w:val="auto"/>
          <w:sz w:val="24"/>
        </w:rPr>
        <w:t>5</w:t>
      </w:r>
      <w:r>
        <w:rPr>
          <w:rFonts w:hint="eastAsia" w:ascii="仿宋" w:hAnsi="仿宋" w:eastAsia="仿宋"/>
          <w:color w:val="auto"/>
          <w:sz w:val="24"/>
        </w:rPr>
        <w:t>年</w:t>
      </w:r>
      <w:r>
        <w:rPr>
          <w:rFonts w:ascii="仿宋" w:hAnsi="仿宋" w:eastAsia="仿宋"/>
          <w:color w:val="auto"/>
          <w:sz w:val="24"/>
        </w:rPr>
        <w:t>01</w:t>
      </w:r>
      <w:r>
        <w:rPr>
          <w:rFonts w:hint="eastAsia" w:ascii="仿宋" w:hAnsi="仿宋" w:eastAsia="仿宋"/>
          <w:color w:val="auto"/>
          <w:sz w:val="24"/>
        </w:rPr>
        <w:t>月</w:t>
      </w:r>
      <w:r>
        <w:rPr>
          <w:rFonts w:hint="eastAsia" w:ascii="仿宋" w:hAnsi="仿宋" w:eastAsia="仿宋"/>
          <w:color w:val="auto"/>
          <w:sz w:val="24"/>
          <w:lang w:val="en-US" w:eastAsia="zh-CN"/>
        </w:rPr>
        <w:t>22</w:t>
      </w:r>
      <w:r>
        <w:rPr>
          <w:rFonts w:hint="eastAsia" w:ascii="仿宋" w:hAnsi="仿宋" w:eastAsia="仿宋"/>
          <w:color w:val="auto"/>
          <w:sz w:val="24"/>
        </w:rPr>
        <w:t>日至202</w:t>
      </w:r>
      <w:r>
        <w:rPr>
          <w:rFonts w:ascii="仿宋" w:hAnsi="仿宋" w:eastAsia="仿宋"/>
          <w:color w:val="auto"/>
          <w:sz w:val="24"/>
        </w:rPr>
        <w:t>5</w:t>
      </w:r>
      <w:r>
        <w:rPr>
          <w:rFonts w:hint="eastAsia" w:ascii="仿宋" w:hAnsi="仿宋" w:eastAsia="仿宋"/>
          <w:color w:val="auto"/>
          <w:sz w:val="24"/>
        </w:rPr>
        <w:t>年</w:t>
      </w:r>
      <w:r>
        <w:rPr>
          <w:rFonts w:ascii="仿宋" w:hAnsi="仿宋" w:eastAsia="仿宋"/>
          <w:color w:val="auto"/>
          <w:sz w:val="24"/>
        </w:rPr>
        <w:t>01</w:t>
      </w:r>
      <w:r>
        <w:rPr>
          <w:rFonts w:hint="eastAsia" w:ascii="仿宋" w:hAnsi="仿宋" w:eastAsia="仿宋"/>
          <w:color w:val="auto"/>
          <w:sz w:val="24"/>
        </w:rPr>
        <w:t>月</w:t>
      </w:r>
      <w:r>
        <w:rPr>
          <w:rFonts w:hint="eastAsia" w:ascii="仿宋" w:hAnsi="仿宋" w:eastAsia="仿宋"/>
          <w:color w:val="auto"/>
          <w:sz w:val="24"/>
          <w:lang w:val="en-US" w:eastAsia="zh-CN"/>
        </w:rPr>
        <w:t>27</w:t>
      </w:r>
      <w:r>
        <w:rPr>
          <w:rFonts w:hint="eastAsia" w:ascii="仿宋" w:hAnsi="仿宋" w:eastAsia="仿宋"/>
          <w:color w:val="auto"/>
          <w:sz w:val="24"/>
        </w:rPr>
        <w:t>日，每天上午8:30至12:00，下午14:00至16:30（北京时间，法定节假日除外）。</w:t>
      </w:r>
    </w:p>
    <w:p w14:paraId="53B99F48">
      <w:pPr>
        <w:ind w:firstLine="480"/>
        <w:rPr>
          <w:rFonts w:ascii="仿宋" w:hAnsi="仿宋" w:eastAsia="仿宋"/>
          <w:color w:val="auto"/>
          <w:sz w:val="24"/>
        </w:rPr>
      </w:pPr>
      <w:r>
        <w:rPr>
          <w:rFonts w:hint="eastAsia" w:ascii="仿宋" w:hAnsi="仿宋" w:eastAsia="仿宋"/>
          <w:color w:val="auto"/>
          <w:sz w:val="24"/>
        </w:rPr>
        <w:t>2.地点：湖北省成套招标股份有限公司7</w:t>
      </w:r>
      <w:bookmarkStart w:id="285" w:name="_GoBack"/>
      <w:bookmarkEnd w:id="285"/>
      <w:r>
        <w:rPr>
          <w:rFonts w:hint="eastAsia" w:ascii="仿宋" w:hAnsi="仿宋" w:eastAsia="仿宋"/>
          <w:color w:val="auto"/>
          <w:sz w:val="24"/>
        </w:rPr>
        <w:t>楼大厅或线上方式。</w:t>
      </w:r>
    </w:p>
    <w:p w14:paraId="13206E6B">
      <w:pPr>
        <w:ind w:firstLine="480"/>
        <w:rPr>
          <w:rFonts w:ascii="仿宋" w:hAnsi="仿宋" w:eastAsia="仿宋"/>
          <w:color w:val="auto"/>
          <w:sz w:val="24"/>
        </w:rPr>
      </w:pPr>
      <w:r>
        <w:rPr>
          <w:rFonts w:hint="eastAsia" w:ascii="仿宋" w:hAnsi="仿宋" w:eastAsia="仿宋"/>
          <w:color w:val="auto"/>
          <w:sz w:val="24"/>
        </w:rPr>
        <w:t>3.方式：【现场领取：投标人法定代表人凭法定代表人身份证明书（原件）或委托代理人凭法定代表人授权书（原件），本人身份证（原件）现场领取文件。现场领取文件的投标人请将文件领取凭证发送至tyun2157@163.com领取电子版采购文件】【线上领取：投标人请在湖北省成套招标股份有限公司官网（https://www.hubeibidding.com/）本项目公告最下方“相关下载”版块内点击下载按钮登录并提交登记信息，信息审核通过后即可下载文件。注：①文件获取的具体操作流程可在湖北省成套招标股份有限公司门户网站首页右侧“下载专区”下载《线上获取标书操作指引》查看；②线上获取文件应填写、上传的材料包括：法定代表人授权书加盖公章扫描件、被授权人身份证正反面照片（被授权人应与登录账号的联系人为同一人）、如需缴纳费用的还应提供付款凭证截图或照片，同时请扫码填写开票信息，电子发票开具后将以邮件形式发送至注册邮箱】</w:t>
      </w:r>
    </w:p>
    <w:p w14:paraId="5E38A981">
      <w:pPr>
        <w:ind w:firstLine="480"/>
        <w:rPr>
          <w:rFonts w:ascii="仿宋" w:hAnsi="仿宋" w:eastAsia="仿宋"/>
          <w:color w:val="auto"/>
          <w:sz w:val="24"/>
        </w:rPr>
      </w:pPr>
      <w:r>
        <w:rPr>
          <w:rFonts w:hint="eastAsia" w:ascii="仿宋" w:hAnsi="仿宋" w:eastAsia="仿宋"/>
          <w:color w:val="auto"/>
          <w:sz w:val="24"/>
        </w:rPr>
        <w:t>4.售价：300元，本公告包含的招标文件售价总和。</w:t>
      </w:r>
    </w:p>
    <w:p w14:paraId="3ECBA144">
      <w:pPr>
        <w:ind w:firstLine="480"/>
        <w:rPr>
          <w:rFonts w:ascii="仿宋" w:hAnsi="仿宋" w:eastAsia="仿宋"/>
          <w:color w:val="auto"/>
          <w:sz w:val="24"/>
        </w:rPr>
      </w:pPr>
      <w:bookmarkStart w:id="7" w:name="_Toc124775830"/>
    </w:p>
    <w:p w14:paraId="24F67AA8">
      <w:pPr>
        <w:ind w:firstLine="480"/>
        <w:rPr>
          <w:rFonts w:ascii="仿宋" w:hAnsi="仿宋" w:eastAsia="仿宋"/>
          <w:color w:val="auto"/>
          <w:sz w:val="24"/>
        </w:rPr>
      </w:pPr>
      <w:r>
        <w:rPr>
          <w:rFonts w:hint="eastAsia" w:ascii="仿宋" w:hAnsi="仿宋" w:eastAsia="仿宋"/>
          <w:color w:val="auto"/>
          <w:sz w:val="24"/>
        </w:rPr>
        <w:t>四、提交投标文件截止时间、开标时间和地点</w:t>
      </w:r>
      <w:bookmarkEnd w:id="7"/>
    </w:p>
    <w:p w14:paraId="0030DE5B">
      <w:pPr>
        <w:ind w:firstLine="480"/>
        <w:rPr>
          <w:rFonts w:ascii="仿宋" w:hAnsi="仿宋" w:eastAsia="仿宋"/>
          <w:color w:val="auto"/>
          <w:sz w:val="24"/>
        </w:rPr>
      </w:pPr>
      <w:r>
        <w:rPr>
          <w:rFonts w:hint="eastAsia" w:ascii="仿宋" w:hAnsi="仿宋" w:eastAsia="仿宋"/>
          <w:color w:val="auto"/>
          <w:sz w:val="24"/>
        </w:rPr>
        <w:t>1.</w:t>
      </w:r>
      <w:bookmarkStart w:id="8" w:name="_Toc124775831"/>
      <w:r>
        <w:rPr>
          <w:rFonts w:hint="eastAsia" w:ascii="仿宋" w:hAnsi="仿宋" w:eastAsia="仿宋"/>
          <w:color w:val="auto"/>
          <w:sz w:val="24"/>
        </w:rPr>
        <w:t>提交投标文件截止时间：202</w:t>
      </w:r>
      <w:r>
        <w:rPr>
          <w:rFonts w:ascii="仿宋" w:hAnsi="仿宋" w:eastAsia="仿宋"/>
          <w:color w:val="auto"/>
          <w:sz w:val="24"/>
        </w:rPr>
        <w:t>5</w:t>
      </w:r>
      <w:r>
        <w:rPr>
          <w:rFonts w:hint="eastAsia" w:ascii="仿宋" w:hAnsi="仿宋" w:eastAsia="仿宋"/>
          <w:color w:val="auto"/>
          <w:sz w:val="24"/>
        </w:rPr>
        <w:t>年</w:t>
      </w:r>
      <w:r>
        <w:rPr>
          <w:rFonts w:ascii="仿宋" w:hAnsi="仿宋" w:eastAsia="仿宋"/>
          <w:color w:val="auto"/>
          <w:sz w:val="24"/>
        </w:rPr>
        <w:t>02</w:t>
      </w:r>
      <w:r>
        <w:rPr>
          <w:rFonts w:hint="eastAsia" w:ascii="仿宋" w:hAnsi="仿宋" w:eastAsia="仿宋"/>
          <w:color w:val="auto"/>
          <w:sz w:val="24"/>
        </w:rPr>
        <w:t>月</w:t>
      </w:r>
      <w:r>
        <w:rPr>
          <w:rFonts w:hint="eastAsia" w:ascii="仿宋" w:hAnsi="仿宋" w:eastAsia="仿宋"/>
          <w:color w:val="auto"/>
          <w:sz w:val="24"/>
          <w:lang w:val="en-US" w:eastAsia="zh-CN"/>
        </w:rPr>
        <w:t>14</w:t>
      </w:r>
      <w:r>
        <w:rPr>
          <w:rFonts w:hint="eastAsia" w:ascii="仿宋" w:hAnsi="仿宋" w:eastAsia="仿宋"/>
          <w:color w:val="auto"/>
          <w:sz w:val="24"/>
        </w:rPr>
        <w:t>日09时30分（北京时间）</w:t>
      </w:r>
    </w:p>
    <w:p w14:paraId="6DCEEA8D">
      <w:pPr>
        <w:ind w:firstLine="480"/>
        <w:rPr>
          <w:rFonts w:ascii="仿宋" w:hAnsi="仿宋" w:eastAsia="仿宋"/>
          <w:color w:val="auto"/>
          <w:sz w:val="24"/>
        </w:rPr>
      </w:pPr>
      <w:r>
        <w:rPr>
          <w:rFonts w:hint="eastAsia" w:ascii="仿宋" w:hAnsi="仿宋" w:eastAsia="仿宋"/>
          <w:color w:val="auto"/>
          <w:sz w:val="24"/>
        </w:rPr>
        <w:t>2.开标时间：202</w:t>
      </w:r>
      <w:r>
        <w:rPr>
          <w:rFonts w:ascii="仿宋" w:hAnsi="仿宋" w:eastAsia="仿宋"/>
          <w:color w:val="auto"/>
          <w:sz w:val="24"/>
        </w:rPr>
        <w:t>5</w:t>
      </w:r>
      <w:r>
        <w:rPr>
          <w:rFonts w:hint="eastAsia" w:ascii="仿宋" w:hAnsi="仿宋" w:eastAsia="仿宋"/>
          <w:color w:val="auto"/>
          <w:sz w:val="24"/>
        </w:rPr>
        <w:t>年</w:t>
      </w:r>
      <w:r>
        <w:rPr>
          <w:rFonts w:ascii="仿宋" w:hAnsi="仿宋" w:eastAsia="仿宋"/>
          <w:color w:val="auto"/>
          <w:sz w:val="24"/>
        </w:rPr>
        <w:t>02</w:t>
      </w:r>
      <w:r>
        <w:rPr>
          <w:rFonts w:hint="eastAsia" w:ascii="仿宋" w:hAnsi="仿宋" w:eastAsia="仿宋"/>
          <w:color w:val="auto"/>
          <w:sz w:val="24"/>
        </w:rPr>
        <w:t>月</w:t>
      </w:r>
      <w:r>
        <w:rPr>
          <w:rFonts w:hint="eastAsia" w:ascii="仿宋" w:hAnsi="仿宋" w:eastAsia="仿宋"/>
          <w:color w:val="auto"/>
          <w:sz w:val="24"/>
          <w:lang w:val="en-US" w:eastAsia="zh-CN"/>
        </w:rPr>
        <w:t>14</w:t>
      </w:r>
      <w:r>
        <w:rPr>
          <w:rFonts w:hint="eastAsia" w:ascii="仿宋" w:hAnsi="仿宋" w:eastAsia="仿宋"/>
          <w:color w:val="auto"/>
          <w:sz w:val="24"/>
        </w:rPr>
        <w:t>日09时30分（北京时间）</w:t>
      </w:r>
    </w:p>
    <w:p w14:paraId="3609047B">
      <w:pPr>
        <w:ind w:firstLine="480"/>
        <w:rPr>
          <w:rFonts w:ascii="仿宋" w:hAnsi="仿宋" w:eastAsia="仿宋"/>
          <w:color w:val="auto"/>
          <w:sz w:val="24"/>
        </w:rPr>
      </w:pPr>
      <w:r>
        <w:rPr>
          <w:rFonts w:hint="eastAsia" w:ascii="仿宋" w:hAnsi="仿宋" w:eastAsia="仿宋"/>
          <w:color w:val="auto"/>
          <w:sz w:val="24"/>
        </w:rPr>
        <w:t>3.地点：湖北省成套招标股份有限公司10楼100</w:t>
      </w:r>
      <w:r>
        <w:rPr>
          <w:rFonts w:hint="eastAsia" w:ascii="仿宋" w:hAnsi="仿宋" w:eastAsia="仿宋"/>
          <w:color w:val="auto"/>
          <w:sz w:val="24"/>
          <w:lang w:val="en-US" w:eastAsia="zh-CN"/>
        </w:rPr>
        <w:t>2</w:t>
      </w:r>
      <w:r>
        <w:rPr>
          <w:rFonts w:hint="eastAsia" w:ascii="仿宋" w:hAnsi="仿宋" w:eastAsia="仿宋"/>
          <w:color w:val="auto"/>
          <w:sz w:val="24"/>
        </w:rPr>
        <w:t>号会议室（武汉市武昌区东湖西路特2号平安财富中心B座10楼）</w:t>
      </w:r>
    </w:p>
    <w:p w14:paraId="48F130B6">
      <w:pPr>
        <w:ind w:firstLine="480"/>
        <w:rPr>
          <w:rFonts w:ascii="仿宋" w:hAnsi="仿宋" w:eastAsia="仿宋"/>
          <w:color w:val="auto"/>
          <w:sz w:val="24"/>
        </w:rPr>
      </w:pPr>
    </w:p>
    <w:p w14:paraId="67E690C7">
      <w:pPr>
        <w:ind w:firstLine="480"/>
        <w:rPr>
          <w:rFonts w:ascii="仿宋" w:hAnsi="仿宋" w:eastAsia="仿宋"/>
          <w:color w:val="auto"/>
          <w:sz w:val="24"/>
        </w:rPr>
      </w:pPr>
      <w:r>
        <w:rPr>
          <w:rFonts w:hint="eastAsia" w:ascii="仿宋" w:hAnsi="仿宋" w:eastAsia="仿宋"/>
          <w:color w:val="auto"/>
          <w:sz w:val="24"/>
        </w:rPr>
        <w:t>五、公告期限</w:t>
      </w:r>
      <w:bookmarkEnd w:id="8"/>
    </w:p>
    <w:p w14:paraId="134D1A42">
      <w:pPr>
        <w:ind w:firstLine="480"/>
        <w:rPr>
          <w:rFonts w:ascii="仿宋" w:hAnsi="仿宋" w:eastAsia="仿宋"/>
          <w:color w:val="auto"/>
          <w:sz w:val="24"/>
        </w:rPr>
      </w:pPr>
      <w:r>
        <w:rPr>
          <w:rFonts w:hint="eastAsia" w:ascii="仿宋" w:hAnsi="仿宋" w:eastAsia="仿宋"/>
          <w:color w:val="auto"/>
          <w:sz w:val="24"/>
        </w:rPr>
        <w:t>自本公告发布之日起5个工作日。</w:t>
      </w:r>
    </w:p>
    <w:p w14:paraId="0FF5020A">
      <w:pPr>
        <w:ind w:firstLine="480"/>
        <w:rPr>
          <w:rFonts w:ascii="仿宋" w:hAnsi="仿宋" w:eastAsia="仿宋"/>
          <w:color w:val="auto"/>
          <w:sz w:val="24"/>
        </w:rPr>
      </w:pPr>
      <w:bookmarkStart w:id="9" w:name="_Toc124775832"/>
      <w:bookmarkStart w:id="10" w:name="_Hlk63706586"/>
    </w:p>
    <w:p w14:paraId="455BE59E">
      <w:pPr>
        <w:ind w:firstLine="480"/>
        <w:rPr>
          <w:rFonts w:ascii="仿宋" w:hAnsi="仿宋" w:eastAsia="仿宋"/>
          <w:color w:val="auto"/>
          <w:sz w:val="24"/>
        </w:rPr>
      </w:pPr>
      <w:r>
        <w:rPr>
          <w:rFonts w:hint="eastAsia" w:ascii="仿宋" w:hAnsi="仿宋" w:eastAsia="仿宋"/>
          <w:color w:val="auto"/>
          <w:sz w:val="24"/>
        </w:rPr>
        <w:t>六、其他补充事宜</w:t>
      </w:r>
      <w:bookmarkEnd w:id="9"/>
    </w:p>
    <w:bookmarkEnd w:id="10"/>
    <w:p w14:paraId="7184A9C6">
      <w:pPr>
        <w:ind w:firstLine="480"/>
        <w:rPr>
          <w:rFonts w:ascii="仿宋" w:hAnsi="仿宋" w:eastAsia="仿宋"/>
          <w:color w:val="auto"/>
          <w:sz w:val="24"/>
        </w:rPr>
      </w:pPr>
      <w:bookmarkStart w:id="11" w:name="_Hlk63706615"/>
      <w:r>
        <w:rPr>
          <w:rFonts w:ascii="仿宋" w:hAnsi="仿宋" w:eastAsia="仿宋"/>
          <w:color w:val="auto"/>
          <w:sz w:val="24"/>
        </w:rPr>
        <w:t>1</w:t>
      </w:r>
      <w:r>
        <w:rPr>
          <w:rFonts w:hint="eastAsia" w:ascii="仿宋" w:hAnsi="仿宋" w:eastAsia="仿宋"/>
          <w:color w:val="auto"/>
          <w:sz w:val="24"/>
        </w:rPr>
        <w:t>.本项目需落实的节能环保、中小微型企业扶持（含支持监狱企业发展、促进残疾人就业）等相关政府采购政策详见招标文件；</w:t>
      </w:r>
      <w:bookmarkEnd w:id="11"/>
    </w:p>
    <w:p w14:paraId="097206CC">
      <w:pPr>
        <w:ind w:firstLine="480"/>
        <w:rPr>
          <w:rFonts w:ascii="仿宋" w:hAnsi="仿宋" w:eastAsia="仿宋"/>
          <w:color w:val="auto"/>
          <w:sz w:val="24"/>
        </w:rPr>
      </w:pPr>
      <w:r>
        <w:rPr>
          <w:rFonts w:ascii="仿宋" w:hAnsi="仿宋" w:eastAsia="仿宋"/>
          <w:color w:val="auto"/>
          <w:sz w:val="24"/>
        </w:rPr>
        <w:t>2</w:t>
      </w:r>
      <w:r>
        <w:rPr>
          <w:rFonts w:hint="eastAsia" w:ascii="仿宋" w:hAnsi="仿宋" w:eastAsia="仿宋"/>
          <w:color w:val="auto"/>
          <w:sz w:val="24"/>
        </w:rPr>
        <w:t>.采购代理机构于投标截止时间前1小时内接收投标文件，届时请参加投标的授权代表携本人二代身份证原件及投标文件出席开标会议；</w:t>
      </w:r>
    </w:p>
    <w:p w14:paraId="767B68F1">
      <w:pPr>
        <w:ind w:firstLine="480"/>
        <w:rPr>
          <w:rFonts w:ascii="仿宋" w:hAnsi="仿宋" w:eastAsia="仿宋"/>
          <w:color w:val="auto"/>
          <w:sz w:val="24"/>
        </w:rPr>
      </w:pPr>
      <w:r>
        <w:rPr>
          <w:rFonts w:hint="eastAsia" w:ascii="仿宋" w:hAnsi="仿宋" w:eastAsia="仿宋"/>
          <w:color w:val="auto"/>
          <w:sz w:val="24"/>
        </w:rPr>
        <w:t>3.信息发布媒体</w:t>
      </w:r>
    </w:p>
    <w:p w14:paraId="7775E586">
      <w:pPr>
        <w:ind w:firstLine="480"/>
        <w:rPr>
          <w:rFonts w:ascii="仿宋" w:hAnsi="仿宋" w:eastAsia="仿宋"/>
          <w:color w:val="auto"/>
          <w:sz w:val="24"/>
        </w:rPr>
      </w:pPr>
      <w:r>
        <w:rPr>
          <w:rFonts w:hint="eastAsia" w:ascii="仿宋" w:hAnsi="仿宋" w:eastAsia="仿宋"/>
          <w:color w:val="auto"/>
          <w:sz w:val="24"/>
        </w:rPr>
        <w:t>（1）中国政府采购网（</w:t>
      </w:r>
      <w:r>
        <w:rPr>
          <w:rFonts w:ascii="仿宋" w:hAnsi="仿宋" w:eastAsia="仿宋"/>
          <w:color w:val="auto"/>
          <w:sz w:val="24"/>
        </w:rPr>
        <w:t>http://www.ccgp.gov.cn/</w:t>
      </w:r>
      <w:r>
        <w:rPr>
          <w:rFonts w:hint="eastAsia" w:ascii="仿宋" w:hAnsi="仿宋" w:eastAsia="仿宋"/>
          <w:color w:val="auto"/>
          <w:sz w:val="24"/>
        </w:rPr>
        <w:t>）</w:t>
      </w:r>
    </w:p>
    <w:p w14:paraId="00F34F2D">
      <w:pPr>
        <w:ind w:firstLine="480"/>
        <w:rPr>
          <w:rFonts w:ascii="仿宋" w:hAnsi="仿宋" w:eastAsia="仿宋"/>
          <w:color w:val="auto"/>
          <w:sz w:val="24"/>
        </w:rPr>
      </w:pPr>
      <w:r>
        <w:rPr>
          <w:rFonts w:hint="eastAsia" w:ascii="仿宋" w:hAnsi="仿宋" w:eastAsia="仿宋"/>
          <w:color w:val="auto"/>
          <w:sz w:val="24"/>
        </w:rPr>
        <w:t>（2）湖北省成套招标股份有限公司网（http://www.hubeibidding.com/）</w:t>
      </w:r>
    </w:p>
    <w:p w14:paraId="113130D1">
      <w:pPr>
        <w:ind w:firstLine="480"/>
        <w:rPr>
          <w:rFonts w:ascii="仿宋" w:hAnsi="仿宋" w:eastAsia="仿宋"/>
          <w:color w:val="auto"/>
          <w:sz w:val="24"/>
        </w:rPr>
      </w:pPr>
      <w:bookmarkStart w:id="12" w:name="_Toc124775833"/>
    </w:p>
    <w:p w14:paraId="272A6FA3">
      <w:pPr>
        <w:ind w:firstLine="480"/>
        <w:rPr>
          <w:rFonts w:ascii="仿宋" w:hAnsi="仿宋" w:eastAsia="仿宋"/>
          <w:color w:val="auto"/>
          <w:sz w:val="24"/>
        </w:rPr>
      </w:pPr>
      <w:r>
        <w:rPr>
          <w:rFonts w:hint="eastAsia" w:ascii="仿宋" w:hAnsi="仿宋" w:eastAsia="仿宋"/>
          <w:color w:val="auto"/>
          <w:sz w:val="24"/>
        </w:rPr>
        <w:t>七、对本次招标提出询问，请按以下方式联系</w:t>
      </w:r>
      <w:bookmarkEnd w:id="12"/>
    </w:p>
    <w:p w14:paraId="2209778D">
      <w:pPr>
        <w:ind w:firstLine="480"/>
        <w:rPr>
          <w:rFonts w:ascii="仿宋" w:hAnsi="仿宋" w:eastAsia="仿宋"/>
          <w:color w:val="auto"/>
          <w:sz w:val="24"/>
        </w:rPr>
      </w:pPr>
      <w:r>
        <w:rPr>
          <w:rFonts w:hint="eastAsia" w:ascii="仿宋" w:hAnsi="仿宋" w:eastAsia="仿宋"/>
          <w:color w:val="auto"/>
          <w:sz w:val="24"/>
        </w:rPr>
        <w:t>1.采购人信息</w:t>
      </w:r>
    </w:p>
    <w:p w14:paraId="603C2850">
      <w:pPr>
        <w:ind w:firstLine="480"/>
        <w:rPr>
          <w:rFonts w:ascii="仿宋" w:hAnsi="仿宋" w:eastAsia="仿宋"/>
          <w:color w:val="auto"/>
          <w:sz w:val="24"/>
        </w:rPr>
      </w:pPr>
      <w:r>
        <w:rPr>
          <w:rFonts w:hint="eastAsia" w:ascii="仿宋" w:hAnsi="仿宋" w:eastAsia="仿宋"/>
          <w:color w:val="auto"/>
          <w:sz w:val="24"/>
        </w:rPr>
        <w:t>名称：华中科技大学同济医学院附属同济医院</w:t>
      </w:r>
    </w:p>
    <w:p w14:paraId="7EE35D36">
      <w:pPr>
        <w:ind w:firstLine="480"/>
        <w:rPr>
          <w:rFonts w:ascii="仿宋" w:hAnsi="仿宋" w:eastAsia="仿宋"/>
          <w:color w:val="auto"/>
          <w:sz w:val="24"/>
        </w:rPr>
      </w:pPr>
      <w:r>
        <w:rPr>
          <w:rFonts w:hint="eastAsia" w:ascii="仿宋" w:hAnsi="仿宋" w:eastAsia="仿宋"/>
          <w:color w:val="auto"/>
          <w:sz w:val="24"/>
        </w:rPr>
        <w:t>地址：湖北省武汉市解放大道1095号</w:t>
      </w:r>
    </w:p>
    <w:p w14:paraId="737BE889">
      <w:pPr>
        <w:ind w:firstLine="480"/>
        <w:rPr>
          <w:rFonts w:ascii="仿宋" w:hAnsi="仿宋" w:eastAsia="仿宋"/>
          <w:color w:val="auto"/>
          <w:sz w:val="24"/>
        </w:rPr>
      </w:pPr>
      <w:r>
        <w:rPr>
          <w:rFonts w:hint="eastAsia" w:ascii="仿宋" w:hAnsi="仿宋" w:eastAsia="仿宋"/>
          <w:color w:val="auto"/>
          <w:sz w:val="24"/>
        </w:rPr>
        <w:t>联系方式：王主任，027-83662896</w:t>
      </w:r>
    </w:p>
    <w:p w14:paraId="7394BCCA">
      <w:pPr>
        <w:ind w:firstLine="480"/>
        <w:rPr>
          <w:rFonts w:ascii="仿宋" w:hAnsi="仿宋" w:eastAsia="仿宋"/>
          <w:color w:val="auto"/>
          <w:sz w:val="24"/>
        </w:rPr>
      </w:pPr>
      <w:r>
        <w:rPr>
          <w:rFonts w:hint="eastAsia" w:ascii="仿宋" w:hAnsi="仿宋" w:eastAsia="仿宋"/>
          <w:color w:val="auto"/>
          <w:sz w:val="24"/>
        </w:rPr>
        <w:t>2.采购代理机构信息</w:t>
      </w:r>
    </w:p>
    <w:p w14:paraId="2C1B7650">
      <w:pPr>
        <w:ind w:firstLine="480"/>
        <w:rPr>
          <w:rFonts w:ascii="仿宋" w:hAnsi="仿宋" w:eastAsia="仿宋"/>
          <w:color w:val="auto"/>
          <w:sz w:val="24"/>
        </w:rPr>
      </w:pPr>
      <w:r>
        <w:rPr>
          <w:rFonts w:hint="eastAsia" w:ascii="仿宋" w:hAnsi="仿宋" w:eastAsia="仿宋"/>
          <w:color w:val="auto"/>
          <w:sz w:val="24"/>
        </w:rPr>
        <w:t>名称：湖北省成套招标股份有限公司</w:t>
      </w:r>
    </w:p>
    <w:p w14:paraId="3496A851">
      <w:pPr>
        <w:ind w:firstLine="480"/>
        <w:rPr>
          <w:rFonts w:ascii="仿宋" w:hAnsi="仿宋" w:eastAsia="仿宋"/>
          <w:color w:val="auto"/>
          <w:sz w:val="24"/>
        </w:rPr>
      </w:pPr>
      <w:r>
        <w:rPr>
          <w:rFonts w:hint="eastAsia" w:ascii="仿宋" w:hAnsi="仿宋" w:eastAsia="仿宋"/>
          <w:color w:val="auto"/>
          <w:sz w:val="24"/>
        </w:rPr>
        <w:t>地址：湖北省武汉市武昌区东湖西路特2号平安财富中心B座7-10楼</w:t>
      </w:r>
    </w:p>
    <w:p w14:paraId="12C3E952">
      <w:pPr>
        <w:ind w:firstLine="480"/>
        <w:rPr>
          <w:rFonts w:ascii="仿宋" w:hAnsi="仿宋" w:eastAsia="仿宋"/>
          <w:color w:val="auto"/>
          <w:sz w:val="24"/>
        </w:rPr>
      </w:pPr>
      <w:r>
        <w:rPr>
          <w:rFonts w:hint="eastAsia" w:ascii="仿宋" w:hAnsi="仿宋" w:eastAsia="仿宋"/>
          <w:color w:val="auto"/>
          <w:sz w:val="24"/>
        </w:rPr>
        <w:t>联系方式：谭韫、刘李鹏；027-87816666-8212/8206、1</w:t>
      </w:r>
      <w:r>
        <w:rPr>
          <w:rFonts w:ascii="仿宋" w:hAnsi="仿宋" w:eastAsia="仿宋"/>
          <w:color w:val="auto"/>
          <w:sz w:val="24"/>
        </w:rPr>
        <w:t>7802718212</w:t>
      </w:r>
      <w:r>
        <w:rPr>
          <w:rFonts w:hint="eastAsia" w:ascii="仿宋" w:hAnsi="仿宋" w:eastAsia="仿宋"/>
          <w:color w:val="auto"/>
          <w:sz w:val="24"/>
        </w:rPr>
        <w:t>、tyun2157@163.com</w:t>
      </w:r>
    </w:p>
    <w:p w14:paraId="00DAA39E">
      <w:pPr>
        <w:ind w:firstLine="480"/>
        <w:rPr>
          <w:rFonts w:ascii="仿宋" w:hAnsi="仿宋" w:eastAsia="仿宋"/>
          <w:color w:val="auto"/>
          <w:sz w:val="24"/>
        </w:rPr>
      </w:pPr>
      <w:r>
        <w:rPr>
          <w:rFonts w:hint="eastAsia" w:ascii="仿宋" w:hAnsi="仿宋" w:eastAsia="仿宋"/>
          <w:color w:val="auto"/>
          <w:sz w:val="24"/>
        </w:rPr>
        <w:t>3.项目联系方式</w:t>
      </w:r>
    </w:p>
    <w:p w14:paraId="5EC39A0C">
      <w:pPr>
        <w:ind w:firstLine="480"/>
        <w:rPr>
          <w:rFonts w:ascii="仿宋" w:hAnsi="仿宋" w:eastAsia="仿宋"/>
          <w:color w:val="auto"/>
          <w:sz w:val="24"/>
        </w:rPr>
      </w:pPr>
      <w:r>
        <w:rPr>
          <w:rFonts w:hint="eastAsia" w:ascii="仿宋" w:hAnsi="仿宋" w:eastAsia="仿宋"/>
          <w:color w:val="auto"/>
          <w:sz w:val="24"/>
        </w:rPr>
        <w:t>联系人：谭韫、刘李鹏；</w:t>
      </w:r>
    </w:p>
    <w:p w14:paraId="10F99A4D">
      <w:pPr>
        <w:ind w:firstLine="480"/>
        <w:rPr>
          <w:rFonts w:ascii="仿宋" w:hAnsi="仿宋" w:eastAsia="仿宋"/>
          <w:color w:val="auto"/>
          <w:sz w:val="24"/>
        </w:rPr>
      </w:pPr>
      <w:r>
        <w:rPr>
          <w:rFonts w:hint="eastAsia" w:ascii="仿宋" w:hAnsi="仿宋" w:eastAsia="仿宋"/>
          <w:color w:val="auto"/>
          <w:sz w:val="24"/>
        </w:rPr>
        <w:t>电话：027-87816666-8212/8206、17802718212</w:t>
      </w:r>
      <w:r>
        <w:rPr>
          <w:rFonts w:ascii="仿宋" w:hAnsi="仿宋" w:eastAsia="仿宋"/>
          <w:color w:val="auto"/>
          <w:sz w:val="24"/>
        </w:rPr>
        <w:br w:type="page"/>
      </w:r>
    </w:p>
    <w:p w14:paraId="52A1360B">
      <w:pPr>
        <w:ind w:firstLine="480"/>
        <w:rPr>
          <w:rFonts w:ascii="仿宋" w:hAnsi="仿宋" w:eastAsia="仿宋"/>
          <w:color w:val="auto"/>
          <w:sz w:val="24"/>
        </w:rPr>
      </w:pPr>
    </w:p>
    <w:p w14:paraId="0DA31512">
      <w:pPr>
        <w:spacing w:before="120" w:beforeLines="50" w:after="120" w:afterLines="50" w:line="240" w:lineRule="auto"/>
        <w:ind w:firstLine="0" w:firstLineChars="0"/>
        <w:jc w:val="center"/>
        <w:outlineLvl w:val="0"/>
        <w:rPr>
          <w:rFonts w:ascii="仿宋" w:hAnsi="仿宋" w:eastAsia="仿宋"/>
          <w:bCs/>
          <w:color w:val="auto"/>
          <w:sz w:val="36"/>
          <w:szCs w:val="36"/>
        </w:rPr>
      </w:pPr>
      <w:bookmarkStart w:id="13" w:name="_Toc494528926"/>
      <w:bookmarkStart w:id="14" w:name="_Toc181712876"/>
      <w:r>
        <w:rPr>
          <w:rFonts w:hint="eastAsia" w:ascii="仿宋" w:hAnsi="仿宋" w:eastAsia="仿宋"/>
          <w:bCs/>
          <w:color w:val="auto"/>
          <w:sz w:val="36"/>
          <w:szCs w:val="36"/>
        </w:rPr>
        <w:t>第二章 投标人须知</w:t>
      </w:r>
      <w:bookmarkEnd w:id="13"/>
      <w:bookmarkEnd w:id="14"/>
    </w:p>
    <w:p w14:paraId="446C1B8C">
      <w:pPr>
        <w:pStyle w:val="3"/>
        <w:keepNext w:val="0"/>
        <w:keepLines w:val="0"/>
        <w:spacing w:before="120" w:beforeLines="50" w:after="120" w:afterLines="50" w:line="240" w:lineRule="auto"/>
        <w:ind w:firstLine="0" w:firstLineChars="0"/>
        <w:jc w:val="center"/>
        <w:textAlignment w:val="center"/>
        <w:rPr>
          <w:rFonts w:ascii="仿宋" w:hAnsi="仿宋" w:eastAsia="仿宋"/>
          <w:b w:val="0"/>
          <w:color w:val="auto"/>
          <w:sz w:val="28"/>
          <w:szCs w:val="28"/>
          <w:lang w:val="zh-CN"/>
        </w:rPr>
      </w:pPr>
      <w:bookmarkStart w:id="15" w:name="_Toc181712877"/>
      <w:r>
        <w:rPr>
          <w:rFonts w:hint="eastAsia" w:ascii="仿宋" w:hAnsi="仿宋" w:eastAsia="仿宋"/>
          <w:b w:val="0"/>
          <w:color w:val="auto"/>
          <w:sz w:val="28"/>
          <w:szCs w:val="28"/>
        </w:rPr>
        <w:t>一、投标人须知前附表</w:t>
      </w:r>
      <w:bookmarkEnd w:id="15"/>
    </w:p>
    <w:p w14:paraId="026992B2">
      <w:pPr>
        <w:autoSpaceDE w:val="0"/>
        <w:autoSpaceDN w:val="0"/>
        <w:ind w:firstLine="480"/>
        <w:rPr>
          <w:rFonts w:ascii="仿宋" w:hAnsi="仿宋" w:eastAsia="仿宋"/>
          <w:color w:val="auto"/>
          <w:sz w:val="24"/>
          <w:lang w:val="zh-CN"/>
        </w:rPr>
      </w:pPr>
      <w:r>
        <w:rPr>
          <w:rFonts w:hint="eastAsia" w:ascii="仿宋" w:hAnsi="仿宋" w:eastAsia="仿宋"/>
          <w:color w:val="auto"/>
          <w:sz w:val="24"/>
        </w:rPr>
        <w:t>投标人应仔细阅读招标文件的第二章“投标人须知”，下面所列资料是对“投标人须知”的具体补充和说明。</w:t>
      </w:r>
      <w:r>
        <w:rPr>
          <w:rFonts w:hint="eastAsia" w:ascii="仿宋" w:hAnsi="仿宋" w:eastAsia="仿宋"/>
          <w:color w:val="auto"/>
          <w:sz w:val="24"/>
          <w:lang w:val="zh-CN"/>
        </w:rPr>
        <w:t>如有矛盾，应以本表为准。</w:t>
      </w:r>
    </w:p>
    <w:tbl>
      <w:tblPr>
        <w:tblStyle w:val="44"/>
        <w:tblW w:w="949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57" w:type="dxa"/>
          <w:bottom w:w="57" w:type="dxa"/>
          <w:right w:w="57" w:type="dxa"/>
        </w:tblCellMar>
      </w:tblPr>
      <w:tblGrid>
        <w:gridCol w:w="872"/>
        <w:gridCol w:w="1843"/>
        <w:gridCol w:w="6780"/>
      </w:tblGrid>
      <w:tr w14:paraId="5423785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tblHeader/>
          <w:jc w:val="center"/>
        </w:trPr>
        <w:tc>
          <w:tcPr>
            <w:tcW w:w="872" w:type="dxa"/>
            <w:shd w:val="clear" w:color="auto" w:fill="F1F1F1"/>
            <w:vAlign w:val="center"/>
          </w:tcPr>
          <w:p w14:paraId="272D590F">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lang w:val="zh-CN"/>
              </w:rPr>
              <w:t>条款号</w:t>
            </w:r>
          </w:p>
        </w:tc>
        <w:tc>
          <w:tcPr>
            <w:tcW w:w="1843" w:type="dxa"/>
            <w:shd w:val="clear" w:color="auto" w:fill="F1F1F1"/>
            <w:vAlign w:val="center"/>
          </w:tcPr>
          <w:p w14:paraId="11BE563E">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条款名称</w:t>
            </w:r>
          </w:p>
        </w:tc>
        <w:tc>
          <w:tcPr>
            <w:tcW w:w="6780" w:type="dxa"/>
            <w:shd w:val="clear" w:color="auto" w:fill="F1F1F1"/>
            <w:vAlign w:val="center"/>
          </w:tcPr>
          <w:p w14:paraId="4DFF3F12">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lang w:val="zh-CN"/>
              </w:rPr>
              <w:t>内容</w:t>
            </w:r>
          </w:p>
        </w:tc>
      </w:tr>
      <w:tr w14:paraId="1FB125A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90" w:hRule="atLeast"/>
          <w:jc w:val="center"/>
        </w:trPr>
        <w:tc>
          <w:tcPr>
            <w:tcW w:w="872" w:type="dxa"/>
            <w:vAlign w:val="center"/>
          </w:tcPr>
          <w:p w14:paraId="6FCD9E63">
            <w:pPr>
              <w:pStyle w:val="39"/>
              <w:widowControl w:val="0"/>
              <w:autoSpaceDE w:val="0"/>
              <w:autoSpaceDN w:val="0"/>
              <w:adjustRightInd w:val="0"/>
              <w:snapToGrid w:val="0"/>
              <w:spacing w:before="0" w:beforeAutospacing="0" w:after="0" w:afterAutospacing="0" w:line="400" w:lineRule="exact"/>
              <w:ind w:firstLine="0" w:firstLineChars="0"/>
              <w:jc w:val="center"/>
              <w:rPr>
                <w:rFonts w:ascii="仿宋" w:hAnsi="仿宋" w:eastAsia="仿宋" w:cs="宋体"/>
                <w:color w:val="auto"/>
                <w:kern w:val="2"/>
                <w:lang w:val="zh-CN"/>
              </w:rPr>
            </w:pPr>
            <w:r>
              <w:rPr>
                <w:rFonts w:hint="eastAsia" w:ascii="仿宋" w:hAnsi="仿宋" w:eastAsia="仿宋" w:cs="宋体"/>
                <w:color w:val="auto"/>
                <w:kern w:val="2"/>
                <w:lang w:val="zh-CN"/>
              </w:rPr>
              <w:t>2.1</w:t>
            </w:r>
          </w:p>
        </w:tc>
        <w:tc>
          <w:tcPr>
            <w:tcW w:w="1843" w:type="dxa"/>
            <w:vAlign w:val="center"/>
          </w:tcPr>
          <w:p w14:paraId="3E423FEA">
            <w:pPr>
              <w:pStyle w:val="39"/>
              <w:widowControl w:val="0"/>
              <w:autoSpaceDE w:val="0"/>
              <w:autoSpaceDN w:val="0"/>
              <w:adjustRightInd w:val="0"/>
              <w:snapToGrid w:val="0"/>
              <w:spacing w:before="0" w:beforeAutospacing="0" w:after="0" w:afterAutospacing="0" w:line="400" w:lineRule="exact"/>
              <w:ind w:firstLine="0" w:firstLineChars="0"/>
              <w:jc w:val="center"/>
              <w:rPr>
                <w:rFonts w:ascii="仿宋" w:hAnsi="仿宋" w:eastAsia="仿宋" w:cs="宋体"/>
                <w:color w:val="auto"/>
                <w:kern w:val="2"/>
                <w:lang w:val="zh-CN"/>
              </w:rPr>
            </w:pPr>
            <w:r>
              <w:rPr>
                <w:rFonts w:hint="eastAsia" w:ascii="仿宋" w:hAnsi="仿宋" w:eastAsia="仿宋" w:cs="宋体"/>
                <w:color w:val="auto"/>
                <w:kern w:val="2"/>
                <w:lang w:val="zh-CN"/>
              </w:rPr>
              <w:t>采购人</w:t>
            </w:r>
          </w:p>
        </w:tc>
        <w:tc>
          <w:tcPr>
            <w:tcW w:w="6780" w:type="dxa"/>
            <w:vAlign w:val="center"/>
          </w:tcPr>
          <w:p w14:paraId="0E9AC8E8">
            <w:pPr>
              <w:autoSpaceDE w:val="0"/>
              <w:autoSpaceDN w:val="0"/>
              <w:adjustRightInd w:val="0"/>
              <w:snapToGrid w:val="0"/>
              <w:spacing w:line="400" w:lineRule="exact"/>
              <w:ind w:firstLine="0" w:firstLineChars="0"/>
              <w:rPr>
                <w:rFonts w:ascii="仿宋" w:hAnsi="仿宋" w:eastAsia="仿宋"/>
                <w:color w:val="auto"/>
                <w:sz w:val="24"/>
                <w:lang w:val="zh-CN"/>
              </w:rPr>
            </w:pPr>
            <w:r>
              <w:rPr>
                <w:rFonts w:hint="eastAsia" w:ascii="仿宋" w:hAnsi="仿宋" w:eastAsia="仿宋"/>
                <w:color w:val="auto"/>
                <w:sz w:val="24"/>
                <w:lang w:val="zh-CN"/>
              </w:rPr>
              <w:t>采购人：华中科技大学同济医学院附属同济医院</w:t>
            </w:r>
          </w:p>
          <w:p w14:paraId="631A180A">
            <w:pPr>
              <w:autoSpaceDE w:val="0"/>
              <w:autoSpaceDN w:val="0"/>
              <w:adjustRightInd w:val="0"/>
              <w:snapToGrid w:val="0"/>
              <w:spacing w:line="400" w:lineRule="exact"/>
              <w:ind w:firstLine="0" w:firstLineChars="0"/>
              <w:rPr>
                <w:rFonts w:ascii="仿宋" w:hAnsi="仿宋" w:eastAsia="仿宋"/>
                <w:color w:val="auto"/>
                <w:sz w:val="24"/>
                <w:lang w:val="zh-CN"/>
              </w:rPr>
            </w:pPr>
            <w:r>
              <w:rPr>
                <w:rFonts w:hint="eastAsia" w:ascii="仿宋" w:hAnsi="仿宋" w:eastAsia="仿宋"/>
                <w:color w:val="auto"/>
                <w:sz w:val="24"/>
                <w:lang w:val="zh-CN"/>
              </w:rPr>
              <w:t>地址：湖北省武汉市解放大道1095号</w:t>
            </w:r>
          </w:p>
          <w:p w14:paraId="7B191477">
            <w:pPr>
              <w:autoSpaceDE w:val="0"/>
              <w:autoSpaceDN w:val="0"/>
              <w:adjustRightInd w:val="0"/>
              <w:snapToGrid w:val="0"/>
              <w:spacing w:line="400" w:lineRule="exact"/>
              <w:ind w:firstLine="0" w:firstLineChars="0"/>
              <w:rPr>
                <w:rFonts w:ascii="仿宋" w:hAnsi="仿宋" w:eastAsia="仿宋"/>
                <w:color w:val="auto"/>
                <w:sz w:val="24"/>
                <w:lang w:val="zh-CN"/>
              </w:rPr>
            </w:pPr>
            <w:r>
              <w:rPr>
                <w:rFonts w:hint="eastAsia" w:ascii="仿宋" w:hAnsi="仿宋" w:eastAsia="仿宋"/>
                <w:color w:val="auto"/>
                <w:sz w:val="24"/>
                <w:lang w:val="zh-CN"/>
              </w:rPr>
              <w:t>联系人：王主任</w:t>
            </w:r>
          </w:p>
          <w:p w14:paraId="0C331B76">
            <w:pPr>
              <w:autoSpaceDE w:val="0"/>
              <w:autoSpaceDN w:val="0"/>
              <w:adjustRightInd w:val="0"/>
              <w:snapToGrid w:val="0"/>
              <w:spacing w:line="400" w:lineRule="exact"/>
              <w:ind w:firstLine="0" w:firstLineChars="0"/>
              <w:rPr>
                <w:rFonts w:ascii="仿宋" w:hAnsi="仿宋" w:eastAsia="仿宋"/>
                <w:color w:val="auto"/>
                <w:sz w:val="24"/>
                <w:lang w:val="zh-CN"/>
              </w:rPr>
            </w:pPr>
            <w:r>
              <w:rPr>
                <w:rFonts w:hint="eastAsia" w:ascii="仿宋" w:hAnsi="仿宋" w:eastAsia="仿宋"/>
                <w:color w:val="auto"/>
                <w:sz w:val="24"/>
                <w:lang w:val="zh-CN"/>
              </w:rPr>
              <w:t>联系电话：027-83662896</w:t>
            </w:r>
          </w:p>
        </w:tc>
      </w:tr>
      <w:tr w14:paraId="57D4C1F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20" w:hRule="atLeast"/>
          <w:jc w:val="center"/>
        </w:trPr>
        <w:tc>
          <w:tcPr>
            <w:tcW w:w="872" w:type="dxa"/>
            <w:vAlign w:val="center"/>
          </w:tcPr>
          <w:p w14:paraId="69FE62D0">
            <w:pPr>
              <w:pStyle w:val="39"/>
              <w:widowControl w:val="0"/>
              <w:autoSpaceDE w:val="0"/>
              <w:autoSpaceDN w:val="0"/>
              <w:adjustRightInd w:val="0"/>
              <w:snapToGrid w:val="0"/>
              <w:spacing w:before="0" w:beforeAutospacing="0" w:after="0" w:afterAutospacing="0" w:line="400" w:lineRule="exact"/>
              <w:ind w:firstLine="0" w:firstLineChars="0"/>
              <w:jc w:val="center"/>
              <w:rPr>
                <w:rFonts w:ascii="仿宋" w:hAnsi="仿宋" w:eastAsia="仿宋" w:cs="宋体"/>
                <w:color w:val="auto"/>
                <w:kern w:val="2"/>
                <w:lang w:val="zh-CN"/>
              </w:rPr>
            </w:pPr>
            <w:r>
              <w:rPr>
                <w:rFonts w:hint="eastAsia" w:ascii="仿宋" w:hAnsi="仿宋" w:eastAsia="仿宋" w:cs="宋体"/>
                <w:color w:val="auto"/>
                <w:kern w:val="2"/>
                <w:lang w:val="zh-CN"/>
              </w:rPr>
              <w:t>2.2</w:t>
            </w:r>
          </w:p>
        </w:tc>
        <w:tc>
          <w:tcPr>
            <w:tcW w:w="1843" w:type="dxa"/>
            <w:vAlign w:val="center"/>
          </w:tcPr>
          <w:p w14:paraId="5F21BC06">
            <w:pPr>
              <w:pStyle w:val="39"/>
              <w:widowControl w:val="0"/>
              <w:autoSpaceDE w:val="0"/>
              <w:autoSpaceDN w:val="0"/>
              <w:adjustRightInd w:val="0"/>
              <w:snapToGrid w:val="0"/>
              <w:spacing w:before="0" w:beforeAutospacing="0" w:after="0" w:afterAutospacing="0" w:line="400" w:lineRule="exact"/>
              <w:ind w:firstLine="0" w:firstLineChars="0"/>
              <w:jc w:val="center"/>
              <w:rPr>
                <w:rFonts w:ascii="仿宋" w:hAnsi="仿宋" w:eastAsia="仿宋" w:cs="宋体"/>
                <w:color w:val="auto"/>
                <w:kern w:val="2"/>
                <w:lang w:val="zh-CN"/>
              </w:rPr>
            </w:pPr>
            <w:r>
              <w:rPr>
                <w:rFonts w:hint="eastAsia" w:ascii="仿宋" w:hAnsi="仿宋" w:eastAsia="仿宋" w:cs="宋体"/>
                <w:color w:val="auto"/>
                <w:kern w:val="2"/>
                <w:lang w:val="zh-CN"/>
              </w:rPr>
              <w:t>监管部门</w:t>
            </w:r>
          </w:p>
        </w:tc>
        <w:tc>
          <w:tcPr>
            <w:tcW w:w="6780" w:type="dxa"/>
            <w:vAlign w:val="center"/>
          </w:tcPr>
          <w:p w14:paraId="2C3712B0">
            <w:pPr>
              <w:adjustRightInd w:val="0"/>
              <w:snapToGrid w:val="0"/>
              <w:spacing w:line="400" w:lineRule="exact"/>
              <w:ind w:firstLine="0" w:firstLineChars="0"/>
              <w:rPr>
                <w:rFonts w:ascii="仿宋" w:hAnsi="仿宋" w:eastAsia="仿宋"/>
                <w:color w:val="auto"/>
                <w:sz w:val="24"/>
                <w:lang w:val="zh-CN"/>
              </w:rPr>
            </w:pPr>
            <w:r>
              <w:rPr>
                <w:rFonts w:hint="eastAsia" w:ascii="仿宋" w:hAnsi="仿宋" w:eastAsia="仿宋"/>
                <w:color w:val="auto"/>
                <w:sz w:val="24"/>
                <w:lang w:val="zh-CN"/>
              </w:rPr>
              <w:t>/</w:t>
            </w:r>
          </w:p>
        </w:tc>
      </w:tr>
      <w:tr w14:paraId="6FD66F9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15" w:hRule="atLeast"/>
          <w:jc w:val="center"/>
        </w:trPr>
        <w:tc>
          <w:tcPr>
            <w:tcW w:w="872" w:type="dxa"/>
            <w:vAlign w:val="center"/>
          </w:tcPr>
          <w:p w14:paraId="18227E12">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2.3</w:t>
            </w:r>
          </w:p>
        </w:tc>
        <w:tc>
          <w:tcPr>
            <w:tcW w:w="1843" w:type="dxa"/>
            <w:vAlign w:val="center"/>
          </w:tcPr>
          <w:p w14:paraId="7E4B41BE">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snapToGrid w:val="0"/>
                <w:color w:val="auto"/>
                <w:kern w:val="0"/>
                <w:sz w:val="24"/>
                <w:lang w:val="zh-CN"/>
              </w:rPr>
              <w:t>采购代理机构</w:t>
            </w:r>
          </w:p>
        </w:tc>
        <w:tc>
          <w:tcPr>
            <w:tcW w:w="6780" w:type="dxa"/>
            <w:vAlign w:val="center"/>
          </w:tcPr>
          <w:p w14:paraId="2826019F">
            <w:pPr>
              <w:adjustRightInd w:val="0"/>
              <w:snapToGrid w:val="0"/>
              <w:spacing w:line="400" w:lineRule="exact"/>
              <w:ind w:firstLine="0" w:firstLineChars="0"/>
              <w:rPr>
                <w:rFonts w:ascii="仿宋" w:hAnsi="仿宋" w:eastAsia="仿宋"/>
                <w:color w:val="auto"/>
                <w:sz w:val="24"/>
              </w:rPr>
            </w:pPr>
            <w:r>
              <w:rPr>
                <w:rFonts w:hint="eastAsia" w:ascii="仿宋" w:hAnsi="仿宋" w:eastAsia="仿宋"/>
                <w:color w:val="auto"/>
                <w:sz w:val="24"/>
              </w:rPr>
              <w:t>名称：湖北省成套招标股份有限公司</w:t>
            </w:r>
          </w:p>
          <w:p w14:paraId="5519044E">
            <w:pPr>
              <w:adjustRightInd w:val="0"/>
              <w:snapToGrid w:val="0"/>
              <w:spacing w:line="400" w:lineRule="exact"/>
              <w:ind w:firstLine="0" w:firstLineChars="0"/>
              <w:rPr>
                <w:rFonts w:ascii="仿宋" w:hAnsi="仿宋" w:eastAsia="仿宋"/>
                <w:color w:val="auto"/>
                <w:sz w:val="24"/>
              </w:rPr>
            </w:pPr>
            <w:r>
              <w:rPr>
                <w:rFonts w:hint="eastAsia" w:ascii="仿宋" w:hAnsi="仿宋" w:eastAsia="仿宋"/>
                <w:color w:val="auto"/>
                <w:sz w:val="24"/>
              </w:rPr>
              <w:t>地址：湖北省武汉市武昌区东湖西路特2号平安财富中心B座7-10楼</w:t>
            </w:r>
          </w:p>
          <w:p w14:paraId="3BC7127B">
            <w:pPr>
              <w:adjustRightInd w:val="0"/>
              <w:snapToGrid w:val="0"/>
              <w:spacing w:line="400" w:lineRule="exact"/>
              <w:ind w:firstLine="0" w:firstLineChars="0"/>
              <w:rPr>
                <w:rFonts w:ascii="仿宋" w:hAnsi="仿宋" w:eastAsia="仿宋"/>
                <w:color w:val="auto"/>
                <w:sz w:val="24"/>
              </w:rPr>
            </w:pPr>
            <w:r>
              <w:rPr>
                <w:rFonts w:hint="eastAsia" w:ascii="仿宋" w:hAnsi="仿宋" w:eastAsia="仿宋"/>
                <w:color w:val="auto"/>
                <w:sz w:val="24"/>
              </w:rPr>
              <w:t>联系人：谭韫、刘李鹏；</w:t>
            </w:r>
          </w:p>
          <w:p w14:paraId="5F1CD2F8">
            <w:pPr>
              <w:adjustRightInd w:val="0"/>
              <w:snapToGrid w:val="0"/>
              <w:spacing w:line="400" w:lineRule="exact"/>
              <w:ind w:firstLine="0" w:firstLineChars="0"/>
              <w:rPr>
                <w:rFonts w:ascii="仿宋" w:hAnsi="仿宋" w:eastAsia="仿宋"/>
                <w:color w:val="auto"/>
                <w:sz w:val="24"/>
              </w:rPr>
            </w:pPr>
            <w:r>
              <w:rPr>
                <w:rFonts w:hint="eastAsia" w:ascii="仿宋" w:hAnsi="仿宋" w:eastAsia="仿宋"/>
                <w:color w:val="auto"/>
                <w:sz w:val="24"/>
              </w:rPr>
              <w:t>电话：027-87816666-8212/8206、17802718212</w:t>
            </w:r>
          </w:p>
        </w:tc>
      </w:tr>
      <w:tr w14:paraId="232370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20" w:hRule="atLeast"/>
          <w:jc w:val="center"/>
        </w:trPr>
        <w:tc>
          <w:tcPr>
            <w:tcW w:w="872" w:type="dxa"/>
            <w:vAlign w:val="center"/>
          </w:tcPr>
          <w:p w14:paraId="1083416F">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4.2</w:t>
            </w:r>
          </w:p>
        </w:tc>
        <w:tc>
          <w:tcPr>
            <w:tcW w:w="1843" w:type="dxa"/>
            <w:vAlign w:val="center"/>
          </w:tcPr>
          <w:p w14:paraId="1671E983">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服务费</w:t>
            </w:r>
          </w:p>
        </w:tc>
        <w:tc>
          <w:tcPr>
            <w:tcW w:w="6780" w:type="dxa"/>
            <w:vAlign w:val="center"/>
          </w:tcPr>
          <w:p w14:paraId="2B18042F">
            <w:pPr>
              <w:pStyle w:val="39"/>
              <w:widowControl w:val="0"/>
              <w:autoSpaceDE w:val="0"/>
              <w:autoSpaceDN w:val="0"/>
              <w:adjustRightInd w:val="0"/>
              <w:snapToGrid w:val="0"/>
              <w:spacing w:before="0" w:beforeAutospacing="0" w:after="0" w:afterAutospacing="0" w:line="400" w:lineRule="exact"/>
              <w:ind w:firstLine="0" w:firstLineChars="0"/>
              <w:jc w:val="both"/>
              <w:rPr>
                <w:rFonts w:ascii="仿宋" w:hAnsi="仿宋" w:eastAsia="仿宋"/>
                <w:color w:val="auto"/>
                <w:lang w:val="zh-CN"/>
              </w:rPr>
            </w:pPr>
            <w:r>
              <w:rPr>
                <w:rFonts w:hint="eastAsia" w:ascii="仿宋" w:hAnsi="仿宋" w:eastAsia="仿宋"/>
                <w:bCs/>
                <w:color w:val="auto"/>
                <w:lang w:val="zh-CN"/>
              </w:rPr>
              <w:t>支付标准：</w:t>
            </w:r>
            <w:r>
              <w:rPr>
                <w:rFonts w:hint="eastAsia" w:ascii="仿宋" w:hAnsi="仿宋" w:eastAsia="仿宋"/>
                <w:color w:val="auto"/>
                <w:lang w:val="zh-CN"/>
              </w:rPr>
              <w:t>根据国家发展与改革委员会办公厅发改办价格[2003]857号文的规定，经与采购人协商，由中标人按国家发展计划委员会计价格[2002]1980号文规定取费标准的80%向采购代理机构支付服务费。</w:t>
            </w:r>
          </w:p>
          <w:p w14:paraId="53653E63">
            <w:pPr>
              <w:pStyle w:val="39"/>
              <w:widowControl w:val="0"/>
              <w:autoSpaceDE w:val="0"/>
              <w:autoSpaceDN w:val="0"/>
              <w:adjustRightInd w:val="0"/>
              <w:snapToGrid w:val="0"/>
              <w:spacing w:before="0" w:beforeAutospacing="0" w:after="0" w:afterAutospacing="0" w:line="400" w:lineRule="exact"/>
              <w:ind w:firstLine="0" w:firstLineChars="0"/>
              <w:jc w:val="both"/>
              <w:rPr>
                <w:rFonts w:ascii="仿宋" w:hAnsi="仿宋" w:eastAsia="仿宋"/>
                <w:color w:val="auto"/>
                <w:lang w:val="zh-CN"/>
              </w:rPr>
            </w:pPr>
            <w:r>
              <w:rPr>
                <w:rFonts w:hint="eastAsia" w:ascii="仿宋" w:hAnsi="仿宋" w:eastAsia="仿宋"/>
                <w:bCs/>
                <w:color w:val="auto"/>
                <w:lang w:val="zh-CN"/>
              </w:rPr>
              <w:t>支付方式：</w:t>
            </w:r>
            <w:r>
              <w:rPr>
                <w:rFonts w:hint="eastAsia" w:ascii="仿宋" w:hAnsi="仿宋" w:eastAsia="仿宋"/>
                <w:color w:val="auto"/>
                <w:lang w:val="zh-CN"/>
              </w:rPr>
              <w:t>服务费由</w:t>
            </w:r>
            <w:r>
              <w:rPr>
                <w:rFonts w:hint="eastAsia" w:ascii="仿宋" w:hAnsi="仿宋" w:eastAsia="仿宋"/>
                <w:color w:val="auto"/>
              </w:rPr>
              <w:t>中标人</w:t>
            </w:r>
            <w:r>
              <w:rPr>
                <w:rFonts w:hint="eastAsia" w:ascii="仿宋" w:hAnsi="仿宋" w:eastAsia="仿宋"/>
                <w:color w:val="auto"/>
                <w:lang w:val="zh-CN"/>
              </w:rPr>
              <w:t>在领取中标通知书的同时向</w:t>
            </w:r>
            <w:r>
              <w:rPr>
                <w:rFonts w:hint="eastAsia" w:ascii="仿宋" w:hAnsi="仿宋" w:eastAsia="仿宋"/>
                <w:color w:val="auto"/>
              </w:rPr>
              <w:t>采购</w:t>
            </w:r>
            <w:r>
              <w:rPr>
                <w:rFonts w:hint="eastAsia" w:ascii="仿宋" w:hAnsi="仿宋" w:eastAsia="仿宋"/>
                <w:color w:val="auto"/>
                <w:lang w:val="zh-CN"/>
              </w:rPr>
              <w:t>代理机构支付，并同时开具发票，</w:t>
            </w:r>
            <w:r>
              <w:rPr>
                <w:rFonts w:hint="eastAsia" w:ascii="仿宋" w:hAnsi="仿宋" w:eastAsia="仿宋"/>
                <w:color w:val="auto"/>
              </w:rPr>
              <w:t>中标人</w:t>
            </w:r>
            <w:r>
              <w:rPr>
                <w:rFonts w:hint="eastAsia" w:ascii="仿宋" w:hAnsi="仿宋" w:eastAsia="仿宋"/>
                <w:color w:val="auto"/>
                <w:lang w:val="zh-CN"/>
              </w:rPr>
              <w:t>在看到网上公布的结果公告时，请携带开票信息到湖北省成套招标股份有限公司7楼财务窗口缴费开具发票后领取中标通知书。</w:t>
            </w:r>
          </w:p>
          <w:p w14:paraId="6E174875">
            <w:pPr>
              <w:pStyle w:val="39"/>
              <w:widowControl w:val="0"/>
              <w:autoSpaceDE w:val="0"/>
              <w:autoSpaceDN w:val="0"/>
              <w:adjustRightInd w:val="0"/>
              <w:snapToGrid w:val="0"/>
              <w:spacing w:before="0" w:beforeAutospacing="0" w:after="0" w:afterAutospacing="0" w:line="400" w:lineRule="exact"/>
              <w:ind w:firstLine="0" w:firstLineChars="0"/>
              <w:jc w:val="both"/>
              <w:rPr>
                <w:rFonts w:ascii="仿宋" w:hAnsi="仿宋" w:eastAsia="仿宋"/>
                <w:color w:val="auto"/>
                <w:lang w:val="zh-CN"/>
              </w:rPr>
            </w:pPr>
            <w:r>
              <w:rPr>
                <w:rFonts w:hint="eastAsia" w:ascii="仿宋" w:hAnsi="仿宋" w:eastAsia="仿宋"/>
                <w:color w:val="auto"/>
                <w:lang w:val="zh-CN"/>
              </w:rPr>
              <w:t>中标服务费可使用现金或电汇办理，汇款账户信息如下：</w:t>
            </w:r>
          </w:p>
          <w:p w14:paraId="0E43B14F">
            <w:pPr>
              <w:pStyle w:val="39"/>
              <w:widowControl w:val="0"/>
              <w:autoSpaceDE w:val="0"/>
              <w:autoSpaceDN w:val="0"/>
              <w:adjustRightInd w:val="0"/>
              <w:snapToGrid w:val="0"/>
              <w:spacing w:before="0" w:beforeAutospacing="0" w:after="0" w:afterAutospacing="0" w:line="400" w:lineRule="exact"/>
              <w:ind w:firstLine="0" w:firstLineChars="0"/>
              <w:jc w:val="both"/>
              <w:rPr>
                <w:rFonts w:ascii="仿宋" w:hAnsi="仿宋" w:eastAsia="仿宋"/>
                <w:color w:val="auto"/>
                <w:lang w:val="zh-CN"/>
              </w:rPr>
            </w:pPr>
            <w:r>
              <w:rPr>
                <w:rFonts w:hint="eastAsia" w:ascii="仿宋" w:hAnsi="仿宋" w:eastAsia="仿宋"/>
                <w:color w:val="auto"/>
                <w:lang w:val="zh-CN"/>
              </w:rPr>
              <w:t>开户行：中国银行武汉中南路支行</w:t>
            </w:r>
          </w:p>
          <w:p w14:paraId="55F5E077">
            <w:pPr>
              <w:pStyle w:val="39"/>
              <w:widowControl w:val="0"/>
              <w:autoSpaceDE w:val="0"/>
              <w:autoSpaceDN w:val="0"/>
              <w:adjustRightInd w:val="0"/>
              <w:snapToGrid w:val="0"/>
              <w:spacing w:before="0" w:beforeAutospacing="0" w:after="0" w:afterAutospacing="0" w:line="400" w:lineRule="exact"/>
              <w:ind w:firstLine="0" w:firstLineChars="0"/>
              <w:jc w:val="both"/>
              <w:rPr>
                <w:rFonts w:ascii="仿宋" w:hAnsi="仿宋" w:eastAsia="仿宋"/>
                <w:color w:val="auto"/>
                <w:lang w:val="zh-CN"/>
              </w:rPr>
            </w:pPr>
            <w:r>
              <w:rPr>
                <w:rFonts w:hint="eastAsia" w:ascii="仿宋" w:hAnsi="仿宋" w:eastAsia="仿宋"/>
                <w:color w:val="auto"/>
                <w:lang w:val="zh-CN"/>
              </w:rPr>
              <w:t>收款人：湖北省成套招标股份有限公司</w:t>
            </w:r>
          </w:p>
          <w:p w14:paraId="54B11AFB">
            <w:pPr>
              <w:pStyle w:val="39"/>
              <w:widowControl w:val="0"/>
              <w:autoSpaceDE w:val="0"/>
              <w:autoSpaceDN w:val="0"/>
              <w:adjustRightInd w:val="0"/>
              <w:snapToGrid w:val="0"/>
              <w:spacing w:before="0" w:beforeAutospacing="0" w:after="0" w:afterAutospacing="0" w:line="400" w:lineRule="exact"/>
              <w:ind w:firstLine="0" w:firstLineChars="0"/>
              <w:jc w:val="both"/>
              <w:rPr>
                <w:rFonts w:ascii="仿宋" w:hAnsi="仿宋" w:eastAsia="仿宋"/>
                <w:color w:val="auto"/>
                <w:lang w:val="zh-CN"/>
              </w:rPr>
            </w:pPr>
            <w:r>
              <w:rPr>
                <w:rFonts w:hint="eastAsia" w:ascii="仿宋" w:hAnsi="仿宋" w:eastAsia="仿宋"/>
                <w:color w:val="auto"/>
                <w:lang w:val="zh-CN"/>
              </w:rPr>
              <w:t>帐号：572976591978</w:t>
            </w:r>
          </w:p>
          <w:p w14:paraId="296502A6">
            <w:pPr>
              <w:pStyle w:val="39"/>
              <w:widowControl w:val="0"/>
              <w:autoSpaceDE w:val="0"/>
              <w:autoSpaceDN w:val="0"/>
              <w:adjustRightInd w:val="0"/>
              <w:snapToGrid w:val="0"/>
              <w:spacing w:before="0" w:beforeAutospacing="0" w:after="0" w:afterAutospacing="0" w:line="400" w:lineRule="exact"/>
              <w:ind w:firstLine="0" w:firstLineChars="0"/>
              <w:jc w:val="both"/>
              <w:rPr>
                <w:rFonts w:ascii="仿宋" w:hAnsi="仿宋" w:eastAsia="仿宋"/>
                <w:color w:val="auto"/>
                <w:lang w:val="zh-CN"/>
              </w:rPr>
            </w:pPr>
            <w:r>
              <w:rPr>
                <w:rFonts w:hint="eastAsia" w:ascii="仿宋" w:hAnsi="仿宋" w:eastAsia="仿宋"/>
                <w:color w:val="auto"/>
                <w:lang w:val="zh-CN"/>
              </w:rPr>
              <w:t>行号：840085</w:t>
            </w:r>
          </w:p>
        </w:tc>
      </w:tr>
      <w:tr w14:paraId="231128A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18" w:hRule="atLeast"/>
          <w:jc w:val="center"/>
        </w:trPr>
        <w:tc>
          <w:tcPr>
            <w:tcW w:w="872" w:type="dxa"/>
            <w:vAlign w:val="center"/>
          </w:tcPr>
          <w:p w14:paraId="21A46732">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6.</w:t>
            </w:r>
            <w:r>
              <w:rPr>
                <w:rFonts w:ascii="仿宋" w:hAnsi="仿宋" w:eastAsia="仿宋" w:cs="宋体"/>
                <w:color w:val="auto"/>
                <w:sz w:val="24"/>
              </w:rPr>
              <w:t>1</w:t>
            </w:r>
          </w:p>
        </w:tc>
        <w:tc>
          <w:tcPr>
            <w:tcW w:w="1843" w:type="dxa"/>
            <w:vAlign w:val="center"/>
          </w:tcPr>
          <w:p w14:paraId="3B179E10">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现场踏勘</w:t>
            </w:r>
          </w:p>
          <w:p w14:paraId="1417AECC">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及答疑会</w:t>
            </w:r>
          </w:p>
        </w:tc>
        <w:tc>
          <w:tcPr>
            <w:tcW w:w="6780" w:type="dxa"/>
            <w:vAlign w:val="center"/>
          </w:tcPr>
          <w:p w14:paraId="6B99798F">
            <w:pPr>
              <w:autoSpaceDE w:val="0"/>
              <w:autoSpaceDN w:val="0"/>
              <w:adjustRightInd w:val="0"/>
              <w:snapToGrid w:val="0"/>
              <w:spacing w:line="400" w:lineRule="exact"/>
              <w:ind w:firstLine="0" w:firstLineChars="0"/>
              <w:rPr>
                <w:rFonts w:ascii="仿宋" w:hAnsi="仿宋" w:eastAsia="仿宋"/>
                <w:color w:val="auto"/>
                <w:sz w:val="24"/>
              </w:rPr>
            </w:pPr>
            <w:r>
              <w:rPr>
                <w:rFonts w:hint="eastAsia" w:ascii="仿宋" w:hAnsi="仿宋" w:eastAsia="仿宋"/>
                <w:color w:val="auto"/>
                <w:sz w:val="24"/>
                <w:lang w:val="zh-CN"/>
              </w:rPr>
              <w:t>现场踏勘：不</w:t>
            </w:r>
            <w:r>
              <w:rPr>
                <w:rFonts w:hint="eastAsia" w:ascii="仿宋" w:hAnsi="仿宋" w:eastAsia="仿宋"/>
                <w:color w:val="auto"/>
                <w:sz w:val="24"/>
              </w:rPr>
              <w:t>组织</w:t>
            </w:r>
          </w:p>
          <w:p w14:paraId="79D95EA7">
            <w:pPr>
              <w:autoSpaceDE w:val="0"/>
              <w:autoSpaceDN w:val="0"/>
              <w:adjustRightInd w:val="0"/>
              <w:snapToGrid w:val="0"/>
              <w:spacing w:line="400" w:lineRule="exact"/>
              <w:ind w:firstLine="0" w:firstLineChars="0"/>
              <w:rPr>
                <w:rFonts w:ascii="仿宋" w:hAnsi="仿宋" w:eastAsia="仿宋"/>
                <w:color w:val="auto"/>
                <w:sz w:val="24"/>
                <w:lang w:val="zh-CN"/>
              </w:rPr>
            </w:pPr>
            <w:r>
              <w:rPr>
                <w:rFonts w:hint="eastAsia" w:ascii="仿宋" w:hAnsi="仿宋" w:eastAsia="仿宋"/>
                <w:color w:val="auto"/>
                <w:sz w:val="24"/>
                <w:lang w:val="zh-CN"/>
              </w:rPr>
              <w:t>标前答疑会：</w:t>
            </w:r>
            <w:r>
              <w:rPr>
                <w:rFonts w:hint="eastAsia" w:ascii="仿宋" w:hAnsi="仿宋" w:eastAsia="仿宋"/>
                <w:color w:val="auto"/>
                <w:sz w:val="24"/>
              </w:rPr>
              <w:t>不组织</w:t>
            </w:r>
          </w:p>
        </w:tc>
      </w:tr>
      <w:tr w14:paraId="2DE4DD4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20" w:hRule="atLeast"/>
          <w:jc w:val="center"/>
        </w:trPr>
        <w:tc>
          <w:tcPr>
            <w:tcW w:w="872" w:type="dxa"/>
            <w:vAlign w:val="center"/>
          </w:tcPr>
          <w:p w14:paraId="64524000">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7.2</w:t>
            </w:r>
          </w:p>
        </w:tc>
        <w:tc>
          <w:tcPr>
            <w:tcW w:w="1843" w:type="dxa"/>
            <w:vAlign w:val="center"/>
          </w:tcPr>
          <w:p w14:paraId="426E20F5">
            <w:pPr>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提疑截止时间</w:t>
            </w:r>
          </w:p>
        </w:tc>
        <w:tc>
          <w:tcPr>
            <w:tcW w:w="6780" w:type="dxa"/>
            <w:vAlign w:val="center"/>
          </w:tcPr>
          <w:p w14:paraId="15F3327F">
            <w:pPr>
              <w:autoSpaceDE w:val="0"/>
              <w:autoSpaceDN w:val="0"/>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sz w:val="24"/>
              </w:rPr>
              <w:t>同本项目报名截止时间</w:t>
            </w:r>
          </w:p>
        </w:tc>
      </w:tr>
      <w:tr w14:paraId="0AF88CF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20" w:hRule="atLeast"/>
          <w:jc w:val="center"/>
        </w:trPr>
        <w:tc>
          <w:tcPr>
            <w:tcW w:w="872" w:type="dxa"/>
            <w:vAlign w:val="center"/>
          </w:tcPr>
          <w:p w14:paraId="400A7810">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9.2</w:t>
            </w:r>
          </w:p>
        </w:tc>
        <w:tc>
          <w:tcPr>
            <w:tcW w:w="1843" w:type="dxa"/>
            <w:vAlign w:val="center"/>
          </w:tcPr>
          <w:p w14:paraId="6CACD447">
            <w:pPr>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招标文件中要求提供的其他资料</w:t>
            </w:r>
          </w:p>
        </w:tc>
        <w:tc>
          <w:tcPr>
            <w:tcW w:w="6780" w:type="dxa"/>
            <w:vAlign w:val="center"/>
          </w:tcPr>
          <w:p w14:paraId="3D589929">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color w:val="auto"/>
                <w:sz w:val="24"/>
              </w:rPr>
              <w:t>包括但不限于：如技术方案、服务方案、服务承诺、保障措施、违约罚则等相关资料。</w:t>
            </w:r>
          </w:p>
        </w:tc>
      </w:tr>
      <w:tr w14:paraId="3215AE5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18" w:hRule="atLeast"/>
          <w:jc w:val="center"/>
        </w:trPr>
        <w:tc>
          <w:tcPr>
            <w:tcW w:w="872" w:type="dxa"/>
            <w:vAlign w:val="center"/>
          </w:tcPr>
          <w:p w14:paraId="7C45B09B">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10</w:t>
            </w:r>
          </w:p>
        </w:tc>
        <w:tc>
          <w:tcPr>
            <w:tcW w:w="1843" w:type="dxa"/>
            <w:vAlign w:val="center"/>
          </w:tcPr>
          <w:p w14:paraId="18951D54">
            <w:pPr>
              <w:widowControl/>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对多包投标的</w:t>
            </w:r>
          </w:p>
          <w:p w14:paraId="2B92CC19">
            <w:pPr>
              <w:widowControl/>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规定</w:t>
            </w:r>
          </w:p>
        </w:tc>
        <w:tc>
          <w:tcPr>
            <w:tcW w:w="6780" w:type="dxa"/>
            <w:vAlign w:val="center"/>
          </w:tcPr>
          <w:p w14:paraId="39ACB7D8">
            <w:pPr>
              <w:widowControl/>
              <w:adjustRightInd w:val="0"/>
              <w:snapToGrid w:val="0"/>
              <w:spacing w:line="400" w:lineRule="exact"/>
              <w:ind w:firstLine="0" w:firstLineChars="0"/>
              <w:rPr>
                <w:rFonts w:ascii="仿宋" w:hAnsi="仿宋" w:eastAsia="仿宋"/>
                <w:color w:val="auto"/>
                <w:sz w:val="24"/>
              </w:rPr>
            </w:pPr>
            <w:r>
              <w:rPr>
                <w:rFonts w:hint="eastAsia" w:ascii="仿宋" w:hAnsi="仿宋" w:eastAsia="仿宋"/>
                <w:color w:val="auto"/>
                <w:sz w:val="24"/>
              </w:rPr>
              <w:t>/</w:t>
            </w:r>
          </w:p>
        </w:tc>
      </w:tr>
      <w:tr w14:paraId="0318F4D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20" w:hRule="atLeast"/>
          <w:jc w:val="center"/>
        </w:trPr>
        <w:tc>
          <w:tcPr>
            <w:tcW w:w="872" w:type="dxa"/>
            <w:vAlign w:val="center"/>
          </w:tcPr>
          <w:p w14:paraId="04CEF7E9">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12.1</w:t>
            </w:r>
          </w:p>
        </w:tc>
        <w:tc>
          <w:tcPr>
            <w:tcW w:w="1843" w:type="dxa"/>
            <w:vAlign w:val="center"/>
          </w:tcPr>
          <w:p w14:paraId="13095C1F">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snapToGrid w:val="0"/>
                <w:color w:val="auto"/>
                <w:kern w:val="0"/>
                <w:sz w:val="24"/>
                <w:lang w:val="zh-CN"/>
              </w:rPr>
              <w:t>备选方案</w:t>
            </w:r>
          </w:p>
        </w:tc>
        <w:tc>
          <w:tcPr>
            <w:tcW w:w="6780" w:type="dxa"/>
            <w:vAlign w:val="center"/>
          </w:tcPr>
          <w:p w14:paraId="691FC6C2">
            <w:pPr>
              <w:autoSpaceDE w:val="0"/>
              <w:autoSpaceDN w:val="0"/>
              <w:adjustRightInd w:val="0"/>
              <w:snapToGrid w:val="0"/>
              <w:spacing w:line="400" w:lineRule="exact"/>
              <w:ind w:firstLine="0" w:firstLineChars="0"/>
              <w:rPr>
                <w:rFonts w:ascii="仿宋" w:hAnsi="仿宋" w:eastAsia="仿宋" w:cs="宋体"/>
                <w:color w:val="auto"/>
                <w:sz w:val="24"/>
                <w:lang w:val="zh-CN"/>
              </w:rPr>
            </w:pPr>
            <w:r>
              <w:rPr>
                <w:rFonts w:hint="eastAsia" w:ascii="仿宋" w:hAnsi="仿宋" w:eastAsia="仿宋" w:cs="宋体"/>
                <w:color w:val="auto"/>
                <w:sz w:val="24"/>
                <w:lang w:val="zh-CN"/>
              </w:rPr>
              <w:t>本次招标不接受备选方案。</w:t>
            </w:r>
          </w:p>
        </w:tc>
      </w:tr>
      <w:tr w14:paraId="5FF16AB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20" w:hRule="atLeast"/>
          <w:jc w:val="center"/>
        </w:trPr>
        <w:tc>
          <w:tcPr>
            <w:tcW w:w="872" w:type="dxa"/>
            <w:vAlign w:val="center"/>
          </w:tcPr>
          <w:p w14:paraId="6F75B950">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13.1</w:t>
            </w:r>
          </w:p>
        </w:tc>
        <w:tc>
          <w:tcPr>
            <w:tcW w:w="1843" w:type="dxa"/>
            <w:vAlign w:val="center"/>
          </w:tcPr>
          <w:p w14:paraId="125330C6">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snapToGrid w:val="0"/>
                <w:color w:val="auto"/>
                <w:kern w:val="0"/>
                <w:sz w:val="24"/>
                <w:lang w:val="zh-CN"/>
              </w:rPr>
              <w:t>联合体</w:t>
            </w:r>
          </w:p>
        </w:tc>
        <w:tc>
          <w:tcPr>
            <w:tcW w:w="6780" w:type="dxa"/>
            <w:vAlign w:val="center"/>
          </w:tcPr>
          <w:p w14:paraId="1C82C5F8">
            <w:pPr>
              <w:adjustRightInd w:val="0"/>
              <w:snapToGrid w:val="0"/>
              <w:spacing w:line="400" w:lineRule="exact"/>
              <w:ind w:firstLine="0" w:firstLineChars="0"/>
              <w:rPr>
                <w:rFonts w:ascii="仿宋" w:hAnsi="仿宋" w:eastAsia="仿宋" w:cs="宋体"/>
                <w:color w:val="auto"/>
                <w:sz w:val="24"/>
                <w:lang w:val="zh-CN"/>
              </w:rPr>
            </w:pPr>
            <w:r>
              <w:rPr>
                <w:rFonts w:hint="eastAsia" w:ascii="仿宋" w:hAnsi="仿宋" w:eastAsia="仿宋" w:cs="宋体"/>
                <w:color w:val="auto"/>
                <w:sz w:val="24"/>
                <w:lang w:val="zh-CN"/>
              </w:rPr>
              <w:t>本次招标不接受联合体投标。</w:t>
            </w:r>
          </w:p>
        </w:tc>
      </w:tr>
      <w:tr w14:paraId="1BE11E0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20" w:hRule="atLeast"/>
          <w:jc w:val="center"/>
        </w:trPr>
        <w:tc>
          <w:tcPr>
            <w:tcW w:w="872" w:type="dxa"/>
            <w:vAlign w:val="center"/>
          </w:tcPr>
          <w:p w14:paraId="4B990F4E">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14.1</w:t>
            </w:r>
          </w:p>
        </w:tc>
        <w:tc>
          <w:tcPr>
            <w:tcW w:w="1843" w:type="dxa"/>
            <w:vAlign w:val="center"/>
          </w:tcPr>
          <w:p w14:paraId="49ED0F15">
            <w:pPr>
              <w:autoSpaceDE w:val="0"/>
              <w:autoSpaceDN w:val="0"/>
              <w:adjustRightInd w:val="0"/>
              <w:snapToGrid w:val="0"/>
              <w:spacing w:line="400" w:lineRule="exact"/>
              <w:ind w:firstLine="0" w:firstLineChars="0"/>
              <w:jc w:val="center"/>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应提交的</w:t>
            </w:r>
          </w:p>
          <w:p w14:paraId="26687A1D">
            <w:pPr>
              <w:autoSpaceDE w:val="0"/>
              <w:autoSpaceDN w:val="0"/>
              <w:adjustRightInd w:val="0"/>
              <w:snapToGrid w:val="0"/>
              <w:spacing w:line="400" w:lineRule="exact"/>
              <w:ind w:firstLine="0" w:firstLineChars="0"/>
              <w:jc w:val="center"/>
              <w:rPr>
                <w:rFonts w:ascii="仿宋" w:hAnsi="仿宋" w:eastAsia="仿宋" w:cs="宋体"/>
                <w:bCs/>
                <w:color w:val="auto"/>
                <w:sz w:val="24"/>
              </w:rPr>
            </w:pPr>
            <w:r>
              <w:rPr>
                <w:rFonts w:hint="eastAsia" w:ascii="仿宋" w:hAnsi="仿宋" w:eastAsia="仿宋" w:cs="宋体"/>
                <w:bCs/>
                <w:snapToGrid w:val="0"/>
                <w:color w:val="auto"/>
                <w:kern w:val="0"/>
                <w:sz w:val="24"/>
                <w:lang w:val="zh-CN"/>
              </w:rPr>
              <w:t>证明文件</w:t>
            </w:r>
          </w:p>
        </w:tc>
        <w:tc>
          <w:tcPr>
            <w:tcW w:w="6780" w:type="dxa"/>
            <w:vAlign w:val="center"/>
          </w:tcPr>
          <w:p w14:paraId="11216A14">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资格证明文件（未提供完整视为无效投标）：</w:t>
            </w:r>
          </w:p>
          <w:p w14:paraId="49EF35F1">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1.满足《中华人民共和国政府采购法》第二十二条规定。</w:t>
            </w:r>
          </w:p>
          <w:p w14:paraId="78F52C9F">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（1）具有独立承担民事责任的能力</w:t>
            </w:r>
          </w:p>
          <w:p w14:paraId="70BDDA4D">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1）投标人是企业（包括合伙企业），提供有效的营业执照。</w:t>
            </w:r>
          </w:p>
          <w:p w14:paraId="3E6CB6A1">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2）投标人是事业单位，提供有效的事业单位法人证书。</w:t>
            </w:r>
          </w:p>
          <w:p w14:paraId="6BA725AA">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3）投标人是非企业专业服务机构的，提供有效的执业许可证等证明文件。</w:t>
            </w:r>
          </w:p>
          <w:p w14:paraId="065CC92C">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4）投标人是个体工商户，提供有效的个体工商户营业执照。</w:t>
            </w:r>
          </w:p>
          <w:p w14:paraId="309E4B5E">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5）投标人是自然人，提供有效的自然人身份证明。</w:t>
            </w:r>
          </w:p>
          <w:p w14:paraId="43BE1955">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（2）具有良好的商业信誉和健全的财务会计制度。</w:t>
            </w:r>
          </w:p>
          <w:p w14:paraId="6EDEB6F4">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1）投标人是法人且成立一年或以上的，提供上一年度经审计的财务报告（</w:t>
            </w:r>
            <w:r>
              <w:rPr>
                <w:rFonts w:hint="eastAsia" w:ascii="仿宋" w:hAnsi="仿宋" w:eastAsia="仿宋" w:cs="宋体"/>
                <w:snapToGrid w:val="0"/>
                <w:color w:val="auto"/>
                <w:kern w:val="0"/>
                <w:sz w:val="24"/>
                <w:lang w:val="zh-CN"/>
              </w:rPr>
              <w:t>若上一年度还未完成经审计的财务报告，可提供</w:t>
            </w:r>
            <w:r>
              <w:rPr>
                <w:rFonts w:ascii="仿宋" w:hAnsi="仿宋" w:eastAsia="仿宋" w:cs="宋体"/>
                <w:snapToGrid w:val="0"/>
                <w:color w:val="auto"/>
                <w:kern w:val="0"/>
                <w:sz w:val="24"/>
                <w:lang w:val="zh-CN"/>
              </w:rPr>
              <w:t>202</w:t>
            </w:r>
            <w:r>
              <w:rPr>
                <w:rFonts w:hint="eastAsia" w:ascii="仿宋" w:hAnsi="仿宋" w:eastAsia="仿宋" w:cs="宋体"/>
                <w:snapToGrid w:val="0"/>
                <w:color w:val="auto"/>
                <w:kern w:val="0"/>
                <w:sz w:val="24"/>
                <w:lang w:val="en-US" w:eastAsia="zh-CN"/>
              </w:rPr>
              <w:t>3</w:t>
            </w:r>
            <w:r>
              <w:rPr>
                <w:rFonts w:hint="eastAsia" w:ascii="仿宋" w:hAnsi="仿宋" w:eastAsia="仿宋" w:cs="宋体"/>
                <w:snapToGrid w:val="0"/>
                <w:color w:val="auto"/>
                <w:kern w:val="0"/>
                <w:sz w:val="24"/>
                <w:lang w:val="zh-CN"/>
              </w:rPr>
              <w:t>年度经审计的财务报告</w:t>
            </w:r>
            <w:r>
              <w:rPr>
                <w:rFonts w:hint="eastAsia" w:ascii="仿宋" w:hAnsi="仿宋" w:eastAsia="仿宋" w:cs="宋体"/>
                <w:bCs/>
                <w:snapToGrid w:val="0"/>
                <w:color w:val="auto"/>
                <w:kern w:val="0"/>
                <w:sz w:val="24"/>
                <w:lang w:val="zh-CN"/>
              </w:rPr>
              <w:t>）；成立未满一年的，提供成立之日后的财务报告。</w:t>
            </w:r>
          </w:p>
          <w:p w14:paraId="711DB01D">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2）无法按第1）条提供财务报告的投标人可以提供银行出具的资信证明。</w:t>
            </w:r>
          </w:p>
          <w:p w14:paraId="1AFA43F2">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3）投标人也可以提供财政部门认可的政府采购专业担保机构出具的投标担保函（原件），代替财务状况报告。</w:t>
            </w:r>
          </w:p>
          <w:p w14:paraId="0E0D54B0">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（3）具有履行合同所必需的设备和专业技术能力。</w:t>
            </w:r>
          </w:p>
          <w:p w14:paraId="30769923">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提供具备足够数量的设施设备及技术人员的证明材料或承诺。</w:t>
            </w:r>
          </w:p>
          <w:p w14:paraId="50DDAC34">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（4）有依法缴纳税收和社会保障资金的良好记录。</w:t>
            </w:r>
          </w:p>
          <w:p w14:paraId="63243495">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有依法缴纳税收和社会保障资金的良好记录，由投标人对以下内容提供相应证明材料。</w:t>
            </w:r>
          </w:p>
          <w:p w14:paraId="7F023555">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1）投标人依法交纳税收的证明材料：本项目公告发布时间前6个月内（至少提供1个月）交纳增值税、企业所得税的凭据（完税证、缴款书、印花税票、银行代扣（代缴）转账凭证等均可）。</w:t>
            </w:r>
          </w:p>
          <w:p w14:paraId="12C4EBBA">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2）投标人依法交纳社会保障资金的证明材料：本项目公告发布时间前6个月内（至少提供1个月）交纳社会保险的凭据（专用收据或社会保险交纳清单）。</w:t>
            </w:r>
          </w:p>
          <w:p w14:paraId="2793FD23">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3）投标人为其他组织或自然人的，也需要按此项规定提供交纳税收的凭据和交纳社会保险的凭据。</w:t>
            </w:r>
          </w:p>
          <w:p w14:paraId="7362F4E3">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4）依法免税或不需要交纳社会保障资金的投标人，应提供相应文件证明其依法免税或不需要交纳社会保障资金。</w:t>
            </w:r>
          </w:p>
          <w:p w14:paraId="3659AC1D">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（5）参加政府采购活动前三年内，在经营活动中没有重大违法记录。</w:t>
            </w:r>
          </w:p>
          <w:p w14:paraId="292CB3EC">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按照招标文件第六章投标文件格式附件1</w:t>
            </w:r>
            <w:r>
              <w:rPr>
                <w:rFonts w:ascii="仿宋" w:hAnsi="仿宋" w:eastAsia="仿宋" w:cs="宋体"/>
                <w:bCs/>
                <w:snapToGrid w:val="0"/>
                <w:color w:val="auto"/>
                <w:kern w:val="0"/>
                <w:sz w:val="24"/>
                <w:lang w:val="zh-CN"/>
              </w:rPr>
              <w:t>5</w:t>
            </w:r>
            <w:r>
              <w:rPr>
                <w:rFonts w:hint="eastAsia" w:ascii="仿宋" w:hAnsi="仿宋" w:eastAsia="仿宋" w:cs="宋体"/>
                <w:bCs/>
                <w:snapToGrid w:val="0"/>
                <w:color w:val="auto"/>
                <w:kern w:val="0"/>
                <w:sz w:val="24"/>
                <w:lang w:val="zh-CN"/>
              </w:rPr>
              <w:t>的格式要求，根据相关法规规定，提交书面声明。</w:t>
            </w:r>
          </w:p>
          <w:p w14:paraId="32FF20FA">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（6）法律、行政法规规定的其他条件。</w:t>
            </w:r>
          </w:p>
          <w:p w14:paraId="00A0F229">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如国家对生产和销售相关产品或提供相关服务有专门法律、行政法规规定的，须提供相关许可的证明材料。</w:t>
            </w:r>
          </w:p>
          <w:p w14:paraId="3976D27B">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2.落实政府采购政策需满足的资格要求。</w:t>
            </w:r>
          </w:p>
          <w:p w14:paraId="1E758C62">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详见招标文件第一章申请人的资格要求中的规定。</w:t>
            </w:r>
          </w:p>
          <w:p w14:paraId="1E97466C">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olor w:val="auto"/>
                <w:kern w:val="0"/>
                <w:sz w:val="24"/>
              </w:rPr>
              <w:t>3.本项目的特定资格要求</w:t>
            </w:r>
          </w:p>
          <w:p w14:paraId="2C756744">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（1）</w:t>
            </w:r>
            <w:r>
              <w:rPr>
                <w:rFonts w:hint="eastAsia" w:ascii="仿宋" w:hAnsi="仿宋" w:eastAsia="仿宋"/>
                <w:color w:val="auto"/>
                <w:sz w:val="24"/>
              </w:rPr>
              <w:t>单位负责人为同一人或者存在直接控股、管理关系的不同投标人，不得参加同一合同项下的政府采购活动</w:t>
            </w:r>
            <w:r>
              <w:rPr>
                <w:rFonts w:hint="eastAsia" w:ascii="仿宋" w:hAnsi="仿宋" w:eastAsia="仿宋" w:cs="宋体"/>
                <w:bCs/>
                <w:snapToGrid w:val="0"/>
                <w:color w:val="auto"/>
                <w:kern w:val="0"/>
                <w:sz w:val="24"/>
                <w:lang w:val="zh-CN"/>
              </w:rPr>
              <w:t>。</w:t>
            </w:r>
          </w:p>
          <w:p w14:paraId="2F0760DD">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按照招标文件第六章投标文件格式附件1</w:t>
            </w:r>
            <w:r>
              <w:rPr>
                <w:rFonts w:ascii="仿宋" w:hAnsi="仿宋" w:eastAsia="仿宋" w:cs="宋体"/>
                <w:bCs/>
                <w:snapToGrid w:val="0"/>
                <w:color w:val="auto"/>
                <w:kern w:val="0"/>
                <w:sz w:val="24"/>
                <w:lang w:val="zh-CN"/>
              </w:rPr>
              <w:t>6</w:t>
            </w:r>
            <w:r>
              <w:rPr>
                <w:rFonts w:hint="eastAsia" w:ascii="仿宋" w:hAnsi="仿宋" w:eastAsia="仿宋" w:cs="宋体"/>
                <w:bCs/>
                <w:snapToGrid w:val="0"/>
                <w:color w:val="auto"/>
                <w:kern w:val="0"/>
                <w:sz w:val="24"/>
                <w:lang w:val="zh-CN"/>
              </w:rPr>
              <w:t>的格式要求，根据相关法规规定，提交书面声明。</w:t>
            </w:r>
          </w:p>
          <w:p w14:paraId="491BCADD">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（2）为采购项目提供整体设计、规范编制或者项目管理、监理、检测等服务的投标人，不得再参加该采购项目的其他采购活动。</w:t>
            </w:r>
          </w:p>
          <w:p w14:paraId="4A424C30">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按照招标文件第六章投标文件格式附件1</w:t>
            </w:r>
            <w:r>
              <w:rPr>
                <w:rFonts w:ascii="仿宋" w:hAnsi="仿宋" w:eastAsia="仿宋" w:cs="宋体"/>
                <w:bCs/>
                <w:snapToGrid w:val="0"/>
                <w:color w:val="auto"/>
                <w:kern w:val="0"/>
                <w:sz w:val="24"/>
                <w:lang w:val="zh-CN"/>
              </w:rPr>
              <w:t>6</w:t>
            </w:r>
            <w:r>
              <w:rPr>
                <w:rFonts w:hint="eastAsia" w:ascii="仿宋" w:hAnsi="仿宋" w:eastAsia="仿宋" w:cs="宋体"/>
                <w:bCs/>
                <w:snapToGrid w:val="0"/>
                <w:color w:val="auto"/>
                <w:kern w:val="0"/>
                <w:sz w:val="24"/>
                <w:lang w:val="zh-CN"/>
              </w:rPr>
              <w:t>的格式要求，根据相关法规规定，提交书面声明。</w:t>
            </w:r>
          </w:p>
          <w:p w14:paraId="6C71A759">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3）未被列入“信用中国”网站(www.creditchina.gov.cn)失信被执行人、重大税收违法失信主体名单，未被列入“中国政府采购”网站（www.ccgp.gov.cn）政府采购严重违法失信行为记录名单（采购代理机构将在开启文件之日查询相关信息）。</w:t>
            </w:r>
          </w:p>
          <w:p w14:paraId="5F2E0055">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（4）其他详见招标文件第一章申请人的资格要求中的规定。</w:t>
            </w:r>
          </w:p>
          <w:p w14:paraId="02CFB897">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说明：</w:t>
            </w:r>
          </w:p>
          <w:p w14:paraId="75E9280F">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1.所有证书、证明文件包括按要求提供的官网截图必须是真实可查证的，须注明资料来源。</w:t>
            </w:r>
          </w:p>
          <w:p w14:paraId="0CB2B1EE">
            <w:pPr>
              <w:adjustRightInd w:val="0"/>
              <w:snapToGrid w:val="0"/>
              <w:spacing w:line="400" w:lineRule="exact"/>
              <w:ind w:firstLine="0" w:firstLineChars="0"/>
              <w:rPr>
                <w:rFonts w:ascii="仿宋" w:hAnsi="仿宋" w:eastAsia="仿宋" w:cs="宋体"/>
                <w:bCs/>
                <w:snapToGrid w:val="0"/>
                <w:color w:val="auto"/>
                <w:kern w:val="0"/>
                <w:sz w:val="24"/>
                <w:lang w:val="zh-CN"/>
              </w:rPr>
            </w:pPr>
            <w:r>
              <w:rPr>
                <w:rFonts w:hint="eastAsia" w:ascii="仿宋" w:hAnsi="仿宋" w:eastAsia="仿宋" w:cs="宋体"/>
                <w:bCs/>
                <w:snapToGrid w:val="0"/>
                <w:color w:val="auto"/>
                <w:kern w:val="0"/>
                <w:sz w:val="24"/>
                <w:lang w:val="zh-CN"/>
              </w:rPr>
              <w:t>2.资格证明文件应为原件的复印件并加盖公章。所有证明材料须清晰可辨认，如因证明材料模糊无法辨认，缺页、漏页导致无法进行评审认定的责任由投标人自负。如发现弄虚作假将按照有关规定严肃处理。</w:t>
            </w:r>
          </w:p>
          <w:p w14:paraId="3E609FD9">
            <w:pPr>
              <w:adjustRightInd w:val="0"/>
              <w:snapToGrid w:val="0"/>
              <w:spacing w:line="400" w:lineRule="exact"/>
              <w:ind w:firstLine="0" w:firstLineChars="0"/>
              <w:rPr>
                <w:rFonts w:ascii="仿宋" w:hAnsi="仿宋" w:eastAsia="仿宋" w:cs="宋体"/>
                <w:bCs/>
                <w:color w:val="auto"/>
                <w:sz w:val="24"/>
                <w:lang w:val="zh-CN"/>
              </w:rPr>
            </w:pPr>
            <w:r>
              <w:rPr>
                <w:rFonts w:hint="eastAsia" w:ascii="仿宋" w:hAnsi="仿宋" w:eastAsia="仿宋" w:cs="宋体"/>
                <w:bCs/>
                <w:snapToGrid w:val="0"/>
                <w:color w:val="auto"/>
                <w:kern w:val="0"/>
                <w:sz w:val="24"/>
                <w:lang w:val="zh-CN"/>
              </w:rPr>
              <w:t>3.所有证明文件均须在有效期内。</w:t>
            </w:r>
          </w:p>
        </w:tc>
      </w:tr>
      <w:tr w14:paraId="50A6B5E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22" w:hRule="atLeast"/>
          <w:jc w:val="center"/>
        </w:trPr>
        <w:tc>
          <w:tcPr>
            <w:tcW w:w="872" w:type="dxa"/>
            <w:vAlign w:val="center"/>
          </w:tcPr>
          <w:p w14:paraId="2648BB7F">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15.1</w:t>
            </w:r>
          </w:p>
        </w:tc>
        <w:tc>
          <w:tcPr>
            <w:tcW w:w="1843" w:type="dxa"/>
            <w:vAlign w:val="center"/>
          </w:tcPr>
          <w:p w14:paraId="4F4DB447">
            <w:pPr>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证明投标内容</w:t>
            </w:r>
          </w:p>
          <w:p w14:paraId="7309EA05">
            <w:pPr>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符合招标文件</w:t>
            </w:r>
          </w:p>
          <w:p w14:paraId="5E63C70A">
            <w:pPr>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要求的文件和</w:t>
            </w:r>
          </w:p>
          <w:p w14:paraId="34D7A2F9">
            <w:pPr>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招标文件规定</w:t>
            </w:r>
          </w:p>
          <w:p w14:paraId="4F940A37">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snapToGrid w:val="0"/>
                <w:color w:val="auto"/>
                <w:kern w:val="0"/>
                <w:sz w:val="24"/>
                <w:lang w:val="zh-CN"/>
              </w:rPr>
              <w:t>的其他资料</w:t>
            </w:r>
          </w:p>
        </w:tc>
        <w:tc>
          <w:tcPr>
            <w:tcW w:w="6780" w:type="dxa"/>
            <w:vAlign w:val="center"/>
          </w:tcPr>
          <w:p w14:paraId="7D58BF10">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snapToGrid w:val="0"/>
                <w:color w:val="auto"/>
                <w:kern w:val="0"/>
                <w:sz w:val="24"/>
                <w:lang w:val="zh-CN"/>
              </w:rPr>
              <w:t>按招标文件第三章采购需求逐项响应并细化和补充，在完全满足业主要求的前提下所提供的证明材料可包含但不限于：如技术方案、服务方案、服务承诺、保障措施、违约罚则等相关资料。投标人自拟。项目实施过程中，采购人将严格按照中标人的响应情况进行验收。</w:t>
            </w:r>
          </w:p>
        </w:tc>
      </w:tr>
      <w:tr w14:paraId="472770D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22" w:hRule="atLeast"/>
          <w:jc w:val="center"/>
        </w:trPr>
        <w:tc>
          <w:tcPr>
            <w:tcW w:w="872" w:type="dxa"/>
            <w:vAlign w:val="center"/>
          </w:tcPr>
          <w:p w14:paraId="269D711B">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16.1</w:t>
            </w:r>
          </w:p>
        </w:tc>
        <w:tc>
          <w:tcPr>
            <w:tcW w:w="1843" w:type="dxa"/>
            <w:vAlign w:val="center"/>
          </w:tcPr>
          <w:p w14:paraId="0108DAE6">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snapToGrid w:val="0"/>
                <w:color w:val="auto"/>
                <w:kern w:val="0"/>
                <w:sz w:val="24"/>
                <w:lang w:val="zh-CN"/>
              </w:rPr>
              <w:t>投标保证金金额及接受保证金的账户信息</w:t>
            </w:r>
          </w:p>
        </w:tc>
        <w:tc>
          <w:tcPr>
            <w:tcW w:w="6780" w:type="dxa"/>
            <w:vAlign w:val="center"/>
          </w:tcPr>
          <w:p w14:paraId="4BC264F9">
            <w:pPr>
              <w:autoSpaceDE w:val="0"/>
              <w:autoSpaceDN w:val="0"/>
              <w:adjustRightInd w:val="0"/>
              <w:snapToGrid w:val="0"/>
              <w:spacing w:line="400" w:lineRule="exact"/>
              <w:ind w:firstLine="0" w:firstLineChars="0"/>
              <w:rPr>
                <w:rFonts w:ascii="仿宋" w:hAnsi="仿宋" w:eastAsia="仿宋" w:cs="宋体"/>
                <w:b/>
                <w:color w:val="auto"/>
                <w:sz w:val="24"/>
              </w:rPr>
            </w:pPr>
            <w:r>
              <w:rPr>
                <w:rFonts w:hint="eastAsia" w:ascii="仿宋" w:hAnsi="仿宋" w:eastAsia="仿宋" w:cs="宋体"/>
                <w:b/>
                <w:color w:val="auto"/>
                <w:sz w:val="24"/>
              </w:rPr>
              <w:t>保证金金额：人民币玖仟元整（</w:t>
            </w:r>
            <w:r>
              <w:rPr>
                <w:rFonts w:ascii="Calibri" w:hAnsi="Calibri" w:eastAsia="仿宋" w:cs="Calibri"/>
                <w:b/>
                <w:color w:val="auto"/>
                <w:sz w:val="24"/>
              </w:rPr>
              <w:t>¥</w:t>
            </w:r>
            <w:r>
              <w:rPr>
                <w:rFonts w:ascii="仿宋" w:hAnsi="仿宋" w:eastAsia="仿宋" w:cs="宋体"/>
                <w:b/>
                <w:color w:val="auto"/>
                <w:sz w:val="24"/>
              </w:rPr>
              <w:t>9000.00</w:t>
            </w:r>
            <w:r>
              <w:rPr>
                <w:rFonts w:hint="eastAsia" w:ascii="仿宋" w:hAnsi="仿宋" w:eastAsia="仿宋" w:cs="宋体"/>
                <w:b/>
                <w:color w:val="auto"/>
                <w:sz w:val="24"/>
              </w:rPr>
              <w:t>）。</w:t>
            </w:r>
          </w:p>
          <w:p w14:paraId="7BA87FDE">
            <w:pPr>
              <w:autoSpaceDE w:val="0"/>
              <w:autoSpaceDN w:val="0"/>
              <w:adjustRightInd w:val="0"/>
              <w:snapToGrid w:val="0"/>
              <w:spacing w:line="400" w:lineRule="exact"/>
              <w:ind w:firstLine="0" w:firstLineChars="0"/>
              <w:rPr>
                <w:rFonts w:ascii="仿宋" w:hAnsi="仿宋" w:eastAsia="仿宋" w:cs="宋体"/>
                <w:b/>
                <w:color w:val="auto"/>
                <w:sz w:val="24"/>
              </w:rPr>
            </w:pPr>
            <w:r>
              <w:rPr>
                <w:rFonts w:hint="eastAsia" w:ascii="仿宋" w:hAnsi="仿宋" w:eastAsia="仿宋" w:cs="宋体"/>
                <w:b/>
                <w:color w:val="auto"/>
                <w:sz w:val="24"/>
              </w:rPr>
              <w:t>递交截止时间：同递交投标文件截止时间，以到账为准。</w:t>
            </w:r>
          </w:p>
          <w:p w14:paraId="0A3E6408">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color w:val="auto"/>
                <w:sz w:val="24"/>
              </w:rPr>
              <w:t>本项目允许保证金提交形式为</w:t>
            </w:r>
          </w:p>
          <w:p w14:paraId="16904E77">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color w:val="auto"/>
                <w:sz w:val="24"/>
              </w:rPr>
              <w:t>1.形式：电汇、银行汇票、支票、银行保函等非现金形式。</w:t>
            </w:r>
          </w:p>
          <w:p w14:paraId="391EF09D">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color w:val="auto"/>
                <w:sz w:val="24"/>
              </w:rPr>
              <w:t>2.采用电汇（或转账）方式的，应在用途或附言、备注中注明项目编号和“投标保证金”字样；</w:t>
            </w:r>
          </w:p>
          <w:p w14:paraId="73019884">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color w:val="auto"/>
                <w:sz w:val="24"/>
              </w:rPr>
              <w:t>3.投标（磋商、谈判、询价）保证金到账时间以我公司指定银行账户到账时间为准。</w:t>
            </w:r>
          </w:p>
          <w:p w14:paraId="1F44E5DC">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color w:val="auto"/>
                <w:sz w:val="24"/>
              </w:rPr>
              <w:t>开户行：中国银行武汉中南路支行</w:t>
            </w:r>
          </w:p>
          <w:p w14:paraId="3132DD99">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color w:val="auto"/>
                <w:sz w:val="24"/>
              </w:rPr>
              <w:t>行  号：840085</w:t>
            </w:r>
          </w:p>
          <w:p w14:paraId="076C04A9">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color w:val="auto"/>
                <w:sz w:val="24"/>
              </w:rPr>
              <w:t>户  名：湖北省成套招标股份有限公司</w:t>
            </w:r>
          </w:p>
          <w:p w14:paraId="55FB8536">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color w:val="auto"/>
                <w:sz w:val="24"/>
              </w:rPr>
              <w:t>账  号：572976591978</w:t>
            </w:r>
          </w:p>
          <w:p w14:paraId="2D323CD7">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color w:val="auto"/>
                <w:sz w:val="24"/>
              </w:rPr>
              <w:t>投标保证金的确认：</w:t>
            </w:r>
          </w:p>
          <w:p w14:paraId="7B54BDDF">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color w:val="auto"/>
                <w:sz w:val="24"/>
              </w:rPr>
              <w:t>1.采用电汇（或转账）方式以外的其他形式递交投标保证金的，由我公司出具收讫凭证。</w:t>
            </w:r>
          </w:p>
          <w:p w14:paraId="7D0515EF">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color w:val="auto"/>
                <w:sz w:val="24"/>
              </w:rPr>
              <w:t>2.公司财务部查询电话027-87311206。</w:t>
            </w:r>
          </w:p>
        </w:tc>
      </w:tr>
      <w:tr w14:paraId="1C0811B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20" w:hRule="atLeast"/>
          <w:jc w:val="center"/>
        </w:trPr>
        <w:tc>
          <w:tcPr>
            <w:tcW w:w="872" w:type="dxa"/>
            <w:vAlign w:val="center"/>
          </w:tcPr>
          <w:p w14:paraId="4F204A5C">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17.1</w:t>
            </w:r>
          </w:p>
        </w:tc>
        <w:tc>
          <w:tcPr>
            <w:tcW w:w="1843" w:type="dxa"/>
            <w:vAlign w:val="center"/>
          </w:tcPr>
          <w:p w14:paraId="24D180FE">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snapToGrid w:val="0"/>
                <w:color w:val="auto"/>
                <w:kern w:val="0"/>
                <w:sz w:val="24"/>
                <w:lang w:val="zh-CN"/>
              </w:rPr>
              <w:t>投标有效期</w:t>
            </w:r>
          </w:p>
        </w:tc>
        <w:tc>
          <w:tcPr>
            <w:tcW w:w="6780" w:type="dxa"/>
            <w:vAlign w:val="center"/>
          </w:tcPr>
          <w:p w14:paraId="144E5463">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snapToGrid w:val="0"/>
                <w:color w:val="auto"/>
                <w:kern w:val="0"/>
                <w:sz w:val="24"/>
              </w:rPr>
              <w:t>90</w:t>
            </w:r>
            <w:r>
              <w:rPr>
                <w:rFonts w:hint="eastAsia" w:ascii="仿宋" w:hAnsi="仿宋" w:eastAsia="仿宋" w:cs="宋体"/>
                <w:snapToGrid w:val="0"/>
                <w:color w:val="auto"/>
                <w:kern w:val="0"/>
                <w:sz w:val="24"/>
                <w:lang w:val="zh-CN"/>
              </w:rPr>
              <w:t>日历天</w:t>
            </w:r>
          </w:p>
        </w:tc>
      </w:tr>
      <w:tr w14:paraId="38C572B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429" w:hRule="atLeast"/>
          <w:jc w:val="center"/>
        </w:trPr>
        <w:tc>
          <w:tcPr>
            <w:tcW w:w="872" w:type="dxa"/>
            <w:vAlign w:val="center"/>
          </w:tcPr>
          <w:p w14:paraId="7C9C5259">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18.1</w:t>
            </w:r>
          </w:p>
        </w:tc>
        <w:tc>
          <w:tcPr>
            <w:tcW w:w="1843" w:type="dxa"/>
            <w:vAlign w:val="center"/>
          </w:tcPr>
          <w:p w14:paraId="14101B5E">
            <w:pPr>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投标文件数量</w:t>
            </w:r>
          </w:p>
        </w:tc>
        <w:tc>
          <w:tcPr>
            <w:tcW w:w="6780" w:type="dxa"/>
            <w:vAlign w:val="center"/>
          </w:tcPr>
          <w:p w14:paraId="48F6A284">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color w:val="auto"/>
                <w:sz w:val="24"/>
              </w:rPr>
              <w:t>本次招标项目</w:t>
            </w:r>
            <w:r>
              <w:rPr>
                <w:rFonts w:hint="eastAsia" w:ascii="仿宋" w:hAnsi="仿宋" w:eastAsia="仿宋" w:cs="宋体"/>
                <w:color w:val="auto"/>
                <w:sz w:val="24"/>
                <w:lang w:val="zh-CN"/>
              </w:rPr>
              <w:t>投标文件正本一份，副本贰份，电子文档一份</w:t>
            </w:r>
          </w:p>
        </w:tc>
      </w:tr>
      <w:tr w14:paraId="333740C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22" w:hRule="atLeast"/>
          <w:jc w:val="center"/>
        </w:trPr>
        <w:tc>
          <w:tcPr>
            <w:tcW w:w="872" w:type="dxa"/>
            <w:vAlign w:val="center"/>
          </w:tcPr>
          <w:p w14:paraId="09CF1C12">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19.4</w:t>
            </w:r>
          </w:p>
        </w:tc>
        <w:tc>
          <w:tcPr>
            <w:tcW w:w="1843" w:type="dxa"/>
            <w:vAlign w:val="center"/>
          </w:tcPr>
          <w:p w14:paraId="6974917D">
            <w:pPr>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提交及退还样品的规定</w:t>
            </w:r>
          </w:p>
        </w:tc>
        <w:tc>
          <w:tcPr>
            <w:tcW w:w="6780" w:type="dxa"/>
            <w:vAlign w:val="center"/>
          </w:tcPr>
          <w:p w14:paraId="37FE5608">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color w:val="auto"/>
                <w:sz w:val="24"/>
              </w:rPr>
              <w:t>本次招标不需要提交样品</w:t>
            </w:r>
          </w:p>
        </w:tc>
      </w:tr>
      <w:tr w14:paraId="1221A94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22" w:hRule="atLeast"/>
          <w:jc w:val="center"/>
        </w:trPr>
        <w:tc>
          <w:tcPr>
            <w:tcW w:w="872" w:type="dxa"/>
            <w:vAlign w:val="center"/>
          </w:tcPr>
          <w:p w14:paraId="69BD0442">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20.1</w:t>
            </w:r>
          </w:p>
        </w:tc>
        <w:tc>
          <w:tcPr>
            <w:tcW w:w="1843" w:type="dxa"/>
            <w:vAlign w:val="center"/>
          </w:tcPr>
          <w:p w14:paraId="13593C62">
            <w:pPr>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投标文件</w:t>
            </w:r>
          </w:p>
          <w:p w14:paraId="616E3E5C">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snapToGrid w:val="0"/>
                <w:color w:val="auto"/>
                <w:kern w:val="0"/>
                <w:sz w:val="24"/>
                <w:lang w:val="zh-CN"/>
              </w:rPr>
              <w:t>送达地点及投标截止时间</w:t>
            </w:r>
          </w:p>
        </w:tc>
        <w:tc>
          <w:tcPr>
            <w:tcW w:w="6780" w:type="dxa"/>
            <w:vAlign w:val="center"/>
          </w:tcPr>
          <w:p w14:paraId="5D5B498E">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color w:val="auto"/>
                <w:sz w:val="24"/>
              </w:rPr>
              <w:t>详见第一章第四款相关要求</w:t>
            </w:r>
          </w:p>
        </w:tc>
      </w:tr>
      <w:tr w14:paraId="2FC300B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22" w:hRule="atLeast"/>
          <w:jc w:val="center"/>
        </w:trPr>
        <w:tc>
          <w:tcPr>
            <w:tcW w:w="872" w:type="dxa"/>
            <w:vAlign w:val="center"/>
          </w:tcPr>
          <w:p w14:paraId="3067B05B">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23.1</w:t>
            </w:r>
          </w:p>
        </w:tc>
        <w:tc>
          <w:tcPr>
            <w:tcW w:w="1843" w:type="dxa"/>
            <w:vAlign w:val="center"/>
          </w:tcPr>
          <w:p w14:paraId="14E5694E">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lang w:val="zh-CN"/>
              </w:rPr>
              <w:t>开标时间及地点</w:t>
            </w:r>
          </w:p>
        </w:tc>
        <w:tc>
          <w:tcPr>
            <w:tcW w:w="6780" w:type="dxa"/>
            <w:vAlign w:val="center"/>
          </w:tcPr>
          <w:p w14:paraId="40058B6F">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color w:val="auto"/>
                <w:sz w:val="24"/>
              </w:rPr>
              <w:t>详见第一章第四款相关要求</w:t>
            </w:r>
          </w:p>
        </w:tc>
      </w:tr>
      <w:tr w14:paraId="4AC13AC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22" w:hRule="atLeast"/>
          <w:jc w:val="center"/>
        </w:trPr>
        <w:tc>
          <w:tcPr>
            <w:tcW w:w="872" w:type="dxa"/>
            <w:vAlign w:val="center"/>
          </w:tcPr>
          <w:p w14:paraId="66FF025C">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24.1</w:t>
            </w:r>
          </w:p>
        </w:tc>
        <w:tc>
          <w:tcPr>
            <w:tcW w:w="1843" w:type="dxa"/>
            <w:vAlign w:val="center"/>
          </w:tcPr>
          <w:p w14:paraId="600A5EC2">
            <w:pPr>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评标委员会的</w:t>
            </w:r>
          </w:p>
          <w:p w14:paraId="08E2226E">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snapToGrid w:val="0"/>
                <w:color w:val="auto"/>
                <w:kern w:val="0"/>
                <w:sz w:val="24"/>
                <w:lang w:val="zh-CN"/>
              </w:rPr>
              <w:t>组成</w:t>
            </w:r>
          </w:p>
        </w:tc>
        <w:tc>
          <w:tcPr>
            <w:tcW w:w="6780" w:type="dxa"/>
            <w:vAlign w:val="center"/>
          </w:tcPr>
          <w:p w14:paraId="664F834A">
            <w:pPr>
              <w:autoSpaceDE w:val="0"/>
              <w:autoSpaceDN w:val="0"/>
              <w:adjustRightInd w:val="0"/>
              <w:snapToGrid w:val="0"/>
              <w:spacing w:line="400" w:lineRule="exact"/>
              <w:ind w:firstLine="0" w:firstLineChars="0"/>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评标委员会构成：5人及以上单数，其中评审专家不少于成员总数的三分之二。</w:t>
            </w:r>
          </w:p>
          <w:p w14:paraId="136CA9F8">
            <w:pPr>
              <w:autoSpaceDE w:val="0"/>
              <w:autoSpaceDN w:val="0"/>
              <w:adjustRightInd w:val="0"/>
              <w:snapToGrid w:val="0"/>
              <w:spacing w:line="400" w:lineRule="exact"/>
              <w:ind w:firstLine="0" w:firstLineChars="0"/>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评标专家确定方式：外聘经济及技术专家在政府采购专家库中随机抽取，采购人代表由招标方指定。</w:t>
            </w:r>
          </w:p>
        </w:tc>
      </w:tr>
      <w:tr w14:paraId="03CFC77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20" w:hRule="atLeast"/>
          <w:jc w:val="center"/>
        </w:trPr>
        <w:tc>
          <w:tcPr>
            <w:tcW w:w="872" w:type="dxa"/>
            <w:vAlign w:val="center"/>
          </w:tcPr>
          <w:p w14:paraId="71F8BA28">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24.3</w:t>
            </w:r>
          </w:p>
        </w:tc>
        <w:tc>
          <w:tcPr>
            <w:tcW w:w="1843" w:type="dxa"/>
            <w:vAlign w:val="center"/>
          </w:tcPr>
          <w:p w14:paraId="6E0A96E0">
            <w:pPr>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评标方法</w:t>
            </w:r>
          </w:p>
        </w:tc>
        <w:tc>
          <w:tcPr>
            <w:tcW w:w="6780" w:type="dxa"/>
            <w:vAlign w:val="center"/>
          </w:tcPr>
          <w:p w14:paraId="274B0371">
            <w:pPr>
              <w:autoSpaceDE w:val="0"/>
              <w:autoSpaceDN w:val="0"/>
              <w:adjustRightInd w:val="0"/>
              <w:snapToGrid w:val="0"/>
              <w:spacing w:line="400" w:lineRule="exact"/>
              <w:ind w:firstLine="0" w:firstLineChars="0"/>
              <w:rPr>
                <w:rFonts w:ascii="仿宋" w:hAnsi="仿宋" w:eastAsia="仿宋" w:cs="宋体"/>
                <w:snapToGrid w:val="0"/>
                <w:color w:val="auto"/>
                <w:kern w:val="0"/>
                <w:sz w:val="24"/>
                <w:lang w:val="zh-CN"/>
              </w:rPr>
            </w:pPr>
            <w:r>
              <w:rPr>
                <w:rFonts w:hint="eastAsia" w:ascii="仿宋" w:hAnsi="仿宋" w:eastAsia="仿宋" w:cs="宋体"/>
                <w:color w:val="auto"/>
                <w:sz w:val="24"/>
              </w:rPr>
              <w:t>综合评分法</w:t>
            </w:r>
          </w:p>
        </w:tc>
      </w:tr>
      <w:tr w14:paraId="3DCC918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20" w:hRule="atLeast"/>
          <w:jc w:val="center"/>
        </w:trPr>
        <w:tc>
          <w:tcPr>
            <w:tcW w:w="872" w:type="dxa"/>
            <w:vAlign w:val="center"/>
          </w:tcPr>
          <w:p w14:paraId="5523E9A9">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29.3</w:t>
            </w:r>
          </w:p>
        </w:tc>
        <w:tc>
          <w:tcPr>
            <w:tcW w:w="1843" w:type="dxa"/>
            <w:vAlign w:val="center"/>
          </w:tcPr>
          <w:p w14:paraId="5DC7D288">
            <w:pPr>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rPr>
            </w:pPr>
            <w:r>
              <w:rPr>
                <w:rFonts w:hint="eastAsia" w:ascii="仿宋" w:hAnsi="仿宋" w:eastAsia="仿宋" w:cs="宋体"/>
                <w:snapToGrid w:val="0"/>
                <w:color w:val="auto"/>
                <w:kern w:val="0"/>
                <w:sz w:val="24"/>
                <w:lang w:val="zh-CN"/>
              </w:rPr>
              <w:t>中标人</w:t>
            </w:r>
            <w:r>
              <w:rPr>
                <w:rFonts w:hint="eastAsia" w:ascii="仿宋" w:hAnsi="仿宋" w:eastAsia="仿宋" w:cs="宋体"/>
                <w:snapToGrid w:val="0"/>
                <w:color w:val="auto"/>
                <w:kern w:val="0"/>
                <w:sz w:val="24"/>
              </w:rPr>
              <w:t>确定方式</w:t>
            </w:r>
          </w:p>
        </w:tc>
        <w:tc>
          <w:tcPr>
            <w:tcW w:w="6780" w:type="dxa"/>
            <w:vAlign w:val="center"/>
          </w:tcPr>
          <w:p w14:paraId="55E498F3">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color w:val="auto"/>
                <w:sz w:val="24"/>
              </w:rPr>
              <w:t>委托评标委员会推荐3名中标候选人，由采购人依法依规确定。</w:t>
            </w:r>
          </w:p>
        </w:tc>
      </w:tr>
      <w:tr w14:paraId="24A9309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20" w:hRule="atLeast"/>
          <w:jc w:val="center"/>
        </w:trPr>
        <w:tc>
          <w:tcPr>
            <w:tcW w:w="872" w:type="dxa"/>
            <w:vAlign w:val="center"/>
          </w:tcPr>
          <w:p w14:paraId="6BF87795">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31.1</w:t>
            </w:r>
          </w:p>
        </w:tc>
        <w:tc>
          <w:tcPr>
            <w:tcW w:w="1843" w:type="dxa"/>
            <w:vAlign w:val="center"/>
          </w:tcPr>
          <w:p w14:paraId="36107329">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snapToGrid w:val="0"/>
                <w:color w:val="auto"/>
                <w:kern w:val="0"/>
                <w:sz w:val="24"/>
                <w:lang w:val="zh-CN"/>
              </w:rPr>
              <w:t>履约保证金</w:t>
            </w:r>
          </w:p>
        </w:tc>
        <w:tc>
          <w:tcPr>
            <w:tcW w:w="6780" w:type="dxa"/>
            <w:vAlign w:val="center"/>
          </w:tcPr>
          <w:p w14:paraId="301EB241">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宋体"/>
                <w:color w:val="auto"/>
                <w:sz w:val="24"/>
              </w:rPr>
              <w:t>本项目不需要提供履约保证金</w:t>
            </w:r>
          </w:p>
        </w:tc>
      </w:tr>
      <w:tr w14:paraId="098FC9D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20" w:hRule="atLeast"/>
          <w:jc w:val="center"/>
        </w:trPr>
        <w:tc>
          <w:tcPr>
            <w:tcW w:w="872" w:type="dxa"/>
            <w:vMerge w:val="restart"/>
            <w:vAlign w:val="center"/>
          </w:tcPr>
          <w:p w14:paraId="09BA0DEA">
            <w:pPr>
              <w:autoSpaceDE w:val="0"/>
              <w:autoSpaceDN w:val="0"/>
              <w:adjustRightInd w:val="0"/>
              <w:snapToGrid w:val="0"/>
              <w:spacing w:line="400" w:lineRule="exact"/>
              <w:ind w:firstLine="0" w:firstLineChars="0"/>
              <w:jc w:val="center"/>
              <w:rPr>
                <w:rFonts w:ascii="仿宋" w:hAnsi="仿宋" w:eastAsia="仿宋" w:cs="宋体"/>
                <w:color w:val="auto"/>
                <w:sz w:val="24"/>
              </w:rPr>
            </w:pPr>
            <w:r>
              <w:rPr>
                <w:rFonts w:hint="eastAsia" w:ascii="仿宋" w:hAnsi="仿宋" w:eastAsia="仿宋" w:cs="宋体"/>
                <w:color w:val="auto"/>
                <w:sz w:val="24"/>
              </w:rPr>
              <w:t>3</w:t>
            </w:r>
            <w:r>
              <w:rPr>
                <w:rFonts w:ascii="仿宋" w:hAnsi="仿宋" w:eastAsia="仿宋" w:cs="宋体"/>
                <w:color w:val="auto"/>
                <w:sz w:val="24"/>
              </w:rPr>
              <w:t>2</w:t>
            </w:r>
          </w:p>
        </w:tc>
        <w:tc>
          <w:tcPr>
            <w:tcW w:w="1843" w:type="dxa"/>
            <w:vAlign w:val="center"/>
          </w:tcPr>
          <w:p w14:paraId="41B4838E">
            <w:pPr>
              <w:autoSpaceDE w:val="0"/>
              <w:autoSpaceDN w:val="0"/>
              <w:adjustRightInd w:val="0"/>
              <w:snapToGrid w:val="0"/>
              <w:spacing w:line="400" w:lineRule="exact"/>
              <w:ind w:firstLine="0" w:firstLineChars="0"/>
              <w:jc w:val="center"/>
              <w:rPr>
                <w:rFonts w:ascii="仿宋" w:hAnsi="仿宋" w:eastAsia="仿宋"/>
                <w:color w:val="auto"/>
                <w:sz w:val="24"/>
                <w:lang w:val="zh-CN"/>
              </w:rPr>
            </w:pPr>
            <w:r>
              <w:rPr>
                <w:rFonts w:hint="eastAsia" w:ascii="仿宋" w:hAnsi="仿宋" w:eastAsia="仿宋"/>
                <w:color w:val="auto"/>
                <w:sz w:val="24"/>
                <w:lang w:val="zh-CN"/>
              </w:rPr>
              <w:t>需要补充的</w:t>
            </w:r>
          </w:p>
          <w:p w14:paraId="4527A53E">
            <w:pPr>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olor w:val="auto"/>
                <w:sz w:val="24"/>
                <w:lang w:val="zh-CN"/>
              </w:rPr>
              <w:t>其他内容</w:t>
            </w:r>
          </w:p>
        </w:tc>
        <w:tc>
          <w:tcPr>
            <w:tcW w:w="6780" w:type="dxa"/>
            <w:vAlign w:val="center"/>
          </w:tcPr>
          <w:p w14:paraId="1CFB2061">
            <w:pPr>
              <w:autoSpaceDE w:val="0"/>
              <w:autoSpaceDN w:val="0"/>
              <w:adjustRightInd w:val="0"/>
              <w:snapToGrid w:val="0"/>
              <w:spacing w:line="400" w:lineRule="exact"/>
              <w:ind w:firstLine="0" w:firstLineChars="0"/>
              <w:rPr>
                <w:rFonts w:ascii="仿宋" w:hAnsi="仿宋" w:eastAsia="仿宋" w:cs="华文仿宋"/>
                <w:bCs/>
                <w:color w:val="auto"/>
                <w:sz w:val="24"/>
              </w:rPr>
            </w:pPr>
            <w:r>
              <w:rPr>
                <w:rFonts w:hint="eastAsia" w:ascii="仿宋" w:hAnsi="仿宋" w:eastAsia="仿宋" w:cs="华文仿宋"/>
                <w:bCs/>
                <w:color w:val="auto"/>
                <w:sz w:val="24"/>
              </w:rPr>
              <w:t>特别提醒：若采购人在招标过程中发现投标人有弄虚造假行为的，如资料文件复印件和原件不符合的，资料文件造假的，篡改检测报告数据等，采购人将依法取消投标人的投标或中标资格，按法规没收其投标保证金（若有没收的投标保证金，将用于补偿院方聘请专业技术人员对真实数据进行审核的费用，剩余余额补充至本项目其他开支中）。</w:t>
            </w:r>
          </w:p>
          <w:p w14:paraId="6915EF72">
            <w:pPr>
              <w:autoSpaceDE w:val="0"/>
              <w:autoSpaceDN w:val="0"/>
              <w:adjustRightInd w:val="0"/>
              <w:snapToGrid w:val="0"/>
              <w:spacing w:line="400" w:lineRule="exact"/>
              <w:ind w:firstLine="0" w:firstLineChars="0"/>
              <w:rPr>
                <w:rFonts w:ascii="仿宋" w:hAnsi="仿宋" w:eastAsia="仿宋" w:cs="宋体"/>
                <w:color w:val="auto"/>
                <w:sz w:val="24"/>
              </w:rPr>
            </w:pPr>
            <w:r>
              <w:rPr>
                <w:rFonts w:hint="eastAsia" w:ascii="仿宋" w:hAnsi="仿宋" w:eastAsia="仿宋" w:cs="华文仿宋"/>
                <w:color w:val="auto"/>
                <w:sz w:val="24"/>
              </w:rPr>
              <w:t>注意：投标人应随时关注网页发布的关于投标项目的相关信息（答疑、澄清公告等）</w:t>
            </w:r>
          </w:p>
        </w:tc>
      </w:tr>
      <w:tr w14:paraId="5312F2B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57" w:type="dxa"/>
            <w:bottom w:w="57" w:type="dxa"/>
            <w:right w:w="57" w:type="dxa"/>
          </w:tblCellMar>
        </w:tblPrEx>
        <w:trPr>
          <w:trHeight w:val="20" w:hRule="atLeast"/>
          <w:jc w:val="center"/>
        </w:trPr>
        <w:tc>
          <w:tcPr>
            <w:tcW w:w="872" w:type="dxa"/>
            <w:vMerge w:val="continue"/>
            <w:vAlign w:val="center"/>
          </w:tcPr>
          <w:p w14:paraId="6C3E5C39">
            <w:pPr>
              <w:autoSpaceDE w:val="0"/>
              <w:autoSpaceDN w:val="0"/>
              <w:adjustRightInd w:val="0"/>
              <w:snapToGrid w:val="0"/>
              <w:spacing w:line="400" w:lineRule="exact"/>
              <w:ind w:firstLine="0" w:firstLineChars="0"/>
              <w:jc w:val="center"/>
              <w:rPr>
                <w:rFonts w:ascii="仿宋" w:hAnsi="仿宋" w:eastAsia="仿宋" w:cs="宋体"/>
                <w:color w:val="auto"/>
                <w:sz w:val="24"/>
              </w:rPr>
            </w:pPr>
          </w:p>
        </w:tc>
        <w:tc>
          <w:tcPr>
            <w:tcW w:w="1843" w:type="dxa"/>
            <w:vAlign w:val="center"/>
          </w:tcPr>
          <w:p w14:paraId="2F64D5DE">
            <w:pPr>
              <w:autoSpaceDE w:val="0"/>
              <w:autoSpaceDN w:val="0"/>
              <w:adjustRightInd w:val="0"/>
              <w:snapToGrid w:val="0"/>
              <w:spacing w:line="400" w:lineRule="exact"/>
              <w:ind w:firstLine="0" w:firstLineChars="0"/>
              <w:jc w:val="center"/>
              <w:rPr>
                <w:rFonts w:ascii="仿宋" w:hAnsi="仿宋" w:eastAsia="仿宋" w:cs="华文仿宋"/>
                <w:color w:val="auto"/>
                <w:sz w:val="24"/>
              </w:rPr>
            </w:pPr>
            <w:r>
              <w:rPr>
                <w:rFonts w:hint="eastAsia" w:ascii="仿宋" w:hAnsi="仿宋" w:eastAsia="仿宋" w:cs="华文仿宋"/>
                <w:color w:val="auto"/>
                <w:sz w:val="24"/>
              </w:rPr>
              <w:t>接收质疑函的方式、联系部门、联系电话、通讯地址</w:t>
            </w:r>
          </w:p>
        </w:tc>
        <w:tc>
          <w:tcPr>
            <w:tcW w:w="6780" w:type="dxa"/>
            <w:vAlign w:val="center"/>
          </w:tcPr>
          <w:p w14:paraId="4A6D7380">
            <w:pPr>
              <w:autoSpaceDE w:val="0"/>
              <w:autoSpaceDN w:val="0"/>
              <w:adjustRightInd w:val="0"/>
              <w:snapToGrid w:val="0"/>
              <w:spacing w:line="400" w:lineRule="exact"/>
              <w:ind w:firstLine="0" w:firstLineChars="0"/>
              <w:rPr>
                <w:rFonts w:ascii="仿宋" w:hAnsi="仿宋" w:eastAsia="仿宋" w:cs="华文仿宋"/>
                <w:color w:val="auto"/>
                <w:sz w:val="24"/>
              </w:rPr>
            </w:pPr>
            <w:r>
              <w:rPr>
                <w:rFonts w:hint="eastAsia" w:ascii="仿宋" w:hAnsi="仿宋" w:eastAsia="仿宋" w:cs="华文仿宋"/>
                <w:color w:val="auto"/>
                <w:sz w:val="24"/>
              </w:rPr>
              <w:t>接收质疑函的方式：加盖公章的纸质文件（如时间较紧张，可以先将质疑函Word版文件及加盖公章的PDF版文件发至第一章采购代理机构联系人邮箱，并将其纸质文件随后送达，采购代理机构接收质疑文件时间以纸质文件或PDF版文件先送达时间为准），请将其word版文件发至本文件第一章中采购代理机构联系人邮箱以便于回复。</w:t>
            </w:r>
          </w:p>
          <w:p w14:paraId="63F4C4C6">
            <w:pPr>
              <w:autoSpaceDE w:val="0"/>
              <w:autoSpaceDN w:val="0"/>
              <w:adjustRightInd w:val="0"/>
              <w:snapToGrid w:val="0"/>
              <w:spacing w:line="400" w:lineRule="exact"/>
              <w:ind w:firstLine="0" w:firstLineChars="0"/>
              <w:rPr>
                <w:rFonts w:ascii="仿宋" w:hAnsi="仿宋" w:eastAsia="仿宋" w:cs="华文仿宋"/>
                <w:color w:val="auto"/>
                <w:sz w:val="24"/>
              </w:rPr>
            </w:pPr>
            <w:r>
              <w:rPr>
                <w:rFonts w:hint="eastAsia" w:ascii="仿宋" w:hAnsi="仿宋" w:eastAsia="仿宋" w:cs="华文仿宋"/>
                <w:color w:val="auto"/>
                <w:sz w:val="24"/>
              </w:rPr>
              <w:t>联系部门及联系人：联系部门及联系人：湖北省成套招标股份有限公司 政府采购部徐沫</w:t>
            </w:r>
          </w:p>
          <w:p w14:paraId="402DC083">
            <w:pPr>
              <w:autoSpaceDE w:val="0"/>
              <w:autoSpaceDN w:val="0"/>
              <w:adjustRightInd w:val="0"/>
              <w:snapToGrid w:val="0"/>
              <w:spacing w:line="400" w:lineRule="exact"/>
              <w:ind w:firstLine="0" w:firstLineChars="0"/>
              <w:rPr>
                <w:rFonts w:ascii="仿宋" w:hAnsi="仿宋" w:eastAsia="仿宋" w:cs="华文仿宋"/>
                <w:color w:val="auto"/>
                <w:sz w:val="24"/>
              </w:rPr>
            </w:pPr>
            <w:r>
              <w:rPr>
                <w:rFonts w:hint="eastAsia" w:ascii="仿宋" w:hAnsi="仿宋" w:eastAsia="仿宋" w:cs="华文仿宋"/>
                <w:color w:val="auto"/>
                <w:sz w:val="24"/>
              </w:rPr>
              <w:t>联系电话：027-87711081</w:t>
            </w:r>
          </w:p>
          <w:p w14:paraId="363F409A">
            <w:pPr>
              <w:autoSpaceDE w:val="0"/>
              <w:autoSpaceDN w:val="0"/>
              <w:adjustRightInd w:val="0"/>
              <w:snapToGrid w:val="0"/>
              <w:spacing w:line="400" w:lineRule="exact"/>
              <w:ind w:firstLine="0" w:firstLineChars="0"/>
              <w:rPr>
                <w:rFonts w:ascii="仿宋" w:hAnsi="仿宋" w:eastAsia="仿宋" w:cs="华文仿宋"/>
                <w:color w:val="auto"/>
                <w:sz w:val="24"/>
              </w:rPr>
            </w:pPr>
            <w:r>
              <w:rPr>
                <w:rFonts w:hint="eastAsia" w:ascii="仿宋" w:hAnsi="仿宋" w:eastAsia="仿宋" w:cs="华文仿宋"/>
                <w:color w:val="auto"/>
                <w:sz w:val="24"/>
              </w:rPr>
              <w:t>通讯地址：湖北省武汉市武昌区东湖西路特2号平安财富中心B座</w:t>
            </w:r>
            <w:r>
              <w:rPr>
                <w:rFonts w:ascii="仿宋" w:hAnsi="仿宋" w:eastAsia="仿宋" w:cs="华文仿宋"/>
                <w:color w:val="auto"/>
                <w:sz w:val="24"/>
              </w:rPr>
              <w:t>8</w:t>
            </w:r>
            <w:r>
              <w:rPr>
                <w:rFonts w:hint="eastAsia" w:ascii="仿宋" w:hAnsi="仿宋" w:eastAsia="仿宋" w:cs="华文仿宋"/>
                <w:color w:val="auto"/>
                <w:sz w:val="24"/>
              </w:rPr>
              <w:t>楼</w:t>
            </w:r>
          </w:p>
          <w:p w14:paraId="339E13B6">
            <w:pPr>
              <w:autoSpaceDE w:val="0"/>
              <w:autoSpaceDN w:val="0"/>
              <w:adjustRightInd w:val="0"/>
              <w:snapToGrid w:val="0"/>
              <w:spacing w:line="400" w:lineRule="exact"/>
              <w:ind w:firstLine="0" w:firstLineChars="0"/>
              <w:rPr>
                <w:rFonts w:ascii="仿宋" w:hAnsi="仿宋" w:eastAsia="仿宋" w:cs="华文仿宋"/>
                <w:color w:val="auto"/>
                <w:sz w:val="24"/>
              </w:rPr>
            </w:pPr>
            <w:r>
              <w:rPr>
                <w:rFonts w:hint="eastAsia" w:ascii="仿宋" w:hAnsi="仿宋" w:eastAsia="仿宋" w:cs="华文仿宋"/>
                <w:color w:val="auto"/>
                <w:sz w:val="24"/>
              </w:rPr>
              <w:t>投标人在法定质疑期内应一次性提出针对同一采购程序环节的质疑。</w:t>
            </w:r>
          </w:p>
          <w:p w14:paraId="5266F6B2">
            <w:pPr>
              <w:autoSpaceDE w:val="0"/>
              <w:autoSpaceDN w:val="0"/>
              <w:adjustRightInd w:val="0"/>
              <w:snapToGrid w:val="0"/>
              <w:spacing w:line="400" w:lineRule="exact"/>
              <w:ind w:firstLine="0" w:firstLineChars="0"/>
              <w:rPr>
                <w:rFonts w:ascii="仿宋" w:hAnsi="仿宋" w:eastAsia="仿宋" w:cs="华文仿宋"/>
                <w:color w:val="auto"/>
                <w:sz w:val="24"/>
              </w:rPr>
            </w:pPr>
            <w:r>
              <w:rPr>
                <w:rFonts w:hint="eastAsia" w:ascii="仿宋" w:hAnsi="仿宋" w:eastAsia="仿宋" w:cs="华文仿宋"/>
                <w:color w:val="auto"/>
                <w:sz w:val="24"/>
              </w:rPr>
              <w:t>具体质疑相关规定详见财政部《政府采购质疑和投诉办法》（财政部令第94号）。</w:t>
            </w:r>
          </w:p>
        </w:tc>
      </w:tr>
    </w:tbl>
    <w:p w14:paraId="18F721F7">
      <w:pPr>
        <w:autoSpaceDE w:val="0"/>
        <w:autoSpaceDN w:val="0"/>
        <w:adjustRightInd w:val="0"/>
        <w:ind w:firstLine="0" w:firstLineChars="0"/>
        <w:jc w:val="center"/>
        <w:rPr>
          <w:rFonts w:ascii="仿宋" w:hAnsi="仿宋" w:eastAsia="仿宋"/>
          <w:color w:val="auto"/>
          <w:szCs w:val="21"/>
        </w:rPr>
      </w:pPr>
      <w:bookmarkStart w:id="16" w:name="_Toc41058453"/>
      <w:bookmarkStart w:id="17" w:name="_Toc495388835"/>
      <w:bookmarkStart w:id="18" w:name="_Toc494528928"/>
    </w:p>
    <w:p w14:paraId="5BDECA62">
      <w:pPr>
        <w:autoSpaceDE w:val="0"/>
        <w:autoSpaceDN w:val="0"/>
        <w:spacing w:before="120" w:beforeLines="50" w:after="120" w:afterLines="50" w:line="240" w:lineRule="auto"/>
        <w:ind w:firstLine="0" w:firstLineChars="0"/>
        <w:jc w:val="center"/>
        <w:outlineLvl w:val="1"/>
        <w:rPr>
          <w:rFonts w:ascii="仿宋" w:hAnsi="仿宋" w:eastAsia="仿宋"/>
          <w:bCs/>
          <w:color w:val="auto"/>
          <w:sz w:val="28"/>
          <w:szCs w:val="28"/>
        </w:rPr>
      </w:pPr>
      <w:r>
        <w:rPr>
          <w:rFonts w:hint="eastAsia" w:ascii="仿宋" w:hAnsi="仿宋" w:eastAsia="仿宋" w:cs="宋体"/>
          <w:color w:val="auto"/>
          <w:szCs w:val="21"/>
        </w:rPr>
        <w:br w:type="page"/>
      </w:r>
      <w:bookmarkStart w:id="19" w:name="_Toc181712878"/>
      <w:r>
        <w:rPr>
          <w:rFonts w:hint="eastAsia" w:ascii="仿宋" w:hAnsi="仿宋" w:eastAsia="仿宋" w:cs="宋体"/>
          <w:bCs/>
          <w:color w:val="auto"/>
          <w:sz w:val="28"/>
          <w:szCs w:val="28"/>
        </w:rPr>
        <w:t>二、</w:t>
      </w:r>
      <w:r>
        <w:rPr>
          <w:rFonts w:hint="eastAsia" w:ascii="仿宋" w:hAnsi="仿宋" w:eastAsia="仿宋"/>
          <w:bCs/>
          <w:color w:val="auto"/>
          <w:sz w:val="28"/>
          <w:szCs w:val="28"/>
        </w:rPr>
        <w:t>投标人须知</w:t>
      </w:r>
      <w:bookmarkEnd w:id="16"/>
      <w:bookmarkEnd w:id="17"/>
      <w:bookmarkEnd w:id="19"/>
    </w:p>
    <w:p w14:paraId="0D0700A6">
      <w:pPr>
        <w:ind w:firstLine="480"/>
        <w:outlineLvl w:val="2"/>
        <w:rPr>
          <w:rFonts w:ascii="仿宋" w:hAnsi="仿宋" w:eastAsia="仿宋"/>
          <w:color w:val="auto"/>
          <w:sz w:val="24"/>
        </w:rPr>
      </w:pPr>
      <w:bookmarkStart w:id="20" w:name="_Toc181712879"/>
      <w:bookmarkStart w:id="21" w:name="_Toc133588523"/>
      <w:r>
        <w:rPr>
          <w:rFonts w:hint="eastAsia" w:ascii="仿宋" w:hAnsi="仿宋" w:eastAsia="仿宋"/>
          <w:color w:val="auto"/>
          <w:sz w:val="24"/>
        </w:rPr>
        <w:t>（一）总则</w:t>
      </w:r>
      <w:bookmarkEnd w:id="20"/>
      <w:bookmarkEnd w:id="21"/>
    </w:p>
    <w:p w14:paraId="60B09B1F">
      <w:pPr>
        <w:ind w:firstLine="480"/>
        <w:rPr>
          <w:rFonts w:ascii="仿宋" w:hAnsi="仿宋" w:eastAsia="仿宋"/>
          <w:color w:val="auto"/>
          <w:sz w:val="24"/>
        </w:rPr>
      </w:pPr>
      <w:r>
        <w:rPr>
          <w:rFonts w:hint="eastAsia" w:ascii="仿宋" w:hAnsi="仿宋" w:eastAsia="仿宋"/>
          <w:color w:val="auto"/>
          <w:sz w:val="24"/>
        </w:rPr>
        <w:t>1.适用范围</w:t>
      </w:r>
    </w:p>
    <w:p w14:paraId="723BE4A7">
      <w:pPr>
        <w:ind w:firstLine="480"/>
        <w:rPr>
          <w:rFonts w:ascii="仿宋" w:hAnsi="仿宋" w:eastAsia="仿宋"/>
          <w:color w:val="auto"/>
          <w:sz w:val="24"/>
        </w:rPr>
      </w:pPr>
      <w:r>
        <w:rPr>
          <w:rFonts w:hint="eastAsia" w:ascii="仿宋" w:hAnsi="仿宋" w:eastAsia="仿宋"/>
          <w:color w:val="auto"/>
          <w:sz w:val="24"/>
        </w:rPr>
        <w:t>1.1本招标文件适用于本次公开招标中所述项目的采购。</w:t>
      </w:r>
    </w:p>
    <w:p w14:paraId="7EBFC630">
      <w:pPr>
        <w:ind w:firstLine="480"/>
        <w:rPr>
          <w:rFonts w:ascii="仿宋" w:hAnsi="仿宋" w:eastAsia="仿宋"/>
          <w:color w:val="auto"/>
          <w:sz w:val="24"/>
        </w:rPr>
      </w:pPr>
      <w:r>
        <w:rPr>
          <w:rFonts w:hint="eastAsia" w:ascii="仿宋" w:hAnsi="仿宋" w:eastAsia="仿宋"/>
          <w:color w:val="auto"/>
          <w:sz w:val="24"/>
        </w:rPr>
        <w:t>2.定义</w:t>
      </w:r>
    </w:p>
    <w:p w14:paraId="1E231274">
      <w:pPr>
        <w:ind w:firstLine="480"/>
        <w:rPr>
          <w:rFonts w:ascii="仿宋" w:hAnsi="仿宋" w:eastAsia="仿宋"/>
          <w:color w:val="auto"/>
          <w:sz w:val="24"/>
        </w:rPr>
      </w:pPr>
      <w:r>
        <w:rPr>
          <w:rFonts w:hint="eastAsia" w:ascii="仿宋" w:hAnsi="仿宋" w:eastAsia="仿宋"/>
          <w:color w:val="auto"/>
          <w:sz w:val="24"/>
        </w:rPr>
        <w:t>2.1“采购人”:本次招标的采购人见</w:t>
      </w:r>
      <w:bookmarkStart w:id="22" w:name="_Hlk133429895"/>
      <w:r>
        <w:rPr>
          <w:rFonts w:hint="eastAsia" w:ascii="仿宋" w:hAnsi="仿宋" w:eastAsia="仿宋"/>
          <w:color w:val="auto"/>
          <w:sz w:val="24"/>
        </w:rPr>
        <w:t>《投标人须知前附表》</w:t>
      </w:r>
      <w:bookmarkEnd w:id="22"/>
      <w:r>
        <w:rPr>
          <w:rFonts w:hint="eastAsia" w:ascii="仿宋" w:hAnsi="仿宋" w:eastAsia="仿宋"/>
          <w:color w:val="auto"/>
          <w:sz w:val="24"/>
        </w:rPr>
        <w:t>。</w:t>
      </w:r>
    </w:p>
    <w:p w14:paraId="4287BF16">
      <w:pPr>
        <w:ind w:firstLine="480"/>
        <w:rPr>
          <w:rFonts w:ascii="仿宋" w:hAnsi="仿宋" w:eastAsia="仿宋"/>
          <w:color w:val="auto"/>
          <w:sz w:val="24"/>
        </w:rPr>
      </w:pPr>
      <w:r>
        <w:rPr>
          <w:rFonts w:hint="eastAsia" w:ascii="仿宋" w:hAnsi="仿宋" w:eastAsia="仿宋"/>
          <w:color w:val="auto"/>
          <w:sz w:val="24"/>
        </w:rPr>
        <w:t>2.2“监管部门”:本次招标的监管部门见《投标人须知前附表》。</w:t>
      </w:r>
    </w:p>
    <w:p w14:paraId="6CBA8BC0">
      <w:pPr>
        <w:ind w:firstLine="480"/>
        <w:rPr>
          <w:rFonts w:ascii="仿宋" w:hAnsi="仿宋" w:eastAsia="仿宋"/>
          <w:color w:val="auto"/>
          <w:sz w:val="24"/>
        </w:rPr>
      </w:pPr>
      <w:r>
        <w:rPr>
          <w:rFonts w:hint="eastAsia" w:ascii="仿宋" w:hAnsi="仿宋" w:eastAsia="仿宋"/>
          <w:color w:val="auto"/>
          <w:sz w:val="24"/>
        </w:rPr>
        <w:t>2.3“采购代理机构”:本次招标的采购代理机构见《投标人须知前附表》。</w:t>
      </w:r>
    </w:p>
    <w:p w14:paraId="4B904002">
      <w:pPr>
        <w:ind w:firstLine="480"/>
        <w:rPr>
          <w:rFonts w:ascii="仿宋" w:hAnsi="仿宋" w:eastAsia="仿宋"/>
          <w:color w:val="auto"/>
          <w:sz w:val="24"/>
        </w:rPr>
      </w:pPr>
      <w:r>
        <w:rPr>
          <w:rFonts w:hint="eastAsia" w:ascii="仿宋" w:hAnsi="仿宋" w:eastAsia="仿宋"/>
          <w:color w:val="auto"/>
          <w:sz w:val="24"/>
        </w:rPr>
        <w:t>2.4“投标人”是指响应招标、参加投标竞争的法人、其他组织或者自然人。</w:t>
      </w:r>
    </w:p>
    <w:p w14:paraId="77F45EEB">
      <w:pPr>
        <w:ind w:firstLine="480"/>
        <w:rPr>
          <w:rFonts w:ascii="仿宋" w:hAnsi="仿宋" w:eastAsia="仿宋"/>
          <w:color w:val="auto"/>
          <w:sz w:val="24"/>
        </w:rPr>
      </w:pPr>
      <w:r>
        <w:rPr>
          <w:rFonts w:hint="eastAsia" w:ascii="仿宋" w:hAnsi="仿宋" w:eastAsia="仿宋"/>
          <w:color w:val="auto"/>
          <w:sz w:val="24"/>
        </w:rPr>
        <w:t>（1）单位负责人为同一人或者存在直接控股、管理关系的不同投标人，不得参加同一合同项下的投标。</w:t>
      </w:r>
    </w:p>
    <w:p w14:paraId="74EA6789">
      <w:pPr>
        <w:ind w:firstLine="480"/>
        <w:rPr>
          <w:rFonts w:ascii="仿宋" w:hAnsi="仿宋" w:eastAsia="仿宋"/>
          <w:color w:val="auto"/>
          <w:sz w:val="24"/>
        </w:rPr>
      </w:pPr>
      <w:r>
        <w:rPr>
          <w:rFonts w:hint="eastAsia" w:ascii="仿宋" w:hAnsi="仿宋" w:eastAsia="仿宋"/>
          <w:color w:val="auto"/>
          <w:sz w:val="24"/>
        </w:rPr>
        <w:t>（2）为本项目提供整体设计、规范编制或者项目管理、监理、检测等服务的投标人，不得再参加本项目的投标。</w:t>
      </w:r>
    </w:p>
    <w:p w14:paraId="5F92F0DF">
      <w:pPr>
        <w:ind w:firstLine="480"/>
        <w:rPr>
          <w:rFonts w:ascii="仿宋" w:hAnsi="仿宋" w:eastAsia="仿宋"/>
          <w:color w:val="auto"/>
          <w:sz w:val="24"/>
        </w:rPr>
      </w:pPr>
      <w:r>
        <w:rPr>
          <w:rFonts w:hint="eastAsia" w:ascii="仿宋" w:hAnsi="仿宋" w:eastAsia="仿宋"/>
          <w:color w:val="auto"/>
          <w:sz w:val="24"/>
        </w:rPr>
        <w:t>（3）如国家法律法规对市场准入有要求的还应符合相关规定。</w:t>
      </w:r>
    </w:p>
    <w:p w14:paraId="232F8FD4">
      <w:pPr>
        <w:ind w:firstLine="480"/>
        <w:rPr>
          <w:rFonts w:ascii="仿宋" w:hAnsi="仿宋" w:eastAsia="仿宋"/>
          <w:color w:val="auto"/>
          <w:sz w:val="24"/>
        </w:rPr>
      </w:pPr>
      <w:r>
        <w:rPr>
          <w:rFonts w:hint="eastAsia" w:ascii="仿宋" w:hAnsi="仿宋" w:eastAsia="仿宋"/>
          <w:color w:val="auto"/>
          <w:sz w:val="24"/>
        </w:rPr>
        <w:t>2.5“中标人”是指经评标委员会评审推荐，采购人授予合同的投标人。</w:t>
      </w:r>
    </w:p>
    <w:p w14:paraId="72AD724F">
      <w:pPr>
        <w:ind w:firstLine="480"/>
        <w:rPr>
          <w:rFonts w:ascii="仿宋" w:hAnsi="仿宋" w:eastAsia="仿宋"/>
          <w:color w:val="auto"/>
          <w:sz w:val="24"/>
        </w:rPr>
      </w:pPr>
      <w:r>
        <w:rPr>
          <w:rFonts w:hint="eastAsia" w:ascii="仿宋" w:hAnsi="仿宋" w:eastAsia="仿宋"/>
          <w:color w:val="auto"/>
          <w:sz w:val="24"/>
        </w:rPr>
        <w:t>3.货物、工程及服务</w:t>
      </w:r>
    </w:p>
    <w:p w14:paraId="030726AE">
      <w:pPr>
        <w:ind w:firstLine="480"/>
        <w:rPr>
          <w:rFonts w:ascii="仿宋" w:hAnsi="仿宋" w:eastAsia="仿宋"/>
          <w:color w:val="auto"/>
          <w:sz w:val="24"/>
        </w:rPr>
      </w:pPr>
      <w:r>
        <w:rPr>
          <w:rFonts w:hint="eastAsia" w:ascii="仿宋" w:hAnsi="仿宋" w:eastAsia="仿宋"/>
          <w:color w:val="auto"/>
          <w:sz w:val="24"/>
        </w:rPr>
        <w:t>3.1“货物”是指各种形态和种类的物品，包括原材料、燃料、设备、产品等。</w:t>
      </w:r>
    </w:p>
    <w:p w14:paraId="44639CEE">
      <w:pPr>
        <w:ind w:firstLine="480"/>
        <w:rPr>
          <w:rFonts w:ascii="仿宋" w:hAnsi="仿宋" w:eastAsia="仿宋"/>
          <w:color w:val="auto"/>
          <w:sz w:val="24"/>
        </w:rPr>
      </w:pPr>
      <w:r>
        <w:rPr>
          <w:rFonts w:hint="eastAsia" w:ascii="仿宋" w:hAnsi="仿宋" w:eastAsia="仿宋"/>
          <w:color w:val="auto"/>
          <w:sz w:val="24"/>
        </w:rPr>
        <w:t>3.2“工程”指建设工程，包括建筑物和构筑物的新建、改建、扩建、装修、拆除、修缮等。</w:t>
      </w:r>
    </w:p>
    <w:p w14:paraId="3C882763">
      <w:pPr>
        <w:ind w:firstLine="480"/>
        <w:rPr>
          <w:rFonts w:ascii="仿宋" w:hAnsi="仿宋" w:eastAsia="仿宋"/>
          <w:color w:val="auto"/>
          <w:sz w:val="24"/>
        </w:rPr>
      </w:pPr>
      <w:r>
        <w:rPr>
          <w:rFonts w:hint="eastAsia" w:ascii="仿宋" w:hAnsi="仿宋" w:eastAsia="仿宋"/>
          <w:color w:val="auto"/>
          <w:sz w:val="24"/>
        </w:rPr>
        <w:t>3.3“服务”是指是指除货物（指各种形态和种类的物品，包括原材料、燃料、设备、产品等）和工程（指建设工程，包括建筑物和构筑物的新建、改建、扩建、装修、拆除、修缮等）以外的其他政府采购对象。</w:t>
      </w:r>
    </w:p>
    <w:p w14:paraId="4E5BD209">
      <w:pPr>
        <w:ind w:firstLine="480"/>
        <w:rPr>
          <w:rFonts w:ascii="仿宋" w:hAnsi="仿宋" w:eastAsia="仿宋"/>
          <w:color w:val="auto"/>
          <w:sz w:val="24"/>
        </w:rPr>
      </w:pPr>
      <w:r>
        <w:rPr>
          <w:rFonts w:hint="eastAsia" w:ascii="仿宋" w:hAnsi="仿宋" w:eastAsia="仿宋"/>
          <w:color w:val="auto"/>
          <w:sz w:val="24"/>
        </w:rPr>
        <w:t>4.费用</w:t>
      </w:r>
    </w:p>
    <w:p w14:paraId="339591A4">
      <w:pPr>
        <w:ind w:firstLine="480"/>
        <w:rPr>
          <w:rFonts w:ascii="仿宋" w:hAnsi="仿宋" w:eastAsia="仿宋"/>
          <w:color w:val="auto"/>
          <w:sz w:val="24"/>
        </w:rPr>
      </w:pPr>
      <w:r>
        <w:rPr>
          <w:rFonts w:hint="eastAsia" w:ascii="仿宋" w:hAnsi="仿宋" w:eastAsia="仿宋"/>
          <w:color w:val="auto"/>
          <w:sz w:val="24"/>
        </w:rPr>
        <w:t>4.1投标人应承担所有与准备和参加投标有关的费用。不论投标的结果如何，采购人和政府采购代理机构均无义务和责任承担该费用。</w:t>
      </w:r>
    </w:p>
    <w:p w14:paraId="0C010969">
      <w:pPr>
        <w:ind w:firstLine="480"/>
        <w:rPr>
          <w:rFonts w:ascii="仿宋" w:hAnsi="仿宋" w:eastAsia="仿宋"/>
          <w:color w:val="auto"/>
          <w:sz w:val="24"/>
        </w:rPr>
      </w:pPr>
      <w:r>
        <w:rPr>
          <w:rFonts w:hint="eastAsia" w:ascii="仿宋" w:hAnsi="仿宋" w:eastAsia="仿宋"/>
          <w:color w:val="auto"/>
          <w:sz w:val="24"/>
        </w:rPr>
        <w:t>4.2招标代理服务费：中标人须在收到中标通知书时向招标机构支付中标服务费。服务费相关规定见《投标人须知前附表》。</w:t>
      </w:r>
    </w:p>
    <w:p w14:paraId="1ED2C9E7">
      <w:pPr>
        <w:ind w:firstLine="480"/>
        <w:outlineLvl w:val="2"/>
        <w:rPr>
          <w:rFonts w:ascii="仿宋" w:hAnsi="仿宋" w:eastAsia="仿宋"/>
          <w:color w:val="auto"/>
          <w:sz w:val="24"/>
        </w:rPr>
      </w:pPr>
      <w:bookmarkStart w:id="23" w:name="_Toc133588524"/>
      <w:bookmarkStart w:id="24" w:name="_Toc181712880"/>
      <w:r>
        <w:rPr>
          <w:rFonts w:hint="eastAsia" w:ascii="仿宋" w:hAnsi="仿宋" w:eastAsia="仿宋"/>
          <w:color w:val="auto"/>
          <w:sz w:val="24"/>
        </w:rPr>
        <w:t>（二）招标文件</w:t>
      </w:r>
      <w:bookmarkEnd w:id="23"/>
      <w:bookmarkEnd w:id="24"/>
    </w:p>
    <w:p w14:paraId="179864B5">
      <w:pPr>
        <w:ind w:firstLine="480"/>
        <w:rPr>
          <w:rFonts w:ascii="仿宋" w:hAnsi="仿宋" w:eastAsia="仿宋"/>
          <w:color w:val="auto"/>
          <w:sz w:val="24"/>
        </w:rPr>
      </w:pPr>
      <w:r>
        <w:rPr>
          <w:rFonts w:hint="eastAsia" w:ascii="仿宋" w:hAnsi="仿宋" w:eastAsia="仿宋"/>
          <w:color w:val="auto"/>
          <w:sz w:val="24"/>
        </w:rPr>
        <w:t>5.招标文件的构成</w:t>
      </w:r>
    </w:p>
    <w:p w14:paraId="4C5C39A9">
      <w:pPr>
        <w:ind w:firstLine="480"/>
        <w:rPr>
          <w:rFonts w:ascii="仿宋" w:hAnsi="仿宋" w:eastAsia="仿宋"/>
          <w:color w:val="auto"/>
          <w:sz w:val="24"/>
        </w:rPr>
      </w:pPr>
      <w:r>
        <w:rPr>
          <w:rFonts w:hint="eastAsia" w:ascii="仿宋" w:hAnsi="仿宋" w:eastAsia="仿宋"/>
          <w:color w:val="auto"/>
          <w:sz w:val="24"/>
        </w:rPr>
        <w:t>5.1本招标文件包括：</w:t>
      </w:r>
    </w:p>
    <w:p w14:paraId="091CF44C">
      <w:pPr>
        <w:ind w:firstLine="480"/>
        <w:rPr>
          <w:rFonts w:ascii="仿宋" w:hAnsi="仿宋" w:eastAsia="仿宋"/>
          <w:color w:val="auto"/>
          <w:sz w:val="24"/>
        </w:rPr>
      </w:pPr>
      <w:r>
        <w:rPr>
          <w:rFonts w:hint="eastAsia" w:ascii="仿宋" w:hAnsi="仿宋" w:eastAsia="仿宋"/>
          <w:color w:val="auto"/>
          <w:sz w:val="24"/>
        </w:rPr>
        <w:t>（1）招标公告（代投标邀请函）</w:t>
      </w:r>
    </w:p>
    <w:p w14:paraId="36D4AA4D">
      <w:pPr>
        <w:ind w:firstLine="480"/>
        <w:rPr>
          <w:rFonts w:ascii="仿宋" w:hAnsi="仿宋" w:eastAsia="仿宋"/>
          <w:color w:val="auto"/>
          <w:sz w:val="24"/>
        </w:rPr>
      </w:pPr>
      <w:r>
        <w:rPr>
          <w:rFonts w:hint="eastAsia" w:ascii="仿宋" w:hAnsi="仿宋" w:eastAsia="仿宋"/>
          <w:color w:val="auto"/>
          <w:sz w:val="24"/>
        </w:rPr>
        <w:t>（2）投标人须知</w:t>
      </w:r>
    </w:p>
    <w:p w14:paraId="179629A3">
      <w:pPr>
        <w:ind w:firstLine="480"/>
        <w:rPr>
          <w:rFonts w:ascii="仿宋" w:hAnsi="仿宋" w:eastAsia="仿宋"/>
          <w:color w:val="auto"/>
          <w:sz w:val="24"/>
        </w:rPr>
      </w:pPr>
      <w:r>
        <w:rPr>
          <w:rFonts w:hint="eastAsia" w:ascii="仿宋" w:hAnsi="仿宋" w:eastAsia="仿宋"/>
          <w:color w:val="auto"/>
          <w:sz w:val="24"/>
        </w:rPr>
        <w:t>（3）采购需求</w:t>
      </w:r>
    </w:p>
    <w:p w14:paraId="76C807A3">
      <w:pPr>
        <w:ind w:firstLine="480"/>
        <w:rPr>
          <w:rFonts w:ascii="仿宋" w:hAnsi="仿宋" w:eastAsia="仿宋"/>
          <w:color w:val="auto"/>
          <w:sz w:val="24"/>
        </w:rPr>
      </w:pPr>
      <w:r>
        <w:rPr>
          <w:rFonts w:hint="eastAsia" w:ascii="仿宋" w:hAnsi="仿宋" w:eastAsia="仿宋"/>
          <w:color w:val="auto"/>
          <w:sz w:val="24"/>
        </w:rPr>
        <w:t>（4）评标方法</w:t>
      </w:r>
    </w:p>
    <w:p w14:paraId="72D9E59B">
      <w:pPr>
        <w:ind w:firstLine="480"/>
        <w:rPr>
          <w:rFonts w:ascii="仿宋" w:hAnsi="仿宋" w:eastAsia="仿宋"/>
          <w:color w:val="auto"/>
          <w:sz w:val="24"/>
        </w:rPr>
      </w:pPr>
      <w:r>
        <w:rPr>
          <w:rFonts w:hint="eastAsia" w:ascii="仿宋" w:hAnsi="仿宋" w:eastAsia="仿宋"/>
          <w:color w:val="auto"/>
          <w:sz w:val="24"/>
        </w:rPr>
        <w:t>（5）合同书格式</w:t>
      </w:r>
    </w:p>
    <w:p w14:paraId="2C4A7301">
      <w:pPr>
        <w:ind w:firstLine="480"/>
        <w:rPr>
          <w:rFonts w:ascii="仿宋" w:hAnsi="仿宋" w:eastAsia="仿宋"/>
          <w:color w:val="auto"/>
          <w:sz w:val="24"/>
        </w:rPr>
      </w:pPr>
      <w:r>
        <w:rPr>
          <w:rFonts w:hint="eastAsia" w:ascii="仿宋" w:hAnsi="仿宋" w:eastAsia="仿宋"/>
          <w:color w:val="auto"/>
          <w:sz w:val="24"/>
        </w:rPr>
        <w:t>（6）投标文件格式</w:t>
      </w:r>
    </w:p>
    <w:p w14:paraId="3F2AC568">
      <w:pPr>
        <w:ind w:firstLine="480"/>
        <w:rPr>
          <w:rFonts w:ascii="仿宋" w:hAnsi="仿宋" w:eastAsia="仿宋"/>
          <w:color w:val="auto"/>
          <w:sz w:val="24"/>
        </w:rPr>
      </w:pPr>
      <w:r>
        <w:rPr>
          <w:rFonts w:hint="eastAsia" w:ascii="仿宋" w:hAnsi="仿宋" w:eastAsia="仿宋"/>
          <w:color w:val="auto"/>
          <w:sz w:val="24"/>
        </w:rPr>
        <w:t>（7）附件（图纸、清单、技术资料等）（如有）</w:t>
      </w:r>
    </w:p>
    <w:p w14:paraId="66E3EAAA">
      <w:pPr>
        <w:ind w:firstLine="480"/>
        <w:rPr>
          <w:rFonts w:ascii="仿宋" w:hAnsi="仿宋" w:eastAsia="仿宋"/>
          <w:color w:val="auto"/>
          <w:sz w:val="24"/>
        </w:rPr>
      </w:pPr>
      <w:r>
        <w:rPr>
          <w:rFonts w:hint="eastAsia" w:ascii="仿宋" w:hAnsi="仿宋" w:eastAsia="仿宋"/>
          <w:color w:val="auto"/>
          <w:sz w:val="24"/>
        </w:rPr>
        <w:t>6.现场踏勘及答疑会</w:t>
      </w:r>
    </w:p>
    <w:p w14:paraId="50AE6B53">
      <w:pPr>
        <w:ind w:firstLine="480"/>
        <w:rPr>
          <w:rFonts w:ascii="仿宋" w:hAnsi="仿宋" w:eastAsia="仿宋"/>
          <w:color w:val="auto"/>
          <w:sz w:val="24"/>
        </w:rPr>
      </w:pPr>
      <w:r>
        <w:rPr>
          <w:rFonts w:hint="eastAsia" w:ascii="仿宋" w:hAnsi="仿宋" w:eastAsia="仿宋"/>
          <w:color w:val="auto"/>
          <w:sz w:val="24"/>
        </w:rPr>
        <w:t>6.1相关规定见《投标人须知前附表》。</w:t>
      </w:r>
    </w:p>
    <w:p w14:paraId="4E583AC0">
      <w:pPr>
        <w:ind w:firstLine="480"/>
        <w:rPr>
          <w:rFonts w:ascii="仿宋" w:hAnsi="仿宋" w:eastAsia="仿宋"/>
          <w:color w:val="auto"/>
          <w:sz w:val="24"/>
        </w:rPr>
      </w:pPr>
      <w:r>
        <w:rPr>
          <w:rFonts w:hint="eastAsia" w:ascii="仿宋" w:hAnsi="仿宋" w:eastAsia="仿宋"/>
          <w:color w:val="auto"/>
          <w:sz w:val="24"/>
        </w:rPr>
        <w:t>7.招标文件的澄清</w:t>
      </w:r>
    </w:p>
    <w:p w14:paraId="29D2AB4C">
      <w:pPr>
        <w:ind w:firstLine="480"/>
        <w:rPr>
          <w:rFonts w:ascii="仿宋" w:hAnsi="仿宋" w:eastAsia="仿宋"/>
          <w:color w:val="auto"/>
          <w:sz w:val="24"/>
        </w:rPr>
      </w:pPr>
      <w:r>
        <w:rPr>
          <w:rFonts w:hint="eastAsia" w:ascii="仿宋" w:hAnsi="仿宋" w:eastAsia="仿宋"/>
          <w:color w:val="auto"/>
          <w:sz w:val="24"/>
        </w:rPr>
        <w:t>7.1投标人获取招标文件后，应认真检查，如发现页数不全、附件缺失、印刷模糊等，应通知采购代理机构补全或更换，否则风险自负。</w:t>
      </w:r>
    </w:p>
    <w:p w14:paraId="12024A65">
      <w:pPr>
        <w:ind w:firstLine="480"/>
        <w:rPr>
          <w:rFonts w:ascii="仿宋" w:hAnsi="仿宋" w:eastAsia="仿宋"/>
          <w:color w:val="auto"/>
          <w:sz w:val="24"/>
        </w:rPr>
      </w:pPr>
      <w:r>
        <w:rPr>
          <w:rFonts w:hint="eastAsia" w:ascii="仿宋" w:hAnsi="仿宋" w:eastAsia="仿宋"/>
          <w:color w:val="auto"/>
          <w:sz w:val="24"/>
        </w:rPr>
        <w:t>7.2投标人对招标文件如有疑问，应以书面形式（包括信函、电报、传真等可以有形地表现所载内容的形式，下同）在提疑截止时间以前向采购代理机构或采购人提出，提疑截止时间见《投标人须知前附表》。</w:t>
      </w:r>
    </w:p>
    <w:p w14:paraId="7CECB89D">
      <w:pPr>
        <w:ind w:firstLine="480"/>
        <w:rPr>
          <w:rFonts w:ascii="仿宋" w:hAnsi="仿宋" w:eastAsia="仿宋"/>
          <w:color w:val="auto"/>
          <w:sz w:val="24"/>
        </w:rPr>
      </w:pPr>
      <w:r>
        <w:rPr>
          <w:rFonts w:hint="eastAsia" w:ascii="仿宋" w:hAnsi="仿宋" w:eastAsia="仿宋"/>
          <w:color w:val="auto"/>
          <w:sz w:val="24"/>
        </w:rPr>
        <w:t>7.3投标人在规定的时间内未提出疑问的，采购代理机构将视其为同意。</w:t>
      </w:r>
    </w:p>
    <w:p w14:paraId="20735A85">
      <w:pPr>
        <w:ind w:firstLine="480"/>
        <w:rPr>
          <w:rFonts w:ascii="仿宋" w:hAnsi="仿宋" w:eastAsia="仿宋"/>
          <w:color w:val="auto"/>
          <w:sz w:val="24"/>
        </w:rPr>
      </w:pPr>
      <w:r>
        <w:rPr>
          <w:rFonts w:hint="eastAsia" w:ascii="仿宋" w:hAnsi="仿宋" w:eastAsia="仿宋"/>
          <w:color w:val="auto"/>
          <w:sz w:val="24"/>
        </w:rPr>
        <w:t>7.4采购人、采购代理机构对于符合澄清或者修改要求的，将公开予以答复(答复中不包括问题的来源)，也可以对已发出的招标文件进行必要的澄清或者修改。答复、澄清或者修改后的内容是招标文件的组成部分，并对其具有约束力。采购人或者采购代理机构将在指定的政府采购信息发布媒体上发布答复、澄清修改公告，投标人应及时关注政府采购信息发布媒体相关项目信息。</w:t>
      </w:r>
    </w:p>
    <w:p w14:paraId="046460FC">
      <w:pPr>
        <w:ind w:firstLine="480"/>
        <w:rPr>
          <w:rFonts w:ascii="仿宋" w:hAnsi="仿宋" w:eastAsia="仿宋"/>
          <w:color w:val="auto"/>
          <w:sz w:val="24"/>
        </w:rPr>
      </w:pPr>
      <w:r>
        <w:rPr>
          <w:rFonts w:hint="eastAsia" w:ascii="仿宋" w:hAnsi="仿宋" w:eastAsia="仿宋"/>
          <w:color w:val="auto"/>
          <w:sz w:val="24"/>
        </w:rPr>
        <w:t>7.5当招标文件、澄清文件对同一内容的表述不一致时，以最后发出的文件为准。</w:t>
      </w:r>
    </w:p>
    <w:p w14:paraId="19E94DA9">
      <w:pPr>
        <w:ind w:firstLine="480"/>
        <w:rPr>
          <w:rFonts w:ascii="仿宋" w:hAnsi="仿宋" w:eastAsia="仿宋"/>
          <w:color w:val="auto"/>
          <w:sz w:val="24"/>
        </w:rPr>
      </w:pPr>
      <w:r>
        <w:rPr>
          <w:rFonts w:hint="eastAsia" w:ascii="仿宋" w:hAnsi="仿宋" w:eastAsia="仿宋"/>
          <w:color w:val="auto"/>
          <w:sz w:val="24"/>
        </w:rPr>
        <w:t>7.6答复、澄清或修改的内容可能影响投标文件编制的，发出时间距原投标截止时间不足15日的，将进行延期。</w:t>
      </w:r>
    </w:p>
    <w:p w14:paraId="26550305">
      <w:pPr>
        <w:ind w:firstLine="480"/>
        <w:outlineLvl w:val="2"/>
        <w:rPr>
          <w:rFonts w:ascii="仿宋" w:hAnsi="仿宋" w:eastAsia="仿宋"/>
          <w:color w:val="auto"/>
          <w:sz w:val="24"/>
        </w:rPr>
      </w:pPr>
      <w:bookmarkStart w:id="25" w:name="_Toc181712881"/>
      <w:bookmarkStart w:id="26" w:name="_Toc133588525"/>
      <w:r>
        <w:rPr>
          <w:rFonts w:hint="eastAsia" w:ascii="仿宋" w:hAnsi="仿宋" w:eastAsia="仿宋"/>
          <w:color w:val="auto"/>
          <w:sz w:val="24"/>
        </w:rPr>
        <w:t>（三）投标文件</w:t>
      </w:r>
      <w:bookmarkEnd w:id="25"/>
      <w:bookmarkEnd w:id="26"/>
    </w:p>
    <w:p w14:paraId="26619A41">
      <w:pPr>
        <w:ind w:firstLine="480"/>
        <w:rPr>
          <w:rFonts w:ascii="仿宋" w:hAnsi="仿宋" w:eastAsia="仿宋"/>
          <w:color w:val="auto"/>
          <w:sz w:val="24"/>
        </w:rPr>
      </w:pPr>
      <w:r>
        <w:rPr>
          <w:rFonts w:hint="eastAsia" w:ascii="仿宋" w:hAnsi="仿宋" w:eastAsia="仿宋"/>
          <w:color w:val="auto"/>
          <w:sz w:val="24"/>
        </w:rPr>
        <w:t>8.投标的语言和计量单位</w:t>
      </w:r>
    </w:p>
    <w:p w14:paraId="09677560">
      <w:pPr>
        <w:ind w:firstLine="480"/>
        <w:rPr>
          <w:rFonts w:ascii="仿宋" w:hAnsi="仿宋" w:eastAsia="仿宋"/>
          <w:color w:val="auto"/>
          <w:sz w:val="24"/>
        </w:rPr>
      </w:pPr>
      <w:r>
        <w:rPr>
          <w:rFonts w:hint="eastAsia" w:ascii="仿宋" w:hAnsi="仿宋" w:eastAsia="仿宋"/>
          <w:color w:val="auto"/>
          <w:sz w:val="24"/>
        </w:rPr>
        <w:t>8.1投标人提交的投标文件以及投标人与采购代理机构或采购人就有关投标的所有来往函电均应使用中文。</w:t>
      </w:r>
    </w:p>
    <w:p w14:paraId="610E9B78">
      <w:pPr>
        <w:ind w:firstLine="480"/>
        <w:rPr>
          <w:rFonts w:ascii="仿宋" w:hAnsi="仿宋" w:eastAsia="仿宋"/>
          <w:color w:val="auto"/>
          <w:sz w:val="24"/>
        </w:rPr>
      </w:pPr>
      <w:r>
        <w:rPr>
          <w:rFonts w:hint="eastAsia" w:ascii="仿宋" w:hAnsi="仿宋" w:eastAsia="仿宋"/>
          <w:color w:val="auto"/>
          <w:sz w:val="24"/>
        </w:rPr>
        <w:t>8.2除非招标文件中另有规定，计量单位均采用中华人民共和国法定的计量单位。</w:t>
      </w:r>
    </w:p>
    <w:p w14:paraId="086F4242">
      <w:pPr>
        <w:ind w:firstLine="480"/>
        <w:rPr>
          <w:rFonts w:ascii="仿宋" w:hAnsi="仿宋" w:eastAsia="仿宋"/>
          <w:color w:val="auto"/>
          <w:sz w:val="24"/>
        </w:rPr>
      </w:pPr>
      <w:r>
        <w:rPr>
          <w:rFonts w:hint="eastAsia" w:ascii="仿宋" w:hAnsi="仿宋" w:eastAsia="仿宋"/>
          <w:color w:val="auto"/>
          <w:sz w:val="24"/>
        </w:rPr>
        <w:t>9.投标文件的构成</w:t>
      </w:r>
    </w:p>
    <w:p w14:paraId="2F4D9487">
      <w:pPr>
        <w:ind w:firstLine="480"/>
        <w:rPr>
          <w:rFonts w:ascii="仿宋" w:hAnsi="仿宋" w:eastAsia="仿宋"/>
          <w:color w:val="auto"/>
          <w:sz w:val="24"/>
        </w:rPr>
      </w:pPr>
      <w:r>
        <w:rPr>
          <w:rFonts w:hint="eastAsia" w:ascii="仿宋" w:hAnsi="仿宋" w:eastAsia="仿宋"/>
          <w:color w:val="auto"/>
          <w:sz w:val="24"/>
        </w:rPr>
        <w:t>9.1投标人编制的投标文件应包含但不少于本文件第六章格式要求中规定提供的内容。</w:t>
      </w:r>
    </w:p>
    <w:p w14:paraId="4E47BB82">
      <w:pPr>
        <w:ind w:firstLine="480"/>
        <w:rPr>
          <w:rFonts w:ascii="仿宋" w:hAnsi="仿宋" w:eastAsia="仿宋"/>
          <w:color w:val="auto"/>
          <w:sz w:val="24"/>
        </w:rPr>
      </w:pPr>
      <w:r>
        <w:rPr>
          <w:rFonts w:hint="eastAsia" w:ascii="仿宋" w:hAnsi="仿宋" w:eastAsia="仿宋"/>
          <w:color w:val="auto"/>
          <w:sz w:val="24"/>
        </w:rPr>
        <w:t>9.2招标文件中要求提供的其他资料见《投标人须知前附表》。</w:t>
      </w:r>
    </w:p>
    <w:p w14:paraId="30F15A78">
      <w:pPr>
        <w:ind w:firstLine="480"/>
        <w:rPr>
          <w:rFonts w:ascii="仿宋" w:hAnsi="仿宋" w:eastAsia="仿宋"/>
          <w:color w:val="auto"/>
          <w:sz w:val="24"/>
        </w:rPr>
      </w:pPr>
      <w:r>
        <w:rPr>
          <w:rFonts w:hint="eastAsia" w:ascii="仿宋" w:hAnsi="仿宋" w:eastAsia="仿宋"/>
          <w:color w:val="auto"/>
          <w:sz w:val="24"/>
        </w:rPr>
        <w:t>10.投标文件编制</w:t>
      </w:r>
    </w:p>
    <w:p w14:paraId="36288B2E">
      <w:pPr>
        <w:ind w:firstLine="480"/>
        <w:rPr>
          <w:rFonts w:ascii="仿宋" w:hAnsi="仿宋" w:eastAsia="仿宋"/>
          <w:color w:val="auto"/>
          <w:sz w:val="24"/>
        </w:rPr>
      </w:pPr>
      <w:r>
        <w:rPr>
          <w:rFonts w:hint="eastAsia" w:ascii="仿宋" w:hAnsi="仿宋" w:eastAsia="仿宋"/>
          <w:color w:val="auto"/>
          <w:sz w:val="24"/>
        </w:rPr>
        <w:t>10.1投标人应当按照本招标文件的要求编制投标文件，并对其提交的投标文件及全部资料的真实性、合法性承担法律责任，并接受采购代理机构对其中任何资料进一步核实的要求。</w:t>
      </w:r>
    </w:p>
    <w:p w14:paraId="4C703888">
      <w:pPr>
        <w:ind w:firstLine="480"/>
        <w:rPr>
          <w:rFonts w:ascii="仿宋" w:hAnsi="仿宋" w:eastAsia="仿宋"/>
          <w:color w:val="auto"/>
          <w:sz w:val="24"/>
        </w:rPr>
      </w:pPr>
      <w:r>
        <w:rPr>
          <w:rFonts w:hint="eastAsia" w:ascii="仿宋" w:hAnsi="仿宋" w:eastAsia="仿宋"/>
          <w:color w:val="auto"/>
          <w:sz w:val="24"/>
        </w:rPr>
        <w:t>10.2投标人应认真阅读招标文件中所有内容，并对本招标文件提出的要求和条件作出明确响应。如投标人没有按照招标文件的要求提交全部资料，或者投标文件没有对本招标文件在各方面都做出明确响应的，其投标将被视为无效投标。</w:t>
      </w:r>
    </w:p>
    <w:p w14:paraId="08358490">
      <w:pPr>
        <w:ind w:firstLine="480"/>
        <w:rPr>
          <w:rFonts w:ascii="仿宋" w:hAnsi="仿宋" w:eastAsia="仿宋"/>
          <w:color w:val="auto"/>
          <w:sz w:val="24"/>
        </w:rPr>
      </w:pPr>
      <w:r>
        <w:rPr>
          <w:rFonts w:hint="eastAsia" w:ascii="仿宋" w:hAnsi="仿宋" w:eastAsia="仿宋"/>
          <w:color w:val="auto"/>
          <w:sz w:val="24"/>
        </w:rPr>
        <w:t>10.3投标人应完整地按本招标文件的要求提交所有资料，并按第六章要求的格式填写规定的所有内容，投标人可根据实际情况对格式及内容适当添加，但应包含文件要求填写的内容，无相应内容可填项的，应填写“无”、“未测试”、“没有相应指标”等明确的回答文字，但不应少于或删除。如未规定格式的，相关格式由投标人自定。</w:t>
      </w:r>
    </w:p>
    <w:p w14:paraId="082B42E9">
      <w:pPr>
        <w:ind w:firstLine="480"/>
        <w:rPr>
          <w:rFonts w:ascii="仿宋" w:hAnsi="仿宋" w:eastAsia="仿宋"/>
          <w:color w:val="auto"/>
          <w:sz w:val="24"/>
        </w:rPr>
      </w:pPr>
      <w:r>
        <w:rPr>
          <w:rFonts w:hint="eastAsia" w:ascii="仿宋" w:hAnsi="仿宋" w:eastAsia="仿宋"/>
          <w:color w:val="auto"/>
          <w:sz w:val="24"/>
        </w:rPr>
        <w:t>10.4投标文件应采用不可拆卸的装订方式，对未经装订的投标文件可能发生的文件散落或缺损及由此产生的后果由投标人承担。</w:t>
      </w:r>
    </w:p>
    <w:p w14:paraId="7EB299C4">
      <w:pPr>
        <w:ind w:firstLine="480"/>
        <w:rPr>
          <w:rFonts w:ascii="仿宋" w:hAnsi="仿宋" w:eastAsia="仿宋"/>
          <w:color w:val="auto"/>
          <w:sz w:val="24"/>
        </w:rPr>
      </w:pPr>
      <w:r>
        <w:rPr>
          <w:rFonts w:hint="eastAsia" w:ascii="仿宋" w:hAnsi="仿宋" w:eastAsia="仿宋"/>
          <w:color w:val="auto"/>
          <w:sz w:val="24"/>
        </w:rPr>
        <w:t>11.投标报价</w:t>
      </w:r>
    </w:p>
    <w:p w14:paraId="24C1EC17">
      <w:pPr>
        <w:ind w:firstLine="480"/>
        <w:rPr>
          <w:rFonts w:ascii="仿宋" w:hAnsi="仿宋" w:eastAsia="仿宋"/>
          <w:color w:val="auto"/>
          <w:sz w:val="24"/>
        </w:rPr>
      </w:pPr>
      <w:r>
        <w:rPr>
          <w:rFonts w:hint="eastAsia" w:ascii="仿宋" w:hAnsi="仿宋" w:eastAsia="仿宋"/>
          <w:color w:val="auto"/>
          <w:sz w:val="24"/>
        </w:rPr>
        <w:t>11.1投标人的报价均应以人民币进行报价。</w:t>
      </w:r>
    </w:p>
    <w:p w14:paraId="3E8AF9CF">
      <w:pPr>
        <w:ind w:firstLine="480"/>
        <w:rPr>
          <w:rFonts w:ascii="仿宋" w:hAnsi="仿宋" w:eastAsia="仿宋"/>
          <w:color w:val="auto"/>
          <w:sz w:val="24"/>
        </w:rPr>
      </w:pPr>
      <w:r>
        <w:rPr>
          <w:rFonts w:hint="eastAsia" w:ascii="仿宋" w:hAnsi="仿宋" w:eastAsia="仿宋"/>
          <w:color w:val="auto"/>
          <w:sz w:val="24"/>
        </w:rPr>
        <w:t>11.2投标人应按照本招标文件规定的报价方式进行报价，具体报价方式见《投标人须知前附表》。投标总价中不得包含招标文件要求以外的内容，否则，在评标时不予核减。投标总价中也不得缺漏招标文件所要求的内容，否则，其投标将被视为无效投标。</w:t>
      </w:r>
    </w:p>
    <w:p w14:paraId="749E50AA">
      <w:pPr>
        <w:ind w:firstLine="480"/>
        <w:rPr>
          <w:rFonts w:ascii="仿宋" w:hAnsi="仿宋" w:eastAsia="仿宋"/>
          <w:color w:val="auto"/>
          <w:sz w:val="24"/>
        </w:rPr>
      </w:pPr>
      <w:r>
        <w:rPr>
          <w:rFonts w:hint="eastAsia" w:ascii="仿宋" w:hAnsi="仿宋" w:eastAsia="仿宋"/>
          <w:color w:val="auto"/>
          <w:sz w:val="24"/>
        </w:rPr>
        <w:t>11.3投标人应根据本招标文件的规定和要求、市场价格水平及其走势、投标人的管理水平、投标人的方案和由这些因素决定的投标人之于本项目的成本水平等提出自己的报价。报价应合理，并包含完成本招标文件采购需求全部内容的所有费用，所有根据本招标文件或其它原因应由投标人支付的税款和其他应交纳的费用都应包括在投标人提交的投标报价中。</w:t>
      </w:r>
    </w:p>
    <w:p w14:paraId="78897B1F">
      <w:pPr>
        <w:ind w:firstLine="480"/>
        <w:rPr>
          <w:rFonts w:ascii="仿宋" w:hAnsi="仿宋" w:eastAsia="仿宋"/>
          <w:color w:val="auto"/>
          <w:sz w:val="24"/>
        </w:rPr>
      </w:pPr>
      <w:r>
        <w:rPr>
          <w:rFonts w:hint="eastAsia" w:ascii="仿宋" w:hAnsi="仿宋" w:eastAsia="仿宋"/>
          <w:color w:val="auto"/>
          <w:sz w:val="24"/>
        </w:rPr>
        <w:t>11.4投标人在投标文件中注明免费的项目将视为包含在投标总价中。</w:t>
      </w:r>
    </w:p>
    <w:p w14:paraId="4D454DB8">
      <w:pPr>
        <w:ind w:firstLine="480"/>
        <w:rPr>
          <w:rFonts w:ascii="仿宋" w:hAnsi="仿宋" w:eastAsia="仿宋"/>
          <w:color w:val="auto"/>
          <w:sz w:val="24"/>
        </w:rPr>
      </w:pPr>
      <w:r>
        <w:rPr>
          <w:rFonts w:hint="eastAsia" w:ascii="仿宋" w:hAnsi="仿宋" w:eastAsia="仿宋"/>
          <w:color w:val="auto"/>
          <w:sz w:val="24"/>
        </w:rPr>
        <w:t>11.5每一种采购内容只允许有一个报价，否则将被视为无效投标。</w:t>
      </w:r>
    </w:p>
    <w:p w14:paraId="76C3769D">
      <w:pPr>
        <w:ind w:firstLine="480"/>
        <w:rPr>
          <w:rFonts w:ascii="仿宋" w:hAnsi="仿宋" w:eastAsia="仿宋"/>
          <w:color w:val="auto"/>
          <w:sz w:val="24"/>
        </w:rPr>
      </w:pPr>
      <w:r>
        <w:rPr>
          <w:rFonts w:hint="eastAsia" w:ascii="仿宋" w:hAnsi="仿宋" w:eastAsia="仿宋"/>
          <w:color w:val="auto"/>
          <w:sz w:val="24"/>
        </w:rPr>
        <w:t>12.备选方案</w:t>
      </w:r>
    </w:p>
    <w:p w14:paraId="43AA5F05">
      <w:pPr>
        <w:ind w:firstLine="480"/>
        <w:rPr>
          <w:rFonts w:ascii="仿宋" w:hAnsi="仿宋" w:eastAsia="仿宋"/>
          <w:color w:val="auto"/>
          <w:sz w:val="24"/>
        </w:rPr>
      </w:pPr>
      <w:r>
        <w:rPr>
          <w:rFonts w:hint="eastAsia" w:ascii="仿宋" w:hAnsi="仿宋" w:eastAsia="仿宋"/>
          <w:color w:val="auto"/>
          <w:sz w:val="24"/>
        </w:rPr>
        <w:t>12.1是否允许备选方案见《投标人须知前附表》。</w:t>
      </w:r>
    </w:p>
    <w:p w14:paraId="7A0C1190">
      <w:pPr>
        <w:ind w:firstLine="480"/>
        <w:rPr>
          <w:rFonts w:ascii="仿宋" w:hAnsi="仿宋" w:eastAsia="仿宋"/>
          <w:color w:val="auto"/>
          <w:sz w:val="24"/>
        </w:rPr>
      </w:pPr>
      <w:r>
        <w:rPr>
          <w:rFonts w:hint="eastAsia" w:ascii="仿宋" w:hAnsi="仿宋" w:eastAsia="仿宋"/>
          <w:color w:val="auto"/>
          <w:sz w:val="24"/>
        </w:rPr>
        <w:t>12.2本次招标不接受备选方案的，若在投标文件中提交了备选方案，其投标将被视为无效投标。</w:t>
      </w:r>
    </w:p>
    <w:p w14:paraId="3C0ABDD8">
      <w:pPr>
        <w:ind w:firstLine="480"/>
        <w:rPr>
          <w:rFonts w:ascii="仿宋" w:hAnsi="仿宋" w:eastAsia="仿宋"/>
          <w:color w:val="auto"/>
          <w:sz w:val="24"/>
        </w:rPr>
      </w:pPr>
      <w:r>
        <w:rPr>
          <w:rFonts w:hint="eastAsia" w:ascii="仿宋" w:hAnsi="仿宋" w:eastAsia="仿宋"/>
          <w:color w:val="auto"/>
          <w:sz w:val="24"/>
        </w:rPr>
        <w:t>13.联合体投标</w:t>
      </w:r>
    </w:p>
    <w:p w14:paraId="0321DD1E">
      <w:pPr>
        <w:ind w:firstLine="480"/>
        <w:rPr>
          <w:rFonts w:ascii="仿宋" w:hAnsi="仿宋" w:eastAsia="仿宋"/>
          <w:color w:val="auto"/>
          <w:sz w:val="24"/>
        </w:rPr>
      </w:pPr>
      <w:r>
        <w:rPr>
          <w:rFonts w:hint="eastAsia" w:ascii="仿宋" w:hAnsi="仿宋" w:eastAsia="仿宋"/>
          <w:color w:val="auto"/>
          <w:sz w:val="24"/>
        </w:rPr>
        <w:t>13.1本次招标是否允许联合体投标见《投标人须知前附表》。</w:t>
      </w:r>
    </w:p>
    <w:p w14:paraId="452C6C9D">
      <w:pPr>
        <w:ind w:firstLine="480"/>
        <w:rPr>
          <w:rFonts w:ascii="仿宋" w:hAnsi="仿宋" w:eastAsia="仿宋"/>
          <w:color w:val="auto"/>
          <w:sz w:val="24"/>
        </w:rPr>
      </w:pPr>
      <w:r>
        <w:rPr>
          <w:rFonts w:hint="eastAsia" w:ascii="仿宋" w:hAnsi="仿宋" w:eastAsia="仿宋"/>
          <w:color w:val="auto"/>
          <w:sz w:val="24"/>
        </w:rPr>
        <w:t>14.投标人应当提交的证明文件</w:t>
      </w:r>
    </w:p>
    <w:p w14:paraId="544F9D07">
      <w:pPr>
        <w:ind w:firstLine="480"/>
        <w:rPr>
          <w:rFonts w:ascii="仿宋" w:hAnsi="仿宋" w:eastAsia="仿宋"/>
          <w:color w:val="auto"/>
          <w:sz w:val="24"/>
        </w:rPr>
      </w:pPr>
      <w:r>
        <w:rPr>
          <w:rFonts w:hint="eastAsia" w:ascii="仿宋" w:hAnsi="仿宋" w:eastAsia="仿宋"/>
          <w:color w:val="auto"/>
          <w:sz w:val="24"/>
        </w:rPr>
        <w:t>14.1投标人应提交证明其有资格参加投标，且信誉良好的证明文件，具体见《投标人须知前附表》。</w:t>
      </w:r>
    </w:p>
    <w:p w14:paraId="0D47E5CB">
      <w:pPr>
        <w:ind w:firstLine="480"/>
        <w:rPr>
          <w:rFonts w:ascii="仿宋" w:hAnsi="仿宋" w:eastAsia="仿宋"/>
          <w:color w:val="auto"/>
          <w:sz w:val="24"/>
        </w:rPr>
      </w:pPr>
      <w:r>
        <w:rPr>
          <w:rFonts w:hint="eastAsia" w:ascii="仿宋" w:hAnsi="仿宋" w:eastAsia="仿宋"/>
          <w:color w:val="auto"/>
          <w:sz w:val="24"/>
        </w:rPr>
        <w:t>14.2除本须知14.1要求的资格证明文件外，如国家法律法规对市场准入有要求的还应提交相关资格证明文件。</w:t>
      </w:r>
    </w:p>
    <w:p w14:paraId="1A4764D4">
      <w:pPr>
        <w:ind w:firstLine="480"/>
        <w:rPr>
          <w:rFonts w:ascii="仿宋" w:hAnsi="仿宋" w:eastAsia="仿宋"/>
          <w:color w:val="auto"/>
          <w:sz w:val="24"/>
        </w:rPr>
      </w:pPr>
      <w:r>
        <w:rPr>
          <w:rFonts w:hint="eastAsia" w:ascii="仿宋" w:hAnsi="仿宋" w:eastAsia="仿宋"/>
          <w:color w:val="auto"/>
          <w:sz w:val="24"/>
        </w:rPr>
        <w:t>14.3证明材料仅限于投标人单位本身，母公司、股东单位和子公司的材料不能作为证明材料，但投标人单位兼并的企业的材料可作为证明材料。</w:t>
      </w:r>
    </w:p>
    <w:p w14:paraId="3FF3E8D1">
      <w:pPr>
        <w:ind w:firstLine="480"/>
        <w:rPr>
          <w:rFonts w:ascii="仿宋" w:hAnsi="仿宋" w:eastAsia="仿宋"/>
          <w:color w:val="auto"/>
          <w:sz w:val="24"/>
        </w:rPr>
      </w:pPr>
      <w:r>
        <w:rPr>
          <w:rFonts w:hint="eastAsia" w:ascii="仿宋" w:hAnsi="仿宋" w:eastAsia="仿宋"/>
          <w:color w:val="auto"/>
          <w:sz w:val="24"/>
        </w:rPr>
        <w:t>15.其他资料</w:t>
      </w:r>
    </w:p>
    <w:p w14:paraId="0B375E90">
      <w:pPr>
        <w:ind w:firstLine="480"/>
        <w:rPr>
          <w:rFonts w:ascii="仿宋" w:hAnsi="仿宋" w:eastAsia="仿宋"/>
          <w:color w:val="auto"/>
          <w:sz w:val="24"/>
        </w:rPr>
      </w:pPr>
      <w:r>
        <w:rPr>
          <w:rFonts w:hint="eastAsia" w:ascii="仿宋" w:hAnsi="仿宋" w:eastAsia="仿宋"/>
          <w:color w:val="auto"/>
          <w:sz w:val="24"/>
        </w:rPr>
        <w:t>15.1证明投标内容符合招标文件要求的文件和招标文件规定的其他资料，具体要求见《投标人须知前附表》。</w:t>
      </w:r>
    </w:p>
    <w:p w14:paraId="66337C79">
      <w:pPr>
        <w:ind w:firstLine="480"/>
        <w:rPr>
          <w:rFonts w:ascii="仿宋" w:hAnsi="仿宋" w:eastAsia="仿宋"/>
          <w:color w:val="auto"/>
          <w:sz w:val="24"/>
        </w:rPr>
      </w:pPr>
      <w:r>
        <w:rPr>
          <w:rFonts w:hint="eastAsia" w:ascii="仿宋" w:hAnsi="仿宋" w:eastAsia="仿宋"/>
          <w:color w:val="auto"/>
          <w:sz w:val="24"/>
        </w:rPr>
        <w:t>16.投标保证金</w:t>
      </w:r>
    </w:p>
    <w:p w14:paraId="603B16B5">
      <w:pPr>
        <w:ind w:firstLine="480"/>
        <w:rPr>
          <w:rFonts w:ascii="仿宋" w:hAnsi="仿宋" w:eastAsia="仿宋"/>
          <w:color w:val="auto"/>
          <w:sz w:val="24"/>
        </w:rPr>
      </w:pPr>
      <w:r>
        <w:rPr>
          <w:rFonts w:hint="eastAsia" w:ascii="仿宋" w:hAnsi="仿宋" w:eastAsia="仿宋"/>
          <w:color w:val="auto"/>
          <w:sz w:val="24"/>
        </w:rPr>
        <w:t>16.1是否要求递交投标保证金及保证金金额、递交方式、递交时间、接受保证金的帐户信息等详见《投标人须知前附表》。</w:t>
      </w:r>
    </w:p>
    <w:p w14:paraId="55E2F50B">
      <w:pPr>
        <w:ind w:firstLine="480"/>
        <w:rPr>
          <w:rFonts w:ascii="仿宋" w:hAnsi="仿宋" w:eastAsia="仿宋"/>
          <w:color w:val="auto"/>
          <w:sz w:val="24"/>
        </w:rPr>
      </w:pPr>
      <w:r>
        <w:rPr>
          <w:rFonts w:hint="eastAsia" w:ascii="仿宋" w:hAnsi="仿宋" w:eastAsia="仿宋"/>
          <w:color w:val="auto"/>
          <w:sz w:val="24"/>
        </w:rPr>
        <w:t>16.2招标文件要求递交投标保证金的，投标保证金作为投标文件的组成部分。未按规定递交投标保证金的将被视为无效投标。</w:t>
      </w:r>
    </w:p>
    <w:p w14:paraId="7EDF9849">
      <w:pPr>
        <w:ind w:firstLine="480"/>
        <w:rPr>
          <w:rFonts w:ascii="仿宋" w:hAnsi="仿宋" w:eastAsia="仿宋"/>
          <w:color w:val="auto"/>
          <w:sz w:val="24"/>
        </w:rPr>
      </w:pPr>
      <w:r>
        <w:rPr>
          <w:rFonts w:hint="eastAsia" w:ascii="仿宋" w:hAnsi="仿宋" w:eastAsia="仿宋"/>
          <w:color w:val="auto"/>
          <w:sz w:val="24"/>
        </w:rPr>
        <w:t>16.3投标保证金有效期与投标有效期一致。</w:t>
      </w:r>
    </w:p>
    <w:p w14:paraId="62E21AEF">
      <w:pPr>
        <w:ind w:firstLine="480"/>
        <w:rPr>
          <w:rFonts w:ascii="仿宋" w:hAnsi="仿宋" w:eastAsia="仿宋"/>
          <w:color w:val="auto"/>
          <w:sz w:val="24"/>
        </w:rPr>
      </w:pPr>
      <w:r>
        <w:rPr>
          <w:rFonts w:hint="eastAsia" w:ascii="仿宋" w:hAnsi="仿宋" w:eastAsia="仿宋"/>
          <w:color w:val="auto"/>
          <w:sz w:val="24"/>
        </w:rPr>
        <w:t>16.4投标人为联合体的，应由联合体中牵头人交纳投标保证金，其交纳的投标保证金对联合体各方均具有约束力。</w:t>
      </w:r>
    </w:p>
    <w:p w14:paraId="17302AC1">
      <w:pPr>
        <w:ind w:firstLine="480"/>
        <w:rPr>
          <w:rFonts w:ascii="仿宋" w:hAnsi="仿宋" w:eastAsia="仿宋"/>
          <w:color w:val="auto"/>
          <w:sz w:val="24"/>
        </w:rPr>
      </w:pPr>
      <w:r>
        <w:rPr>
          <w:rFonts w:hint="eastAsia" w:ascii="仿宋" w:hAnsi="仿宋" w:eastAsia="仿宋"/>
          <w:color w:val="auto"/>
          <w:sz w:val="24"/>
        </w:rPr>
        <w:t>16.5投标保证金的退还：终止采购并已经收取投标保证金的或投标人在投标截止时间前撤回已提交的投标文件的，在终止公告发布或收到投标人书面撤回通知之日起5个工作日内，退还已收取的投标保证金。中标通知书发出之日起5个工作日内退还未中标人的投标保证金，自采购合同签订之日起5个工作日内退还中标人的投标保证金或者转为中标人的履约保证金。因投标人自身原因导致无法及时退还的除外。</w:t>
      </w:r>
    </w:p>
    <w:p w14:paraId="2DE4DF1E">
      <w:pPr>
        <w:ind w:firstLine="480"/>
        <w:rPr>
          <w:rFonts w:ascii="仿宋" w:hAnsi="仿宋" w:eastAsia="仿宋"/>
          <w:color w:val="auto"/>
          <w:sz w:val="24"/>
        </w:rPr>
      </w:pPr>
      <w:r>
        <w:rPr>
          <w:rFonts w:hint="eastAsia" w:ascii="仿宋" w:hAnsi="仿宋" w:eastAsia="仿宋"/>
          <w:color w:val="auto"/>
          <w:sz w:val="24"/>
        </w:rPr>
        <w:t>16.6有下列情形之一的，投标保证金将不予退还：</w:t>
      </w:r>
    </w:p>
    <w:p w14:paraId="405053CC">
      <w:pPr>
        <w:ind w:firstLine="480"/>
        <w:rPr>
          <w:rFonts w:ascii="仿宋" w:hAnsi="仿宋" w:eastAsia="仿宋"/>
          <w:color w:val="auto"/>
          <w:sz w:val="24"/>
        </w:rPr>
      </w:pPr>
      <w:r>
        <w:rPr>
          <w:rFonts w:hint="eastAsia" w:ascii="仿宋" w:hAnsi="仿宋" w:eastAsia="仿宋"/>
          <w:color w:val="auto"/>
          <w:sz w:val="24"/>
        </w:rPr>
        <w:t>（1）投标人在提交投标文件截止时间后撤回投标文件的。</w:t>
      </w:r>
    </w:p>
    <w:p w14:paraId="64AB810A">
      <w:pPr>
        <w:ind w:firstLine="480"/>
        <w:rPr>
          <w:rFonts w:ascii="仿宋" w:hAnsi="仿宋" w:eastAsia="仿宋"/>
          <w:color w:val="auto"/>
          <w:sz w:val="24"/>
        </w:rPr>
      </w:pPr>
      <w:r>
        <w:rPr>
          <w:rFonts w:hint="eastAsia" w:ascii="仿宋" w:hAnsi="仿宋" w:eastAsia="仿宋"/>
          <w:color w:val="auto"/>
          <w:sz w:val="24"/>
        </w:rPr>
        <w:t>（2）除因不可抗力或采购人认可的情形外，中标人不与采购人签订合同的。</w:t>
      </w:r>
    </w:p>
    <w:p w14:paraId="228244DC">
      <w:pPr>
        <w:ind w:firstLine="480"/>
        <w:rPr>
          <w:rFonts w:ascii="仿宋" w:hAnsi="仿宋" w:eastAsia="仿宋"/>
          <w:color w:val="auto"/>
          <w:sz w:val="24"/>
        </w:rPr>
      </w:pPr>
      <w:r>
        <w:rPr>
          <w:rFonts w:hint="eastAsia" w:ascii="仿宋" w:hAnsi="仿宋" w:eastAsia="仿宋"/>
          <w:color w:val="auto"/>
          <w:sz w:val="24"/>
        </w:rPr>
        <w:t>（</w:t>
      </w:r>
      <w:r>
        <w:rPr>
          <w:rFonts w:ascii="仿宋" w:hAnsi="仿宋" w:eastAsia="仿宋"/>
          <w:color w:val="auto"/>
          <w:sz w:val="24"/>
        </w:rPr>
        <w:t>3</w:t>
      </w:r>
      <w:r>
        <w:rPr>
          <w:rFonts w:hint="eastAsia" w:ascii="仿宋" w:hAnsi="仿宋" w:eastAsia="仿宋"/>
          <w:color w:val="auto"/>
          <w:sz w:val="24"/>
        </w:rPr>
        <w:t>）投标人经查实串通投标的。</w:t>
      </w:r>
    </w:p>
    <w:p w14:paraId="7A9878CC">
      <w:pPr>
        <w:ind w:firstLine="480"/>
        <w:rPr>
          <w:rFonts w:ascii="仿宋" w:hAnsi="仿宋" w:eastAsia="仿宋"/>
          <w:color w:val="auto"/>
          <w:sz w:val="24"/>
        </w:rPr>
      </w:pPr>
      <w:r>
        <w:rPr>
          <w:rFonts w:hint="eastAsia" w:ascii="仿宋" w:hAnsi="仿宋" w:eastAsia="仿宋"/>
          <w:color w:val="auto"/>
          <w:sz w:val="24"/>
        </w:rPr>
        <w:t>（</w:t>
      </w:r>
      <w:r>
        <w:rPr>
          <w:rFonts w:ascii="仿宋" w:hAnsi="仿宋" w:eastAsia="仿宋"/>
          <w:color w:val="auto"/>
          <w:sz w:val="24"/>
        </w:rPr>
        <w:t>4</w:t>
      </w:r>
      <w:r>
        <w:rPr>
          <w:rFonts w:hint="eastAsia" w:ascii="仿宋" w:hAnsi="仿宋" w:eastAsia="仿宋"/>
          <w:color w:val="auto"/>
          <w:sz w:val="24"/>
        </w:rPr>
        <w:t>）相关法律法规规定的其他情形。</w:t>
      </w:r>
    </w:p>
    <w:p w14:paraId="465F11E3">
      <w:pPr>
        <w:ind w:firstLine="480"/>
        <w:rPr>
          <w:rFonts w:ascii="仿宋" w:hAnsi="仿宋" w:eastAsia="仿宋"/>
          <w:color w:val="auto"/>
          <w:sz w:val="24"/>
        </w:rPr>
      </w:pPr>
      <w:r>
        <w:rPr>
          <w:rFonts w:hint="eastAsia" w:ascii="仿宋" w:hAnsi="仿宋" w:eastAsia="仿宋"/>
          <w:color w:val="auto"/>
          <w:sz w:val="24"/>
        </w:rPr>
        <w:t>17.投标的有效期</w:t>
      </w:r>
    </w:p>
    <w:p w14:paraId="483DFAF8">
      <w:pPr>
        <w:ind w:firstLine="480"/>
        <w:rPr>
          <w:rFonts w:ascii="仿宋" w:hAnsi="仿宋" w:eastAsia="仿宋"/>
          <w:color w:val="auto"/>
          <w:sz w:val="24"/>
        </w:rPr>
      </w:pPr>
      <w:r>
        <w:rPr>
          <w:rFonts w:hint="eastAsia" w:ascii="仿宋" w:hAnsi="仿宋" w:eastAsia="仿宋"/>
          <w:color w:val="auto"/>
          <w:sz w:val="24"/>
        </w:rPr>
        <w:t>17.1投标有效期从提交投标文件的截止之日起计算，本次招标投标有效期见《投标人须知前附表》，投标人承诺的投标有效期不足的，其投标将被视为无效投标。</w:t>
      </w:r>
    </w:p>
    <w:p w14:paraId="0CD1DD34">
      <w:pPr>
        <w:ind w:firstLine="480"/>
        <w:rPr>
          <w:rFonts w:ascii="仿宋" w:hAnsi="仿宋" w:eastAsia="仿宋"/>
          <w:color w:val="auto"/>
          <w:sz w:val="24"/>
        </w:rPr>
      </w:pPr>
      <w:r>
        <w:rPr>
          <w:rFonts w:hint="eastAsia" w:ascii="仿宋" w:hAnsi="仿宋" w:eastAsia="仿宋"/>
          <w:color w:val="auto"/>
          <w:sz w:val="24"/>
        </w:rPr>
        <w:t>17.2特殊情况下，在原投标有效期截止之前，采购代理机构或采购人可要求投标人延长投标有效期。需要延长投标有效期时，采购人及采购代理机构将以书面形式通知所有获取招标文件的投标人，投标人应以书面形式答复是否同意延长投标有效期。投标人同意延长的，其投标保证金的有效期相应延长，但不得要求或被允许修改或撤销其投标文件；投标人拒绝延长的，其投标在原投标有效期满后将不再有效，投标人有权收回其投标保证金</w:t>
      </w:r>
    </w:p>
    <w:p w14:paraId="6A1FD6F3">
      <w:pPr>
        <w:ind w:firstLine="480"/>
        <w:rPr>
          <w:rFonts w:ascii="仿宋" w:hAnsi="仿宋" w:eastAsia="仿宋"/>
          <w:color w:val="auto"/>
          <w:sz w:val="24"/>
        </w:rPr>
      </w:pPr>
      <w:r>
        <w:rPr>
          <w:rFonts w:hint="eastAsia" w:ascii="仿宋" w:hAnsi="仿宋" w:eastAsia="仿宋"/>
          <w:color w:val="auto"/>
          <w:sz w:val="24"/>
        </w:rPr>
        <w:t>18.投标文件的数量和签署</w:t>
      </w:r>
    </w:p>
    <w:p w14:paraId="628617EB">
      <w:pPr>
        <w:ind w:firstLine="480"/>
        <w:rPr>
          <w:rFonts w:ascii="仿宋" w:hAnsi="仿宋" w:eastAsia="仿宋"/>
          <w:color w:val="auto"/>
          <w:sz w:val="24"/>
        </w:rPr>
      </w:pPr>
      <w:r>
        <w:rPr>
          <w:rFonts w:hint="eastAsia" w:ascii="仿宋" w:hAnsi="仿宋" w:eastAsia="仿宋"/>
          <w:color w:val="auto"/>
          <w:sz w:val="24"/>
        </w:rPr>
        <w:t>18.1投标人提交的投标文件应包括正本、副本、完整的电子文档及单独提供的法定代表人授权委托书（或法定代表人身份证明书）、投标函、开标一览表、优惠声明（如有）。本次招标投标人提交投标文件的正、副本和电子文档的数量见《投标人须知前附表》。</w:t>
      </w:r>
    </w:p>
    <w:p w14:paraId="4D5084F0">
      <w:pPr>
        <w:ind w:firstLine="480"/>
        <w:rPr>
          <w:rFonts w:ascii="仿宋" w:hAnsi="仿宋" w:eastAsia="仿宋"/>
          <w:color w:val="auto"/>
          <w:sz w:val="24"/>
        </w:rPr>
      </w:pPr>
      <w:r>
        <w:rPr>
          <w:rFonts w:hint="eastAsia" w:ascii="仿宋" w:hAnsi="仿宋" w:eastAsia="仿宋"/>
          <w:color w:val="auto"/>
          <w:sz w:val="24"/>
        </w:rPr>
        <w:t>18.2每套投标文件须清楚地标明“正本”、“副本”，投标文件的副本可采用正本的复印件，若副本与正本不符，以正本为准；投标文件中开标一览表内容与投标文件中相应内容不一致的，以开标一览表为准。电子文档与纸质文件不符，以纸质文件为准。</w:t>
      </w:r>
    </w:p>
    <w:p w14:paraId="2508BA9D">
      <w:pPr>
        <w:ind w:firstLine="480"/>
        <w:rPr>
          <w:rFonts w:ascii="仿宋" w:hAnsi="仿宋" w:eastAsia="仿宋"/>
          <w:color w:val="auto"/>
          <w:sz w:val="24"/>
        </w:rPr>
      </w:pPr>
      <w:r>
        <w:rPr>
          <w:rFonts w:hint="eastAsia" w:ascii="仿宋" w:hAnsi="仿宋" w:eastAsia="仿宋"/>
          <w:color w:val="auto"/>
          <w:sz w:val="24"/>
        </w:rPr>
        <w:t>18.3投标文件应该编制目录和页码。正本需打印或用不褪色墨水书写，并由法定代表人或授权代表签字并加盖公章。由授权代表签字的，投标文件中应提交《法定代表人授权书》。投标人为自然人的，由投标人本人签字并附身份证明</w:t>
      </w:r>
    </w:p>
    <w:p w14:paraId="5AEBE131">
      <w:pPr>
        <w:ind w:firstLine="480"/>
        <w:rPr>
          <w:rFonts w:ascii="仿宋" w:hAnsi="仿宋" w:eastAsia="仿宋"/>
          <w:color w:val="auto"/>
          <w:sz w:val="24"/>
        </w:rPr>
      </w:pPr>
      <w:r>
        <w:rPr>
          <w:rFonts w:hint="eastAsia" w:ascii="仿宋" w:hAnsi="仿宋" w:eastAsia="仿宋"/>
          <w:color w:val="auto"/>
          <w:sz w:val="24"/>
        </w:rPr>
        <w:t>18.4投标文件中的任何行间插字、涂改和增删，必须由法定代表人或委托代理人在旁边签字方才有效。</w:t>
      </w:r>
    </w:p>
    <w:p w14:paraId="262AEB92">
      <w:pPr>
        <w:ind w:firstLine="480"/>
        <w:outlineLvl w:val="2"/>
        <w:rPr>
          <w:rFonts w:ascii="仿宋" w:hAnsi="仿宋" w:eastAsia="仿宋"/>
          <w:color w:val="auto"/>
          <w:sz w:val="24"/>
        </w:rPr>
      </w:pPr>
      <w:bookmarkStart w:id="27" w:name="_Toc133588526"/>
      <w:bookmarkStart w:id="28" w:name="_Toc181712882"/>
      <w:r>
        <w:rPr>
          <w:rFonts w:hint="eastAsia" w:ascii="仿宋" w:hAnsi="仿宋" w:eastAsia="仿宋"/>
          <w:color w:val="auto"/>
          <w:sz w:val="24"/>
        </w:rPr>
        <w:t>（四）投标文件的递交</w:t>
      </w:r>
      <w:bookmarkEnd w:id="27"/>
      <w:bookmarkEnd w:id="28"/>
    </w:p>
    <w:p w14:paraId="579C008D">
      <w:pPr>
        <w:ind w:firstLine="480"/>
        <w:rPr>
          <w:rFonts w:ascii="仿宋" w:hAnsi="仿宋" w:eastAsia="仿宋"/>
          <w:color w:val="auto"/>
          <w:sz w:val="24"/>
        </w:rPr>
      </w:pPr>
      <w:r>
        <w:rPr>
          <w:rFonts w:hint="eastAsia" w:ascii="仿宋" w:hAnsi="仿宋" w:eastAsia="仿宋"/>
          <w:color w:val="auto"/>
          <w:sz w:val="24"/>
        </w:rPr>
        <w:t>19.投标文件的密封、盖章和标记</w:t>
      </w:r>
    </w:p>
    <w:p w14:paraId="16CE0A20">
      <w:pPr>
        <w:ind w:firstLine="480"/>
        <w:rPr>
          <w:rFonts w:ascii="仿宋" w:hAnsi="仿宋" w:eastAsia="仿宋"/>
          <w:color w:val="auto"/>
          <w:sz w:val="24"/>
        </w:rPr>
      </w:pPr>
      <w:r>
        <w:rPr>
          <w:rFonts w:hint="eastAsia" w:ascii="仿宋" w:hAnsi="仿宋" w:eastAsia="仿宋"/>
          <w:color w:val="auto"/>
          <w:sz w:val="24"/>
        </w:rPr>
        <w:t>19.1投标文件的正本、所有副本必须装订后密封递交，密封包装上应注明项目编号、项目名称、包号、投标人名称及“（开标时间）不得启封”的字样并在封口处加盖投标人单位公章。</w:t>
      </w:r>
    </w:p>
    <w:p w14:paraId="79672C7D">
      <w:pPr>
        <w:ind w:firstLine="480"/>
        <w:rPr>
          <w:rFonts w:ascii="仿宋" w:hAnsi="仿宋" w:eastAsia="仿宋"/>
          <w:color w:val="auto"/>
          <w:sz w:val="24"/>
        </w:rPr>
      </w:pPr>
      <w:r>
        <w:rPr>
          <w:rFonts w:hint="eastAsia" w:ascii="仿宋" w:hAnsi="仿宋" w:eastAsia="仿宋"/>
          <w:color w:val="auto"/>
          <w:sz w:val="24"/>
        </w:rPr>
        <w:t>19.2投标人还应将一份投标函（原件）、开标一览表（原件）与一份法定代表人授权书原件（或法定代表人身份证明书原件）、投标保证金缴纳证明（复印件）及优惠声明（如有）单独密封提交，除需按上款要求注明外还应在信封上标明“开标一览表”字样。</w:t>
      </w:r>
    </w:p>
    <w:p w14:paraId="0622A077">
      <w:pPr>
        <w:ind w:firstLine="480"/>
        <w:rPr>
          <w:rFonts w:ascii="仿宋" w:hAnsi="仿宋" w:eastAsia="仿宋"/>
          <w:color w:val="auto"/>
          <w:sz w:val="24"/>
        </w:rPr>
      </w:pPr>
      <w:r>
        <w:rPr>
          <w:rFonts w:hint="eastAsia" w:ascii="仿宋" w:hAnsi="仿宋" w:eastAsia="仿宋"/>
          <w:color w:val="auto"/>
          <w:sz w:val="24"/>
        </w:rPr>
        <w:t>19.3未按要求密封的投标文件，采购代理机构将拒收。未按要求盖章和标记导致投标文件提前启封和误投的，责任由投标人自负。</w:t>
      </w:r>
    </w:p>
    <w:p w14:paraId="79729BD1">
      <w:pPr>
        <w:ind w:firstLine="480"/>
        <w:rPr>
          <w:rFonts w:ascii="仿宋" w:hAnsi="仿宋" w:eastAsia="仿宋"/>
          <w:color w:val="auto"/>
          <w:sz w:val="24"/>
        </w:rPr>
      </w:pPr>
      <w:r>
        <w:rPr>
          <w:rFonts w:hint="eastAsia" w:ascii="仿宋" w:hAnsi="仿宋" w:eastAsia="仿宋"/>
          <w:color w:val="auto"/>
          <w:sz w:val="24"/>
        </w:rPr>
        <w:t>19.4要求在投标时提交样品的，有关提交及退还样品的相关规定见《投标人须知前附表》。</w:t>
      </w:r>
    </w:p>
    <w:p w14:paraId="3CD08FAC">
      <w:pPr>
        <w:ind w:firstLine="480"/>
        <w:rPr>
          <w:rFonts w:ascii="仿宋" w:hAnsi="仿宋" w:eastAsia="仿宋"/>
          <w:color w:val="auto"/>
          <w:sz w:val="24"/>
        </w:rPr>
      </w:pPr>
      <w:r>
        <w:rPr>
          <w:rFonts w:hint="eastAsia" w:ascii="仿宋" w:hAnsi="仿宋" w:eastAsia="仿宋"/>
          <w:color w:val="auto"/>
          <w:sz w:val="24"/>
        </w:rPr>
        <w:t>20.投标文件送达地点及投标截止时间</w:t>
      </w:r>
    </w:p>
    <w:p w14:paraId="28247EF2">
      <w:pPr>
        <w:ind w:firstLine="480"/>
        <w:rPr>
          <w:rFonts w:ascii="仿宋" w:hAnsi="仿宋" w:eastAsia="仿宋"/>
          <w:color w:val="auto"/>
          <w:sz w:val="24"/>
        </w:rPr>
      </w:pPr>
      <w:r>
        <w:rPr>
          <w:rFonts w:hint="eastAsia" w:ascii="仿宋" w:hAnsi="仿宋" w:eastAsia="仿宋"/>
          <w:color w:val="auto"/>
          <w:sz w:val="24"/>
        </w:rPr>
        <w:t>20.1本次招标的投标文件送达地点及投标截止时间见《投标人须知前附表》。</w:t>
      </w:r>
    </w:p>
    <w:p w14:paraId="1B26CC01">
      <w:pPr>
        <w:ind w:firstLine="480"/>
        <w:rPr>
          <w:rFonts w:ascii="仿宋" w:hAnsi="仿宋" w:eastAsia="仿宋"/>
          <w:color w:val="auto"/>
          <w:sz w:val="24"/>
        </w:rPr>
      </w:pPr>
      <w:r>
        <w:rPr>
          <w:rFonts w:hint="eastAsia" w:ascii="仿宋" w:hAnsi="仿宋" w:eastAsia="仿宋"/>
          <w:color w:val="auto"/>
          <w:sz w:val="24"/>
        </w:rPr>
        <w:t>21.迟交的投标文件</w:t>
      </w:r>
    </w:p>
    <w:p w14:paraId="3A6CFDC8">
      <w:pPr>
        <w:ind w:firstLine="480"/>
        <w:rPr>
          <w:rFonts w:ascii="仿宋" w:hAnsi="仿宋" w:eastAsia="仿宋"/>
          <w:color w:val="auto"/>
          <w:sz w:val="24"/>
        </w:rPr>
      </w:pPr>
      <w:r>
        <w:rPr>
          <w:rFonts w:hint="eastAsia" w:ascii="仿宋" w:hAnsi="仿宋" w:eastAsia="仿宋"/>
          <w:color w:val="auto"/>
          <w:sz w:val="24"/>
        </w:rPr>
        <w:t>21.1在投标截止时间以后送达的投标文件，不论何种原因，采购代理机构将拒收。</w:t>
      </w:r>
    </w:p>
    <w:p w14:paraId="0250BD13">
      <w:pPr>
        <w:ind w:firstLine="480"/>
        <w:rPr>
          <w:rFonts w:ascii="仿宋" w:hAnsi="仿宋" w:eastAsia="仿宋"/>
          <w:color w:val="auto"/>
          <w:sz w:val="24"/>
        </w:rPr>
      </w:pPr>
      <w:r>
        <w:rPr>
          <w:rFonts w:hint="eastAsia" w:ascii="仿宋" w:hAnsi="仿宋" w:eastAsia="仿宋"/>
          <w:color w:val="auto"/>
          <w:sz w:val="24"/>
        </w:rPr>
        <w:t>22.投标文件的修改和撤回</w:t>
      </w:r>
    </w:p>
    <w:p w14:paraId="6E722617">
      <w:pPr>
        <w:ind w:firstLine="480"/>
        <w:rPr>
          <w:rFonts w:ascii="仿宋" w:hAnsi="仿宋" w:eastAsia="仿宋"/>
          <w:color w:val="auto"/>
          <w:sz w:val="24"/>
        </w:rPr>
      </w:pPr>
      <w:r>
        <w:rPr>
          <w:rFonts w:hint="eastAsia" w:ascii="仿宋" w:hAnsi="仿宋" w:eastAsia="仿宋"/>
          <w:color w:val="auto"/>
          <w:sz w:val="24"/>
        </w:rPr>
        <w:t>22.1投标人在投标截止时间前，可以对所递交的投标文件进行补充、修改或者撤回，并书面通知采购人或者采购代理机构。补充、修改的内容应当按照招标文件要求签署、盖章、密封后，作为投标文件的组成部分。补充、修改的内容与投标文件不一致的，以补充、修改的内容为准。</w:t>
      </w:r>
    </w:p>
    <w:p w14:paraId="2C2C364C">
      <w:pPr>
        <w:ind w:firstLine="480"/>
        <w:rPr>
          <w:rFonts w:ascii="仿宋" w:hAnsi="仿宋" w:eastAsia="仿宋"/>
          <w:color w:val="auto"/>
          <w:sz w:val="24"/>
        </w:rPr>
      </w:pPr>
      <w:r>
        <w:rPr>
          <w:rFonts w:hint="eastAsia" w:ascii="仿宋" w:hAnsi="仿宋" w:eastAsia="仿宋"/>
          <w:color w:val="auto"/>
          <w:sz w:val="24"/>
        </w:rPr>
        <w:t>22.2投标人在投标有效期内不得修改或撤回其投标文件，否则其投标保证金将不予以退还。</w:t>
      </w:r>
    </w:p>
    <w:p w14:paraId="372BC86B">
      <w:pPr>
        <w:ind w:firstLine="480"/>
        <w:rPr>
          <w:rFonts w:ascii="仿宋" w:hAnsi="仿宋" w:eastAsia="仿宋"/>
          <w:color w:val="auto"/>
          <w:sz w:val="24"/>
        </w:rPr>
      </w:pPr>
      <w:r>
        <w:rPr>
          <w:rFonts w:hint="eastAsia" w:ascii="仿宋" w:hAnsi="仿宋" w:eastAsia="仿宋"/>
          <w:color w:val="auto"/>
          <w:sz w:val="24"/>
        </w:rPr>
        <w:t>22.3投标人所提交的投标文件无论中标与否都不退还。</w:t>
      </w:r>
    </w:p>
    <w:p w14:paraId="25B47D4D">
      <w:pPr>
        <w:ind w:firstLine="480"/>
        <w:outlineLvl w:val="2"/>
        <w:rPr>
          <w:rFonts w:ascii="仿宋" w:hAnsi="仿宋" w:eastAsia="仿宋"/>
          <w:color w:val="auto"/>
          <w:sz w:val="24"/>
        </w:rPr>
      </w:pPr>
      <w:bookmarkStart w:id="29" w:name="_Toc133588527"/>
      <w:bookmarkStart w:id="30" w:name="_Toc181712883"/>
      <w:r>
        <w:rPr>
          <w:rFonts w:hint="eastAsia" w:ascii="仿宋" w:hAnsi="仿宋" w:eastAsia="仿宋"/>
          <w:color w:val="auto"/>
          <w:sz w:val="24"/>
        </w:rPr>
        <w:t>（五）开标与评标</w:t>
      </w:r>
      <w:bookmarkEnd w:id="29"/>
      <w:bookmarkEnd w:id="30"/>
    </w:p>
    <w:p w14:paraId="1837B0F1">
      <w:pPr>
        <w:ind w:firstLine="480"/>
        <w:rPr>
          <w:rFonts w:ascii="仿宋" w:hAnsi="仿宋" w:eastAsia="仿宋"/>
          <w:color w:val="auto"/>
          <w:sz w:val="24"/>
        </w:rPr>
      </w:pPr>
      <w:r>
        <w:rPr>
          <w:rFonts w:hint="eastAsia" w:ascii="仿宋" w:hAnsi="仿宋" w:eastAsia="仿宋"/>
          <w:color w:val="auto"/>
          <w:sz w:val="24"/>
        </w:rPr>
        <w:t>23.开标</w:t>
      </w:r>
    </w:p>
    <w:p w14:paraId="2B8BC958">
      <w:pPr>
        <w:ind w:firstLine="480"/>
        <w:rPr>
          <w:rFonts w:ascii="仿宋" w:hAnsi="仿宋" w:eastAsia="仿宋"/>
          <w:color w:val="auto"/>
          <w:sz w:val="24"/>
        </w:rPr>
      </w:pPr>
      <w:r>
        <w:rPr>
          <w:rFonts w:hint="eastAsia" w:ascii="仿宋" w:hAnsi="仿宋" w:eastAsia="仿宋"/>
          <w:color w:val="auto"/>
          <w:sz w:val="24"/>
        </w:rPr>
        <w:t>23.1采购代理机构在《投标人须知前附表》中约定的日期、时间和地点组织公开开标。开标时邀请采购人和投标人法定代表人或其委托代理人参加。参加开标的代表应签到以证明其出席。</w:t>
      </w:r>
    </w:p>
    <w:p w14:paraId="2CB80CDC">
      <w:pPr>
        <w:ind w:firstLine="480"/>
        <w:rPr>
          <w:rFonts w:ascii="仿宋" w:hAnsi="仿宋" w:eastAsia="仿宋"/>
          <w:color w:val="auto"/>
          <w:sz w:val="24"/>
        </w:rPr>
      </w:pPr>
      <w:r>
        <w:rPr>
          <w:rFonts w:hint="eastAsia" w:ascii="仿宋" w:hAnsi="仿宋" w:eastAsia="仿宋"/>
          <w:color w:val="auto"/>
          <w:sz w:val="24"/>
        </w:rPr>
        <w:t>23.2开标时，由投标人或其推选的代表检查投标文件的密封情况，经确认无误后由采购代理机构工作人员当众拆封并唱标。</w:t>
      </w:r>
    </w:p>
    <w:p w14:paraId="2BD2303C">
      <w:pPr>
        <w:ind w:firstLine="480"/>
        <w:rPr>
          <w:rFonts w:ascii="仿宋" w:hAnsi="仿宋" w:eastAsia="仿宋"/>
          <w:color w:val="auto"/>
          <w:sz w:val="24"/>
        </w:rPr>
      </w:pPr>
      <w:r>
        <w:rPr>
          <w:rFonts w:hint="eastAsia" w:ascii="仿宋" w:hAnsi="仿宋" w:eastAsia="仿宋"/>
          <w:color w:val="auto"/>
          <w:sz w:val="24"/>
        </w:rPr>
        <w:t>23.3开标过程应当由采购人或者采购代理机构负责记录，由参加开标的各投标人代表和相关工作人员签字确认后随招标文件一并存档。</w:t>
      </w:r>
    </w:p>
    <w:p w14:paraId="39913F3F">
      <w:pPr>
        <w:ind w:firstLine="480"/>
        <w:rPr>
          <w:rFonts w:ascii="仿宋" w:hAnsi="仿宋" w:eastAsia="仿宋"/>
          <w:color w:val="auto"/>
          <w:sz w:val="24"/>
        </w:rPr>
      </w:pPr>
      <w:r>
        <w:rPr>
          <w:rFonts w:hint="eastAsia" w:ascii="仿宋" w:hAnsi="仿宋" w:eastAsia="仿宋"/>
          <w:color w:val="auto"/>
          <w:sz w:val="24"/>
        </w:rPr>
        <w:t>23.4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14341860">
      <w:pPr>
        <w:ind w:firstLine="480"/>
        <w:rPr>
          <w:rFonts w:ascii="仿宋" w:hAnsi="仿宋" w:eastAsia="仿宋"/>
          <w:color w:val="auto"/>
          <w:sz w:val="24"/>
        </w:rPr>
      </w:pPr>
      <w:r>
        <w:rPr>
          <w:rFonts w:hint="eastAsia" w:ascii="仿宋" w:hAnsi="仿宋" w:eastAsia="仿宋"/>
          <w:color w:val="auto"/>
          <w:sz w:val="24"/>
        </w:rPr>
        <w:t>23.5投标人代表未参加开标的，视同认可开标结果。</w:t>
      </w:r>
    </w:p>
    <w:p w14:paraId="2D97CF1A">
      <w:pPr>
        <w:ind w:firstLine="480"/>
        <w:rPr>
          <w:rFonts w:ascii="仿宋" w:hAnsi="仿宋" w:eastAsia="仿宋"/>
          <w:color w:val="auto"/>
          <w:sz w:val="24"/>
        </w:rPr>
      </w:pPr>
      <w:r>
        <w:rPr>
          <w:rFonts w:hint="eastAsia" w:ascii="仿宋" w:hAnsi="仿宋" w:eastAsia="仿宋"/>
          <w:color w:val="auto"/>
          <w:sz w:val="24"/>
        </w:rPr>
        <w:t>23.6无论是什么原因，在开标时没有启封和宣读的投标文件，在评标时将不予考虑。</w:t>
      </w:r>
    </w:p>
    <w:p w14:paraId="33F0E313">
      <w:pPr>
        <w:ind w:firstLine="480"/>
        <w:rPr>
          <w:rFonts w:ascii="仿宋" w:hAnsi="仿宋" w:eastAsia="仿宋"/>
          <w:color w:val="auto"/>
          <w:sz w:val="24"/>
        </w:rPr>
      </w:pPr>
      <w:r>
        <w:rPr>
          <w:rFonts w:hint="eastAsia" w:ascii="仿宋" w:hAnsi="仿宋" w:eastAsia="仿宋"/>
          <w:color w:val="auto"/>
          <w:sz w:val="24"/>
        </w:rPr>
        <w:t>24.评标委员会的组成和评标方法</w:t>
      </w:r>
    </w:p>
    <w:p w14:paraId="3B442672">
      <w:pPr>
        <w:ind w:firstLine="480"/>
        <w:rPr>
          <w:rFonts w:ascii="仿宋" w:hAnsi="仿宋" w:eastAsia="仿宋"/>
          <w:color w:val="auto"/>
          <w:sz w:val="24"/>
        </w:rPr>
      </w:pPr>
      <w:r>
        <w:rPr>
          <w:rFonts w:hint="eastAsia" w:ascii="仿宋" w:hAnsi="仿宋" w:eastAsia="仿宋"/>
          <w:color w:val="auto"/>
          <w:sz w:val="24"/>
        </w:rPr>
        <w:t>24.1评标由采购人按照政府采购有关规定组建的评标委员会负责，评标委员会专家成员依法从政府采购专家库中随机抽取。评标委员会的组成见《投标人须知前附表》。</w:t>
      </w:r>
    </w:p>
    <w:p w14:paraId="4083B563">
      <w:pPr>
        <w:ind w:firstLine="480"/>
        <w:rPr>
          <w:rFonts w:ascii="仿宋" w:hAnsi="仿宋" w:eastAsia="仿宋"/>
          <w:color w:val="auto"/>
          <w:sz w:val="24"/>
        </w:rPr>
      </w:pPr>
      <w:r>
        <w:rPr>
          <w:rFonts w:hint="eastAsia" w:ascii="仿宋" w:hAnsi="仿宋" w:eastAsia="仿宋"/>
          <w:color w:val="auto"/>
          <w:sz w:val="24"/>
        </w:rPr>
        <w:t>24.2评标委员会设组长1名，由评标委员会全体成员共同推选产生。评标委员会组长负责组织评标活动，与其他评委有同等表决权，采购人代表不得担任组长。</w:t>
      </w:r>
    </w:p>
    <w:p w14:paraId="17D265DE">
      <w:pPr>
        <w:ind w:firstLine="480"/>
        <w:rPr>
          <w:rFonts w:ascii="仿宋" w:hAnsi="仿宋" w:eastAsia="仿宋"/>
          <w:color w:val="auto"/>
          <w:sz w:val="24"/>
        </w:rPr>
      </w:pPr>
      <w:r>
        <w:rPr>
          <w:rFonts w:hint="eastAsia" w:ascii="仿宋" w:hAnsi="仿宋" w:eastAsia="仿宋"/>
          <w:color w:val="auto"/>
          <w:sz w:val="24"/>
        </w:rPr>
        <w:t>24.3评标委员会将按照本招标文件规定的评标方法进行评标，评标采用的评标方法见《投标人须知前附表》。评标委员会发现招标文件存在歧义、重大缺陷导致评标工作无法进行，或者招标文件内容违反国家有关强制性规定的，应当停止评标工作，与采购人或者采购代理机构沟通并作书面记录。</w:t>
      </w:r>
    </w:p>
    <w:p w14:paraId="7D9AB363">
      <w:pPr>
        <w:ind w:firstLine="480"/>
        <w:rPr>
          <w:rFonts w:ascii="仿宋" w:hAnsi="仿宋" w:eastAsia="仿宋"/>
          <w:color w:val="auto"/>
          <w:sz w:val="24"/>
        </w:rPr>
      </w:pPr>
      <w:r>
        <w:rPr>
          <w:rFonts w:hint="eastAsia" w:ascii="仿宋" w:hAnsi="仿宋" w:eastAsia="仿宋"/>
          <w:color w:val="auto"/>
          <w:sz w:val="24"/>
        </w:rPr>
        <w:t>24.4评审委员会成员应当在评审报告上签字，对自己的评审意见承担法律责任。评标委员会成员对需要共同认定的事项存在争议的，应当按照少数服从多数的原则作出结论。持不同意见的评标委员会成员应当在评标报告上签署不同意见及理由，否则视为同意评标报告。</w:t>
      </w:r>
    </w:p>
    <w:p w14:paraId="32E0D095">
      <w:pPr>
        <w:ind w:firstLine="480"/>
        <w:rPr>
          <w:rFonts w:ascii="仿宋" w:hAnsi="仿宋" w:eastAsia="仿宋"/>
          <w:color w:val="auto"/>
          <w:sz w:val="24"/>
        </w:rPr>
      </w:pPr>
      <w:r>
        <w:rPr>
          <w:rFonts w:hint="eastAsia" w:ascii="仿宋" w:hAnsi="仿宋" w:eastAsia="仿宋"/>
          <w:color w:val="auto"/>
          <w:sz w:val="24"/>
        </w:rPr>
        <w:t>25.资格审查</w:t>
      </w:r>
    </w:p>
    <w:p w14:paraId="75AEA217">
      <w:pPr>
        <w:ind w:firstLine="480"/>
        <w:rPr>
          <w:rFonts w:ascii="仿宋" w:hAnsi="仿宋" w:eastAsia="仿宋"/>
          <w:color w:val="auto"/>
          <w:sz w:val="24"/>
        </w:rPr>
      </w:pPr>
      <w:r>
        <w:rPr>
          <w:rFonts w:hint="eastAsia" w:ascii="仿宋" w:hAnsi="仿宋" w:eastAsia="仿宋"/>
          <w:color w:val="auto"/>
          <w:sz w:val="24"/>
        </w:rPr>
        <w:t>25.1开标结束后，采购人或者采购代理机构对投标人的资格进行审查。</w:t>
      </w:r>
    </w:p>
    <w:p w14:paraId="478D54E0">
      <w:pPr>
        <w:ind w:firstLine="480"/>
        <w:rPr>
          <w:rFonts w:ascii="仿宋" w:hAnsi="仿宋" w:eastAsia="仿宋"/>
          <w:color w:val="auto"/>
          <w:sz w:val="24"/>
        </w:rPr>
      </w:pPr>
      <w:r>
        <w:rPr>
          <w:rFonts w:hint="eastAsia" w:ascii="仿宋" w:hAnsi="仿宋" w:eastAsia="仿宋"/>
          <w:color w:val="auto"/>
          <w:sz w:val="24"/>
        </w:rPr>
        <w:t>25.2合格投标人不足3家的，不得评标。</w:t>
      </w:r>
    </w:p>
    <w:p w14:paraId="13FDED6B">
      <w:pPr>
        <w:ind w:firstLine="480"/>
        <w:rPr>
          <w:rFonts w:ascii="仿宋" w:hAnsi="仿宋" w:eastAsia="仿宋"/>
          <w:color w:val="auto"/>
          <w:sz w:val="24"/>
        </w:rPr>
      </w:pPr>
      <w:r>
        <w:rPr>
          <w:rFonts w:hint="eastAsia" w:ascii="仿宋" w:hAnsi="仿宋" w:eastAsia="仿宋"/>
          <w:color w:val="auto"/>
          <w:sz w:val="24"/>
        </w:rPr>
        <w:t>25.3审查内容：是否符合第一章第二款的要求，并按本须知14条提供完整合格有效的资格证明材料。</w:t>
      </w:r>
    </w:p>
    <w:p w14:paraId="0F89E5C2">
      <w:pPr>
        <w:ind w:firstLine="480"/>
        <w:rPr>
          <w:rFonts w:ascii="仿宋" w:hAnsi="仿宋" w:eastAsia="仿宋"/>
          <w:color w:val="auto"/>
          <w:sz w:val="24"/>
        </w:rPr>
      </w:pPr>
      <w:r>
        <w:rPr>
          <w:rFonts w:hint="eastAsia" w:ascii="仿宋" w:hAnsi="仿宋" w:eastAsia="仿宋"/>
          <w:color w:val="auto"/>
          <w:sz w:val="24"/>
        </w:rPr>
        <w:t>25.4审查结果应由审查各方签字形成报告，并将结果通报至评标委员会。</w:t>
      </w:r>
    </w:p>
    <w:p w14:paraId="38400CAF">
      <w:pPr>
        <w:ind w:firstLine="480"/>
        <w:rPr>
          <w:rFonts w:ascii="仿宋" w:hAnsi="仿宋" w:eastAsia="仿宋"/>
          <w:color w:val="auto"/>
          <w:sz w:val="24"/>
        </w:rPr>
      </w:pPr>
      <w:r>
        <w:rPr>
          <w:rFonts w:hint="eastAsia" w:ascii="仿宋" w:hAnsi="仿宋" w:eastAsia="仿宋"/>
          <w:color w:val="auto"/>
          <w:sz w:val="24"/>
        </w:rPr>
        <w:t>26.评标</w:t>
      </w:r>
    </w:p>
    <w:p w14:paraId="0C335AD0">
      <w:pPr>
        <w:ind w:firstLine="480"/>
        <w:rPr>
          <w:rFonts w:ascii="仿宋" w:hAnsi="仿宋" w:eastAsia="仿宋"/>
          <w:color w:val="auto"/>
          <w:sz w:val="24"/>
        </w:rPr>
      </w:pPr>
      <w:r>
        <w:rPr>
          <w:rFonts w:hint="eastAsia" w:ascii="仿宋" w:hAnsi="仿宋" w:eastAsia="仿宋"/>
          <w:color w:val="auto"/>
          <w:sz w:val="24"/>
        </w:rPr>
        <w:t>26.1评审专家应当严格遵守评审工作纪律，按照客观、公正、审慎的原则，根据招标文件规定的评审程序、评审方法和评审标准进行独立评审，详见第四章“评标方法”。</w:t>
      </w:r>
    </w:p>
    <w:p w14:paraId="292F8ABF">
      <w:pPr>
        <w:ind w:firstLine="480"/>
        <w:rPr>
          <w:rFonts w:ascii="仿宋" w:hAnsi="仿宋" w:eastAsia="仿宋"/>
          <w:color w:val="auto"/>
          <w:sz w:val="24"/>
        </w:rPr>
      </w:pPr>
      <w:r>
        <w:rPr>
          <w:rFonts w:hint="eastAsia" w:ascii="仿宋" w:hAnsi="仿宋" w:eastAsia="仿宋"/>
          <w:color w:val="auto"/>
          <w:sz w:val="24"/>
        </w:rPr>
        <w:t>27.澄清</w:t>
      </w:r>
    </w:p>
    <w:p w14:paraId="1FEA892C">
      <w:pPr>
        <w:ind w:firstLine="480"/>
        <w:rPr>
          <w:rFonts w:ascii="仿宋" w:hAnsi="仿宋" w:eastAsia="仿宋"/>
          <w:color w:val="auto"/>
          <w:sz w:val="24"/>
        </w:rPr>
      </w:pPr>
      <w:r>
        <w:rPr>
          <w:rFonts w:hint="eastAsia" w:ascii="仿宋" w:hAnsi="仿宋" w:eastAsia="仿宋"/>
          <w:color w:val="auto"/>
          <w:sz w:val="24"/>
        </w:rPr>
        <w:t>27.1对于投标文件中含义不明确、同类问题表述不一致或者有明显文字和计算错误的内容，评标委员会应当以书面形式要求投标人作出必要的澄清、说明或者补正。</w:t>
      </w:r>
    </w:p>
    <w:p w14:paraId="039D10EA">
      <w:pPr>
        <w:ind w:firstLine="480"/>
        <w:rPr>
          <w:rFonts w:ascii="仿宋" w:hAnsi="仿宋" w:eastAsia="仿宋"/>
          <w:color w:val="auto"/>
          <w:sz w:val="24"/>
        </w:rPr>
      </w:pPr>
      <w:r>
        <w:rPr>
          <w:rFonts w:hint="eastAsia" w:ascii="仿宋" w:hAnsi="仿宋" w:eastAsia="仿宋"/>
          <w:color w:val="auto"/>
          <w:sz w:val="24"/>
        </w:rPr>
        <w:t>27.2投标人的澄清、说明或者补正应当采用书面形式，并加盖公章，或者由法定代表人或其授权的代表签字。投标人的澄清、说明或者补正不得超出投标文件的范围或者改变投标文件的实质性内容。</w:t>
      </w:r>
    </w:p>
    <w:p w14:paraId="3B9E8FC3">
      <w:pPr>
        <w:ind w:firstLine="480"/>
        <w:rPr>
          <w:rFonts w:ascii="仿宋" w:hAnsi="仿宋" w:eastAsia="仿宋"/>
          <w:color w:val="auto"/>
          <w:sz w:val="24"/>
        </w:rPr>
      </w:pPr>
      <w:r>
        <w:rPr>
          <w:rFonts w:hint="eastAsia" w:ascii="仿宋" w:hAnsi="仿宋" w:eastAsia="仿宋"/>
          <w:color w:val="auto"/>
          <w:sz w:val="24"/>
        </w:rPr>
        <w:t>28.评标过程保密</w:t>
      </w:r>
    </w:p>
    <w:p w14:paraId="4CFE12DE">
      <w:pPr>
        <w:ind w:firstLine="480"/>
        <w:rPr>
          <w:rFonts w:ascii="仿宋" w:hAnsi="仿宋" w:eastAsia="仿宋"/>
          <w:color w:val="auto"/>
          <w:sz w:val="24"/>
        </w:rPr>
      </w:pPr>
      <w:r>
        <w:rPr>
          <w:rFonts w:hint="eastAsia" w:ascii="仿宋" w:hAnsi="仿宋" w:eastAsia="仿宋"/>
          <w:color w:val="auto"/>
          <w:sz w:val="24"/>
        </w:rPr>
        <w:t>28.1采购人、采购代理机构应当采取必要措施，保证评标在严格保密的情况下进行。除采购人代表、评标现场组织人员外，采购人的其他工作人员以及与评标工作无关的人员不得进入评标现场。</w:t>
      </w:r>
    </w:p>
    <w:p w14:paraId="4A269F1F">
      <w:pPr>
        <w:ind w:firstLine="480"/>
        <w:rPr>
          <w:rFonts w:ascii="仿宋" w:hAnsi="仿宋" w:eastAsia="仿宋"/>
          <w:color w:val="auto"/>
          <w:sz w:val="24"/>
        </w:rPr>
      </w:pPr>
      <w:r>
        <w:rPr>
          <w:rFonts w:hint="eastAsia" w:ascii="仿宋" w:hAnsi="仿宋" w:eastAsia="仿宋"/>
          <w:color w:val="auto"/>
          <w:sz w:val="24"/>
        </w:rPr>
        <w:t>28.2有关人员对评标情况以及在评标过程中获悉的国家秘密、商业秘密负有保密责任。凡是属于审查、澄清、评价和比较投标的有关资料以及授标意向等，采购人、采购代理机构、监管人员、评标委员会及有关工作人员均不得向投标人或其它无关的人员透露。</w:t>
      </w:r>
    </w:p>
    <w:p w14:paraId="46B3453F">
      <w:pPr>
        <w:ind w:firstLine="480"/>
        <w:rPr>
          <w:rFonts w:ascii="仿宋" w:hAnsi="仿宋" w:eastAsia="仿宋"/>
          <w:color w:val="auto"/>
          <w:sz w:val="24"/>
        </w:rPr>
      </w:pPr>
      <w:r>
        <w:rPr>
          <w:rFonts w:hint="eastAsia" w:ascii="仿宋" w:hAnsi="仿宋" w:eastAsia="仿宋"/>
          <w:color w:val="auto"/>
          <w:sz w:val="24"/>
        </w:rPr>
        <w:t>28.3在评标期间，投标人试图影响采购人、采购代理机构和评标委员会而获得评标信息的任何活动，都将导致其投标被否决，并承担相应的法律责任。</w:t>
      </w:r>
    </w:p>
    <w:p w14:paraId="66746BAF">
      <w:pPr>
        <w:ind w:firstLine="480"/>
        <w:outlineLvl w:val="2"/>
        <w:rPr>
          <w:rFonts w:ascii="仿宋" w:hAnsi="仿宋" w:eastAsia="仿宋"/>
          <w:color w:val="auto"/>
          <w:sz w:val="24"/>
        </w:rPr>
      </w:pPr>
      <w:bookmarkStart w:id="31" w:name="_Toc181712884"/>
      <w:bookmarkStart w:id="32" w:name="_Toc133588528"/>
      <w:r>
        <w:rPr>
          <w:rFonts w:hint="eastAsia" w:ascii="仿宋" w:hAnsi="仿宋" w:eastAsia="仿宋"/>
          <w:color w:val="auto"/>
          <w:sz w:val="24"/>
        </w:rPr>
        <w:t>（六）定标与签订合同</w:t>
      </w:r>
      <w:bookmarkEnd w:id="31"/>
      <w:bookmarkEnd w:id="32"/>
    </w:p>
    <w:p w14:paraId="1B5404B3">
      <w:pPr>
        <w:ind w:firstLine="480"/>
        <w:rPr>
          <w:rFonts w:ascii="仿宋" w:hAnsi="仿宋" w:eastAsia="仿宋"/>
          <w:color w:val="auto"/>
          <w:sz w:val="24"/>
        </w:rPr>
      </w:pPr>
      <w:r>
        <w:rPr>
          <w:rFonts w:hint="eastAsia" w:ascii="仿宋" w:hAnsi="仿宋" w:eastAsia="仿宋"/>
          <w:color w:val="auto"/>
          <w:sz w:val="24"/>
        </w:rPr>
        <w:t>29.定标及质疑投诉</w:t>
      </w:r>
    </w:p>
    <w:p w14:paraId="0144FEA1">
      <w:pPr>
        <w:ind w:firstLine="480"/>
        <w:rPr>
          <w:rFonts w:ascii="仿宋" w:hAnsi="仿宋" w:eastAsia="仿宋"/>
          <w:color w:val="auto"/>
          <w:sz w:val="24"/>
        </w:rPr>
      </w:pPr>
      <w:r>
        <w:rPr>
          <w:rFonts w:hint="eastAsia" w:ascii="仿宋" w:hAnsi="仿宋" w:eastAsia="仿宋"/>
          <w:color w:val="auto"/>
          <w:sz w:val="24"/>
        </w:rPr>
        <w:t>29.1采购代理机构应当在评标结束后2个工作日内将评标报告送采购人。</w:t>
      </w:r>
    </w:p>
    <w:p w14:paraId="4EE9116C">
      <w:pPr>
        <w:ind w:firstLine="480"/>
        <w:rPr>
          <w:rFonts w:ascii="仿宋" w:hAnsi="仿宋" w:eastAsia="仿宋"/>
          <w:color w:val="auto"/>
          <w:sz w:val="24"/>
        </w:rPr>
      </w:pPr>
      <w:r>
        <w:rPr>
          <w:rFonts w:hint="eastAsia" w:ascii="仿宋" w:hAnsi="仿宋" w:eastAsia="仿宋"/>
          <w:color w:val="auto"/>
          <w:sz w:val="24"/>
        </w:rPr>
        <w:t>29.2采购人应当在评标报告确定的中标候选人名单中按顺序确定中标人。中标候选人并列的，由采购人或者采购人委托评标委员会按照招标文件规定的方式确定中标人；招标文件未规定的，采取随机抽取的方式确定。</w:t>
      </w:r>
    </w:p>
    <w:p w14:paraId="5E4E3925">
      <w:pPr>
        <w:ind w:firstLine="480"/>
        <w:rPr>
          <w:rFonts w:ascii="仿宋" w:hAnsi="仿宋" w:eastAsia="仿宋"/>
          <w:color w:val="auto"/>
          <w:sz w:val="24"/>
        </w:rPr>
      </w:pPr>
      <w:r>
        <w:rPr>
          <w:rFonts w:hint="eastAsia" w:ascii="仿宋" w:hAnsi="仿宋" w:eastAsia="仿宋"/>
          <w:color w:val="auto"/>
          <w:sz w:val="24"/>
        </w:rPr>
        <w:t>29.3中标人确定方式见《投标人须知前附表》。</w:t>
      </w:r>
    </w:p>
    <w:p w14:paraId="79F32EBC">
      <w:pPr>
        <w:ind w:firstLine="480"/>
        <w:rPr>
          <w:rFonts w:ascii="仿宋" w:hAnsi="仿宋" w:eastAsia="仿宋"/>
          <w:color w:val="auto"/>
          <w:sz w:val="24"/>
        </w:rPr>
      </w:pPr>
      <w:r>
        <w:rPr>
          <w:rFonts w:hint="eastAsia" w:ascii="仿宋" w:hAnsi="仿宋" w:eastAsia="仿宋"/>
          <w:color w:val="auto"/>
          <w:sz w:val="24"/>
        </w:rPr>
        <w:t>29.4采购人或者采购代理机构应当自中标人确定之日起2个工作日内，发出中标通知书，并在指定的媒体上公告中标结果。</w:t>
      </w:r>
    </w:p>
    <w:p w14:paraId="0154CA87">
      <w:pPr>
        <w:ind w:firstLine="480"/>
        <w:rPr>
          <w:rFonts w:ascii="仿宋" w:hAnsi="仿宋" w:eastAsia="仿宋"/>
          <w:color w:val="auto"/>
          <w:sz w:val="24"/>
        </w:rPr>
      </w:pPr>
      <w:r>
        <w:rPr>
          <w:rFonts w:hint="eastAsia" w:ascii="仿宋" w:hAnsi="仿宋" w:eastAsia="仿宋"/>
          <w:color w:val="auto"/>
          <w:sz w:val="24"/>
        </w:rPr>
        <w:t>29.5投标人认为招标文件、采购过程、中标或者成交结果使自己的权益受到损害的，可以在知道或者应知其权益受到损害之日起7个工作日内，以书面形式向采购人、采购代理机构提出质疑。质疑投标人应当在法定质疑期内一次性提出针对同一采购程序环节的质疑。质疑办法见《投标人须知前附表》。采购人、采购代理机构在收到质疑函后7个工作日内作出答复。质疑人对采购人、采购代理机构的答复不满意，或者采购人、采购代理机构未在规定时间内作出答复的，可以在答复期满后15个工作日内向具有监管权限的财政部门提起投诉。</w:t>
      </w:r>
    </w:p>
    <w:p w14:paraId="2CEA43A2">
      <w:pPr>
        <w:ind w:firstLine="480"/>
        <w:rPr>
          <w:rFonts w:ascii="仿宋" w:hAnsi="仿宋" w:eastAsia="仿宋"/>
          <w:color w:val="auto"/>
          <w:sz w:val="24"/>
        </w:rPr>
      </w:pPr>
      <w:r>
        <w:rPr>
          <w:rFonts w:hint="eastAsia" w:ascii="仿宋" w:hAnsi="仿宋" w:eastAsia="仿宋"/>
          <w:color w:val="auto"/>
          <w:sz w:val="24"/>
        </w:rPr>
        <w:t>30.合同授予标准</w:t>
      </w:r>
    </w:p>
    <w:p w14:paraId="3231663C">
      <w:pPr>
        <w:ind w:firstLine="480"/>
        <w:rPr>
          <w:rFonts w:ascii="仿宋" w:hAnsi="仿宋" w:eastAsia="仿宋"/>
          <w:color w:val="auto"/>
          <w:sz w:val="24"/>
        </w:rPr>
      </w:pPr>
      <w:r>
        <w:rPr>
          <w:rFonts w:hint="eastAsia" w:ascii="仿宋" w:hAnsi="仿宋" w:eastAsia="仿宋"/>
          <w:color w:val="auto"/>
          <w:sz w:val="24"/>
        </w:rPr>
        <w:t>30.1采购人应按照评标报告推荐的顺序确定排名第一的中标候选人为中标人，特殊情况按本须知31.3条的规定执行。</w:t>
      </w:r>
    </w:p>
    <w:p w14:paraId="2C2BDC9C">
      <w:pPr>
        <w:ind w:firstLine="480"/>
        <w:rPr>
          <w:rFonts w:ascii="仿宋" w:hAnsi="仿宋" w:eastAsia="仿宋"/>
          <w:color w:val="auto"/>
          <w:sz w:val="24"/>
        </w:rPr>
      </w:pPr>
      <w:r>
        <w:rPr>
          <w:rFonts w:hint="eastAsia" w:ascii="仿宋" w:hAnsi="仿宋" w:eastAsia="仿宋"/>
          <w:color w:val="auto"/>
          <w:sz w:val="24"/>
        </w:rPr>
        <w:t>31.签订合同</w:t>
      </w:r>
    </w:p>
    <w:p w14:paraId="29BB0F79">
      <w:pPr>
        <w:ind w:firstLine="480"/>
        <w:rPr>
          <w:rFonts w:ascii="仿宋" w:hAnsi="仿宋" w:eastAsia="仿宋"/>
          <w:color w:val="auto"/>
          <w:sz w:val="24"/>
        </w:rPr>
      </w:pPr>
      <w:r>
        <w:rPr>
          <w:rFonts w:hint="eastAsia" w:ascii="仿宋" w:hAnsi="仿宋" w:eastAsia="仿宋"/>
          <w:color w:val="auto"/>
          <w:sz w:val="24"/>
        </w:rPr>
        <w:t>31.1采购人应当自中标通知书发出之日起30日内，按照招标文件和中标人投标文件的规定，与中标人签订书面合同。所签订的合同不得对招标文件确定的事项和中标人投标文件作实质性修改。招标文件要求中标人提交履约保证金的，中标人应当以支票、汇票、本票或者金融机构、担保机构出具的保函等非现金形式提交。有关履约保证金的规定见《投标人须知前附表》。</w:t>
      </w:r>
    </w:p>
    <w:p w14:paraId="084D5908">
      <w:pPr>
        <w:ind w:firstLine="480"/>
        <w:rPr>
          <w:rFonts w:ascii="仿宋" w:hAnsi="仿宋" w:eastAsia="仿宋"/>
          <w:color w:val="auto"/>
          <w:sz w:val="24"/>
        </w:rPr>
      </w:pPr>
      <w:r>
        <w:rPr>
          <w:rFonts w:hint="eastAsia" w:ascii="仿宋" w:hAnsi="仿宋" w:eastAsia="仿宋"/>
          <w:color w:val="auto"/>
          <w:sz w:val="24"/>
        </w:rPr>
        <w:t>31.2采购代理机构将协助采购人与中标人签订采购合同。采购人与中标人应按招标文件要求和中标人的投标文件订立书面合同，合同不得超出招标文件和投标文件的范围，也不得再行订立背离合同实质性内容的其他协议。采购人不得向中标人提出任何不合理的要求作为签订合同的条件。</w:t>
      </w:r>
    </w:p>
    <w:p w14:paraId="1A5D4F5A">
      <w:pPr>
        <w:ind w:firstLine="480"/>
        <w:rPr>
          <w:rFonts w:ascii="仿宋" w:hAnsi="仿宋" w:eastAsia="仿宋"/>
          <w:color w:val="auto"/>
          <w:sz w:val="24"/>
        </w:rPr>
      </w:pPr>
      <w:r>
        <w:rPr>
          <w:rFonts w:hint="eastAsia" w:ascii="仿宋" w:hAnsi="仿宋" w:eastAsia="仿宋"/>
          <w:color w:val="auto"/>
          <w:sz w:val="24"/>
        </w:rPr>
        <w:t>31.3中标人拒绝与采购人签订合同的，采购人可以按照评审报告推荐的中标候选人名单排序，确定下一候选人为中标人，也可以重新开展采购活动。</w:t>
      </w:r>
    </w:p>
    <w:p w14:paraId="08B9FDD0">
      <w:pPr>
        <w:ind w:firstLine="480"/>
        <w:rPr>
          <w:rFonts w:ascii="仿宋" w:hAnsi="仿宋" w:eastAsia="仿宋"/>
          <w:color w:val="auto"/>
          <w:sz w:val="24"/>
        </w:rPr>
      </w:pPr>
      <w:r>
        <w:rPr>
          <w:rFonts w:hint="eastAsia" w:ascii="仿宋" w:hAnsi="仿宋" w:eastAsia="仿宋"/>
          <w:color w:val="auto"/>
          <w:sz w:val="24"/>
        </w:rPr>
        <w:t>31.4中标人无正当理由拒不与采购人签订政府采购合同的，将按照《中华人民共和国政府采购法实施条例》第七十二条规定进行处理。</w:t>
      </w:r>
    </w:p>
    <w:p w14:paraId="624AC2AE">
      <w:pPr>
        <w:ind w:firstLine="480"/>
        <w:outlineLvl w:val="2"/>
        <w:rPr>
          <w:rFonts w:ascii="仿宋" w:hAnsi="仿宋" w:eastAsia="仿宋"/>
          <w:color w:val="auto"/>
          <w:sz w:val="24"/>
        </w:rPr>
      </w:pPr>
      <w:bookmarkStart w:id="33" w:name="_Toc133588529"/>
      <w:bookmarkStart w:id="34" w:name="_Toc181712885"/>
      <w:r>
        <w:rPr>
          <w:rFonts w:hint="eastAsia" w:ascii="仿宋" w:hAnsi="仿宋" w:eastAsia="仿宋"/>
          <w:color w:val="auto"/>
          <w:sz w:val="24"/>
        </w:rPr>
        <w:t>（七）其他要求</w:t>
      </w:r>
      <w:bookmarkEnd w:id="33"/>
      <w:bookmarkEnd w:id="34"/>
    </w:p>
    <w:p w14:paraId="691B728D">
      <w:pPr>
        <w:ind w:firstLine="480"/>
        <w:rPr>
          <w:rFonts w:ascii="仿宋" w:hAnsi="仿宋" w:eastAsia="仿宋"/>
          <w:color w:val="auto"/>
          <w:sz w:val="24"/>
        </w:rPr>
      </w:pPr>
      <w:r>
        <w:rPr>
          <w:rFonts w:hint="eastAsia" w:ascii="仿宋" w:hAnsi="仿宋" w:eastAsia="仿宋"/>
          <w:color w:val="auto"/>
          <w:sz w:val="24"/>
        </w:rPr>
        <w:t>32.见《投标人须知前附表》。</w:t>
      </w:r>
    </w:p>
    <w:p w14:paraId="5D066B94">
      <w:pPr>
        <w:ind w:firstLine="480"/>
        <w:outlineLvl w:val="2"/>
        <w:rPr>
          <w:rFonts w:ascii="仿宋" w:hAnsi="仿宋" w:eastAsia="仿宋"/>
          <w:color w:val="auto"/>
          <w:sz w:val="24"/>
        </w:rPr>
      </w:pPr>
      <w:bookmarkStart w:id="35" w:name="_Toc181712886"/>
      <w:bookmarkStart w:id="36" w:name="_Toc133588530"/>
      <w:r>
        <w:rPr>
          <w:rFonts w:hint="eastAsia" w:ascii="仿宋" w:hAnsi="仿宋" w:eastAsia="仿宋"/>
          <w:color w:val="auto"/>
          <w:sz w:val="24"/>
        </w:rPr>
        <w:t>（八）适用法律</w:t>
      </w:r>
      <w:bookmarkEnd w:id="35"/>
      <w:bookmarkEnd w:id="36"/>
    </w:p>
    <w:p w14:paraId="5A59FD3B">
      <w:pPr>
        <w:ind w:firstLine="480"/>
        <w:rPr>
          <w:rFonts w:ascii="仿宋" w:hAnsi="仿宋" w:eastAsia="仿宋"/>
          <w:color w:val="auto"/>
          <w:sz w:val="24"/>
        </w:rPr>
      </w:pPr>
      <w:r>
        <w:rPr>
          <w:rFonts w:hint="eastAsia" w:ascii="仿宋" w:hAnsi="仿宋" w:eastAsia="仿宋"/>
          <w:color w:val="auto"/>
          <w:sz w:val="24"/>
        </w:rPr>
        <w:t>33.采购人、采购代理机构及投标人的一切招标投标活动均按照《中华人民共和国政府采购法》及相关规定。</w:t>
      </w:r>
    </w:p>
    <w:p w14:paraId="4954B2EC">
      <w:pPr>
        <w:ind w:firstLine="480"/>
        <w:rPr>
          <w:rFonts w:ascii="仿宋" w:hAnsi="仿宋" w:eastAsia="仿宋"/>
          <w:color w:val="auto"/>
          <w:sz w:val="24"/>
        </w:rPr>
      </w:pPr>
    </w:p>
    <w:bookmarkEnd w:id="18"/>
    <w:p w14:paraId="5160F68D">
      <w:pPr>
        <w:spacing w:before="120" w:beforeLines="50" w:after="120" w:afterLines="50" w:line="240" w:lineRule="auto"/>
        <w:ind w:firstLine="0" w:firstLineChars="0"/>
        <w:jc w:val="center"/>
        <w:outlineLvl w:val="0"/>
        <w:rPr>
          <w:rFonts w:ascii="仿宋" w:hAnsi="仿宋" w:eastAsia="仿宋"/>
          <w:bCs/>
          <w:color w:val="auto"/>
          <w:sz w:val="36"/>
          <w:szCs w:val="36"/>
        </w:rPr>
      </w:pPr>
      <w:r>
        <w:rPr>
          <w:rFonts w:hint="eastAsia" w:ascii="仿宋" w:hAnsi="仿宋" w:eastAsia="仿宋" w:cs="宋体"/>
          <w:snapToGrid w:val="0"/>
          <w:color w:val="auto"/>
          <w:kern w:val="0"/>
          <w:szCs w:val="21"/>
          <w:lang w:val="zh-CN"/>
        </w:rPr>
        <w:br w:type="page"/>
      </w:r>
      <w:bookmarkStart w:id="37" w:name="_Toc494528968"/>
      <w:bookmarkStart w:id="38" w:name="_Toc181712887"/>
      <w:r>
        <w:rPr>
          <w:rFonts w:hint="eastAsia" w:ascii="仿宋" w:hAnsi="仿宋" w:eastAsia="仿宋"/>
          <w:bCs/>
          <w:color w:val="auto"/>
          <w:sz w:val="36"/>
          <w:szCs w:val="36"/>
        </w:rPr>
        <w:t>第三章 采购需求</w:t>
      </w:r>
      <w:bookmarkEnd w:id="37"/>
      <w:bookmarkEnd w:id="38"/>
    </w:p>
    <w:p w14:paraId="0FDF71DE">
      <w:pPr>
        <w:ind w:firstLine="199" w:firstLineChars="95"/>
        <w:rPr>
          <w:rFonts w:ascii="仿宋" w:hAnsi="仿宋" w:eastAsia="仿宋"/>
          <w:color w:val="auto"/>
        </w:rPr>
      </w:pPr>
    </w:p>
    <w:p w14:paraId="0A2001AE">
      <w:pPr>
        <w:ind w:firstLine="480"/>
        <w:rPr>
          <w:rFonts w:ascii="仿宋" w:hAnsi="仿宋" w:eastAsia="仿宋" w:cs="仿宋_GB2312"/>
          <w:color w:val="auto"/>
          <w:sz w:val="24"/>
        </w:rPr>
      </w:pPr>
      <w:r>
        <w:rPr>
          <w:rFonts w:hint="eastAsia" w:ascii="仿宋" w:hAnsi="仿宋" w:eastAsia="仿宋" w:cs="仿宋_GB2312"/>
          <w:color w:val="auto"/>
          <w:sz w:val="24"/>
        </w:rPr>
        <w:t>注意：</w:t>
      </w:r>
      <w:bookmarkStart w:id="39" w:name="_Toc494528972"/>
    </w:p>
    <w:p w14:paraId="08ED3440">
      <w:pPr>
        <w:ind w:firstLine="480"/>
        <w:rPr>
          <w:rFonts w:ascii="仿宋" w:hAnsi="仿宋" w:eastAsia="仿宋" w:cs="仿宋_GB2312"/>
          <w:color w:val="auto"/>
          <w:sz w:val="24"/>
        </w:rPr>
      </w:pPr>
      <w:r>
        <w:rPr>
          <w:rFonts w:hint="eastAsia" w:ascii="仿宋" w:hAnsi="仿宋" w:eastAsia="仿宋" w:cs="仿宋_GB2312"/>
          <w:color w:val="auto"/>
          <w:sz w:val="24"/>
        </w:rPr>
        <w:t>1、本章涉及到的品牌或规格型号、尺寸等信息均是为了方便供应商直观和准确地把握相应产品/设备的技术标准，不具指定或唯一的意思表示，供应商应当对照所列品牌/规格型号的产品/设备，采购相当于或高于所列品牌/规格型号技术标准的产品/设备。并提供相应证明材料证明其符合采购需求。本项目涉及的规范标准如有最新版本，以最新版本为准。</w:t>
      </w:r>
    </w:p>
    <w:p w14:paraId="0EFA2C08">
      <w:pPr>
        <w:ind w:firstLine="482"/>
        <w:rPr>
          <w:rFonts w:ascii="仿宋" w:hAnsi="仿宋" w:eastAsia="仿宋" w:cs="仿宋_GB2312"/>
          <w:b/>
          <w:color w:val="auto"/>
          <w:sz w:val="24"/>
        </w:rPr>
      </w:pPr>
      <w:r>
        <w:rPr>
          <w:rFonts w:hint="eastAsia" w:ascii="仿宋" w:hAnsi="仿宋" w:eastAsia="仿宋" w:cs="仿宋_GB2312"/>
          <w:b/>
          <w:color w:val="auto"/>
          <w:sz w:val="24"/>
        </w:rPr>
        <w:t>【2、本项目交货验收期不允许负偏离，否则将导致废标。】</w:t>
      </w:r>
    </w:p>
    <w:p w14:paraId="2E77EBE6">
      <w:pPr>
        <w:ind w:firstLine="420"/>
        <w:rPr>
          <w:rFonts w:ascii="仿宋" w:hAnsi="仿宋" w:eastAsia="仿宋"/>
          <w:color w:val="auto"/>
        </w:rPr>
      </w:pPr>
    </w:p>
    <w:p w14:paraId="49A1AAD9">
      <w:pPr>
        <w:autoSpaceDE w:val="0"/>
        <w:autoSpaceDN w:val="0"/>
        <w:ind w:firstLine="482"/>
        <w:textAlignment w:val="center"/>
        <w:outlineLvl w:val="1"/>
        <w:rPr>
          <w:rFonts w:ascii="仿宋" w:hAnsi="仿宋" w:eastAsia="仿宋" w:cs="宋体"/>
          <w:b/>
          <w:bCs/>
          <w:snapToGrid w:val="0"/>
          <w:color w:val="auto"/>
          <w:kern w:val="0"/>
          <w:sz w:val="24"/>
          <w:lang w:val="zh-CN"/>
        </w:rPr>
      </w:pPr>
      <w:bookmarkStart w:id="40" w:name="_Toc181712888"/>
      <w:bookmarkStart w:id="41" w:name="_Toc833"/>
      <w:bookmarkStart w:id="42" w:name="_Toc119623135"/>
      <w:r>
        <w:rPr>
          <w:rFonts w:hint="eastAsia" w:ascii="仿宋" w:hAnsi="仿宋" w:eastAsia="仿宋" w:cs="宋体"/>
          <w:b/>
          <w:bCs/>
          <w:snapToGrid w:val="0"/>
          <w:color w:val="auto"/>
          <w:kern w:val="0"/>
          <w:sz w:val="24"/>
          <w:lang w:val="zh-CN"/>
        </w:rPr>
        <w:t>一、招标范围</w:t>
      </w:r>
      <w:bookmarkEnd w:id="40"/>
      <w:bookmarkEnd w:id="41"/>
      <w:bookmarkEnd w:id="42"/>
    </w:p>
    <w:tbl>
      <w:tblPr>
        <w:tblStyle w:val="44"/>
        <w:tblW w:w="84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893"/>
        <w:gridCol w:w="859"/>
        <w:gridCol w:w="1721"/>
        <w:gridCol w:w="1343"/>
        <w:gridCol w:w="1064"/>
        <w:gridCol w:w="860"/>
      </w:tblGrid>
      <w:tr w14:paraId="2487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 w:hRule="atLeast"/>
          <w:jc w:val="center"/>
        </w:trPr>
        <w:tc>
          <w:tcPr>
            <w:tcW w:w="688" w:type="dxa"/>
            <w:vAlign w:val="center"/>
          </w:tcPr>
          <w:p w14:paraId="5A242DEF">
            <w:pPr>
              <w:adjustRightInd w:val="0"/>
              <w:snapToGrid w:val="0"/>
              <w:spacing w:line="276" w:lineRule="auto"/>
              <w:ind w:firstLine="0" w:firstLineChars="0"/>
              <w:jc w:val="center"/>
              <w:rPr>
                <w:rFonts w:ascii="仿宋" w:hAnsi="仿宋" w:eastAsia="仿宋"/>
                <w:color w:val="auto"/>
                <w:sz w:val="24"/>
              </w:rPr>
            </w:pPr>
            <w:bookmarkStart w:id="43" w:name="_Toc119623136"/>
            <w:r>
              <w:rPr>
                <w:rFonts w:hint="eastAsia" w:ascii="仿宋" w:hAnsi="仿宋" w:eastAsia="仿宋"/>
                <w:color w:val="auto"/>
                <w:sz w:val="24"/>
              </w:rPr>
              <w:t>包号</w:t>
            </w:r>
          </w:p>
        </w:tc>
        <w:tc>
          <w:tcPr>
            <w:tcW w:w="1893" w:type="dxa"/>
            <w:vAlign w:val="center"/>
          </w:tcPr>
          <w:p w14:paraId="39030144">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设备名称</w:t>
            </w:r>
          </w:p>
        </w:tc>
        <w:tc>
          <w:tcPr>
            <w:tcW w:w="859" w:type="dxa"/>
            <w:vAlign w:val="center"/>
          </w:tcPr>
          <w:p w14:paraId="43546691">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数量</w:t>
            </w:r>
          </w:p>
        </w:tc>
        <w:tc>
          <w:tcPr>
            <w:tcW w:w="1721" w:type="dxa"/>
            <w:vAlign w:val="center"/>
          </w:tcPr>
          <w:p w14:paraId="17EFB2DA">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预算总价/</w:t>
            </w:r>
          </w:p>
          <w:p w14:paraId="61AD176E">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最高限价</w:t>
            </w:r>
          </w:p>
          <w:p w14:paraId="4868C6AE">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（万元）</w:t>
            </w:r>
          </w:p>
        </w:tc>
        <w:tc>
          <w:tcPr>
            <w:tcW w:w="1343" w:type="dxa"/>
            <w:vAlign w:val="center"/>
          </w:tcPr>
          <w:p w14:paraId="769AD461">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交货验收期</w:t>
            </w:r>
          </w:p>
        </w:tc>
        <w:tc>
          <w:tcPr>
            <w:tcW w:w="1064" w:type="dxa"/>
            <w:vAlign w:val="center"/>
          </w:tcPr>
          <w:p w14:paraId="2CD27EE8">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质保期</w:t>
            </w:r>
          </w:p>
        </w:tc>
        <w:tc>
          <w:tcPr>
            <w:tcW w:w="860" w:type="dxa"/>
            <w:vAlign w:val="center"/>
          </w:tcPr>
          <w:p w14:paraId="225B52E4">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备注</w:t>
            </w:r>
          </w:p>
        </w:tc>
      </w:tr>
      <w:tr w14:paraId="56391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688" w:type="dxa"/>
            <w:vAlign w:val="center"/>
          </w:tcPr>
          <w:p w14:paraId="035EE95D">
            <w:pPr>
              <w:adjustRightInd w:val="0"/>
              <w:snapToGrid w:val="0"/>
              <w:spacing w:line="276" w:lineRule="auto"/>
              <w:ind w:firstLine="0" w:firstLineChars="0"/>
              <w:jc w:val="center"/>
              <w:rPr>
                <w:rFonts w:ascii="仿宋" w:hAnsi="仿宋" w:eastAsia="仿宋"/>
                <w:color w:val="auto"/>
                <w:sz w:val="24"/>
              </w:rPr>
            </w:pPr>
            <w:r>
              <w:rPr>
                <w:rFonts w:ascii="仿宋" w:hAnsi="仿宋" w:eastAsia="仿宋"/>
                <w:color w:val="auto"/>
                <w:sz w:val="24"/>
              </w:rPr>
              <w:t>1</w:t>
            </w:r>
          </w:p>
        </w:tc>
        <w:tc>
          <w:tcPr>
            <w:tcW w:w="1893" w:type="dxa"/>
            <w:vAlign w:val="center"/>
          </w:tcPr>
          <w:p w14:paraId="6B2B5991">
            <w:pPr>
              <w:adjustRightInd w:val="0"/>
              <w:snapToGrid w:val="0"/>
              <w:spacing w:line="276" w:lineRule="auto"/>
              <w:ind w:firstLine="0" w:firstLineChars="0"/>
              <w:jc w:val="center"/>
              <w:rPr>
                <w:rFonts w:ascii="仿宋" w:hAnsi="仿宋" w:eastAsia="仿宋"/>
                <w:color w:val="auto"/>
                <w:sz w:val="24"/>
              </w:rPr>
            </w:pPr>
            <w:r>
              <w:rPr>
                <w:rFonts w:hint="eastAsia" w:ascii="仿宋" w:hAnsi="仿宋" w:eastAsia="仿宋"/>
                <w:color w:val="auto"/>
                <w:sz w:val="24"/>
              </w:rPr>
              <w:t>自动细胞显微图像扫描系统</w:t>
            </w:r>
          </w:p>
        </w:tc>
        <w:tc>
          <w:tcPr>
            <w:tcW w:w="859" w:type="dxa"/>
            <w:vAlign w:val="center"/>
          </w:tcPr>
          <w:p w14:paraId="79180622">
            <w:pPr>
              <w:adjustRightInd w:val="0"/>
              <w:snapToGrid w:val="0"/>
              <w:spacing w:line="276" w:lineRule="auto"/>
              <w:ind w:firstLine="0" w:firstLineChars="0"/>
              <w:jc w:val="center"/>
              <w:rPr>
                <w:rFonts w:ascii="仿宋" w:hAnsi="仿宋" w:eastAsia="仿宋"/>
                <w:color w:val="auto"/>
                <w:sz w:val="24"/>
              </w:rPr>
            </w:pPr>
            <w:r>
              <w:rPr>
                <w:rFonts w:ascii="仿宋" w:hAnsi="仿宋" w:eastAsia="仿宋"/>
                <w:color w:val="auto"/>
                <w:sz w:val="24"/>
              </w:rPr>
              <w:t>1</w:t>
            </w:r>
            <w:r>
              <w:rPr>
                <w:rFonts w:hint="eastAsia" w:ascii="仿宋" w:hAnsi="仿宋" w:eastAsia="仿宋"/>
                <w:color w:val="auto"/>
                <w:sz w:val="24"/>
              </w:rPr>
              <w:t>台</w:t>
            </w:r>
          </w:p>
        </w:tc>
        <w:tc>
          <w:tcPr>
            <w:tcW w:w="1721" w:type="dxa"/>
            <w:vAlign w:val="center"/>
          </w:tcPr>
          <w:p w14:paraId="29B04D4D">
            <w:pPr>
              <w:adjustRightInd w:val="0"/>
              <w:snapToGrid w:val="0"/>
              <w:spacing w:line="276" w:lineRule="auto"/>
              <w:ind w:firstLine="0" w:firstLineChars="0"/>
              <w:jc w:val="center"/>
              <w:rPr>
                <w:rFonts w:ascii="仿宋" w:hAnsi="仿宋" w:eastAsia="仿宋"/>
                <w:color w:val="auto"/>
                <w:sz w:val="24"/>
              </w:rPr>
            </w:pPr>
            <w:r>
              <w:rPr>
                <w:rFonts w:ascii="仿宋" w:hAnsi="仿宋" w:eastAsia="仿宋"/>
                <w:color w:val="auto"/>
                <w:sz w:val="24"/>
              </w:rPr>
              <w:t>75</w:t>
            </w:r>
          </w:p>
        </w:tc>
        <w:tc>
          <w:tcPr>
            <w:tcW w:w="1343" w:type="dxa"/>
            <w:vAlign w:val="center"/>
          </w:tcPr>
          <w:p w14:paraId="6B923BB1">
            <w:pPr>
              <w:adjustRightInd w:val="0"/>
              <w:snapToGrid w:val="0"/>
              <w:spacing w:line="276" w:lineRule="auto"/>
              <w:ind w:firstLine="0" w:firstLineChars="0"/>
              <w:jc w:val="center"/>
              <w:rPr>
                <w:rFonts w:ascii="仿宋" w:hAnsi="仿宋" w:eastAsia="仿宋"/>
                <w:color w:val="auto"/>
                <w:sz w:val="24"/>
              </w:rPr>
            </w:pPr>
            <w:r>
              <w:rPr>
                <w:rFonts w:ascii="仿宋" w:hAnsi="仿宋" w:eastAsia="仿宋"/>
                <w:color w:val="auto"/>
                <w:sz w:val="24"/>
              </w:rPr>
              <w:t>合同签订后90天内</w:t>
            </w:r>
          </w:p>
        </w:tc>
        <w:tc>
          <w:tcPr>
            <w:tcW w:w="1064" w:type="dxa"/>
            <w:vAlign w:val="center"/>
          </w:tcPr>
          <w:p w14:paraId="6408E265">
            <w:pPr>
              <w:adjustRightInd w:val="0"/>
              <w:snapToGrid w:val="0"/>
              <w:spacing w:line="276" w:lineRule="auto"/>
              <w:ind w:firstLine="0" w:firstLineChars="0"/>
              <w:jc w:val="center"/>
              <w:rPr>
                <w:rFonts w:ascii="仿宋" w:hAnsi="仿宋" w:eastAsia="仿宋"/>
                <w:color w:val="auto"/>
                <w:sz w:val="24"/>
              </w:rPr>
            </w:pPr>
            <w:r>
              <w:rPr>
                <w:rFonts w:ascii="仿宋" w:hAnsi="仿宋" w:eastAsia="仿宋"/>
                <w:color w:val="auto"/>
                <w:sz w:val="24"/>
              </w:rPr>
              <w:t>24</w:t>
            </w:r>
            <w:r>
              <w:rPr>
                <w:rFonts w:hint="eastAsia" w:ascii="仿宋" w:hAnsi="仿宋" w:eastAsia="仿宋"/>
                <w:color w:val="auto"/>
                <w:sz w:val="24"/>
              </w:rPr>
              <w:t>个月</w:t>
            </w:r>
          </w:p>
        </w:tc>
        <w:tc>
          <w:tcPr>
            <w:tcW w:w="860" w:type="dxa"/>
            <w:vAlign w:val="center"/>
          </w:tcPr>
          <w:p w14:paraId="43E22883">
            <w:pPr>
              <w:adjustRightInd w:val="0"/>
              <w:snapToGrid w:val="0"/>
              <w:spacing w:line="276" w:lineRule="auto"/>
              <w:ind w:firstLine="0" w:firstLineChars="0"/>
              <w:jc w:val="center"/>
              <w:rPr>
                <w:rFonts w:ascii="仿宋" w:hAnsi="仿宋" w:eastAsia="仿宋"/>
                <w:color w:val="auto"/>
                <w:sz w:val="24"/>
              </w:rPr>
            </w:pPr>
          </w:p>
        </w:tc>
      </w:tr>
    </w:tbl>
    <w:p w14:paraId="6675EB6A">
      <w:pPr>
        <w:autoSpaceDE w:val="0"/>
        <w:autoSpaceDN w:val="0"/>
        <w:ind w:firstLine="0" w:firstLineChars="0"/>
        <w:textAlignment w:val="center"/>
        <w:rPr>
          <w:rFonts w:ascii="仿宋" w:hAnsi="仿宋" w:eastAsia="仿宋" w:cs="宋体"/>
          <w:snapToGrid w:val="0"/>
          <w:color w:val="auto"/>
          <w:kern w:val="0"/>
          <w:sz w:val="24"/>
        </w:rPr>
      </w:pPr>
    </w:p>
    <w:p w14:paraId="54D51CEB">
      <w:pPr>
        <w:autoSpaceDE w:val="0"/>
        <w:autoSpaceDN w:val="0"/>
        <w:ind w:firstLine="482"/>
        <w:textAlignment w:val="center"/>
        <w:outlineLvl w:val="1"/>
        <w:rPr>
          <w:rFonts w:ascii="仿宋" w:hAnsi="仿宋" w:eastAsia="仿宋" w:cs="宋体"/>
          <w:b/>
          <w:bCs/>
          <w:snapToGrid w:val="0"/>
          <w:color w:val="auto"/>
          <w:kern w:val="0"/>
          <w:sz w:val="24"/>
          <w:lang w:val="zh-CN"/>
        </w:rPr>
      </w:pPr>
      <w:bookmarkStart w:id="44" w:name="_Toc181712889"/>
      <w:r>
        <w:rPr>
          <w:rFonts w:hint="eastAsia" w:ascii="仿宋" w:hAnsi="仿宋" w:eastAsia="仿宋" w:cs="宋体"/>
          <w:b/>
          <w:bCs/>
          <w:snapToGrid w:val="0"/>
          <w:color w:val="auto"/>
          <w:kern w:val="0"/>
          <w:sz w:val="24"/>
          <w:lang w:val="zh-CN"/>
        </w:rPr>
        <w:t>二、</w:t>
      </w:r>
      <w:bookmarkEnd w:id="43"/>
      <w:r>
        <w:rPr>
          <w:rFonts w:hint="eastAsia" w:ascii="仿宋" w:hAnsi="仿宋" w:eastAsia="仿宋" w:cs="宋体"/>
          <w:b/>
          <w:bCs/>
          <w:snapToGrid w:val="0"/>
          <w:color w:val="auto"/>
          <w:kern w:val="0"/>
          <w:sz w:val="24"/>
          <w:lang w:val="zh-CN"/>
        </w:rPr>
        <w:t>技术要求（</w:t>
      </w:r>
      <w:r>
        <w:rPr>
          <w:rFonts w:hint="eastAsia" w:ascii="仿宋" w:hAnsi="仿宋" w:eastAsia="仿宋" w:cs="宋体"/>
          <w:b/>
          <w:bCs/>
          <w:snapToGrid w:val="0"/>
          <w:color w:val="auto"/>
          <w:kern w:val="0"/>
          <w:sz w:val="24"/>
        </w:rPr>
        <w:t>应等于或优于下列要求</w:t>
      </w:r>
      <w:r>
        <w:rPr>
          <w:rFonts w:hint="eastAsia" w:ascii="仿宋" w:hAnsi="仿宋" w:eastAsia="仿宋" w:cs="宋体"/>
          <w:b/>
          <w:bCs/>
          <w:snapToGrid w:val="0"/>
          <w:color w:val="auto"/>
          <w:kern w:val="0"/>
          <w:sz w:val="24"/>
          <w:lang w:val="zh-CN"/>
        </w:rPr>
        <w:t>）</w:t>
      </w:r>
      <w:bookmarkEnd w:id="44"/>
    </w:p>
    <w:p w14:paraId="0EC3544B">
      <w:pPr>
        <w:ind w:firstLine="482"/>
        <w:rPr>
          <w:rFonts w:ascii="仿宋" w:hAnsi="仿宋" w:eastAsia="仿宋" w:cs="仿宋_GB2312"/>
          <w:b/>
          <w:color w:val="auto"/>
          <w:sz w:val="24"/>
        </w:rPr>
      </w:pPr>
      <w:r>
        <w:rPr>
          <w:rFonts w:hint="eastAsia" w:ascii="仿宋" w:hAnsi="仿宋" w:eastAsia="仿宋" w:cs="仿宋_GB2312"/>
          <w:b/>
          <w:color w:val="auto"/>
          <w:sz w:val="24"/>
        </w:rPr>
        <w:t>【自动细胞显微图像扫描系统】</w:t>
      </w:r>
    </w:p>
    <w:p w14:paraId="235667F2">
      <w:pPr>
        <w:ind w:firstLine="482"/>
        <w:rPr>
          <w:rFonts w:ascii="仿宋" w:hAnsi="仿宋" w:eastAsia="仿宋" w:cs="仿宋_GB2312"/>
          <w:color w:val="auto"/>
          <w:sz w:val="24"/>
        </w:rPr>
      </w:pPr>
      <w:r>
        <w:rPr>
          <w:rFonts w:hint="eastAsia" w:ascii="仿宋" w:hAnsi="仿宋" w:eastAsia="仿宋" w:cs="仿宋_GB2312"/>
          <w:b/>
          <w:bCs/>
          <w:color w:val="auto"/>
          <w:sz w:val="24"/>
        </w:rPr>
        <w:t>（一）</w:t>
      </w:r>
      <w:r>
        <w:rPr>
          <w:rFonts w:ascii="仿宋" w:hAnsi="仿宋" w:eastAsia="仿宋" w:cs="仿宋_GB2312"/>
          <w:b/>
          <w:bCs/>
          <w:color w:val="auto"/>
          <w:sz w:val="24"/>
        </w:rPr>
        <w:t>核型扫描参数</w:t>
      </w:r>
    </w:p>
    <w:p w14:paraId="44DE6D1B">
      <w:pPr>
        <w:ind w:firstLine="480"/>
        <w:rPr>
          <w:rFonts w:ascii="仿宋" w:hAnsi="仿宋" w:eastAsia="仿宋" w:cs="仿宋_GB2312"/>
          <w:color w:val="auto"/>
          <w:sz w:val="24"/>
        </w:rPr>
      </w:pPr>
      <w:r>
        <w:rPr>
          <w:rFonts w:ascii="仿宋" w:hAnsi="仿宋" w:eastAsia="仿宋" w:cs="仿宋_GB2312"/>
          <w:color w:val="auto"/>
          <w:sz w:val="24"/>
        </w:rPr>
        <w:t>1、产品具备无限远校正光学系统</w:t>
      </w:r>
    </w:p>
    <w:p w14:paraId="240C7582">
      <w:pPr>
        <w:ind w:firstLine="480"/>
        <w:rPr>
          <w:rFonts w:ascii="仿宋" w:hAnsi="仿宋" w:eastAsia="仿宋" w:cs="仿宋_GB2312"/>
          <w:color w:val="auto"/>
          <w:sz w:val="24"/>
        </w:rPr>
      </w:pPr>
      <w:r>
        <w:rPr>
          <w:rFonts w:ascii="仿宋" w:hAnsi="仿宋" w:eastAsia="仿宋" w:cs="仿宋_GB2312"/>
          <w:color w:val="auto"/>
          <w:sz w:val="24"/>
        </w:rPr>
        <w:t>2、产品具备正置生物显微镜，人工可操作显微镜观察显微图像</w:t>
      </w:r>
    </w:p>
    <w:p w14:paraId="0D04C7C2">
      <w:pPr>
        <w:ind w:firstLine="480"/>
        <w:rPr>
          <w:rFonts w:ascii="仿宋" w:hAnsi="仿宋" w:eastAsia="仿宋" w:cs="仿宋_GB2312"/>
          <w:color w:val="auto"/>
          <w:sz w:val="24"/>
        </w:rPr>
      </w:pPr>
      <w:r>
        <w:rPr>
          <w:rFonts w:ascii="仿宋" w:hAnsi="仿宋" w:eastAsia="仿宋" w:cs="仿宋_GB2312"/>
          <w:color w:val="auto"/>
          <w:sz w:val="24"/>
        </w:rPr>
        <w:t>3、电动调焦系统采用闭环步进伺服电机，结合高精度的光电传感器测量技术，</w:t>
      </w:r>
      <w:r>
        <w:rPr>
          <w:rFonts w:hint="eastAsia" w:ascii="仿宋" w:hAnsi="仿宋" w:eastAsia="仿宋" w:cs="仿宋_GB2312"/>
          <w:color w:val="auto"/>
          <w:sz w:val="24"/>
        </w:rPr>
        <w:t>可以实现</w:t>
      </w:r>
      <w:r>
        <w:rPr>
          <w:rFonts w:ascii="仿宋" w:hAnsi="仿宋" w:eastAsia="仿宋" w:cs="仿宋_GB2312"/>
          <w:color w:val="auto"/>
          <w:sz w:val="24"/>
        </w:rPr>
        <w:t>精准的运动控制和上下限位，光电传感器应差：</w:t>
      </w:r>
      <w:r>
        <w:rPr>
          <w:rFonts w:hint="eastAsia" w:ascii="仿宋" w:hAnsi="仿宋" w:eastAsia="仿宋" w:cs="仿宋_GB2312"/>
          <w:color w:val="auto"/>
          <w:sz w:val="24"/>
        </w:rPr>
        <w:t>＜</w:t>
      </w:r>
      <w:r>
        <w:rPr>
          <w:rFonts w:ascii="仿宋" w:hAnsi="仿宋" w:eastAsia="仿宋" w:cs="仿宋_GB2312"/>
          <w:color w:val="auto"/>
          <w:sz w:val="24"/>
        </w:rPr>
        <w:t>0.025mm。</w:t>
      </w:r>
    </w:p>
    <w:p w14:paraId="0B70148D">
      <w:pPr>
        <w:ind w:firstLine="480"/>
        <w:rPr>
          <w:rFonts w:ascii="仿宋" w:hAnsi="仿宋" w:eastAsia="仿宋" w:cs="仿宋_GB2312"/>
          <w:color w:val="auto"/>
          <w:sz w:val="24"/>
        </w:rPr>
      </w:pPr>
      <w:r>
        <w:rPr>
          <w:rFonts w:ascii="仿宋" w:hAnsi="仿宋" w:eastAsia="仿宋" w:cs="仿宋_GB2312"/>
          <w:color w:val="auto"/>
          <w:sz w:val="24"/>
        </w:rPr>
        <w:t>4、产品具备电动七位物镜转换器。</w:t>
      </w:r>
    </w:p>
    <w:p w14:paraId="24073A1A">
      <w:pPr>
        <w:ind w:firstLine="480"/>
        <w:rPr>
          <w:rFonts w:ascii="仿宋" w:hAnsi="仿宋" w:eastAsia="仿宋" w:cs="仿宋_GB2312"/>
          <w:color w:val="auto"/>
          <w:sz w:val="24"/>
        </w:rPr>
      </w:pPr>
      <w:r>
        <w:rPr>
          <w:rFonts w:ascii="仿宋" w:hAnsi="仿宋" w:eastAsia="仿宋" w:cs="仿宋_GB2312"/>
          <w:color w:val="auto"/>
          <w:sz w:val="24"/>
        </w:rPr>
        <w:t>5、物镜：物镜螺纹符合显微镜标准，同时符合GB/T22055.1-2008显微镜物镜螺纹标准和GB/T2985-2008生物显微镜中推荐的螺纹接口标准，实现通用兼容性。</w:t>
      </w:r>
    </w:p>
    <w:p w14:paraId="444CB39D">
      <w:pPr>
        <w:ind w:firstLine="480"/>
        <w:rPr>
          <w:rFonts w:ascii="仿宋" w:hAnsi="仿宋" w:eastAsia="仿宋" w:cs="仿宋_GB2312"/>
          <w:color w:val="auto"/>
          <w:sz w:val="24"/>
        </w:rPr>
      </w:pPr>
      <w:r>
        <w:rPr>
          <w:rFonts w:ascii="仿宋" w:hAnsi="仿宋" w:eastAsia="仿宋" w:cs="仿宋_GB2312"/>
          <w:color w:val="auto"/>
          <w:sz w:val="24"/>
        </w:rPr>
        <w:t>5、产品具备多功能三目镜筒，具备</w:t>
      </w:r>
      <w:r>
        <w:rPr>
          <w:rFonts w:hint="eastAsia" w:ascii="仿宋" w:hAnsi="仿宋" w:eastAsia="仿宋" w:cs="仿宋_GB2312"/>
          <w:color w:val="auto"/>
          <w:sz w:val="24"/>
        </w:rPr>
        <w:t>不少于</w:t>
      </w:r>
      <w:r>
        <w:rPr>
          <w:rFonts w:ascii="仿宋" w:hAnsi="仿宋" w:eastAsia="仿宋" w:cs="仿宋_GB2312"/>
          <w:color w:val="auto"/>
          <w:sz w:val="24"/>
        </w:rPr>
        <w:t>三种分光模式。</w:t>
      </w:r>
    </w:p>
    <w:p w14:paraId="4D936267">
      <w:pPr>
        <w:ind w:firstLine="480"/>
        <w:rPr>
          <w:rFonts w:ascii="仿宋" w:hAnsi="仿宋" w:eastAsia="仿宋" w:cs="仿宋_GB2312"/>
          <w:color w:val="auto"/>
          <w:sz w:val="24"/>
        </w:rPr>
      </w:pPr>
      <w:r>
        <w:rPr>
          <w:rFonts w:ascii="仿宋" w:hAnsi="仿宋" w:eastAsia="仿宋" w:cs="仿宋_GB2312"/>
          <w:color w:val="auto"/>
          <w:sz w:val="24"/>
        </w:rPr>
        <w:t>6、细胞显微成像扫描相机：靶面尺寸≥1.1英寸，全帧摄取图像≥700万像素，位深≥12位。</w:t>
      </w:r>
    </w:p>
    <w:p w14:paraId="2A32F77D">
      <w:pPr>
        <w:ind w:firstLine="480"/>
        <w:rPr>
          <w:rFonts w:ascii="仿宋" w:hAnsi="仿宋" w:eastAsia="仿宋" w:cs="仿宋_GB2312"/>
          <w:color w:val="auto"/>
          <w:sz w:val="24"/>
        </w:rPr>
      </w:pPr>
      <w:r>
        <w:rPr>
          <w:rFonts w:ascii="仿宋" w:hAnsi="仿宋" w:eastAsia="仿宋" w:cs="仿宋_GB2312"/>
          <w:color w:val="auto"/>
          <w:sz w:val="24"/>
        </w:rPr>
        <w:t>7、产品具备高精度电动扫描载物台，支持同时放置≥8片玻片。</w:t>
      </w:r>
    </w:p>
    <w:p w14:paraId="004D49BC">
      <w:pPr>
        <w:ind w:firstLine="480"/>
        <w:rPr>
          <w:rFonts w:ascii="仿宋" w:hAnsi="仿宋" w:eastAsia="仿宋" w:cs="仿宋_GB2312"/>
          <w:color w:val="auto"/>
          <w:sz w:val="24"/>
        </w:rPr>
      </w:pPr>
      <w:r>
        <w:rPr>
          <w:rFonts w:ascii="仿宋" w:hAnsi="仿宋" w:eastAsia="仿宋" w:cs="仿宋_GB2312"/>
          <w:color w:val="auto"/>
          <w:sz w:val="24"/>
        </w:rPr>
        <w:t>8、片夹具有机械锁扣防玻片掉落设计。</w:t>
      </w:r>
    </w:p>
    <w:p w14:paraId="3012642D">
      <w:pPr>
        <w:ind w:firstLine="480"/>
        <w:rPr>
          <w:rFonts w:ascii="仿宋" w:hAnsi="仿宋" w:eastAsia="仿宋" w:cs="仿宋_GB2312"/>
          <w:color w:val="auto"/>
          <w:sz w:val="24"/>
        </w:rPr>
      </w:pPr>
      <w:r>
        <w:rPr>
          <w:rFonts w:ascii="仿宋" w:hAnsi="仿宋" w:eastAsia="仿宋" w:cs="仿宋_GB2312"/>
          <w:color w:val="auto"/>
          <w:sz w:val="24"/>
        </w:rPr>
        <w:t>9、产品配备≥300ml大容量储油罐，产品应支持软件自由设定加油的剂量，滴油组件应具有单向阀设计以防止镜油回流和回吸。</w:t>
      </w:r>
    </w:p>
    <w:p w14:paraId="4C99D2A3">
      <w:pPr>
        <w:ind w:firstLine="480"/>
        <w:rPr>
          <w:rFonts w:ascii="仿宋" w:hAnsi="仿宋" w:eastAsia="仿宋" w:cs="仿宋_GB2312"/>
          <w:color w:val="auto"/>
          <w:sz w:val="24"/>
        </w:rPr>
      </w:pPr>
      <w:r>
        <w:rPr>
          <w:rFonts w:ascii="仿宋" w:hAnsi="仿宋" w:eastAsia="仿宋" w:cs="仿宋_GB2312"/>
          <w:color w:val="auto"/>
          <w:sz w:val="24"/>
        </w:rPr>
        <w:t>10、通过离散点的采样，自动拟合显微对焦平面。防止扫描过程中出现离焦。</w:t>
      </w:r>
    </w:p>
    <w:p w14:paraId="44329999">
      <w:pPr>
        <w:ind w:firstLine="480"/>
        <w:rPr>
          <w:rFonts w:ascii="仿宋" w:hAnsi="仿宋" w:eastAsia="仿宋" w:cs="仿宋_GB2312"/>
          <w:color w:val="auto"/>
          <w:sz w:val="24"/>
        </w:rPr>
      </w:pPr>
      <w:r>
        <w:rPr>
          <w:rFonts w:ascii="仿宋" w:hAnsi="仿宋" w:eastAsia="仿宋" w:cs="仿宋_GB2312"/>
          <w:color w:val="auto"/>
          <w:sz w:val="24"/>
        </w:rPr>
        <w:t>11、分析系统应当能显示核型拍摄时所用的扫描设备型号和核型在玻片上位置。</w:t>
      </w:r>
    </w:p>
    <w:p w14:paraId="643B4903">
      <w:pPr>
        <w:ind w:firstLine="480"/>
        <w:rPr>
          <w:rFonts w:ascii="仿宋" w:hAnsi="仿宋" w:eastAsia="仿宋" w:cs="仿宋_GB2312"/>
          <w:color w:val="auto"/>
          <w:sz w:val="24"/>
        </w:rPr>
      </w:pPr>
      <w:r>
        <w:rPr>
          <w:rFonts w:ascii="仿宋" w:hAnsi="仿宋" w:eastAsia="仿宋" w:cs="仿宋_GB2312"/>
          <w:color w:val="auto"/>
          <w:sz w:val="24"/>
        </w:rPr>
        <w:t>12、系统能够自动判断并更新显微系统和电机的标定参数，确保设备在不同机械状态下的持续有效运行，从而减少维护频次并降低运行成</w:t>
      </w:r>
      <w:r>
        <w:rPr>
          <w:rFonts w:hint="eastAsia" w:ascii="仿宋" w:hAnsi="仿宋" w:eastAsia="仿宋" w:cs="仿宋_GB2312"/>
          <w:color w:val="auto"/>
          <w:sz w:val="24"/>
        </w:rPr>
        <w:t>本。</w:t>
      </w:r>
    </w:p>
    <w:p w14:paraId="6833218A">
      <w:pPr>
        <w:ind w:firstLine="482"/>
        <w:rPr>
          <w:rFonts w:ascii="仿宋" w:hAnsi="仿宋" w:eastAsia="仿宋" w:cs="仿宋_GB2312"/>
          <w:b/>
          <w:bCs/>
          <w:color w:val="auto"/>
          <w:sz w:val="24"/>
        </w:rPr>
      </w:pPr>
    </w:p>
    <w:p w14:paraId="516CEE67">
      <w:pPr>
        <w:ind w:firstLine="482"/>
        <w:rPr>
          <w:rFonts w:ascii="仿宋" w:hAnsi="仿宋" w:eastAsia="仿宋" w:cs="仿宋_GB2312"/>
          <w:color w:val="auto"/>
          <w:sz w:val="24"/>
        </w:rPr>
      </w:pPr>
      <w:r>
        <w:rPr>
          <w:rFonts w:hint="eastAsia" w:ascii="仿宋" w:hAnsi="仿宋" w:eastAsia="仿宋" w:cs="仿宋_GB2312"/>
          <w:b/>
          <w:bCs/>
          <w:color w:val="auto"/>
          <w:sz w:val="24"/>
        </w:rPr>
        <w:t>（二）</w:t>
      </w:r>
      <w:r>
        <w:rPr>
          <w:rFonts w:ascii="仿宋" w:hAnsi="仿宋" w:eastAsia="仿宋" w:cs="仿宋_GB2312"/>
          <w:b/>
          <w:bCs/>
          <w:color w:val="auto"/>
          <w:sz w:val="24"/>
        </w:rPr>
        <w:t>核型分析参数</w:t>
      </w:r>
    </w:p>
    <w:p w14:paraId="5B02B7FD">
      <w:pPr>
        <w:ind w:firstLine="480"/>
        <w:rPr>
          <w:rFonts w:ascii="仿宋" w:hAnsi="仿宋" w:eastAsia="仿宋" w:cs="仿宋_GB2312"/>
          <w:color w:val="auto"/>
          <w:sz w:val="24"/>
        </w:rPr>
      </w:pPr>
      <w:r>
        <w:rPr>
          <w:rFonts w:ascii="仿宋" w:hAnsi="仿宋" w:eastAsia="仿宋" w:cs="仿宋_GB2312"/>
          <w:color w:val="auto"/>
          <w:sz w:val="24"/>
        </w:rPr>
        <w:t>1、使用智能分析辅助功能，对原始中期分裂相图片进行一键分析操作后，直接提供的染色体一键切割识别准确率≥98%,平均每幅染色体核型图的处理时间≤3s</w:t>
      </w:r>
    </w:p>
    <w:p w14:paraId="12594532">
      <w:pPr>
        <w:ind w:firstLine="480"/>
        <w:rPr>
          <w:rFonts w:ascii="仿宋" w:hAnsi="仿宋" w:eastAsia="仿宋" w:cs="仿宋_GB2312"/>
          <w:color w:val="auto"/>
          <w:sz w:val="24"/>
        </w:rPr>
      </w:pPr>
      <w:r>
        <w:rPr>
          <w:rFonts w:ascii="仿宋" w:hAnsi="仿宋" w:eastAsia="仿宋" w:cs="仿宋_GB2312"/>
          <w:color w:val="auto"/>
          <w:sz w:val="24"/>
        </w:rPr>
        <w:t>2、具备染色体异常识别功能，染色体结构异常识别灵敏度≥80%</w:t>
      </w:r>
    </w:p>
    <w:p w14:paraId="05C0524E">
      <w:pPr>
        <w:ind w:firstLine="480"/>
        <w:rPr>
          <w:rFonts w:ascii="仿宋" w:hAnsi="仿宋" w:eastAsia="仿宋" w:cs="仿宋_GB2312"/>
          <w:color w:val="auto"/>
          <w:sz w:val="24"/>
        </w:rPr>
      </w:pPr>
      <w:r>
        <w:rPr>
          <w:rFonts w:ascii="仿宋" w:hAnsi="仿宋" w:eastAsia="仿宋" w:cs="仿宋_GB2312"/>
          <w:color w:val="auto"/>
          <w:sz w:val="24"/>
        </w:rPr>
        <w:t>3、系统算法训练所调用的数据库应覆盖</w:t>
      </w:r>
      <w:r>
        <w:rPr>
          <w:rFonts w:hint="eastAsia" w:ascii="仿宋" w:hAnsi="仿宋" w:eastAsia="仿宋" w:cs="仿宋_GB2312"/>
          <w:color w:val="auto"/>
          <w:sz w:val="24"/>
        </w:rPr>
        <w:t>全面</w:t>
      </w:r>
      <w:r>
        <w:rPr>
          <w:rFonts w:ascii="仿宋" w:hAnsi="仿宋" w:eastAsia="仿宋" w:cs="仿宋_GB2312"/>
          <w:color w:val="auto"/>
          <w:sz w:val="24"/>
        </w:rPr>
        <w:t>，确保算法的广泛适用性和高准确性</w:t>
      </w:r>
    </w:p>
    <w:p w14:paraId="1FBD3236">
      <w:pPr>
        <w:ind w:firstLine="480"/>
        <w:rPr>
          <w:rFonts w:ascii="仿宋" w:hAnsi="仿宋" w:eastAsia="仿宋" w:cs="仿宋_GB2312"/>
          <w:color w:val="auto"/>
          <w:sz w:val="24"/>
        </w:rPr>
      </w:pPr>
      <w:r>
        <w:rPr>
          <w:rFonts w:ascii="仿宋" w:hAnsi="仿宋" w:eastAsia="仿宋" w:cs="仿宋_GB2312"/>
          <w:color w:val="auto"/>
          <w:sz w:val="24"/>
        </w:rPr>
        <w:t>4、系统应经过多中心临床性能和安全性验证</w:t>
      </w:r>
    </w:p>
    <w:p w14:paraId="05126DF1">
      <w:pPr>
        <w:ind w:firstLine="480"/>
        <w:rPr>
          <w:rFonts w:ascii="仿宋" w:hAnsi="仿宋" w:eastAsia="仿宋" w:cs="仿宋_GB2312"/>
          <w:color w:val="auto"/>
          <w:sz w:val="24"/>
        </w:rPr>
      </w:pPr>
      <w:r>
        <w:rPr>
          <w:rFonts w:ascii="仿宋" w:hAnsi="仿宋" w:eastAsia="仿宋" w:cs="仿宋_GB2312"/>
          <w:color w:val="auto"/>
          <w:sz w:val="24"/>
        </w:rPr>
        <w:t>5、系统能够实时统计计数确认和排列确认的核型图数量，分析进度以进度条的形式直观显示</w:t>
      </w:r>
    </w:p>
    <w:p w14:paraId="2F10690E">
      <w:pPr>
        <w:ind w:firstLine="480"/>
        <w:rPr>
          <w:rFonts w:ascii="仿宋" w:hAnsi="仿宋" w:eastAsia="仿宋" w:cs="仿宋_GB2312"/>
          <w:color w:val="auto"/>
          <w:sz w:val="24"/>
        </w:rPr>
      </w:pPr>
      <w:r>
        <w:rPr>
          <w:rFonts w:ascii="仿宋" w:hAnsi="仿宋" w:eastAsia="仿宋" w:cs="仿宋_GB2312"/>
          <w:color w:val="auto"/>
          <w:sz w:val="24"/>
        </w:rPr>
        <w:t>6、系统支持多人协同分析，支持电子化将样本分配到每个用户，每个账户仅可见被分配的样本。</w:t>
      </w:r>
    </w:p>
    <w:p w14:paraId="239B01E6">
      <w:pPr>
        <w:ind w:firstLine="480"/>
        <w:rPr>
          <w:rFonts w:ascii="仿宋" w:hAnsi="仿宋" w:eastAsia="仿宋" w:cs="仿宋_GB2312"/>
          <w:color w:val="auto"/>
          <w:sz w:val="24"/>
        </w:rPr>
      </w:pPr>
      <w:r>
        <w:rPr>
          <w:rFonts w:ascii="仿宋" w:hAnsi="仿宋" w:eastAsia="仿宋" w:cs="仿宋_GB2312"/>
          <w:color w:val="auto"/>
          <w:sz w:val="24"/>
        </w:rPr>
        <w:t>7、图像优化调整功能，提供针对整体图像的线性调整功能和针对图像局部细节的非线性的调整功能，对于同一个样本，支持自定义不同的图像优化模式。</w:t>
      </w:r>
    </w:p>
    <w:p w14:paraId="0CA496CB">
      <w:pPr>
        <w:ind w:firstLine="480"/>
        <w:rPr>
          <w:rFonts w:ascii="仿宋" w:hAnsi="仿宋" w:eastAsia="仿宋" w:cs="仿宋_GB2312"/>
          <w:color w:val="auto"/>
          <w:sz w:val="24"/>
        </w:rPr>
      </w:pPr>
      <w:r>
        <w:rPr>
          <w:rFonts w:ascii="仿宋" w:hAnsi="仿宋" w:eastAsia="仿宋" w:cs="仿宋_GB2312"/>
          <w:color w:val="auto"/>
          <w:sz w:val="24"/>
        </w:rPr>
        <w:t>8、支持对单条染色体或全部染色体进行优化，可以将优化效果应用到单条染色体、当前图片、当前病例或所有病例中。</w:t>
      </w:r>
    </w:p>
    <w:p w14:paraId="2139B31A">
      <w:pPr>
        <w:ind w:firstLine="480"/>
        <w:rPr>
          <w:rFonts w:ascii="仿宋" w:hAnsi="仿宋" w:eastAsia="仿宋" w:cs="仿宋_GB2312"/>
          <w:color w:val="auto"/>
          <w:sz w:val="24"/>
        </w:rPr>
      </w:pPr>
      <w:r>
        <w:rPr>
          <w:rFonts w:ascii="仿宋" w:hAnsi="仿宋" w:eastAsia="仿宋" w:cs="仿宋_GB2312"/>
          <w:color w:val="auto"/>
          <w:sz w:val="24"/>
        </w:rPr>
        <w:t>9、系统支持核型图像拼接功能。对于分散度较高，超出单个视野的核型，能够将多张视野图自动拼接，生成一张保留所有细节且核型完整的视野合成图。</w:t>
      </w:r>
    </w:p>
    <w:p w14:paraId="3D98BF9E">
      <w:pPr>
        <w:ind w:firstLine="480"/>
        <w:rPr>
          <w:rFonts w:ascii="仿宋" w:hAnsi="仿宋" w:eastAsia="仿宋" w:cs="仿宋_GB2312"/>
          <w:color w:val="auto"/>
          <w:sz w:val="24"/>
        </w:rPr>
      </w:pPr>
      <w:r>
        <w:rPr>
          <w:rFonts w:ascii="仿宋" w:hAnsi="仿宋" w:eastAsia="仿宋" w:cs="仿宋_GB2312"/>
          <w:color w:val="auto"/>
          <w:sz w:val="24"/>
        </w:rPr>
        <w:t>10、系统内置常见异常核型知识库，支持查询染色体异常相关疾病、基因、蛋白质和预后措施等信息。同时知识库支持自定义编辑功能，可形成科室专用异常数据库。系统自动将分析样本的核型与知识库中的核型匹配，提示相关异常描述。</w:t>
      </w:r>
    </w:p>
    <w:p w14:paraId="52F5BAB8">
      <w:pPr>
        <w:ind w:firstLine="480"/>
        <w:rPr>
          <w:rFonts w:ascii="仿宋" w:hAnsi="仿宋" w:eastAsia="仿宋" w:cs="仿宋_GB2312"/>
          <w:color w:val="auto"/>
          <w:sz w:val="24"/>
        </w:rPr>
      </w:pPr>
      <w:r>
        <w:rPr>
          <w:rFonts w:ascii="仿宋" w:hAnsi="仿宋" w:eastAsia="仿宋" w:cs="仿宋_GB2312"/>
          <w:color w:val="auto"/>
          <w:sz w:val="24"/>
        </w:rPr>
        <w:t>11、系统采用C/S架构(客户端/服务器架构)设计，客户端应用程序在授权局域网内直接与数据库服务器加密通信</w:t>
      </w:r>
      <w:r>
        <w:rPr>
          <w:rFonts w:hint="eastAsia" w:ascii="仿宋" w:hAnsi="仿宋" w:eastAsia="仿宋" w:cs="仿宋_GB2312"/>
          <w:color w:val="auto"/>
          <w:sz w:val="24"/>
        </w:rPr>
        <w:t>。</w:t>
      </w:r>
    </w:p>
    <w:p w14:paraId="36FB01FA">
      <w:pPr>
        <w:ind w:firstLine="482"/>
        <w:rPr>
          <w:rFonts w:ascii="仿宋" w:hAnsi="仿宋" w:eastAsia="仿宋" w:cs="仿宋_GB2312"/>
          <w:b/>
          <w:color w:val="auto"/>
          <w:sz w:val="24"/>
        </w:rPr>
      </w:pPr>
    </w:p>
    <w:p w14:paraId="6F22C4EE">
      <w:pPr>
        <w:ind w:firstLine="482"/>
        <w:rPr>
          <w:rFonts w:ascii="仿宋" w:hAnsi="仿宋" w:eastAsia="仿宋" w:cs="仿宋_GB2312"/>
          <w:b/>
          <w:color w:val="auto"/>
          <w:sz w:val="24"/>
        </w:rPr>
      </w:pPr>
    </w:p>
    <w:p w14:paraId="65FB103F">
      <w:pPr>
        <w:autoSpaceDE w:val="0"/>
        <w:autoSpaceDN w:val="0"/>
        <w:ind w:firstLine="482"/>
        <w:textAlignment w:val="center"/>
        <w:outlineLvl w:val="1"/>
        <w:rPr>
          <w:rFonts w:ascii="仿宋" w:hAnsi="仿宋" w:eastAsia="仿宋" w:cs="宋体"/>
          <w:b/>
          <w:bCs/>
          <w:snapToGrid w:val="0"/>
          <w:color w:val="auto"/>
          <w:kern w:val="0"/>
          <w:sz w:val="24"/>
          <w:lang w:val="zh-CN"/>
        </w:rPr>
      </w:pPr>
      <w:bookmarkStart w:id="45" w:name="_Toc181712890"/>
      <w:r>
        <w:rPr>
          <w:rFonts w:hint="eastAsia" w:ascii="仿宋" w:hAnsi="仿宋" w:eastAsia="仿宋" w:cs="宋体"/>
          <w:b/>
          <w:bCs/>
          <w:snapToGrid w:val="0"/>
          <w:color w:val="auto"/>
          <w:kern w:val="0"/>
          <w:sz w:val="24"/>
          <w:lang w:val="zh-CN"/>
        </w:rPr>
        <w:t>三、配置清单（</w:t>
      </w:r>
      <w:r>
        <w:rPr>
          <w:rFonts w:hint="eastAsia" w:ascii="仿宋" w:hAnsi="仿宋" w:eastAsia="仿宋" w:cs="宋体"/>
          <w:b/>
          <w:bCs/>
          <w:snapToGrid w:val="0"/>
          <w:color w:val="auto"/>
          <w:kern w:val="0"/>
          <w:sz w:val="24"/>
        </w:rPr>
        <w:t>应等于或优于下列要求</w:t>
      </w:r>
      <w:r>
        <w:rPr>
          <w:rFonts w:hint="eastAsia" w:ascii="仿宋" w:hAnsi="仿宋" w:eastAsia="仿宋" w:cs="宋体"/>
          <w:b/>
          <w:bCs/>
          <w:snapToGrid w:val="0"/>
          <w:color w:val="auto"/>
          <w:kern w:val="0"/>
          <w:sz w:val="24"/>
          <w:lang w:val="zh-CN"/>
        </w:rPr>
        <w:t>）</w:t>
      </w:r>
      <w:bookmarkEnd w:id="45"/>
    </w:p>
    <w:tbl>
      <w:tblPr>
        <w:tblStyle w:val="44"/>
        <w:tblW w:w="92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4"/>
        <w:gridCol w:w="1996"/>
        <w:gridCol w:w="5103"/>
        <w:gridCol w:w="1277"/>
      </w:tblGrid>
      <w:tr w14:paraId="2F957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jc w:val="center"/>
        </w:trPr>
        <w:tc>
          <w:tcPr>
            <w:tcW w:w="834" w:type="dxa"/>
            <w:vAlign w:val="center"/>
          </w:tcPr>
          <w:p w14:paraId="42286D1D">
            <w:pPr>
              <w:spacing w:line="240" w:lineRule="auto"/>
              <w:ind w:firstLine="0" w:firstLineChars="0"/>
              <w:jc w:val="center"/>
              <w:rPr>
                <w:rFonts w:ascii="仿宋" w:hAnsi="仿宋" w:eastAsia="仿宋" w:cs="仿宋_GB2312"/>
                <w:bCs/>
                <w:color w:val="auto"/>
                <w:sz w:val="24"/>
              </w:rPr>
            </w:pPr>
            <w:r>
              <w:rPr>
                <w:rFonts w:ascii="仿宋" w:hAnsi="仿宋" w:eastAsia="仿宋" w:cs="仿宋_GB2312"/>
                <w:b/>
                <w:bCs/>
                <w:color w:val="auto"/>
                <w:sz w:val="24"/>
              </w:rPr>
              <w:t>序号</w:t>
            </w:r>
          </w:p>
        </w:tc>
        <w:tc>
          <w:tcPr>
            <w:tcW w:w="1996" w:type="dxa"/>
            <w:vAlign w:val="center"/>
          </w:tcPr>
          <w:p w14:paraId="23EECE13">
            <w:pPr>
              <w:spacing w:line="240" w:lineRule="auto"/>
              <w:ind w:firstLine="0" w:firstLineChars="0"/>
              <w:jc w:val="center"/>
              <w:rPr>
                <w:rFonts w:ascii="仿宋" w:hAnsi="仿宋" w:eastAsia="仿宋" w:cs="仿宋_GB2312"/>
                <w:bCs/>
                <w:color w:val="auto"/>
                <w:sz w:val="24"/>
              </w:rPr>
            </w:pPr>
            <w:r>
              <w:rPr>
                <w:rFonts w:ascii="仿宋" w:hAnsi="仿宋" w:eastAsia="仿宋" w:cs="仿宋_GB2312"/>
                <w:b/>
                <w:bCs/>
                <w:color w:val="auto"/>
                <w:sz w:val="24"/>
              </w:rPr>
              <w:t>设备名称</w:t>
            </w:r>
          </w:p>
        </w:tc>
        <w:tc>
          <w:tcPr>
            <w:tcW w:w="5103" w:type="dxa"/>
            <w:vAlign w:val="center"/>
          </w:tcPr>
          <w:p w14:paraId="1B646EE5">
            <w:pPr>
              <w:spacing w:line="240" w:lineRule="auto"/>
              <w:ind w:firstLine="0" w:firstLineChars="0"/>
              <w:jc w:val="center"/>
              <w:rPr>
                <w:rFonts w:ascii="仿宋" w:hAnsi="仿宋" w:eastAsia="仿宋" w:cs="仿宋_GB2312"/>
                <w:bCs/>
                <w:color w:val="auto"/>
                <w:sz w:val="24"/>
              </w:rPr>
            </w:pPr>
            <w:r>
              <w:rPr>
                <w:rFonts w:ascii="仿宋" w:hAnsi="仿宋" w:eastAsia="仿宋" w:cs="仿宋_GB2312"/>
                <w:b/>
                <w:bCs/>
                <w:color w:val="auto"/>
                <w:sz w:val="24"/>
              </w:rPr>
              <w:t>设备明细</w:t>
            </w:r>
          </w:p>
        </w:tc>
        <w:tc>
          <w:tcPr>
            <w:tcW w:w="1277" w:type="dxa"/>
            <w:vAlign w:val="center"/>
          </w:tcPr>
          <w:p w14:paraId="76FEFF4F">
            <w:pPr>
              <w:spacing w:line="240" w:lineRule="auto"/>
              <w:ind w:firstLine="0" w:firstLineChars="0"/>
              <w:jc w:val="center"/>
              <w:rPr>
                <w:rFonts w:ascii="仿宋" w:hAnsi="仿宋" w:eastAsia="仿宋" w:cs="仿宋_GB2312"/>
                <w:bCs/>
                <w:color w:val="auto"/>
                <w:sz w:val="24"/>
              </w:rPr>
            </w:pPr>
            <w:r>
              <w:rPr>
                <w:rFonts w:ascii="仿宋" w:hAnsi="仿宋" w:eastAsia="仿宋" w:cs="仿宋_GB2312"/>
                <w:b/>
                <w:bCs/>
                <w:color w:val="auto"/>
                <w:sz w:val="24"/>
              </w:rPr>
              <w:t>数量</w:t>
            </w:r>
          </w:p>
        </w:tc>
      </w:tr>
      <w:tr w14:paraId="4441F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9" w:hRule="atLeast"/>
          <w:jc w:val="center"/>
        </w:trPr>
        <w:tc>
          <w:tcPr>
            <w:tcW w:w="834" w:type="dxa"/>
            <w:vAlign w:val="center"/>
          </w:tcPr>
          <w:p w14:paraId="14BA415C">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1</w:t>
            </w:r>
          </w:p>
        </w:tc>
        <w:tc>
          <w:tcPr>
            <w:tcW w:w="1996" w:type="dxa"/>
            <w:vAlign w:val="center"/>
          </w:tcPr>
          <w:p w14:paraId="486A2583">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自动细胞显微图像扫描系统</w:t>
            </w:r>
          </w:p>
        </w:tc>
        <w:tc>
          <w:tcPr>
            <w:tcW w:w="5103" w:type="dxa"/>
            <w:vAlign w:val="center"/>
          </w:tcPr>
          <w:p w14:paraId="2B2DEA2F">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高效智能染色体核型精准诊断设备</w:t>
            </w:r>
          </w:p>
        </w:tc>
        <w:tc>
          <w:tcPr>
            <w:tcW w:w="1277" w:type="dxa"/>
            <w:vAlign w:val="center"/>
          </w:tcPr>
          <w:p w14:paraId="1B7DCD84">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1 套</w:t>
            </w:r>
          </w:p>
        </w:tc>
      </w:tr>
      <w:tr w14:paraId="19D44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9" w:hRule="atLeast"/>
          <w:jc w:val="center"/>
        </w:trPr>
        <w:tc>
          <w:tcPr>
            <w:tcW w:w="834" w:type="dxa"/>
            <w:vAlign w:val="center"/>
          </w:tcPr>
          <w:p w14:paraId="328163AB">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2</w:t>
            </w:r>
          </w:p>
        </w:tc>
        <w:tc>
          <w:tcPr>
            <w:tcW w:w="1996" w:type="dxa"/>
            <w:vAlign w:val="center"/>
          </w:tcPr>
          <w:p w14:paraId="28D9596F">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10倍物镜</w:t>
            </w:r>
          </w:p>
        </w:tc>
        <w:tc>
          <w:tcPr>
            <w:tcW w:w="5103" w:type="dxa"/>
            <w:vAlign w:val="center"/>
          </w:tcPr>
          <w:p w14:paraId="3548C7A6">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数值孔径(N.A.)</w:t>
            </w:r>
            <w:r>
              <w:rPr>
                <w:rFonts w:hint="eastAsia" w:ascii="仿宋" w:hAnsi="仿宋" w:eastAsia="仿宋" w:cs="仿宋_GB2312"/>
                <w:bCs/>
                <w:color w:val="auto"/>
                <w:sz w:val="24"/>
              </w:rPr>
              <w:t>等于或优于</w:t>
            </w:r>
            <w:r>
              <w:rPr>
                <w:rFonts w:ascii="仿宋" w:hAnsi="仿宋" w:eastAsia="仿宋" w:cs="仿宋_GB2312"/>
                <w:bCs/>
                <w:color w:val="auto"/>
                <w:sz w:val="24"/>
              </w:rPr>
              <w:t>0.25,工作距离</w:t>
            </w:r>
            <w:r>
              <w:rPr>
                <w:rFonts w:hint="eastAsia" w:ascii="仿宋" w:hAnsi="仿宋" w:eastAsia="仿宋" w:cs="仿宋_GB2312"/>
                <w:bCs/>
                <w:color w:val="auto"/>
                <w:sz w:val="24"/>
              </w:rPr>
              <w:t>等于或优于</w:t>
            </w:r>
            <w:r>
              <w:rPr>
                <w:rFonts w:ascii="仿宋" w:hAnsi="仿宋" w:eastAsia="仿宋" w:cs="仿宋_GB2312"/>
                <w:bCs/>
                <w:color w:val="auto"/>
                <w:sz w:val="24"/>
              </w:rPr>
              <w:t>10.6mm</w:t>
            </w:r>
          </w:p>
        </w:tc>
        <w:tc>
          <w:tcPr>
            <w:tcW w:w="1277" w:type="dxa"/>
            <w:vAlign w:val="center"/>
          </w:tcPr>
          <w:p w14:paraId="441FFA5B">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1 个</w:t>
            </w:r>
          </w:p>
        </w:tc>
      </w:tr>
      <w:tr w14:paraId="43AE8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jc w:val="center"/>
        </w:trPr>
        <w:tc>
          <w:tcPr>
            <w:tcW w:w="834" w:type="dxa"/>
            <w:vAlign w:val="center"/>
          </w:tcPr>
          <w:p w14:paraId="7EC457AA">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3</w:t>
            </w:r>
          </w:p>
        </w:tc>
        <w:tc>
          <w:tcPr>
            <w:tcW w:w="1996" w:type="dxa"/>
            <w:vAlign w:val="center"/>
          </w:tcPr>
          <w:p w14:paraId="4D642020">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100倍物镜</w:t>
            </w:r>
          </w:p>
        </w:tc>
        <w:tc>
          <w:tcPr>
            <w:tcW w:w="5103" w:type="dxa"/>
            <w:vAlign w:val="center"/>
          </w:tcPr>
          <w:p w14:paraId="15313FC6">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数值孔径(N.A.)</w:t>
            </w:r>
            <w:r>
              <w:rPr>
                <w:rFonts w:hint="eastAsia" w:ascii="仿宋" w:hAnsi="仿宋" w:eastAsia="仿宋" w:cs="仿宋_GB2312"/>
                <w:bCs/>
                <w:color w:val="auto"/>
                <w:sz w:val="24"/>
              </w:rPr>
              <w:t>等于或优于</w:t>
            </w:r>
            <w:r>
              <w:rPr>
                <w:rFonts w:ascii="仿宋" w:hAnsi="仿宋" w:eastAsia="仿宋" w:cs="仿宋_GB2312"/>
                <w:bCs/>
                <w:color w:val="auto"/>
                <w:sz w:val="24"/>
              </w:rPr>
              <w:t>1.30,工作距离</w:t>
            </w:r>
            <w:r>
              <w:rPr>
                <w:rFonts w:hint="eastAsia" w:ascii="仿宋" w:hAnsi="仿宋" w:eastAsia="仿宋" w:cs="仿宋_GB2312"/>
                <w:bCs/>
                <w:color w:val="auto"/>
                <w:sz w:val="24"/>
              </w:rPr>
              <w:t>等于或优于</w:t>
            </w:r>
            <w:r>
              <w:rPr>
                <w:rFonts w:ascii="仿宋" w:hAnsi="仿宋" w:eastAsia="仿宋" w:cs="仿宋_GB2312"/>
                <w:bCs/>
                <w:color w:val="auto"/>
                <w:sz w:val="24"/>
              </w:rPr>
              <w:t>0.2mm</w:t>
            </w:r>
          </w:p>
        </w:tc>
        <w:tc>
          <w:tcPr>
            <w:tcW w:w="1277" w:type="dxa"/>
            <w:vAlign w:val="center"/>
          </w:tcPr>
          <w:p w14:paraId="1D6841BC">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1 个</w:t>
            </w:r>
          </w:p>
        </w:tc>
      </w:tr>
      <w:tr w14:paraId="4D434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834" w:type="dxa"/>
            <w:vAlign w:val="center"/>
          </w:tcPr>
          <w:p w14:paraId="18D5BF84">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4</w:t>
            </w:r>
          </w:p>
        </w:tc>
        <w:tc>
          <w:tcPr>
            <w:tcW w:w="1996" w:type="dxa"/>
            <w:vAlign w:val="center"/>
          </w:tcPr>
          <w:p w14:paraId="5B20F5CE">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电动载物台</w:t>
            </w:r>
          </w:p>
        </w:tc>
        <w:tc>
          <w:tcPr>
            <w:tcW w:w="5103" w:type="dxa"/>
            <w:vAlign w:val="center"/>
          </w:tcPr>
          <w:p w14:paraId="1A82CB49">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全自动扫描载物台，同时可放置玻片≥8片。</w:t>
            </w:r>
          </w:p>
        </w:tc>
        <w:tc>
          <w:tcPr>
            <w:tcW w:w="1277" w:type="dxa"/>
            <w:vAlign w:val="center"/>
          </w:tcPr>
          <w:p w14:paraId="26BD7521">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1 个</w:t>
            </w:r>
          </w:p>
        </w:tc>
      </w:tr>
      <w:tr w14:paraId="50D98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jc w:val="center"/>
        </w:trPr>
        <w:tc>
          <w:tcPr>
            <w:tcW w:w="834" w:type="dxa"/>
            <w:vAlign w:val="center"/>
          </w:tcPr>
          <w:p w14:paraId="286EA3A2">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5</w:t>
            </w:r>
          </w:p>
        </w:tc>
        <w:tc>
          <w:tcPr>
            <w:tcW w:w="1996" w:type="dxa"/>
            <w:vAlign w:val="center"/>
          </w:tcPr>
          <w:p w14:paraId="378833A7">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图像采集系统</w:t>
            </w:r>
          </w:p>
        </w:tc>
        <w:tc>
          <w:tcPr>
            <w:tcW w:w="5103" w:type="dxa"/>
            <w:vAlign w:val="center"/>
          </w:tcPr>
          <w:p w14:paraId="7F32512D">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高清CMOS摄像头，≥710W像素</w:t>
            </w:r>
          </w:p>
        </w:tc>
        <w:tc>
          <w:tcPr>
            <w:tcW w:w="1277" w:type="dxa"/>
            <w:vAlign w:val="center"/>
          </w:tcPr>
          <w:p w14:paraId="48611E70">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1 个</w:t>
            </w:r>
          </w:p>
        </w:tc>
      </w:tr>
      <w:tr w14:paraId="21FA8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9" w:hRule="atLeast"/>
          <w:jc w:val="center"/>
        </w:trPr>
        <w:tc>
          <w:tcPr>
            <w:tcW w:w="834" w:type="dxa"/>
            <w:vAlign w:val="center"/>
          </w:tcPr>
          <w:p w14:paraId="6A2569DE">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6</w:t>
            </w:r>
          </w:p>
        </w:tc>
        <w:tc>
          <w:tcPr>
            <w:tcW w:w="1996" w:type="dxa"/>
            <w:vAlign w:val="center"/>
          </w:tcPr>
          <w:p w14:paraId="385B5E3D">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扫描专用服务器</w:t>
            </w:r>
          </w:p>
        </w:tc>
        <w:tc>
          <w:tcPr>
            <w:tcW w:w="5103" w:type="dxa"/>
            <w:vAlign w:val="center"/>
          </w:tcPr>
          <w:p w14:paraId="52220D6E">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CPU≥14核，内存≥16G,固态硬盘≥512G,机械硬盘≥4T,操作系统</w:t>
            </w:r>
            <w:r>
              <w:rPr>
                <w:rFonts w:hint="eastAsia" w:ascii="仿宋" w:hAnsi="仿宋" w:eastAsia="仿宋" w:cs="仿宋_GB2312"/>
                <w:bCs/>
                <w:color w:val="auto"/>
                <w:sz w:val="24"/>
              </w:rPr>
              <w:t>等于或优于</w:t>
            </w:r>
            <w:r>
              <w:rPr>
                <w:rFonts w:ascii="仿宋" w:hAnsi="仿宋" w:eastAsia="仿宋" w:cs="仿宋_GB2312"/>
                <w:bCs/>
                <w:color w:val="auto"/>
                <w:sz w:val="24"/>
              </w:rPr>
              <w:t>Windows10专业版，显卡</w:t>
            </w:r>
            <w:r>
              <w:rPr>
                <w:rFonts w:hint="eastAsia" w:ascii="仿宋" w:hAnsi="仿宋" w:eastAsia="仿宋" w:cs="仿宋_GB2312"/>
                <w:bCs/>
                <w:color w:val="auto"/>
                <w:sz w:val="24"/>
              </w:rPr>
              <w:t>等于或优于</w:t>
            </w:r>
            <w:r>
              <w:rPr>
                <w:rFonts w:ascii="仿宋" w:hAnsi="仿宋" w:eastAsia="仿宋" w:cs="仿宋_GB2312"/>
                <w:bCs/>
                <w:color w:val="auto"/>
                <w:sz w:val="24"/>
              </w:rPr>
              <w:t>NVIDIA GeForce RTX 3060,≥23.8寸高清显示器</w:t>
            </w:r>
          </w:p>
        </w:tc>
        <w:tc>
          <w:tcPr>
            <w:tcW w:w="1277" w:type="dxa"/>
            <w:vAlign w:val="center"/>
          </w:tcPr>
          <w:p w14:paraId="7F6A097A">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1 套</w:t>
            </w:r>
          </w:p>
        </w:tc>
      </w:tr>
      <w:tr w14:paraId="3DD10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6" w:hRule="atLeast"/>
          <w:jc w:val="center"/>
        </w:trPr>
        <w:tc>
          <w:tcPr>
            <w:tcW w:w="834" w:type="dxa"/>
            <w:vAlign w:val="center"/>
          </w:tcPr>
          <w:p w14:paraId="139F4F15">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7</w:t>
            </w:r>
          </w:p>
        </w:tc>
        <w:tc>
          <w:tcPr>
            <w:tcW w:w="1996" w:type="dxa"/>
            <w:vAlign w:val="center"/>
          </w:tcPr>
          <w:p w14:paraId="61A98DC0">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中央服务器</w:t>
            </w:r>
          </w:p>
        </w:tc>
        <w:tc>
          <w:tcPr>
            <w:tcW w:w="5103" w:type="dxa"/>
            <w:vAlign w:val="center"/>
          </w:tcPr>
          <w:p w14:paraId="40AFF6A3">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CPU≥12核，内存≥48G,固态硬盘≥512G,机械硬盘≥16T,显卡</w:t>
            </w:r>
            <w:r>
              <w:rPr>
                <w:rFonts w:hint="eastAsia" w:ascii="仿宋" w:hAnsi="仿宋" w:eastAsia="仿宋" w:cs="仿宋_GB2312"/>
                <w:bCs/>
                <w:color w:val="auto"/>
                <w:sz w:val="24"/>
              </w:rPr>
              <w:t>等于或优于</w:t>
            </w:r>
            <w:r>
              <w:rPr>
                <w:rFonts w:ascii="仿宋" w:hAnsi="仿宋" w:eastAsia="仿宋" w:cs="仿宋_GB2312"/>
                <w:bCs/>
                <w:color w:val="auto"/>
                <w:sz w:val="24"/>
              </w:rPr>
              <w:t>NVIDIA RTX-</w:t>
            </w:r>
          </w:p>
          <w:p w14:paraId="399596AB">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3060×2,操作系统Windows10专业版</w:t>
            </w:r>
          </w:p>
        </w:tc>
        <w:tc>
          <w:tcPr>
            <w:tcW w:w="1277" w:type="dxa"/>
            <w:vAlign w:val="center"/>
          </w:tcPr>
          <w:p w14:paraId="3AC1F497">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1套</w:t>
            </w:r>
          </w:p>
        </w:tc>
      </w:tr>
      <w:tr w14:paraId="44E63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834" w:type="dxa"/>
            <w:vAlign w:val="center"/>
          </w:tcPr>
          <w:p w14:paraId="59072A47">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8</w:t>
            </w:r>
          </w:p>
        </w:tc>
        <w:tc>
          <w:tcPr>
            <w:tcW w:w="1996" w:type="dxa"/>
            <w:vAlign w:val="center"/>
          </w:tcPr>
          <w:p w14:paraId="02EDDCEF">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专家工作站</w:t>
            </w:r>
          </w:p>
        </w:tc>
        <w:tc>
          <w:tcPr>
            <w:tcW w:w="5103" w:type="dxa"/>
            <w:vAlign w:val="center"/>
          </w:tcPr>
          <w:p w14:paraId="3A645852">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CPU≥14核，内存≥16G,固态硬盘≥512G,操作系统</w:t>
            </w:r>
            <w:r>
              <w:rPr>
                <w:rFonts w:hint="eastAsia" w:ascii="仿宋" w:hAnsi="仿宋" w:eastAsia="仿宋" w:cs="仿宋_GB2312"/>
                <w:bCs/>
                <w:color w:val="auto"/>
                <w:sz w:val="24"/>
              </w:rPr>
              <w:t>等于或优于</w:t>
            </w:r>
            <w:r>
              <w:rPr>
                <w:rFonts w:ascii="仿宋" w:hAnsi="仿宋" w:eastAsia="仿宋" w:cs="仿宋_GB2312"/>
                <w:bCs/>
                <w:color w:val="auto"/>
                <w:sz w:val="24"/>
              </w:rPr>
              <w:t>Windows10专业版，≥28寸显示器(分辨率：3840</w:t>
            </w:r>
            <w:r>
              <w:rPr>
                <w:rFonts w:hint="eastAsia" w:ascii="仿宋" w:hAnsi="仿宋" w:eastAsia="仿宋" w:cs="仿宋_GB2312"/>
                <w:bCs/>
                <w:color w:val="auto"/>
                <w:sz w:val="24"/>
              </w:rPr>
              <w:t>×</w:t>
            </w:r>
            <w:r>
              <w:rPr>
                <w:rFonts w:ascii="仿宋" w:hAnsi="仿宋" w:eastAsia="仿宋" w:cs="仿宋_GB2312"/>
                <w:bCs/>
                <w:color w:val="auto"/>
                <w:sz w:val="24"/>
              </w:rPr>
              <w:t>2160)</w:t>
            </w:r>
          </w:p>
        </w:tc>
        <w:tc>
          <w:tcPr>
            <w:tcW w:w="1277" w:type="dxa"/>
            <w:vAlign w:val="center"/>
          </w:tcPr>
          <w:p w14:paraId="369D2020">
            <w:pPr>
              <w:spacing w:line="240" w:lineRule="auto"/>
              <w:ind w:firstLine="0" w:firstLineChars="0"/>
              <w:jc w:val="center"/>
              <w:rPr>
                <w:rFonts w:ascii="仿宋" w:hAnsi="仿宋" w:eastAsia="仿宋" w:cs="仿宋_GB2312"/>
                <w:bCs/>
                <w:color w:val="auto"/>
                <w:sz w:val="24"/>
              </w:rPr>
            </w:pPr>
            <w:r>
              <w:rPr>
                <w:rFonts w:ascii="仿宋" w:hAnsi="仿宋" w:eastAsia="仿宋" w:cs="仿宋_GB2312"/>
                <w:bCs/>
                <w:color w:val="auto"/>
                <w:sz w:val="24"/>
              </w:rPr>
              <w:t>1套</w:t>
            </w:r>
          </w:p>
        </w:tc>
      </w:tr>
    </w:tbl>
    <w:p w14:paraId="1E2B60A9">
      <w:pPr>
        <w:ind w:firstLine="0" w:firstLineChars="0"/>
        <w:rPr>
          <w:rFonts w:ascii="仿宋" w:hAnsi="仿宋" w:eastAsia="仿宋" w:cs="仿宋_GB2312"/>
          <w:bCs/>
          <w:color w:val="auto"/>
          <w:sz w:val="24"/>
        </w:rPr>
      </w:pPr>
    </w:p>
    <w:p w14:paraId="006BA321">
      <w:pPr>
        <w:ind w:firstLine="0" w:firstLineChars="0"/>
        <w:rPr>
          <w:rFonts w:ascii="仿宋" w:hAnsi="仿宋" w:eastAsia="仿宋" w:cs="仿宋_GB2312"/>
          <w:bCs/>
          <w:color w:val="auto"/>
          <w:sz w:val="24"/>
        </w:rPr>
      </w:pPr>
    </w:p>
    <w:p w14:paraId="7E33B300">
      <w:pPr>
        <w:widowControl/>
        <w:spacing w:line="240" w:lineRule="auto"/>
        <w:ind w:firstLine="0" w:firstLineChars="0"/>
        <w:jc w:val="left"/>
        <w:rPr>
          <w:rFonts w:ascii="仿宋" w:hAnsi="仿宋" w:eastAsia="仿宋" w:cs="仿宋_GB2312"/>
          <w:bCs/>
          <w:color w:val="auto"/>
          <w:sz w:val="24"/>
        </w:rPr>
      </w:pPr>
      <w:r>
        <w:rPr>
          <w:rFonts w:ascii="仿宋" w:hAnsi="仿宋" w:eastAsia="仿宋" w:cs="仿宋_GB2312"/>
          <w:bCs/>
          <w:color w:val="auto"/>
          <w:sz w:val="24"/>
        </w:rPr>
        <w:br w:type="page"/>
      </w:r>
    </w:p>
    <w:p w14:paraId="25F07F13">
      <w:pPr>
        <w:ind w:firstLine="199" w:firstLineChars="83"/>
        <w:rPr>
          <w:rFonts w:ascii="仿宋" w:hAnsi="仿宋" w:eastAsia="仿宋" w:cs="仿宋_GB2312"/>
          <w:bCs/>
          <w:color w:val="auto"/>
          <w:sz w:val="24"/>
        </w:rPr>
        <w:sectPr>
          <w:pgSz w:w="11906" w:h="16838"/>
          <w:pgMar w:top="1440" w:right="1797" w:bottom="1440" w:left="1797" w:header="0" w:footer="340" w:gutter="0"/>
          <w:cols w:space="720" w:num="1"/>
          <w:docGrid w:linePitch="286" w:charSpace="0"/>
        </w:sectPr>
      </w:pPr>
    </w:p>
    <w:p w14:paraId="2C7D9CC7">
      <w:pPr>
        <w:widowControl/>
        <w:spacing w:line="240" w:lineRule="auto"/>
        <w:ind w:left="420" w:leftChars="200" w:firstLine="0" w:firstLineChars="0"/>
        <w:jc w:val="left"/>
        <w:rPr>
          <w:rFonts w:ascii="仿宋" w:hAnsi="仿宋" w:eastAsia="仿宋" w:cs="仿宋_GB2312"/>
          <w:color w:val="auto"/>
          <w:sz w:val="24"/>
        </w:rPr>
      </w:pPr>
    </w:p>
    <w:p w14:paraId="69F43763">
      <w:pPr>
        <w:autoSpaceDE w:val="0"/>
        <w:autoSpaceDN w:val="0"/>
        <w:ind w:firstLine="482"/>
        <w:textAlignment w:val="center"/>
        <w:outlineLvl w:val="1"/>
        <w:rPr>
          <w:rFonts w:ascii="仿宋" w:hAnsi="仿宋" w:eastAsia="仿宋" w:cs="宋体"/>
          <w:b/>
          <w:bCs/>
          <w:snapToGrid w:val="0"/>
          <w:color w:val="auto"/>
          <w:kern w:val="0"/>
          <w:sz w:val="24"/>
          <w:lang w:val="zh-CN"/>
        </w:rPr>
      </w:pPr>
      <w:bookmarkStart w:id="46" w:name="_Toc119623137"/>
      <w:bookmarkStart w:id="47" w:name="_Toc181712891"/>
      <w:r>
        <w:rPr>
          <w:rFonts w:hint="eastAsia" w:ascii="仿宋" w:hAnsi="仿宋" w:eastAsia="仿宋" w:cs="宋体"/>
          <w:b/>
          <w:bCs/>
          <w:snapToGrid w:val="0"/>
          <w:color w:val="auto"/>
          <w:kern w:val="0"/>
          <w:sz w:val="24"/>
          <w:lang w:val="zh-CN"/>
        </w:rPr>
        <w:t>四、商务要求</w:t>
      </w:r>
      <w:bookmarkEnd w:id="46"/>
      <w:r>
        <w:rPr>
          <w:rFonts w:hint="eastAsia" w:ascii="仿宋" w:hAnsi="仿宋" w:eastAsia="仿宋" w:cs="宋体"/>
          <w:b/>
          <w:bCs/>
          <w:snapToGrid w:val="0"/>
          <w:color w:val="auto"/>
          <w:kern w:val="0"/>
          <w:sz w:val="24"/>
          <w:lang w:val="zh-CN"/>
        </w:rPr>
        <w:t>（参与投标即视为无条件响应）</w:t>
      </w:r>
      <w:bookmarkEnd w:id="47"/>
    </w:p>
    <w:p w14:paraId="1A572A28">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1</w:t>
      </w:r>
      <w:r>
        <w:rPr>
          <w:rFonts w:hint="eastAsia" w:ascii="仿宋" w:hAnsi="仿宋" w:eastAsia="仿宋" w:cs="仿宋_GB2312"/>
          <w:color w:val="auto"/>
          <w:sz w:val="24"/>
          <w:lang w:val="zh-CN"/>
        </w:rPr>
        <w:t>、投标人应保证其提供的货物是全新的，未使用过的；符合合同规定的质量、规格、性能，并按照相关国际、中国国家及行业标准检验的合格货物。</w:t>
      </w:r>
    </w:p>
    <w:p w14:paraId="1CF910C8">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2</w:t>
      </w:r>
      <w:r>
        <w:rPr>
          <w:rFonts w:hint="eastAsia" w:ascii="仿宋" w:hAnsi="仿宋" w:eastAsia="仿宋" w:cs="仿宋_GB2312"/>
          <w:color w:val="auto"/>
          <w:sz w:val="24"/>
          <w:lang w:val="zh-CN"/>
        </w:rPr>
        <w:t>、投标人在投标文件中，应提供详细说明按招标文件要求所提供货物的技术指标、质量的资料文件，以及提供实际制造商的生产能力、技术力量及生产装备的资料文件，并且提供投标产品业绩情况。</w:t>
      </w:r>
    </w:p>
    <w:p w14:paraId="1A0590BD">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3</w:t>
      </w:r>
      <w:r>
        <w:rPr>
          <w:rFonts w:hint="eastAsia" w:ascii="仿宋" w:hAnsi="仿宋" w:eastAsia="仿宋" w:cs="仿宋_GB2312"/>
          <w:color w:val="auto"/>
          <w:sz w:val="24"/>
          <w:lang w:val="zh-CN"/>
        </w:rPr>
        <w:t>、中标人应派技术人员对所投货物进行安装调试（如需要），该费用包含在投标报价内，且应在投标文件中对交货安装方案做出明确响应；交货安装的方案至少包含：交货安装实施进度安排：需明确交货安装时间规划、交货物流安排、进度保障措施等内容；交货安装人员设施投入计划：需明确拟投入交货人员分工职责、交货安全配套设施投入等内容。</w:t>
      </w:r>
    </w:p>
    <w:p w14:paraId="628E7275">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3.1</w:t>
      </w:r>
      <w:r>
        <w:rPr>
          <w:rFonts w:hint="eastAsia" w:ascii="仿宋" w:hAnsi="仿宋" w:eastAsia="仿宋" w:cs="仿宋_GB2312"/>
          <w:color w:val="auto"/>
          <w:sz w:val="24"/>
          <w:lang w:val="zh-CN"/>
        </w:rPr>
        <w:t>货物到达使用场地后，中标人接到招标人通知后按要求到达现场，在招标人医技人员在场的情况下开箱清点货物，组织安装调试，并承担由此发生的一切费用。</w:t>
      </w:r>
    </w:p>
    <w:p w14:paraId="0DC9DD81">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3.2</w:t>
      </w:r>
      <w:r>
        <w:rPr>
          <w:rFonts w:hint="eastAsia" w:ascii="仿宋" w:hAnsi="仿宋" w:eastAsia="仿宋" w:cs="仿宋_GB2312"/>
          <w:color w:val="auto"/>
          <w:sz w:val="24"/>
          <w:lang w:val="zh-CN"/>
        </w:rPr>
        <w:t>中标人应向招标人提供详细的验收标准、验收手册和验收报告，招标人有权委托中国有资质的单位对货物进行精度校核。</w:t>
      </w:r>
    </w:p>
    <w:p w14:paraId="14436007">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4</w:t>
      </w:r>
      <w:r>
        <w:rPr>
          <w:rFonts w:hint="eastAsia" w:ascii="仿宋" w:hAnsi="仿宋" w:eastAsia="仿宋" w:cs="仿宋_GB2312"/>
          <w:color w:val="auto"/>
          <w:sz w:val="24"/>
          <w:lang w:val="zh-CN"/>
        </w:rPr>
        <w:t>、技术资料。</w:t>
      </w:r>
    </w:p>
    <w:p w14:paraId="77C7AEED">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4.1</w:t>
      </w:r>
      <w:r>
        <w:rPr>
          <w:rFonts w:hint="eastAsia" w:ascii="仿宋" w:hAnsi="仿宋" w:eastAsia="仿宋" w:cs="仿宋_GB2312"/>
          <w:color w:val="auto"/>
          <w:sz w:val="24"/>
          <w:lang w:val="zh-CN"/>
        </w:rPr>
        <w:t>合同签订后，中标人应免费派工程师与招标人共同商讨设备使用场地及设备操作间设计（如有），并提供货物安装的规划设计说明，包括建筑防护标准（如有）、运行使用的环境要求、施工图纸（如有）等。</w:t>
      </w:r>
    </w:p>
    <w:p w14:paraId="428EB7C1">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4.2</w:t>
      </w:r>
      <w:r>
        <w:rPr>
          <w:rFonts w:hint="eastAsia" w:ascii="仿宋" w:hAnsi="仿宋" w:eastAsia="仿宋" w:cs="仿宋_GB2312"/>
          <w:color w:val="auto"/>
          <w:sz w:val="24"/>
          <w:lang w:val="zh-CN"/>
        </w:rPr>
        <w:t>中标人应向招标人随货物提供全套设备技术资料，费用已包括在投标价格之内。</w:t>
      </w:r>
    </w:p>
    <w:p w14:paraId="782C321D">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5</w:t>
      </w:r>
      <w:r>
        <w:rPr>
          <w:rFonts w:hint="eastAsia" w:ascii="仿宋" w:hAnsi="仿宋" w:eastAsia="仿宋" w:cs="仿宋_GB2312"/>
          <w:color w:val="auto"/>
          <w:sz w:val="24"/>
          <w:lang w:val="zh-CN"/>
        </w:rPr>
        <w:t>、货物出厂应有制造厂名（商标）、厂址及合格标志。</w:t>
      </w:r>
    </w:p>
    <w:p w14:paraId="528B7BEB">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6</w:t>
      </w:r>
      <w:r>
        <w:rPr>
          <w:rFonts w:hint="eastAsia" w:ascii="仿宋" w:hAnsi="仿宋" w:eastAsia="仿宋" w:cs="仿宋_GB2312"/>
          <w:color w:val="auto"/>
          <w:sz w:val="24"/>
          <w:lang w:val="zh-CN"/>
        </w:rPr>
        <w:t>、运输方式：不限，按一般贸易要求。</w:t>
      </w:r>
    </w:p>
    <w:p w14:paraId="4C1DCA1A">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7</w:t>
      </w:r>
      <w:r>
        <w:rPr>
          <w:rFonts w:hint="eastAsia" w:ascii="仿宋" w:hAnsi="仿宋" w:eastAsia="仿宋" w:cs="仿宋_GB2312"/>
          <w:color w:val="auto"/>
          <w:sz w:val="24"/>
          <w:lang w:val="zh-CN"/>
        </w:rPr>
        <w:t>、交货验收期：按招标文件的规定，允许提前交货，但不考虑降低价格。投标人须在投标文件中对交货验收期的时限做出明确承诺。</w:t>
      </w:r>
    </w:p>
    <w:p w14:paraId="2DDF1838">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8</w:t>
      </w:r>
      <w:r>
        <w:rPr>
          <w:rFonts w:hint="eastAsia" w:ascii="仿宋" w:hAnsi="仿宋" w:eastAsia="仿宋" w:cs="仿宋_GB2312"/>
          <w:color w:val="auto"/>
          <w:sz w:val="24"/>
          <w:lang w:val="zh-CN"/>
        </w:rPr>
        <w:t>、售后服务。</w:t>
      </w:r>
    </w:p>
    <w:p w14:paraId="62B0EED7">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8.1</w:t>
      </w:r>
      <w:r>
        <w:rPr>
          <w:rFonts w:hint="eastAsia" w:ascii="仿宋" w:hAnsi="仿宋" w:eastAsia="仿宋" w:cs="仿宋_GB2312"/>
          <w:color w:val="auto"/>
          <w:sz w:val="24"/>
          <w:lang w:val="zh-CN"/>
        </w:rPr>
        <w:t>在国内建有经过专业培训的工程师组成的维修部门，提供联系人及联系方式，提供免费电话。</w:t>
      </w:r>
    </w:p>
    <w:p w14:paraId="38C7876C">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8.2</w:t>
      </w:r>
      <w:r>
        <w:rPr>
          <w:rFonts w:hint="eastAsia" w:ascii="仿宋" w:hAnsi="仿宋" w:eastAsia="仿宋" w:cs="仿宋_GB2312"/>
          <w:color w:val="auto"/>
          <w:sz w:val="24"/>
          <w:lang w:val="zh-CN"/>
        </w:rPr>
        <w:t>有全国统一售后服务机构，设备故障报修时，</w:t>
      </w:r>
      <w:r>
        <w:rPr>
          <w:rFonts w:hint="eastAsia" w:ascii="仿宋" w:hAnsi="仿宋" w:eastAsia="仿宋" w:cs="仿宋_GB2312"/>
          <w:color w:val="auto"/>
          <w:sz w:val="24"/>
        </w:rPr>
        <w:t>12</w:t>
      </w:r>
      <w:r>
        <w:rPr>
          <w:rFonts w:hint="eastAsia" w:ascii="仿宋" w:hAnsi="仿宋" w:eastAsia="仿宋" w:cs="仿宋_GB2312"/>
          <w:color w:val="auto"/>
          <w:sz w:val="24"/>
          <w:lang w:val="zh-CN"/>
        </w:rPr>
        <w:t>小时达到现场处理。</w:t>
      </w:r>
    </w:p>
    <w:p w14:paraId="59A3017D">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8.3</w:t>
      </w:r>
      <w:r>
        <w:rPr>
          <w:rFonts w:hint="eastAsia" w:ascii="仿宋" w:hAnsi="仿宋" w:eastAsia="仿宋" w:cs="仿宋_GB2312"/>
          <w:color w:val="auto"/>
          <w:sz w:val="24"/>
          <w:lang w:val="zh-CN"/>
        </w:rPr>
        <w:t>投标人须提供免费软件升级（如有）。</w:t>
      </w:r>
    </w:p>
    <w:p w14:paraId="5D7D0EA5">
      <w:pPr>
        <w:adjustRightInd w:val="0"/>
        <w:snapToGrid w:val="0"/>
        <w:ind w:firstLine="480"/>
        <w:rPr>
          <w:rFonts w:ascii="仿宋" w:hAnsi="仿宋" w:eastAsia="仿宋"/>
          <w:color w:val="auto"/>
          <w:sz w:val="24"/>
        </w:rPr>
      </w:pPr>
      <w:r>
        <w:rPr>
          <w:rFonts w:ascii="仿宋" w:hAnsi="仿宋" w:eastAsia="仿宋" w:cs="仿宋_GB2312"/>
          <w:color w:val="auto"/>
          <w:sz w:val="24"/>
          <w:lang w:val="zh-CN"/>
        </w:rPr>
        <w:t>8.4</w:t>
      </w:r>
      <w:r>
        <w:rPr>
          <w:rFonts w:hint="eastAsia" w:ascii="仿宋" w:hAnsi="仿宋" w:eastAsia="仿宋" w:cs="仿宋_GB2312"/>
          <w:color w:val="auto"/>
          <w:sz w:val="24"/>
          <w:lang w:val="zh-CN"/>
        </w:rPr>
        <w:t>投标人须在投标文件中对售后服务的内容和时限等内容做出明确承诺响应</w:t>
      </w:r>
      <w:r>
        <w:rPr>
          <w:rFonts w:hint="eastAsia" w:ascii="仿宋" w:hAnsi="仿宋" w:eastAsia="仿宋"/>
          <w:color w:val="auto"/>
          <w:sz w:val="24"/>
        </w:rPr>
        <w:t>；提供售后服务保障措施方案：应至少包括售后服务团队及管理流程：需明确售后服务团队、分工和职责，售后管理流程及服务保障措施等内容；应急售后处理方案：需明确应急情况下的售后响应措施，紧急服务保障及应急储备等内容</w:t>
      </w:r>
      <w:r>
        <w:rPr>
          <w:rFonts w:hint="eastAsia" w:ascii="仿宋" w:hAnsi="仿宋" w:eastAsia="仿宋" w:cs="仿宋_GB2312"/>
          <w:color w:val="auto"/>
          <w:sz w:val="24"/>
          <w:lang w:val="zh-CN"/>
        </w:rPr>
        <w:t>。</w:t>
      </w:r>
    </w:p>
    <w:p w14:paraId="21A7C1E9">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9</w:t>
      </w:r>
      <w:r>
        <w:rPr>
          <w:rFonts w:hint="eastAsia" w:ascii="仿宋" w:hAnsi="仿宋" w:eastAsia="仿宋" w:cs="仿宋_GB2312"/>
          <w:color w:val="auto"/>
          <w:sz w:val="24"/>
          <w:lang w:val="zh-CN"/>
        </w:rPr>
        <w:t>、质保期：按招标文件规定，投标人须在投标文件中对质保期做出明确承诺。投标货物的质保期按中国国家的有关规定执行，但具体时限及计算方法需在投标文件中明确。投标人须在投标文件中对所投设备保修的内容做出明确承诺。</w:t>
      </w:r>
    </w:p>
    <w:p w14:paraId="3BC6C5B0">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10</w:t>
      </w:r>
      <w:r>
        <w:rPr>
          <w:rFonts w:hint="eastAsia" w:ascii="仿宋" w:hAnsi="仿宋" w:eastAsia="仿宋" w:cs="仿宋_GB2312"/>
          <w:color w:val="auto"/>
          <w:sz w:val="24"/>
          <w:lang w:val="zh-CN"/>
        </w:rPr>
        <w:t>、培训。</w:t>
      </w:r>
    </w:p>
    <w:p w14:paraId="539AB3B3">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10.1</w:t>
      </w:r>
      <w:r>
        <w:rPr>
          <w:rFonts w:hint="eastAsia" w:ascii="仿宋" w:hAnsi="仿宋" w:eastAsia="仿宋" w:cs="仿宋_GB2312"/>
          <w:color w:val="auto"/>
          <w:sz w:val="24"/>
          <w:lang w:val="zh-CN"/>
        </w:rPr>
        <w:t>投标人应免费为招标人提供现场操作培训，保证至操作人员正常使用货物的各种功能为止；应为招标人维修人员培训维护及保养技术。</w:t>
      </w:r>
    </w:p>
    <w:p w14:paraId="70ECADCB">
      <w:pPr>
        <w:adjustRightInd w:val="0"/>
        <w:snapToGrid w:val="0"/>
        <w:ind w:firstLine="480"/>
        <w:rPr>
          <w:rFonts w:ascii="仿宋" w:hAnsi="仿宋" w:eastAsia="仿宋" w:cs="仿宋_GB2312"/>
          <w:color w:val="auto"/>
          <w:sz w:val="24"/>
          <w:lang w:val="zh-CN"/>
        </w:rPr>
      </w:pPr>
      <w:r>
        <w:rPr>
          <w:rFonts w:hint="eastAsia" w:ascii="仿宋" w:hAnsi="仿宋" w:eastAsia="仿宋" w:cs="仿宋_GB2312"/>
          <w:color w:val="auto"/>
          <w:sz w:val="24"/>
          <w:lang w:val="zh-CN"/>
        </w:rPr>
        <w:t>10.2投标人应负责提供培训（如招标人需要）,费用包含在本次投标报价内。</w:t>
      </w:r>
    </w:p>
    <w:p w14:paraId="42D447CC">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10.</w:t>
      </w:r>
      <w:r>
        <w:rPr>
          <w:rFonts w:hint="eastAsia" w:ascii="仿宋" w:hAnsi="仿宋" w:eastAsia="仿宋" w:cs="仿宋_GB2312"/>
          <w:color w:val="auto"/>
          <w:sz w:val="24"/>
          <w:lang w:val="zh-CN"/>
        </w:rPr>
        <w:t>3投标人须在投标文件中对招标人人员培训做出明确响应，需提供</w:t>
      </w:r>
      <w:r>
        <w:rPr>
          <w:rFonts w:hint="eastAsia" w:ascii="仿宋" w:hAnsi="仿宋" w:eastAsia="仿宋"/>
          <w:color w:val="auto"/>
          <w:sz w:val="24"/>
        </w:rPr>
        <w:t>人员培训时间计划安排：至少包含人员培训的时间安排、培训内容组成、培训效果保障措施等内容</w:t>
      </w:r>
      <w:r>
        <w:rPr>
          <w:rFonts w:hint="eastAsia" w:ascii="仿宋" w:hAnsi="仿宋" w:eastAsia="仿宋" w:cs="仿宋_GB2312"/>
          <w:color w:val="auto"/>
          <w:sz w:val="24"/>
          <w:lang w:val="zh-CN"/>
        </w:rPr>
        <w:t>。</w:t>
      </w:r>
    </w:p>
    <w:p w14:paraId="64D32B1C">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11</w:t>
      </w:r>
      <w:r>
        <w:rPr>
          <w:rFonts w:hint="eastAsia" w:ascii="仿宋" w:hAnsi="仿宋" w:eastAsia="仿宋" w:cs="仿宋_GB2312"/>
          <w:color w:val="auto"/>
          <w:sz w:val="24"/>
          <w:lang w:val="zh-CN"/>
        </w:rPr>
        <w:t>、配件、备品备件与消耗品。</w:t>
      </w:r>
    </w:p>
    <w:p w14:paraId="1429AE63">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11.</w:t>
      </w:r>
      <w:r>
        <w:rPr>
          <w:rFonts w:hint="eastAsia" w:ascii="仿宋" w:hAnsi="仿宋" w:eastAsia="仿宋" w:cs="仿宋_GB2312"/>
          <w:color w:val="auto"/>
          <w:sz w:val="24"/>
          <w:lang w:val="zh-CN"/>
        </w:rPr>
        <w:t>1投标人应在投标文件中提供按出厂标准供应的、货物正常连续运转一年所需的备品备件、消耗品的清单，该清单应包含备品备件、消耗品的名称、规格型号、价格、制造厂名称等内容。该清单价格应包含在投标总价中。投标人向招标人提供设备维护的专用工具。</w:t>
      </w:r>
    </w:p>
    <w:p w14:paraId="1E13BDF2">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11.</w:t>
      </w:r>
      <w:r>
        <w:rPr>
          <w:rFonts w:hint="eastAsia" w:ascii="仿宋" w:hAnsi="仿宋" w:eastAsia="仿宋" w:cs="仿宋_GB2312"/>
          <w:color w:val="auto"/>
          <w:sz w:val="24"/>
          <w:lang w:val="zh-CN"/>
        </w:rPr>
        <w:t>2投标人应在投标文件中提供货物质保期后，一年内所需的备品备件、消耗品及其不变价格的清单。</w:t>
      </w:r>
    </w:p>
    <w:p w14:paraId="766AA64E">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11.</w:t>
      </w:r>
      <w:r>
        <w:rPr>
          <w:rFonts w:hint="eastAsia" w:ascii="仿宋" w:hAnsi="仿宋" w:eastAsia="仿宋" w:cs="仿宋_GB2312"/>
          <w:color w:val="auto"/>
          <w:sz w:val="24"/>
          <w:lang w:val="zh-CN"/>
        </w:rPr>
        <w:t>3在货物的使用寿命期内，投标人应保证招标人在</w:t>
      </w:r>
      <w:r>
        <w:rPr>
          <w:rFonts w:ascii="仿宋" w:hAnsi="仿宋" w:eastAsia="仿宋" w:cs="仿宋_GB2312"/>
          <w:color w:val="auto"/>
          <w:sz w:val="24"/>
          <w:lang w:val="zh-CN"/>
        </w:rPr>
        <w:t>3</w:t>
      </w:r>
      <w:r>
        <w:rPr>
          <w:rFonts w:hint="eastAsia" w:ascii="仿宋" w:hAnsi="仿宋" w:eastAsia="仿宋" w:cs="仿宋_GB2312"/>
          <w:color w:val="auto"/>
          <w:sz w:val="24"/>
          <w:lang w:val="zh-CN"/>
        </w:rPr>
        <w:t>天内买到必需的零配件，并且应保证招标人对设备的零配件、易损件、消耗品的长期供应。如果该型号货物停止生产，投标人应保证招标人在该型号货物使用10年内的零配件、易损件、消耗品的正常供应。</w:t>
      </w:r>
    </w:p>
    <w:p w14:paraId="747B03C8">
      <w:pPr>
        <w:adjustRightInd w:val="0"/>
        <w:snapToGrid w:val="0"/>
        <w:ind w:firstLine="480"/>
        <w:rPr>
          <w:rFonts w:ascii="仿宋" w:hAnsi="仿宋" w:eastAsia="仿宋" w:cs="仿宋_GB2312"/>
          <w:color w:val="auto"/>
          <w:sz w:val="24"/>
          <w:lang w:val="zh-CN"/>
        </w:rPr>
      </w:pPr>
      <w:r>
        <w:rPr>
          <w:rFonts w:ascii="仿宋" w:hAnsi="仿宋" w:eastAsia="仿宋" w:cs="仿宋_GB2312"/>
          <w:color w:val="auto"/>
          <w:sz w:val="24"/>
          <w:lang w:val="zh-CN"/>
        </w:rPr>
        <w:t>11.</w:t>
      </w:r>
      <w:r>
        <w:rPr>
          <w:rFonts w:hint="eastAsia" w:ascii="仿宋" w:hAnsi="仿宋" w:eastAsia="仿宋" w:cs="仿宋_GB2312"/>
          <w:color w:val="auto"/>
          <w:sz w:val="24"/>
          <w:lang w:val="zh-CN"/>
        </w:rPr>
        <w:t>4在中国境内有相应的零配件仓库。</w:t>
      </w:r>
    </w:p>
    <w:p w14:paraId="2E4CFCD4">
      <w:pPr>
        <w:adjustRightInd w:val="0"/>
        <w:snapToGrid w:val="0"/>
        <w:ind w:firstLine="480"/>
        <w:rPr>
          <w:rFonts w:ascii="仿宋" w:hAnsi="仿宋" w:eastAsia="仿宋" w:cs="仿宋_GB2312"/>
          <w:color w:val="auto"/>
          <w:sz w:val="24"/>
          <w:lang w:val="zh-CN"/>
        </w:rPr>
      </w:pPr>
      <w:r>
        <w:rPr>
          <w:rFonts w:hint="eastAsia" w:ascii="仿宋" w:hAnsi="仿宋" w:eastAsia="仿宋" w:cs="仿宋_GB2312"/>
          <w:color w:val="auto"/>
          <w:sz w:val="24"/>
          <w:lang w:val="zh-CN"/>
        </w:rPr>
        <w:t>1</w:t>
      </w:r>
      <w:r>
        <w:rPr>
          <w:rFonts w:ascii="仿宋" w:hAnsi="仿宋" w:eastAsia="仿宋" w:cs="仿宋_GB2312"/>
          <w:color w:val="auto"/>
          <w:sz w:val="24"/>
          <w:lang w:val="zh-CN"/>
        </w:rPr>
        <w:t>2</w:t>
      </w:r>
      <w:r>
        <w:rPr>
          <w:rFonts w:hint="eastAsia" w:ascii="仿宋" w:hAnsi="仿宋" w:eastAsia="仿宋" w:cs="仿宋_GB2312"/>
          <w:color w:val="auto"/>
          <w:sz w:val="24"/>
          <w:lang w:val="zh-CN"/>
        </w:rPr>
        <w:t>、其它：投标人有其它优惠条件的，请在投标文件中作出具体说明</w:t>
      </w:r>
    </w:p>
    <w:p w14:paraId="36893955">
      <w:pPr>
        <w:adjustRightInd w:val="0"/>
        <w:snapToGrid w:val="0"/>
        <w:ind w:firstLine="480"/>
        <w:rPr>
          <w:rFonts w:ascii="仿宋" w:hAnsi="仿宋" w:eastAsia="仿宋" w:cs="仿宋_GB2312"/>
          <w:bCs/>
          <w:color w:val="auto"/>
          <w:sz w:val="24"/>
          <w:lang w:val="zh-CN"/>
        </w:rPr>
      </w:pPr>
      <w:r>
        <w:rPr>
          <w:rFonts w:hint="eastAsia" w:ascii="仿宋" w:hAnsi="仿宋" w:eastAsia="仿宋" w:cs="仿宋_GB2312"/>
          <w:bCs/>
          <w:color w:val="auto"/>
          <w:sz w:val="24"/>
          <w:lang w:val="zh-CN"/>
        </w:rPr>
        <w:t>1</w:t>
      </w:r>
      <w:r>
        <w:rPr>
          <w:rFonts w:ascii="仿宋" w:hAnsi="仿宋" w:eastAsia="仿宋" w:cs="仿宋_GB2312"/>
          <w:bCs/>
          <w:color w:val="auto"/>
          <w:sz w:val="24"/>
          <w:lang w:val="zh-CN"/>
        </w:rPr>
        <w:t>3</w:t>
      </w:r>
      <w:r>
        <w:rPr>
          <w:rFonts w:hint="eastAsia" w:ascii="仿宋" w:hAnsi="仿宋" w:eastAsia="仿宋" w:cs="仿宋_GB2312"/>
          <w:bCs/>
          <w:color w:val="auto"/>
          <w:sz w:val="24"/>
          <w:lang w:val="zh-CN"/>
        </w:rPr>
        <w:t>、付款方式：按医院付款方式付款。</w:t>
      </w:r>
      <w:r>
        <w:rPr>
          <w:rFonts w:ascii="仿宋" w:hAnsi="仿宋" w:eastAsia="仿宋" w:cs="仿宋_GB2312"/>
          <w:color w:val="auto"/>
          <w:szCs w:val="21"/>
        </w:rPr>
        <w:br w:type="page"/>
      </w:r>
    </w:p>
    <w:p w14:paraId="496946C6">
      <w:pPr>
        <w:spacing w:before="156" w:beforeLines="50" w:after="156" w:afterLines="50" w:line="240" w:lineRule="auto"/>
        <w:ind w:firstLine="0" w:firstLineChars="0"/>
        <w:jc w:val="center"/>
        <w:outlineLvl w:val="0"/>
        <w:rPr>
          <w:rFonts w:ascii="仿宋" w:hAnsi="仿宋" w:eastAsia="仿宋"/>
          <w:bCs/>
          <w:color w:val="auto"/>
          <w:sz w:val="36"/>
          <w:szCs w:val="36"/>
        </w:rPr>
      </w:pPr>
      <w:bookmarkStart w:id="48" w:name="_Toc181712892"/>
      <w:r>
        <w:rPr>
          <w:rFonts w:hint="eastAsia" w:ascii="仿宋" w:hAnsi="仿宋" w:eastAsia="仿宋"/>
          <w:bCs/>
          <w:color w:val="auto"/>
          <w:sz w:val="36"/>
          <w:szCs w:val="36"/>
        </w:rPr>
        <w:t>第四章 评标方法</w:t>
      </w:r>
      <w:bookmarkEnd w:id="39"/>
      <w:bookmarkEnd w:id="48"/>
    </w:p>
    <w:p w14:paraId="66CCEC0D">
      <w:pPr>
        <w:autoSpaceDE w:val="0"/>
        <w:autoSpaceDN w:val="0"/>
        <w:ind w:firstLine="480"/>
        <w:textAlignment w:val="center"/>
        <w:outlineLvl w:val="1"/>
        <w:rPr>
          <w:rFonts w:ascii="仿宋" w:hAnsi="仿宋" w:eastAsia="仿宋" w:cs="宋体"/>
          <w:snapToGrid w:val="0"/>
          <w:color w:val="auto"/>
          <w:kern w:val="0"/>
          <w:sz w:val="24"/>
          <w:lang w:val="zh-CN"/>
        </w:rPr>
      </w:pPr>
      <w:bookmarkStart w:id="49" w:name="_Toc181712893"/>
      <w:bookmarkStart w:id="50" w:name="_Toc24374"/>
      <w:r>
        <w:rPr>
          <w:rFonts w:hint="eastAsia" w:ascii="仿宋" w:hAnsi="仿宋" w:eastAsia="仿宋" w:cs="宋体"/>
          <w:snapToGrid w:val="0"/>
          <w:color w:val="auto"/>
          <w:kern w:val="0"/>
          <w:sz w:val="24"/>
          <w:lang w:val="zh-CN"/>
        </w:rPr>
        <w:t>一、评标方法前附表</w:t>
      </w:r>
      <w:bookmarkEnd w:id="49"/>
      <w:bookmarkEnd w:id="50"/>
    </w:p>
    <w:tbl>
      <w:tblPr>
        <w:tblStyle w:val="44"/>
        <w:tblW w:w="890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4" w:space="0"/>
        </w:tblBorders>
        <w:tblLayout w:type="fixed"/>
        <w:tblCellMar>
          <w:top w:w="57" w:type="dxa"/>
          <w:left w:w="57" w:type="dxa"/>
          <w:bottom w:w="57" w:type="dxa"/>
          <w:right w:w="57" w:type="dxa"/>
        </w:tblCellMar>
      </w:tblPr>
      <w:tblGrid>
        <w:gridCol w:w="563"/>
        <w:gridCol w:w="1135"/>
        <w:gridCol w:w="709"/>
        <w:gridCol w:w="1418"/>
        <w:gridCol w:w="5075"/>
      </w:tblGrid>
      <w:tr w14:paraId="375EC8D0">
        <w:tblPrEx>
          <w:tblBorders>
            <w:top w:val="single" w:color="auto" w:sz="2" w:space="0"/>
            <w:left w:val="single" w:color="auto" w:sz="2" w:space="0"/>
            <w:bottom w:val="single" w:color="auto" w:sz="2" w:space="0"/>
            <w:right w:val="single" w:color="auto" w:sz="2" w:space="0"/>
            <w:insideH w:val="single" w:color="auto" w:sz="2" w:space="0"/>
            <w:insideV w:val="single" w:color="auto" w:sz="4" w:space="0"/>
          </w:tblBorders>
          <w:tblCellMar>
            <w:top w:w="57" w:type="dxa"/>
            <w:left w:w="57" w:type="dxa"/>
            <w:bottom w:w="57" w:type="dxa"/>
            <w:right w:w="57" w:type="dxa"/>
          </w:tblCellMar>
        </w:tblPrEx>
        <w:trPr>
          <w:trHeight w:val="39" w:hRule="atLeast"/>
          <w:jc w:val="center"/>
        </w:trPr>
        <w:tc>
          <w:tcPr>
            <w:tcW w:w="8900" w:type="dxa"/>
            <w:gridSpan w:val="5"/>
            <w:vAlign w:val="center"/>
          </w:tcPr>
          <w:p w14:paraId="5E888B8F">
            <w:pPr>
              <w:widowControl/>
              <w:adjustRightInd w:val="0"/>
              <w:snapToGrid w:val="0"/>
              <w:spacing w:line="400" w:lineRule="exact"/>
              <w:ind w:firstLine="0" w:firstLineChars="0"/>
              <w:jc w:val="center"/>
              <w:rPr>
                <w:rFonts w:ascii="仿宋" w:hAnsi="仿宋" w:eastAsia="仿宋" w:cs="宋体"/>
                <w:bCs/>
                <w:color w:val="auto"/>
                <w:kern w:val="0"/>
                <w:sz w:val="24"/>
              </w:rPr>
            </w:pPr>
            <w:bookmarkStart w:id="51" w:name="_Toc28241"/>
            <w:bookmarkStart w:id="52" w:name="_Toc3434"/>
            <w:r>
              <w:rPr>
                <w:rFonts w:hint="eastAsia" w:ascii="仿宋" w:hAnsi="仿宋" w:eastAsia="仿宋" w:cs="宋体"/>
                <w:color w:val="auto"/>
                <w:kern w:val="0"/>
                <w:sz w:val="24"/>
              </w:rPr>
              <w:t>符合性审查标准</w:t>
            </w:r>
          </w:p>
        </w:tc>
      </w:tr>
      <w:tr w14:paraId="57E69693">
        <w:tblPrEx>
          <w:tblBorders>
            <w:top w:val="single" w:color="auto" w:sz="2" w:space="0"/>
            <w:left w:val="single" w:color="auto" w:sz="2" w:space="0"/>
            <w:bottom w:val="single" w:color="auto" w:sz="2" w:space="0"/>
            <w:right w:val="single" w:color="auto" w:sz="2" w:space="0"/>
            <w:insideH w:val="single" w:color="auto" w:sz="2" w:space="0"/>
            <w:insideV w:val="single" w:color="auto" w:sz="4" w:space="0"/>
          </w:tblBorders>
          <w:tblCellMar>
            <w:top w:w="57" w:type="dxa"/>
            <w:left w:w="57" w:type="dxa"/>
            <w:bottom w:w="57" w:type="dxa"/>
            <w:right w:w="57" w:type="dxa"/>
          </w:tblCellMar>
        </w:tblPrEx>
        <w:trPr>
          <w:trHeight w:val="18" w:hRule="atLeast"/>
          <w:jc w:val="center"/>
        </w:trPr>
        <w:tc>
          <w:tcPr>
            <w:tcW w:w="1698" w:type="dxa"/>
            <w:gridSpan w:val="2"/>
            <w:vAlign w:val="center"/>
          </w:tcPr>
          <w:p w14:paraId="4A4AA190">
            <w:pPr>
              <w:widowControl/>
              <w:adjustRightInd w:val="0"/>
              <w:snapToGrid w:val="0"/>
              <w:spacing w:line="400" w:lineRule="exact"/>
              <w:ind w:firstLine="0" w:firstLineChars="0"/>
              <w:jc w:val="center"/>
              <w:rPr>
                <w:rFonts w:ascii="仿宋" w:hAnsi="仿宋" w:eastAsia="仿宋" w:cs="宋体"/>
                <w:bCs/>
                <w:color w:val="auto"/>
                <w:kern w:val="0"/>
                <w:sz w:val="24"/>
              </w:rPr>
            </w:pPr>
            <w:r>
              <w:rPr>
                <w:rFonts w:hint="eastAsia" w:ascii="仿宋" w:hAnsi="仿宋" w:eastAsia="仿宋" w:cs="宋体"/>
                <w:bCs/>
                <w:color w:val="auto"/>
                <w:kern w:val="0"/>
                <w:sz w:val="24"/>
              </w:rPr>
              <w:t>条款号</w:t>
            </w:r>
          </w:p>
        </w:tc>
        <w:tc>
          <w:tcPr>
            <w:tcW w:w="2127" w:type="dxa"/>
            <w:gridSpan w:val="2"/>
            <w:vAlign w:val="center"/>
          </w:tcPr>
          <w:p w14:paraId="2C24EE86">
            <w:pPr>
              <w:widowControl/>
              <w:adjustRightInd w:val="0"/>
              <w:snapToGrid w:val="0"/>
              <w:spacing w:line="400" w:lineRule="exact"/>
              <w:ind w:firstLine="0" w:firstLineChars="0"/>
              <w:jc w:val="center"/>
              <w:rPr>
                <w:rFonts w:ascii="仿宋" w:hAnsi="仿宋" w:eastAsia="仿宋" w:cs="宋体"/>
                <w:bCs/>
                <w:color w:val="auto"/>
                <w:kern w:val="0"/>
                <w:sz w:val="24"/>
              </w:rPr>
            </w:pPr>
            <w:r>
              <w:rPr>
                <w:rFonts w:hint="eastAsia" w:ascii="仿宋" w:hAnsi="仿宋" w:eastAsia="仿宋" w:cs="宋体"/>
                <w:bCs/>
                <w:color w:val="auto"/>
                <w:kern w:val="0"/>
                <w:sz w:val="24"/>
              </w:rPr>
              <w:t>评审因素</w:t>
            </w:r>
          </w:p>
        </w:tc>
        <w:tc>
          <w:tcPr>
            <w:tcW w:w="5075" w:type="dxa"/>
            <w:vAlign w:val="center"/>
          </w:tcPr>
          <w:p w14:paraId="1FDF6306">
            <w:pPr>
              <w:widowControl/>
              <w:adjustRightInd w:val="0"/>
              <w:snapToGrid w:val="0"/>
              <w:spacing w:line="400" w:lineRule="exact"/>
              <w:ind w:firstLine="0" w:firstLineChars="0"/>
              <w:jc w:val="center"/>
              <w:rPr>
                <w:rFonts w:ascii="仿宋" w:hAnsi="仿宋" w:eastAsia="仿宋" w:cs="宋体"/>
                <w:bCs/>
                <w:color w:val="auto"/>
                <w:kern w:val="0"/>
                <w:sz w:val="24"/>
              </w:rPr>
            </w:pPr>
            <w:r>
              <w:rPr>
                <w:rFonts w:hint="eastAsia" w:ascii="仿宋" w:hAnsi="仿宋" w:eastAsia="仿宋" w:cs="宋体"/>
                <w:bCs/>
                <w:color w:val="auto"/>
                <w:kern w:val="0"/>
                <w:sz w:val="24"/>
              </w:rPr>
              <w:t>评审标准</w:t>
            </w:r>
          </w:p>
        </w:tc>
      </w:tr>
      <w:tr w14:paraId="198EF4DB">
        <w:tblPrEx>
          <w:tblBorders>
            <w:top w:val="single" w:color="auto" w:sz="2" w:space="0"/>
            <w:left w:val="single" w:color="auto" w:sz="2" w:space="0"/>
            <w:bottom w:val="single" w:color="auto" w:sz="2" w:space="0"/>
            <w:right w:val="single" w:color="auto" w:sz="2" w:space="0"/>
            <w:insideH w:val="single" w:color="auto" w:sz="2" w:space="0"/>
            <w:insideV w:val="single" w:color="auto" w:sz="4" w:space="0"/>
          </w:tblBorders>
          <w:tblCellMar>
            <w:top w:w="57" w:type="dxa"/>
            <w:left w:w="57" w:type="dxa"/>
            <w:bottom w:w="57" w:type="dxa"/>
            <w:right w:w="57" w:type="dxa"/>
          </w:tblCellMar>
        </w:tblPrEx>
        <w:trPr>
          <w:trHeight w:val="20" w:hRule="atLeast"/>
          <w:jc w:val="center"/>
        </w:trPr>
        <w:tc>
          <w:tcPr>
            <w:tcW w:w="563" w:type="dxa"/>
            <w:vMerge w:val="restart"/>
            <w:vAlign w:val="center"/>
          </w:tcPr>
          <w:p w14:paraId="442B647D">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2.2</w:t>
            </w:r>
          </w:p>
        </w:tc>
        <w:tc>
          <w:tcPr>
            <w:tcW w:w="1135" w:type="dxa"/>
            <w:vMerge w:val="restart"/>
            <w:vAlign w:val="center"/>
          </w:tcPr>
          <w:p w14:paraId="4FBAD624">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符合性</w:t>
            </w:r>
          </w:p>
          <w:p w14:paraId="4DB60EE6">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审查标准</w:t>
            </w:r>
          </w:p>
        </w:tc>
        <w:tc>
          <w:tcPr>
            <w:tcW w:w="2127" w:type="dxa"/>
            <w:gridSpan w:val="2"/>
            <w:vAlign w:val="center"/>
          </w:tcPr>
          <w:p w14:paraId="5C667601">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lang w:bidi="ar"/>
              </w:rPr>
              <w:t>投标保证金</w:t>
            </w:r>
          </w:p>
        </w:tc>
        <w:tc>
          <w:tcPr>
            <w:tcW w:w="5075" w:type="dxa"/>
            <w:vAlign w:val="center"/>
          </w:tcPr>
          <w:p w14:paraId="61C9E625">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lang w:bidi="ar"/>
              </w:rPr>
              <w:t>投标人按照招标文件要求提交投标保证金</w:t>
            </w:r>
          </w:p>
        </w:tc>
      </w:tr>
      <w:tr w14:paraId="14AF8BB3">
        <w:tblPrEx>
          <w:tblBorders>
            <w:top w:val="single" w:color="auto" w:sz="2" w:space="0"/>
            <w:left w:val="single" w:color="auto" w:sz="2" w:space="0"/>
            <w:bottom w:val="single" w:color="auto" w:sz="2" w:space="0"/>
            <w:right w:val="single" w:color="auto" w:sz="2" w:space="0"/>
            <w:insideH w:val="single" w:color="auto" w:sz="2" w:space="0"/>
            <w:insideV w:val="single" w:color="auto" w:sz="4" w:space="0"/>
          </w:tblBorders>
          <w:tblCellMar>
            <w:top w:w="57" w:type="dxa"/>
            <w:left w:w="57" w:type="dxa"/>
            <w:bottom w:w="57" w:type="dxa"/>
            <w:right w:w="57" w:type="dxa"/>
          </w:tblCellMar>
        </w:tblPrEx>
        <w:trPr>
          <w:trHeight w:val="20" w:hRule="atLeast"/>
          <w:jc w:val="center"/>
        </w:trPr>
        <w:tc>
          <w:tcPr>
            <w:tcW w:w="563" w:type="dxa"/>
            <w:vMerge w:val="continue"/>
            <w:vAlign w:val="center"/>
          </w:tcPr>
          <w:p w14:paraId="1C54401D">
            <w:pPr>
              <w:widowControl/>
              <w:adjustRightInd w:val="0"/>
              <w:snapToGrid w:val="0"/>
              <w:spacing w:line="400" w:lineRule="exact"/>
              <w:ind w:firstLine="0" w:firstLineChars="0"/>
              <w:jc w:val="left"/>
              <w:rPr>
                <w:rFonts w:ascii="仿宋" w:hAnsi="仿宋" w:eastAsia="仿宋" w:cs="宋体"/>
                <w:color w:val="auto"/>
                <w:kern w:val="0"/>
                <w:sz w:val="24"/>
              </w:rPr>
            </w:pPr>
          </w:p>
        </w:tc>
        <w:tc>
          <w:tcPr>
            <w:tcW w:w="1135" w:type="dxa"/>
            <w:vMerge w:val="continue"/>
            <w:vAlign w:val="center"/>
          </w:tcPr>
          <w:p w14:paraId="672C681B">
            <w:pPr>
              <w:widowControl/>
              <w:adjustRightInd w:val="0"/>
              <w:snapToGrid w:val="0"/>
              <w:spacing w:line="400" w:lineRule="exact"/>
              <w:ind w:firstLine="0" w:firstLineChars="0"/>
              <w:jc w:val="left"/>
              <w:rPr>
                <w:rFonts w:ascii="仿宋" w:hAnsi="仿宋" w:eastAsia="仿宋" w:cs="宋体"/>
                <w:color w:val="auto"/>
                <w:kern w:val="0"/>
                <w:sz w:val="24"/>
              </w:rPr>
            </w:pPr>
          </w:p>
        </w:tc>
        <w:tc>
          <w:tcPr>
            <w:tcW w:w="2127" w:type="dxa"/>
            <w:gridSpan w:val="2"/>
            <w:vMerge w:val="restart"/>
            <w:vAlign w:val="center"/>
          </w:tcPr>
          <w:p w14:paraId="2DA2D044">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投标报价</w:t>
            </w:r>
          </w:p>
        </w:tc>
        <w:tc>
          <w:tcPr>
            <w:tcW w:w="5075" w:type="dxa"/>
            <w:vAlign w:val="center"/>
          </w:tcPr>
          <w:p w14:paraId="5A1C8F3A">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每一种采购内容只有一个报价</w:t>
            </w:r>
          </w:p>
        </w:tc>
      </w:tr>
      <w:tr w14:paraId="2B28B880">
        <w:tblPrEx>
          <w:tblBorders>
            <w:top w:val="single" w:color="auto" w:sz="2" w:space="0"/>
            <w:left w:val="single" w:color="auto" w:sz="2" w:space="0"/>
            <w:bottom w:val="single" w:color="auto" w:sz="2" w:space="0"/>
            <w:right w:val="single" w:color="auto" w:sz="2" w:space="0"/>
            <w:insideH w:val="single" w:color="auto" w:sz="2" w:space="0"/>
            <w:insideV w:val="single" w:color="auto" w:sz="4" w:space="0"/>
          </w:tblBorders>
          <w:tblCellMar>
            <w:top w:w="57" w:type="dxa"/>
            <w:left w:w="57" w:type="dxa"/>
            <w:bottom w:w="57" w:type="dxa"/>
            <w:right w:w="57" w:type="dxa"/>
          </w:tblCellMar>
        </w:tblPrEx>
        <w:trPr>
          <w:trHeight w:val="20" w:hRule="atLeast"/>
          <w:jc w:val="center"/>
        </w:trPr>
        <w:tc>
          <w:tcPr>
            <w:tcW w:w="563" w:type="dxa"/>
            <w:vMerge w:val="continue"/>
            <w:vAlign w:val="center"/>
          </w:tcPr>
          <w:p w14:paraId="2D8F0D86">
            <w:pPr>
              <w:widowControl/>
              <w:adjustRightInd w:val="0"/>
              <w:snapToGrid w:val="0"/>
              <w:spacing w:line="400" w:lineRule="exact"/>
              <w:ind w:firstLine="0" w:firstLineChars="0"/>
              <w:jc w:val="left"/>
              <w:rPr>
                <w:rFonts w:ascii="仿宋" w:hAnsi="仿宋" w:eastAsia="仿宋" w:cs="宋体"/>
                <w:color w:val="auto"/>
                <w:kern w:val="0"/>
                <w:sz w:val="24"/>
              </w:rPr>
            </w:pPr>
          </w:p>
        </w:tc>
        <w:tc>
          <w:tcPr>
            <w:tcW w:w="1135" w:type="dxa"/>
            <w:vMerge w:val="continue"/>
            <w:vAlign w:val="center"/>
          </w:tcPr>
          <w:p w14:paraId="640689B2">
            <w:pPr>
              <w:widowControl/>
              <w:adjustRightInd w:val="0"/>
              <w:snapToGrid w:val="0"/>
              <w:spacing w:line="400" w:lineRule="exact"/>
              <w:ind w:firstLine="0" w:firstLineChars="0"/>
              <w:jc w:val="left"/>
              <w:rPr>
                <w:rFonts w:ascii="仿宋" w:hAnsi="仿宋" w:eastAsia="仿宋" w:cs="宋体"/>
                <w:color w:val="auto"/>
                <w:kern w:val="0"/>
                <w:sz w:val="24"/>
              </w:rPr>
            </w:pPr>
          </w:p>
        </w:tc>
        <w:tc>
          <w:tcPr>
            <w:tcW w:w="2127" w:type="dxa"/>
            <w:gridSpan w:val="2"/>
            <w:vMerge w:val="continue"/>
            <w:vAlign w:val="center"/>
          </w:tcPr>
          <w:p w14:paraId="69DD5E75">
            <w:pPr>
              <w:widowControl/>
              <w:adjustRightInd w:val="0"/>
              <w:snapToGrid w:val="0"/>
              <w:spacing w:line="400" w:lineRule="exact"/>
              <w:ind w:firstLine="0" w:firstLineChars="0"/>
              <w:jc w:val="left"/>
              <w:rPr>
                <w:rFonts w:ascii="仿宋" w:hAnsi="仿宋" w:eastAsia="仿宋" w:cs="宋体"/>
                <w:color w:val="auto"/>
                <w:kern w:val="0"/>
                <w:sz w:val="24"/>
              </w:rPr>
            </w:pPr>
          </w:p>
        </w:tc>
        <w:tc>
          <w:tcPr>
            <w:tcW w:w="5075" w:type="dxa"/>
            <w:vAlign w:val="center"/>
          </w:tcPr>
          <w:p w14:paraId="6C7DA4D0">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投标金额未超过预算金额/最高限价</w:t>
            </w:r>
          </w:p>
        </w:tc>
      </w:tr>
      <w:tr w14:paraId="78A6A223">
        <w:tblPrEx>
          <w:tblBorders>
            <w:top w:val="single" w:color="auto" w:sz="2" w:space="0"/>
            <w:left w:val="single" w:color="auto" w:sz="2" w:space="0"/>
            <w:bottom w:val="single" w:color="auto" w:sz="2" w:space="0"/>
            <w:right w:val="single" w:color="auto" w:sz="2" w:space="0"/>
            <w:insideH w:val="single" w:color="auto" w:sz="2" w:space="0"/>
            <w:insideV w:val="single" w:color="auto" w:sz="4" w:space="0"/>
          </w:tblBorders>
          <w:tblCellMar>
            <w:top w:w="57" w:type="dxa"/>
            <w:left w:w="57" w:type="dxa"/>
            <w:bottom w:w="57" w:type="dxa"/>
            <w:right w:w="57" w:type="dxa"/>
          </w:tblCellMar>
        </w:tblPrEx>
        <w:trPr>
          <w:trHeight w:val="20" w:hRule="atLeast"/>
          <w:jc w:val="center"/>
        </w:trPr>
        <w:tc>
          <w:tcPr>
            <w:tcW w:w="563" w:type="dxa"/>
            <w:vMerge w:val="continue"/>
            <w:vAlign w:val="center"/>
          </w:tcPr>
          <w:p w14:paraId="543AC092">
            <w:pPr>
              <w:widowControl/>
              <w:adjustRightInd w:val="0"/>
              <w:snapToGrid w:val="0"/>
              <w:spacing w:line="400" w:lineRule="exact"/>
              <w:ind w:firstLine="0" w:firstLineChars="0"/>
              <w:jc w:val="left"/>
              <w:rPr>
                <w:rFonts w:ascii="仿宋" w:hAnsi="仿宋" w:eastAsia="仿宋" w:cs="宋体"/>
                <w:color w:val="auto"/>
                <w:kern w:val="0"/>
                <w:sz w:val="24"/>
              </w:rPr>
            </w:pPr>
          </w:p>
        </w:tc>
        <w:tc>
          <w:tcPr>
            <w:tcW w:w="1135" w:type="dxa"/>
            <w:vMerge w:val="continue"/>
            <w:vAlign w:val="center"/>
          </w:tcPr>
          <w:p w14:paraId="6CFA721C">
            <w:pPr>
              <w:widowControl/>
              <w:adjustRightInd w:val="0"/>
              <w:snapToGrid w:val="0"/>
              <w:spacing w:line="400" w:lineRule="exact"/>
              <w:ind w:firstLine="0" w:firstLineChars="0"/>
              <w:jc w:val="left"/>
              <w:rPr>
                <w:rFonts w:ascii="仿宋" w:hAnsi="仿宋" w:eastAsia="仿宋" w:cs="宋体"/>
                <w:color w:val="auto"/>
                <w:kern w:val="0"/>
                <w:sz w:val="24"/>
              </w:rPr>
            </w:pPr>
          </w:p>
        </w:tc>
        <w:tc>
          <w:tcPr>
            <w:tcW w:w="2127" w:type="dxa"/>
            <w:gridSpan w:val="2"/>
            <w:vAlign w:val="center"/>
          </w:tcPr>
          <w:p w14:paraId="5EF88A8A">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签署盖章</w:t>
            </w:r>
          </w:p>
        </w:tc>
        <w:tc>
          <w:tcPr>
            <w:tcW w:w="5075" w:type="dxa"/>
            <w:vAlign w:val="center"/>
          </w:tcPr>
          <w:p w14:paraId="7FE7BF66">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按招标文件要求签署、盖章</w:t>
            </w:r>
          </w:p>
        </w:tc>
      </w:tr>
      <w:tr w14:paraId="2264EDF1">
        <w:tblPrEx>
          <w:tblBorders>
            <w:top w:val="single" w:color="auto" w:sz="2" w:space="0"/>
            <w:left w:val="single" w:color="auto" w:sz="2" w:space="0"/>
            <w:bottom w:val="single" w:color="auto" w:sz="2" w:space="0"/>
            <w:right w:val="single" w:color="auto" w:sz="2" w:space="0"/>
            <w:insideH w:val="single" w:color="auto" w:sz="2" w:space="0"/>
            <w:insideV w:val="single" w:color="auto" w:sz="4" w:space="0"/>
          </w:tblBorders>
          <w:tblCellMar>
            <w:top w:w="57" w:type="dxa"/>
            <w:left w:w="57" w:type="dxa"/>
            <w:bottom w:w="57" w:type="dxa"/>
            <w:right w:w="57" w:type="dxa"/>
          </w:tblCellMar>
        </w:tblPrEx>
        <w:trPr>
          <w:trHeight w:val="285" w:hRule="atLeast"/>
          <w:jc w:val="center"/>
        </w:trPr>
        <w:tc>
          <w:tcPr>
            <w:tcW w:w="563" w:type="dxa"/>
            <w:vMerge w:val="continue"/>
            <w:vAlign w:val="center"/>
          </w:tcPr>
          <w:p w14:paraId="2BA7231C">
            <w:pPr>
              <w:widowControl/>
              <w:adjustRightInd w:val="0"/>
              <w:snapToGrid w:val="0"/>
              <w:spacing w:line="400" w:lineRule="exact"/>
              <w:ind w:firstLine="0" w:firstLineChars="0"/>
              <w:jc w:val="left"/>
              <w:rPr>
                <w:rFonts w:ascii="仿宋" w:hAnsi="仿宋" w:eastAsia="仿宋" w:cs="宋体"/>
                <w:color w:val="auto"/>
                <w:kern w:val="0"/>
                <w:sz w:val="24"/>
              </w:rPr>
            </w:pPr>
          </w:p>
        </w:tc>
        <w:tc>
          <w:tcPr>
            <w:tcW w:w="1135" w:type="dxa"/>
            <w:vMerge w:val="continue"/>
            <w:vAlign w:val="center"/>
          </w:tcPr>
          <w:p w14:paraId="45FAAF88">
            <w:pPr>
              <w:widowControl/>
              <w:adjustRightInd w:val="0"/>
              <w:snapToGrid w:val="0"/>
              <w:spacing w:line="400" w:lineRule="exact"/>
              <w:ind w:firstLine="0" w:firstLineChars="0"/>
              <w:jc w:val="left"/>
              <w:rPr>
                <w:rFonts w:ascii="仿宋" w:hAnsi="仿宋" w:eastAsia="仿宋" w:cs="宋体"/>
                <w:color w:val="auto"/>
                <w:kern w:val="0"/>
                <w:sz w:val="24"/>
              </w:rPr>
            </w:pPr>
          </w:p>
        </w:tc>
        <w:tc>
          <w:tcPr>
            <w:tcW w:w="2127" w:type="dxa"/>
            <w:gridSpan w:val="2"/>
            <w:vAlign w:val="center"/>
          </w:tcPr>
          <w:p w14:paraId="3D2CBD63">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投标有效期</w:t>
            </w:r>
          </w:p>
        </w:tc>
        <w:tc>
          <w:tcPr>
            <w:tcW w:w="5075" w:type="dxa"/>
            <w:vAlign w:val="center"/>
          </w:tcPr>
          <w:p w14:paraId="786A55A7">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满足招标文件要求</w:t>
            </w:r>
          </w:p>
        </w:tc>
      </w:tr>
      <w:tr w14:paraId="207EA989">
        <w:tblPrEx>
          <w:tblBorders>
            <w:top w:val="single" w:color="auto" w:sz="2" w:space="0"/>
            <w:left w:val="single" w:color="auto" w:sz="2" w:space="0"/>
            <w:bottom w:val="single" w:color="auto" w:sz="2" w:space="0"/>
            <w:right w:val="single" w:color="auto" w:sz="2" w:space="0"/>
            <w:insideH w:val="single" w:color="auto" w:sz="2" w:space="0"/>
            <w:insideV w:val="single" w:color="auto" w:sz="4" w:space="0"/>
          </w:tblBorders>
          <w:tblCellMar>
            <w:top w:w="57" w:type="dxa"/>
            <w:left w:w="57" w:type="dxa"/>
            <w:bottom w:w="57" w:type="dxa"/>
            <w:right w:w="57" w:type="dxa"/>
          </w:tblCellMar>
        </w:tblPrEx>
        <w:trPr>
          <w:trHeight w:val="285" w:hRule="atLeast"/>
          <w:jc w:val="center"/>
        </w:trPr>
        <w:tc>
          <w:tcPr>
            <w:tcW w:w="563" w:type="dxa"/>
            <w:vMerge w:val="continue"/>
            <w:vAlign w:val="center"/>
          </w:tcPr>
          <w:p w14:paraId="1508FD36">
            <w:pPr>
              <w:widowControl/>
              <w:adjustRightInd w:val="0"/>
              <w:snapToGrid w:val="0"/>
              <w:spacing w:line="400" w:lineRule="exact"/>
              <w:ind w:firstLine="0" w:firstLineChars="0"/>
              <w:jc w:val="left"/>
              <w:rPr>
                <w:rFonts w:ascii="仿宋" w:hAnsi="仿宋" w:eastAsia="仿宋" w:cs="宋体"/>
                <w:color w:val="auto"/>
                <w:kern w:val="0"/>
                <w:sz w:val="24"/>
              </w:rPr>
            </w:pPr>
          </w:p>
        </w:tc>
        <w:tc>
          <w:tcPr>
            <w:tcW w:w="1135" w:type="dxa"/>
            <w:vMerge w:val="continue"/>
            <w:vAlign w:val="center"/>
          </w:tcPr>
          <w:p w14:paraId="14E6BF1C">
            <w:pPr>
              <w:widowControl/>
              <w:adjustRightInd w:val="0"/>
              <w:snapToGrid w:val="0"/>
              <w:spacing w:line="400" w:lineRule="exact"/>
              <w:ind w:firstLine="0" w:firstLineChars="0"/>
              <w:jc w:val="left"/>
              <w:rPr>
                <w:rFonts w:ascii="仿宋" w:hAnsi="仿宋" w:eastAsia="仿宋" w:cs="宋体"/>
                <w:color w:val="auto"/>
                <w:kern w:val="0"/>
                <w:sz w:val="24"/>
              </w:rPr>
            </w:pPr>
          </w:p>
        </w:tc>
        <w:tc>
          <w:tcPr>
            <w:tcW w:w="709" w:type="dxa"/>
            <w:vMerge w:val="restart"/>
            <w:vAlign w:val="center"/>
          </w:tcPr>
          <w:p w14:paraId="733E5B60">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实质响应</w:t>
            </w:r>
          </w:p>
        </w:tc>
        <w:tc>
          <w:tcPr>
            <w:tcW w:w="1418" w:type="dxa"/>
            <w:vAlign w:val="center"/>
          </w:tcPr>
          <w:p w14:paraId="3A4479A5">
            <w:pPr>
              <w:widowControl/>
              <w:adjustRightInd w:val="0"/>
              <w:snapToGrid w:val="0"/>
              <w:spacing w:line="400" w:lineRule="exact"/>
              <w:ind w:firstLine="0" w:firstLineChars="0"/>
              <w:jc w:val="center"/>
              <w:rPr>
                <w:rFonts w:ascii="仿宋" w:hAnsi="仿宋" w:eastAsia="仿宋"/>
                <w:color w:val="auto"/>
                <w:kern w:val="0"/>
                <w:sz w:val="24"/>
              </w:rPr>
            </w:pPr>
            <w:r>
              <w:rPr>
                <w:rFonts w:hint="eastAsia" w:ascii="仿宋" w:hAnsi="仿宋" w:eastAsia="仿宋"/>
                <w:color w:val="auto"/>
                <w:kern w:val="0"/>
                <w:sz w:val="24"/>
              </w:rPr>
              <w:t>交货验收期</w:t>
            </w:r>
          </w:p>
        </w:tc>
        <w:tc>
          <w:tcPr>
            <w:tcW w:w="5075" w:type="dxa"/>
            <w:vAlign w:val="center"/>
          </w:tcPr>
          <w:p w14:paraId="6FFB8DDF">
            <w:pPr>
              <w:widowControl/>
              <w:adjustRightInd w:val="0"/>
              <w:snapToGrid w:val="0"/>
              <w:spacing w:line="400" w:lineRule="exact"/>
              <w:ind w:firstLine="0" w:firstLineChars="0"/>
              <w:rPr>
                <w:rFonts w:ascii="仿宋" w:hAnsi="仿宋" w:eastAsia="仿宋"/>
                <w:color w:val="auto"/>
                <w:kern w:val="0"/>
                <w:sz w:val="24"/>
              </w:rPr>
            </w:pPr>
            <w:r>
              <w:rPr>
                <w:rFonts w:hint="eastAsia" w:ascii="仿宋" w:hAnsi="仿宋" w:eastAsia="仿宋" w:cs="宋体"/>
                <w:color w:val="auto"/>
                <w:kern w:val="0"/>
                <w:sz w:val="24"/>
              </w:rPr>
              <w:t>满足招标文件要求</w:t>
            </w:r>
          </w:p>
        </w:tc>
      </w:tr>
      <w:tr w14:paraId="15BE9266">
        <w:tblPrEx>
          <w:tblBorders>
            <w:top w:val="single" w:color="auto" w:sz="2" w:space="0"/>
            <w:left w:val="single" w:color="auto" w:sz="2" w:space="0"/>
            <w:bottom w:val="single" w:color="auto" w:sz="2" w:space="0"/>
            <w:right w:val="single" w:color="auto" w:sz="2" w:space="0"/>
            <w:insideH w:val="single" w:color="auto" w:sz="2" w:space="0"/>
            <w:insideV w:val="single" w:color="auto" w:sz="4" w:space="0"/>
          </w:tblBorders>
          <w:tblCellMar>
            <w:top w:w="57" w:type="dxa"/>
            <w:left w:w="57" w:type="dxa"/>
            <w:bottom w:w="57" w:type="dxa"/>
            <w:right w:w="57" w:type="dxa"/>
          </w:tblCellMar>
        </w:tblPrEx>
        <w:trPr>
          <w:trHeight w:val="285" w:hRule="atLeast"/>
          <w:jc w:val="center"/>
        </w:trPr>
        <w:tc>
          <w:tcPr>
            <w:tcW w:w="563" w:type="dxa"/>
            <w:vMerge w:val="continue"/>
            <w:vAlign w:val="center"/>
          </w:tcPr>
          <w:p w14:paraId="363ABA9F">
            <w:pPr>
              <w:widowControl/>
              <w:adjustRightInd w:val="0"/>
              <w:snapToGrid w:val="0"/>
              <w:spacing w:line="400" w:lineRule="exact"/>
              <w:ind w:firstLine="0" w:firstLineChars="0"/>
              <w:jc w:val="left"/>
              <w:rPr>
                <w:rFonts w:ascii="仿宋" w:hAnsi="仿宋" w:eastAsia="仿宋" w:cs="宋体"/>
                <w:color w:val="auto"/>
                <w:kern w:val="0"/>
                <w:sz w:val="24"/>
              </w:rPr>
            </w:pPr>
          </w:p>
        </w:tc>
        <w:tc>
          <w:tcPr>
            <w:tcW w:w="1135" w:type="dxa"/>
            <w:vMerge w:val="continue"/>
            <w:vAlign w:val="center"/>
          </w:tcPr>
          <w:p w14:paraId="0616350A">
            <w:pPr>
              <w:widowControl/>
              <w:adjustRightInd w:val="0"/>
              <w:snapToGrid w:val="0"/>
              <w:spacing w:line="400" w:lineRule="exact"/>
              <w:ind w:firstLine="0" w:firstLineChars="0"/>
              <w:jc w:val="left"/>
              <w:rPr>
                <w:rFonts w:ascii="仿宋" w:hAnsi="仿宋" w:eastAsia="仿宋" w:cs="宋体"/>
                <w:color w:val="auto"/>
                <w:kern w:val="0"/>
                <w:sz w:val="24"/>
              </w:rPr>
            </w:pPr>
          </w:p>
        </w:tc>
        <w:tc>
          <w:tcPr>
            <w:tcW w:w="709" w:type="dxa"/>
            <w:vMerge w:val="continue"/>
            <w:vAlign w:val="center"/>
          </w:tcPr>
          <w:p w14:paraId="1CFD7ADB">
            <w:pPr>
              <w:widowControl/>
              <w:adjustRightInd w:val="0"/>
              <w:snapToGrid w:val="0"/>
              <w:spacing w:line="400" w:lineRule="exact"/>
              <w:ind w:firstLine="0" w:firstLineChars="0"/>
              <w:jc w:val="center"/>
              <w:rPr>
                <w:rFonts w:ascii="仿宋" w:hAnsi="仿宋" w:eastAsia="仿宋" w:cs="宋体"/>
                <w:color w:val="auto"/>
                <w:kern w:val="0"/>
                <w:sz w:val="24"/>
              </w:rPr>
            </w:pPr>
          </w:p>
        </w:tc>
        <w:tc>
          <w:tcPr>
            <w:tcW w:w="1418" w:type="dxa"/>
            <w:vAlign w:val="center"/>
          </w:tcPr>
          <w:p w14:paraId="435EDC34">
            <w:pPr>
              <w:widowControl/>
              <w:adjustRightInd w:val="0"/>
              <w:snapToGrid w:val="0"/>
              <w:spacing w:line="400" w:lineRule="exact"/>
              <w:ind w:firstLine="0" w:firstLineChars="0"/>
              <w:jc w:val="center"/>
              <w:rPr>
                <w:rFonts w:ascii="仿宋" w:hAnsi="仿宋" w:eastAsia="仿宋"/>
                <w:color w:val="auto"/>
                <w:kern w:val="0"/>
                <w:sz w:val="24"/>
              </w:rPr>
            </w:pPr>
            <w:r>
              <w:rPr>
                <w:rFonts w:hint="eastAsia" w:ascii="仿宋" w:hAnsi="仿宋" w:eastAsia="仿宋" w:cs="宋体"/>
                <w:color w:val="auto"/>
                <w:kern w:val="0"/>
                <w:sz w:val="24"/>
              </w:rPr>
              <w:t>重大缺漏项</w:t>
            </w:r>
          </w:p>
        </w:tc>
        <w:tc>
          <w:tcPr>
            <w:tcW w:w="5075" w:type="dxa"/>
            <w:vAlign w:val="center"/>
          </w:tcPr>
          <w:p w14:paraId="29329D05">
            <w:pPr>
              <w:widowControl/>
              <w:adjustRightInd w:val="0"/>
              <w:snapToGrid w:val="0"/>
              <w:spacing w:line="400" w:lineRule="exact"/>
              <w:ind w:firstLine="0" w:firstLineChars="0"/>
              <w:rPr>
                <w:rFonts w:ascii="仿宋" w:hAnsi="仿宋" w:eastAsia="仿宋"/>
                <w:color w:val="auto"/>
                <w:kern w:val="0"/>
                <w:sz w:val="24"/>
              </w:rPr>
            </w:pPr>
            <w:r>
              <w:rPr>
                <w:rFonts w:hint="eastAsia" w:ascii="仿宋" w:hAnsi="仿宋" w:eastAsia="仿宋" w:cs="宋体"/>
                <w:color w:val="auto"/>
                <w:kern w:val="0"/>
                <w:sz w:val="24"/>
              </w:rPr>
              <w:t>满足招标文件要求，没有重大缺漏项</w:t>
            </w:r>
          </w:p>
        </w:tc>
      </w:tr>
      <w:tr w14:paraId="3C4A8923">
        <w:tblPrEx>
          <w:tblBorders>
            <w:top w:val="single" w:color="auto" w:sz="2" w:space="0"/>
            <w:left w:val="single" w:color="auto" w:sz="2" w:space="0"/>
            <w:bottom w:val="single" w:color="auto" w:sz="2" w:space="0"/>
            <w:right w:val="single" w:color="auto" w:sz="2" w:space="0"/>
            <w:insideH w:val="single" w:color="auto" w:sz="2" w:space="0"/>
            <w:insideV w:val="single" w:color="auto" w:sz="4" w:space="0"/>
          </w:tblBorders>
          <w:tblCellMar>
            <w:top w:w="57" w:type="dxa"/>
            <w:left w:w="57" w:type="dxa"/>
            <w:bottom w:w="57" w:type="dxa"/>
            <w:right w:w="57" w:type="dxa"/>
          </w:tblCellMar>
        </w:tblPrEx>
        <w:trPr>
          <w:trHeight w:val="329" w:hRule="atLeast"/>
          <w:jc w:val="center"/>
        </w:trPr>
        <w:tc>
          <w:tcPr>
            <w:tcW w:w="563" w:type="dxa"/>
            <w:vMerge w:val="continue"/>
            <w:vAlign w:val="center"/>
          </w:tcPr>
          <w:p w14:paraId="4B0314C4">
            <w:pPr>
              <w:widowControl/>
              <w:adjustRightInd w:val="0"/>
              <w:snapToGrid w:val="0"/>
              <w:spacing w:line="400" w:lineRule="exact"/>
              <w:ind w:firstLine="0" w:firstLineChars="0"/>
              <w:jc w:val="left"/>
              <w:rPr>
                <w:rFonts w:ascii="仿宋" w:hAnsi="仿宋" w:eastAsia="仿宋" w:cs="宋体"/>
                <w:color w:val="auto"/>
                <w:kern w:val="0"/>
                <w:sz w:val="24"/>
              </w:rPr>
            </w:pPr>
          </w:p>
        </w:tc>
        <w:tc>
          <w:tcPr>
            <w:tcW w:w="1135" w:type="dxa"/>
            <w:vMerge w:val="continue"/>
            <w:vAlign w:val="center"/>
          </w:tcPr>
          <w:p w14:paraId="50408881">
            <w:pPr>
              <w:widowControl/>
              <w:adjustRightInd w:val="0"/>
              <w:snapToGrid w:val="0"/>
              <w:spacing w:line="400" w:lineRule="exact"/>
              <w:ind w:firstLine="0" w:firstLineChars="0"/>
              <w:jc w:val="left"/>
              <w:rPr>
                <w:rFonts w:ascii="仿宋" w:hAnsi="仿宋" w:eastAsia="仿宋" w:cs="宋体"/>
                <w:color w:val="auto"/>
                <w:kern w:val="0"/>
                <w:sz w:val="24"/>
              </w:rPr>
            </w:pPr>
          </w:p>
        </w:tc>
        <w:tc>
          <w:tcPr>
            <w:tcW w:w="709" w:type="dxa"/>
            <w:vMerge w:val="continue"/>
            <w:vAlign w:val="center"/>
          </w:tcPr>
          <w:p w14:paraId="56C1ACE1">
            <w:pPr>
              <w:widowControl/>
              <w:adjustRightInd w:val="0"/>
              <w:snapToGrid w:val="0"/>
              <w:spacing w:line="400" w:lineRule="exact"/>
              <w:ind w:firstLine="0" w:firstLineChars="0"/>
              <w:jc w:val="center"/>
              <w:rPr>
                <w:rFonts w:ascii="仿宋" w:hAnsi="仿宋" w:eastAsia="仿宋" w:cs="宋体"/>
                <w:color w:val="auto"/>
                <w:kern w:val="0"/>
                <w:sz w:val="24"/>
              </w:rPr>
            </w:pPr>
          </w:p>
        </w:tc>
        <w:tc>
          <w:tcPr>
            <w:tcW w:w="1418" w:type="dxa"/>
            <w:vAlign w:val="center"/>
          </w:tcPr>
          <w:p w14:paraId="5F1222C8">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附加条件</w:t>
            </w:r>
          </w:p>
        </w:tc>
        <w:tc>
          <w:tcPr>
            <w:tcW w:w="5075" w:type="dxa"/>
            <w:vAlign w:val="center"/>
          </w:tcPr>
          <w:p w14:paraId="55CD33D6">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投标文件未包含有采购人不能接受的附加条件</w:t>
            </w:r>
          </w:p>
        </w:tc>
      </w:tr>
      <w:tr w14:paraId="30F01FC9">
        <w:tblPrEx>
          <w:tblBorders>
            <w:top w:val="single" w:color="auto" w:sz="2" w:space="0"/>
            <w:left w:val="single" w:color="auto" w:sz="2" w:space="0"/>
            <w:bottom w:val="single" w:color="auto" w:sz="2" w:space="0"/>
            <w:right w:val="single" w:color="auto" w:sz="2" w:space="0"/>
            <w:insideH w:val="single" w:color="auto" w:sz="2" w:space="0"/>
            <w:insideV w:val="single" w:color="auto" w:sz="4" w:space="0"/>
          </w:tblBorders>
          <w:tblCellMar>
            <w:top w:w="57" w:type="dxa"/>
            <w:left w:w="57" w:type="dxa"/>
            <w:bottom w:w="57" w:type="dxa"/>
            <w:right w:w="57" w:type="dxa"/>
          </w:tblCellMar>
        </w:tblPrEx>
        <w:trPr>
          <w:trHeight w:val="20" w:hRule="atLeast"/>
          <w:jc w:val="center"/>
        </w:trPr>
        <w:tc>
          <w:tcPr>
            <w:tcW w:w="563" w:type="dxa"/>
            <w:vMerge w:val="continue"/>
            <w:vAlign w:val="center"/>
          </w:tcPr>
          <w:p w14:paraId="127BC8E0">
            <w:pPr>
              <w:widowControl/>
              <w:adjustRightInd w:val="0"/>
              <w:snapToGrid w:val="0"/>
              <w:spacing w:line="400" w:lineRule="exact"/>
              <w:ind w:firstLine="0" w:firstLineChars="0"/>
              <w:jc w:val="left"/>
              <w:rPr>
                <w:rFonts w:ascii="仿宋" w:hAnsi="仿宋" w:eastAsia="仿宋" w:cs="宋体"/>
                <w:color w:val="auto"/>
                <w:kern w:val="0"/>
                <w:sz w:val="24"/>
              </w:rPr>
            </w:pPr>
          </w:p>
        </w:tc>
        <w:tc>
          <w:tcPr>
            <w:tcW w:w="1135" w:type="dxa"/>
            <w:vMerge w:val="continue"/>
            <w:vAlign w:val="center"/>
          </w:tcPr>
          <w:p w14:paraId="31D605F4">
            <w:pPr>
              <w:widowControl/>
              <w:adjustRightInd w:val="0"/>
              <w:snapToGrid w:val="0"/>
              <w:spacing w:line="400" w:lineRule="exact"/>
              <w:ind w:firstLine="0" w:firstLineChars="0"/>
              <w:jc w:val="left"/>
              <w:rPr>
                <w:rFonts w:ascii="仿宋" w:hAnsi="仿宋" w:eastAsia="仿宋" w:cs="宋体"/>
                <w:color w:val="auto"/>
                <w:kern w:val="0"/>
                <w:sz w:val="24"/>
              </w:rPr>
            </w:pPr>
          </w:p>
        </w:tc>
        <w:tc>
          <w:tcPr>
            <w:tcW w:w="2127" w:type="dxa"/>
            <w:gridSpan w:val="2"/>
            <w:vAlign w:val="center"/>
          </w:tcPr>
          <w:p w14:paraId="7AAF2D8A">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其他</w:t>
            </w:r>
          </w:p>
        </w:tc>
        <w:tc>
          <w:tcPr>
            <w:tcW w:w="5075" w:type="dxa"/>
            <w:vAlign w:val="center"/>
          </w:tcPr>
          <w:p w14:paraId="2D730769">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没有法律、法规和招标文件规定的其他无效情形</w:t>
            </w:r>
          </w:p>
        </w:tc>
      </w:tr>
    </w:tbl>
    <w:p w14:paraId="0700374B">
      <w:pPr>
        <w:autoSpaceDE w:val="0"/>
        <w:autoSpaceDN w:val="0"/>
        <w:ind w:firstLine="480"/>
        <w:textAlignment w:val="center"/>
        <w:outlineLvl w:val="1"/>
        <w:rPr>
          <w:rFonts w:ascii="仿宋" w:hAnsi="仿宋" w:eastAsia="仿宋" w:cs="宋体"/>
          <w:snapToGrid w:val="0"/>
          <w:color w:val="auto"/>
          <w:kern w:val="0"/>
          <w:sz w:val="24"/>
        </w:rPr>
      </w:pPr>
    </w:p>
    <w:p w14:paraId="2E55E07C">
      <w:pPr>
        <w:autoSpaceDE w:val="0"/>
        <w:autoSpaceDN w:val="0"/>
        <w:ind w:firstLine="480"/>
        <w:textAlignment w:val="center"/>
        <w:outlineLvl w:val="1"/>
        <w:rPr>
          <w:rFonts w:ascii="仿宋" w:hAnsi="仿宋" w:eastAsia="仿宋" w:cs="宋体"/>
          <w:snapToGrid w:val="0"/>
          <w:color w:val="auto"/>
          <w:kern w:val="0"/>
          <w:sz w:val="24"/>
        </w:rPr>
      </w:pPr>
      <w:bookmarkStart w:id="53" w:name="_Toc181712894"/>
      <w:r>
        <w:rPr>
          <w:rFonts w:hint="eastAsia" w:ascii="仿宋" w:hAnsi="仿宋" w:eastAsia="仿宋" w:cs="宋体"/>
          <w:snapToGrid w:val="0"/>
          <w:color w:val="auto"/>
          <w:kern w:val="0"/>
          <w:sz w:val="24"/>
        </w:rPr>
        <w:t>二、评分细则</w:t>
      </w:r>
      <w:bookmarkEnd w:id="51"/>
      <w:bookmarkEnd w:id="52"/>
      <w:r>
        <w:rPr>
          <w:rFonts w:hint="eastAsia" w:ascii="仿宋" w:hAnsi="仿宋" w:eastAsia="仿宋" w:cs="宋体"/>
          <w:snapToGrid w:val="0"/>
          <w:color w:val="auto"/>
          <w:kern w:val="0"/>
          <w:sz w:val="24"/>
        </w:rPr>
        <w:t>表</w:t>
      </w:r>
      <w:bookmarkEnd w:id="53"/>
    </w:p>
    <w:tbl>
      <w:tblPr>
        <w:tblStyle w:val="44"/>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76"/>
        <w:gridCol w:w="709"/>
        <w:gridCol w:w="6223"/>
      </w:tblGrid>
      <w:tr w14:paraId="4FB2F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980" w:type="dxa"/>
            <w:gridSpan w:val="2"/>
            <w:vAlign w:val="center"/>
          </w:tcPr>
          <w:p w14:paraId="2F91BD47">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评审项目</w:t>
            </w:r>
          </w:p>
        </w:tc>
        <w:tc>
          <w:tcPr>
            <w:tcW w:w="709" w:type="dxa"/>
            <w:vAlign w:val="center"/>
          </w:tcPr>
          <w:p w14:paraId="05172A88">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分数</w:t>
            </w:r>
          </w:p>
        </w:tc>
        <w:tc>
          <w:tcPr>
            <w:tcW w:w="6223" w:type="dxa"/>
            <w:vAlign w:val="center"/>
          </w:tcPr>
          <w:p w14:paraId="64C75FCC">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评分标准说明</w:t>
            </w:r>
          </w:p>
        </w:tc>
      </w:tr>
      <w:tr w14:paraId="29636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704" w:type="dxa"/>
            <w:vMerge w:val="restart"/>
            <w:vAlign w:val="center"/>
          </w:tcPr>
          <w:p w14:paraId="20D5D74F">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技术评审</w:t>
            </w:r>
          </w:p>
        </w:tc>
        <w:tc>
          <w:tcPr>
            <w:tcW w:w="1276" w:type="dxa"/>
            <w:vAlign w:val="center"/>
          </w:tcPr>
          <w:p w14:paraId="46B1C625">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技术响应</w:t>
            </w:r>
          </w:p>
        </w:tc>
        <w:tc>
          <w:tcPr>
            <w:tcW w:w="709" w:type="dxa"/>
            <w:vAlign w:val="center"/>
          </w:tcPr>
          <w:p w14:paraId="2D0B481E">
            <w:pPr>
              <w:adjustRightInd w:val="0"/>
              <w:snapToGrid w:val="0"/>
              <w:spacing w:line="400" w:lineRule="exact"/>
              <w:ind w:firstLine="0" w:firstLineChars="0"/>
              <w:jc w:val="center"/>
              <w:rPr>
                <w:rFonts w:ascii="仿宋" w:hAnsi="仿宋" w:eastAsia="仿宋"/>
                <w:color w:val="auto"/>
                <w:sz w:val="24"/>
              </w:rPr>
            </w:pPr>
            <w:r>
              <w:rPr>
                <w:rFonts w:ascii="仿宋" w:hAnsi="仿宋" w:eastAsia="仿宋"/>
                <w:color w:val="auto"/>
                <w:sz w:val="24"/>
              </w:rPr>
              <w:t>46</w:t>
            </w:r>
          </w:p>
        </w:tc>
        <w:tc>
          <w:tcPr>
            <w:tcW w:w="6223" w:type="dxa"/>
            <w:vAlign w:val="center"/>
          </w:tcPr>
          <w:p w14:paraId="24DA761A">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技术指标全部满足招标文件采购需求“</w:t>
            </w:r>
            <w:r>
              <w:rPr>
                <w:rFonts w:hint="eastAsia" w:ascii="仿宋" w:hAnsi="仿宋" w:eastAsia="仿宋" w:cs="宋体"/>
                <w:bCs/>
                <w:snapToGrid w:val="0"/>
                <w:color w:val="auto"/>
                <w:kern w:val="0"/>
                <w:sz w:val="24"/>
                <w:lang w:val="zh-CN"/>
              </w:rPr>
              <w:t>二、技术要求</w:t>
            </w:r>
            <w:r>
              <w:rPr>
                <w:rFonts w:hint="eastAsia" w:ascii="仿宋" w:hAnsi="仿宋" w:eastAsia="仿宋"/>
                <w:color w:val="auto"/>
                <w:sz w:val="24"/>
              </w:rPr>
              <w:t>”中</w:t>
            </w:r>
            <w:r>
              <w:rPr>
                <w:rFonts w:hint="eastAsia" w:ascii="仿宋" w:hAnsi="仿宋" w:eastAsia="仿宋" w:cs="仿宋_GB2312"/>
                <w:color w:val="auto"/>
                <w:sz w:val="24"/>
              </w:rPr>
              <w:t>全部</w:t>
            </w:r>
            <w:r>
              <w:rPr>
                <w:rFonts w:hint="eastAsia" w:ascii="仿宋" w:hAnsi="仿宋" w:eastAsia="仿宋"/>
                <w:color w:val="auto"/>
                <w:sz w:val="24"/>
              </w:rPr>
              <w:t>技术要求的（共</w:t>
            </w:r>
            <w:r>
              <w:rPr>
                <w:rFonts w:ascii="仿宋" w:hAnsi="仿宋" w:eastAsia="仿宋"/>
                <w:color w:val="auto"/>
                <w:sz w:val="24"/>
              </w:rPr>
              <w:t>23</w:t>
            </w:r>
            <w:r>
              <w:rPr>
                <w:rFonts w:hint="eastAsia" w:ascii="仿宋" w:hAnsi="仿宋" w:eastAsia="仿宋"/>
                <w:color w:val="auto"/>
                <w:sz w:val="24"/>
              </w:rPr>
              <w:t>项），得</w:t>
            </w:r>
            <w:r>
              <w:rPr>
                <w:rFonts w:ascii="仿宋" w:hAnsi="仿宋" w:eastAsia="仿宋"/>
                <w:color w:val="auto"/>
                <w:sz w:val="24"/>
              </w:rPr>
              <w:t>46</w:t>
            </w:r>
            <w:r>
              <w:rPr>
                <w:rFonts w:hint="eastAsia" w:ascii="仿宋" w:hAnsi="仿宋" w:eastAsia="仿宋"/>
                <w:color w:val="auto"/>
                <w:sz w:val="24"/>
              </w:rPr>
              <w:t>分；技术要求每有一项负偏离扣</w:t>
            </w:r>
            <w:r>
              <w:rPr>
                <w:rFonts w:ascii="仿宋" w:hAnsi="仿宋" w:eastAsia="仿宋"/>
                <w:color w:val="auto"/>
                <w:sz w:val="24"/>
              </w:rPr>
              <w:t>2</w:t>
            </w:r>
            <w:r>
              <w:rPr>
                <w:rFonts w:hint="eastAsia" w:ascii="仿宋" w:hAnsi="仿宋" w:eastAsia="仿宋"/>
                <w:color w:val="auto"/>
                <w:sz w:val="24"/>
              </w:rPr>
              <w:t>分，本项最低得0分。</w:t>
            </w:r>
          </w:p>
          <w:p w14:paraId="6BF176B2">
            <w:pPr>
              <w:adjustRightInd w:val="0"/>
              <w:snapToGrid w:val="0"/>
              <w:spacing w:line="276" w:lineRule="auto"/>
              <w:ind w:firstLine="0" w:firstLineChars="0"/>
              <w:rPr>
                <w:rFonts w:ascii="仿宋" w:hAnsi="仿宋" w:eastAsia="仿宋"/>
                <w:b/>
                <w:color w:val="auto"/>
                <w:sz w:val="24"/>
              </w:rPr>
            </w:pPr>
            <w:r>
              <w:rPr>
                <w:rFonts w:hint="eastAsia" w:ascii="仿宋" w:hAnsi="仿宋" w:eastAsia="仿宋"/>
                <w:b/>
                <w:color w:val="auto"/>
                <w:sz w:val="24"/>
              </w:rPr>
              <w:t>注：需提供能证明所投产品满足技术要求的证明材料（如采购需求中有规定的，以采购需求中规定为准），否则视为负偏离。</w:t>
            </w:r>
          </w:p>
        </w:tc>
      </w:tr>
      <w:tr w14:paraId="285ED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704" w:type="dxa"/>
            <w:vMerge w:val="continue"/>
            <w:vAlign w:val="center"/>
          </w:tcPr>
          <w:p w14:paraId="4AB30FA1">
            <w:pPr>
              <w:adjustRightInd w:val="0"/>
              <w:snapToGrid w:val="0"/>
              <w:spacing w:line="400" w:lineRule="exact"/>
              <w:ind w:firstLine="0" w:firstLineChars="0"/>
              <w:jc w:val="center"/>
              <w:rPr>
                <w:rFonts w:ascii="仿宋" w:hAnsi="仿宋" w:eastAsia="仿宋"/>
                <w:color w:val="auto"/>
                <w:sz w:val="24"/>
              </w:rPr>
            </w:pPr>
          </w:p>
        </w:tc>
        <w:tc>
          <w:tcPr>
            <w:tcW w:w="1276" w:type="dxa"/>
            <w:vAlign w:val="center"/>
          </w:tcPr>
          <w:p w14:paraId="526B830E">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配置要求</w:t>
            </w:r>
          </w:p>
        </w:tc>
        <w:tc>
          <w:tcPr>
            <w:tcW w:w="709" w:type="dxa"/>
            <w:vAlign w:val="center"/>
          </w:tcPr>
          <w:p w14:paraId="018F9BB0">
            <w:pPr>
              <w:adjustRightInd w:val="0"/>
              <w:snapToGrid w:val="0"/>
              <w:spacing w:line="400" w:lineRule="exact"/>
              <w:ind w:firstLine="0" w:firstLineChars="0"/>
              <w:jc w:val="center"/>
              <w:rPr>
                <w:rFonts w:ascii="仿宋" w:hAnsi="仿宋" w:eastAsia="仿宋"/>
                <w:color w:val="auto"/>
                <w:sz w:val="24"/>
              </w:rPr>
            </w:pPr>
            <w:r>
              <w:rPr>
                <w:rFonts w:ascii="仿宋" w:hAnsi="仿宋" w:eastAsia="仿宋"/>
                <w:color w:val="auto"/>
                <w:sz w:val="24"/>
              </w:rPr>
              <w:t>3</w:t>
            </w:r>
          </w:p>
        </w:tc>
        <w:tc>
          <w:tcPr>
            <w:tcW w:w="6223" w:type="dxa"/>
            <w:vAlign w:val="center"/>
          </w:tcPr>
          <w:p w14:paraId="7D545C1E">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所投产品配置清单完全满足或优于招标文件采购需求“三、配置清单”中要求的得</w:t>
            </w:r>
            <w:r>
              <w:rPr>
                <w:rFonts w:ascii="仿宋" w:hAnsi="仿宋" w:eastAsia="仿宋"/>
                <w:color w:val="auto"/>
                <w:sz w:val="24"/>
              </w:rPr>
              <w:t>3</w:t>
            </w:r>
            <w:r>
              <w:rPr>
                <w:rFonts w:hint="eastAsia" w:ascii="仿宋" w:hAnsi="仿宋" w:eastAsia="仿宋"/>
                <w:color w:val="auto"/>
                <w:sz w:val="24"/>
              </w:rPr>
              <w:t>分，所投产品配置清单有负偏离或缺漏项的得0分。</w:t>
            </w:r>
          </w:p>
        </w:tc>
      </w:tr>
      <w:tr w14:paraId="3C634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04" w:type="dxa"/>
            <w:vMerge w:val="restart"/>
            <w:vAlign w:val="center"/>
          </w:tcPr>
          <w:p w14:paraId="0F407937">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商务评审</w:t>
            </w:r>
          </w:p>
        </w:tc>
        <w:tc>
          <w:tcPr>
            <w:tcW w:w="1276" w:type="dxa"/>
            <w:vAlign w:val="center"/>
          </w:tcPr>
          <w:p w14:paraId="3776FDAF">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投标产品业绩情况</w:t>
            </w:r>
          </w:p>
        </w:tc>
        <w:tc>
          <w:tcPr>
            <w:tcW w:w="709" w:type="dxa"/>
            <w:vAlign w:val="center"/>
          </w:tcPr>
          <w:p w14:paraId="6AEF0015">
            <w:pPr>
              <w:adjustRightInd w:val="0"/>
              <w:snapToGrid w:val="0"/>
              <w:spacing w:line="400" w:lineRule="exact"/>
              <w:ind w:firstLine="0" w:firstLineChars="0"/>
              <w:jc w:val="center"/>
              <w:rPr>
                <w:rFonts w:ascii="仿宋" w:hAnsi="仿宋" w:eastAsia="仿宋"/>
                <w:color w:val="auto"/>
                <w:sz w:val="24"/>
              </w:rPr>
            </w:pPr>
            <w:r>
              <w:rPr>
                <w:rFonts w:ascii="仿宋" w:hAnsi="仿宋" w:eastAsia="仿宋"/>
                <w:color w:val="auto"/>
                <w:sz w:val="24"/>
              </w:rPr>
              <w:t>3</w:t>
            </w:r>
          </w:p>
        </w:tc>
        <w:tc>
          <w:tcPr>
            <w:tcW w:w="6223" w:type="dxa"/>
            <w:vAlign w:val="center"/>
          </w:tcPr>
          <w:p w14:paraId="6DE319D7">
            <w:pPr>
              <w:autoSpaceDE w:val="0"/>
              <w:autoSpaceDN w:val="0"/>
              <w:adjustRightInd w:val="0"/>
              <w:snapToGrid w:val="0"/>
              <w:spacing w:line="276" w:lineRule="auto"/>
              <w:ind w:firstLine="0" w:firstLineChars="0"/>
              <w:jc w:val="left"/>
              <w:textAlignment w:val="center"/>
              <w:rPr>
                <w:rFonts w:ascii="仿宋" w:hAnsi="仿宋" w:eastAsia="仿宋"/>
                <w:color w:val="auto"/>
                <w:sz w:val="24"/>
              </w:rPr>
            </w:pPr>
            <w:r>
              <w:rPr>
                <w:rFonts w:hint="eastAsia" w:ascii="仿宋" w:hAnsi="仿宋" w:eastAsia="仿宋"/>
                <w:color w:val="auto"/>
                <w:sz w:val="24"/>
              </w:rPr>
              <w:t>20</w:t>
            </w:r>
            <w:r>
              <w:rPr>
                <w:rFonts w:ascii="仿宋" w:hAnsi="仿宋" w:eastAsia="仿宋"/>
                <w:color w:val="auto"/>
                <w:sz w:val="24"/>
              </w:rPr>
              <w:t>2</w:t>
            </w:r>
            <w:r>
              <w:rPr>
                <w:rFonts w:hint="eastAsia" w:ascii="仿宋" w:hAnsi="仿宋" w:eastAsia="仿宋"/>
                <w:color w:val="auto"/>
                <w:sz w:val="24"/>
                <w:lang w:val="en-US" w:eastAsia="zh-CN"/>
              </w:rPr>
              <w:t>2</w:t>
            </w:r>
            <w:r>
              <w:rPr>
                <w:rFonts w:hint="eastAsia" w:ascii="仿宋" w:hAnsi="仿宋" w:eastAsia="仿宋"/>
                <w:color w:val="auto"/>
                <w:sz w:val="24"/>
              </w:rPr>
              <w:t>年1月1日至今投标产品业绩情况进行打分（要求提供合同复印件作为证明材料,以签订合同的时间为准）：每有一个得</w:t>
            </w:r>
            <w:r>
              <w:rPr>
                <w:rFonts w:ascii="仿宋" w:hAnsi="仿宋" w:eastAsia="仿宋"/>
                <w:color w:val="auto"/>
                <w:sz w:val="24"/>
              </w:rPr>
              <w:t>1</w:t>
            </w:r>
            <w:r>
              <w:rPr>
                <w:rFonts w:hint="eastAsia" w:ascii="仿宋" w:hAnsi="仿宋" w:eastAsia="仿宋"/>
                <w:color w:val="auto"/>
                <w:sz w:val="24"/>
              </w:rPr>
              <w:t>分，满分</w:t>
            </w:r>
            <w:r>
              <w:rPr>
                <w:rFonts w:ascii="仿宋" w:hAnsi="仿宋" w:eastAsia="仿宋"/>
                <w:color w:val="auto"/>
                <w:sz w:val="24"/>
              </w:rPr>
              <w:t>3</w:t>
            </w:r>
            <w:r>
              <w:rPr>
                <w:rFonts w:hint="eastAsia" w:ascii="仿宋" w:hAnsi="仿宋" w:eastAsia="仿宋"/>
                <w:color w:val="auto"/>
                <w:sz w:val="24"/>
              </w:rPr>
              <w:t>分。</w:t>
            </w:r>
          </w:p>
        </w:tc>
      </w:tr>
      <w:tr w14:paraId="2212E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04" w:type="dxa"/>
            <w:vMerge w:val="continue"/>
            <w:vAlign w:val="center"/>
          </w:tcPr>
          <w:p w14:paraId="4707338D">
            <w:pPr>
              <w:adjustRightInd w:val="0"/>
              <w:snapToGrid w:val="0"/>
              <w:spacing w:line="400" w:lineRule="exact"/>
              <w:ind w:firstLine="0" w:firstLineChars="0"/>
              <w:jc w:val="center"/>
              <w:rPr>
                <w:rFonts w:ascii="仿宋" w:hAnsi="仿宋" w:eastAsia="仿宋"/>
                <w:color w:val="auto"/>
                <w:sz w:val="24"/>
              </w:rPr>
            </w:pPr>
          </w:p>
        </w:tc>
        <w:tc>
          <w:tcPr>
            <w:tcW w:w="1276" w:type="dxa"/>
            <w:vAlign w:val="center"/>
          </w:tcPr>
          <w:p w14:paraId="7A518A13">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质保期限</w:t>
            </w:r>
          </w:p>
        </w:tc>
        <w:tc>
          <w:tcPr>
            <w:tcW w:w="709" w:type="dxa"/>
            <w:vAlign w:val="center"/>
          </w:tcPr>
          <w:p w14:paraId="252B03A6">
            <w:pPr>
              <w:adjustRightInd w:val="0"/>
              <w:snapToGrid w:val="0"/>
              <w:spacing w:line="400" w:lineRule="exact"/>
              <w:ind w:firstLine="0" w:firstLineChars="0"/>
              <w:jc w:val="center"/>
              <w:rPr>
                <w:rFonts w:ascii="仿宋" w:hAnsi="仿宋" w:eastAsia="仿宋"/>
                <w:color w:val="auto"/>
                <w:sz w:val="24"/>
              </w:rPr>
            </w:pPr>
            <w:r>
              <w:rPr>
                <w:rFonts w:ascii="仿宋" w:hAnsi="仿宋" w:eastAsia="仿宋"/>
                <w:color w:val="auto"/>
                <w:sz w:val="24"/>
              </w:rPr>
              <w:t>3</w:t>
            </w:r>
          </w:p>
        </w:tc>
        <w:tc>
          <w:tcPr>
            <w:tcW w:w="6223" w:type="dxa"/>
            <w:vAlign w:val="center"/>
          </w:tcPr>
          <w:p w14:paraId="7E37BDCF">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按投标人的质保期限情况进行打分：</w:t>
            </w:r>
          </w:p>
          <w:p w14:paraId="3B79AB7B">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质保期限不满足招标文件要求的，得</w:t>
            </w:r>
            <w:r>
              <w:rPr>
                <w:rFonts w:ascii="仿宋" w:hAnsi="仿宋" w:eastAsia="仿宋"/>
                <w:color w:val="auto"/>
                <w:sz w:val="24"/>
              </w:rPr>
              <w:t>0</w:t>
            </w:r>
            <w:r>
              <w:rPr>
                <w:rFonts w:hint="eastAsia" w:ascii="仿宋" w:hAnsi="仿宋" w:eastAsia="仿宋"/>
                <w:color w:val="auto"/>
                <w:sz w:val="24"/>
              </w:rPr>
              <w:t>分；</w:t>
            </w:r>
          </w:p>
          <w:p w14:paraId="45B45C22">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质保期限完全满足招标文件要求的，得</w:t>
            </w:r>
            <w:r>
              <w:rPr>
                <w:rFonts w:ascii="仿宋" w:hAnsi="仿宋" w:eastAsia="仿宋"/>
                <w:color w:val="auto"/>
                <w:sz w:val="24"/>
              </w:rPr>
              <w:t>1</w:t>
            </w:r>
            <w:r>
              <w:rPr>
                <w:rFonts w:hint="eastAsia" w:ascii="仿宋" w:hAnsi="仿宋" w:eastAsia="仿宋"/>
                <w:color w:val="auto"/>
                <w:sz w:val="24"/>
              </w:rPr>
              <w:t>分；</w:t>
            </w:r>
          </w:p>
          <w:p w14:paraId="333F6503">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质保期每优于招标文件要求</w:t>
            </w:r>
            <w:r>
              <w:rPr>
                <w:rFonts w:ascii="仿宋" w:hAnsi="仿宋" w:eastAsia="仿宋"/>
                <w:color w:val="auto"/>
                <w:sz w:val="24"/>
              </w:rPr>
              <w:t>12</w:t>
            </w:r>
            <w:r>
              <w:rPr>
                <w:rFonts w:hint="eastAsia" w:ascii="仿宋" w:hAnsi="仿宋" w:eastAsia="仿宋"/>
                <w:color w:val="auto"/>
                <w:sz w:val="24"/>
              </w:rPr>
              <w:t>个月的加</w:t>
            </w:r>
            <w:r>
              <w:rPr>
                <w:rFonts w:ascii="仿宋" w:hAnsi="仿宋" w:eastAsia="仿宋"/>
                <w:color w:val="auto"/>
                <w:sz w:val="24"/>
              </w:rPr>
              <w:t>1</w:t>
            </w:r>
            <w:r>
              <w:rPr>
                <w:rFonts w:hint="eastAsia" w:ascii="仿宋" w:hAnsi="仿宋" w:eastAsia="仿宋"/>
                <w:color w:val="auto"/>
                <w:sz w:val="24"/>
              </w:rPr>
              <w:t>分，最多加</w:t>
            </w:r>
            <w:r>
              <w:rPr>
                <w:rFonts w:ascii="仿宋" w:hAnsi="仿宋" w:eastAsia="仿宋"/>
                <w:color w:val="auto"/>
                <w:sz w:val="24"/>
              </w:rPr>
              <w:t>2</w:t>
            </w:r>
            <w:r>
              <w:rPr>
                <w:rFonts w:hint="eastAsia" w:ascii="仿宋" w:hAnsi="仿宋" w:eastAsia="仿宋"/>
                <w:color w:val="auto"/>
                <w:sz w:val="24"/>
              </w:rPr>
              <w:t>分。</w:t>
            </w:r>
          </w:p>
        </w:tc>
      </w:tr>
      <w:tr w14:paraId="18D35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04" w:type="dxa"/>
            <w:vMerge w:val="continue"/>
            <w:vAlign w:val="center"/>
          </w:tcPr>
          <w:p w14:paraId="49B65266">
            <w:pPr>
              <w:adjustRightInd w:val="0"/>
              <w:snapToGrid w:val="0"/>
              <w:spacing w:line="400" w:lineRule="exact"/>
              <w:ind w:firstLine="0" w:firstLineChars="0"/>
              <w:jc w:val="center"/>
              <w:rPr>
                <w:rFonts w:ascii="仿宋" w:hAnsi="仿宋" w:eastAsia="仿宋"/>
                <w:color w:val="auto"/>
                <w:sz w:val="24"/>
              </w:rPr>
            </w:pPr>
          </w:p>
        </w:tc>
        <w:tc>
          <w:tcPr>
            <w:tcW w:w="1276" w:type="dxa"/>
            <w:vAlign w:val="center"/>
          </w:tcPr>
          <w:p w14:paraId="7283DD02">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交货安装方案</w:t>
            </w:r>
          </w:p>
        </w:tc>
        <w:tc>
          <w:tcPr>
            <w:tcW w:w="709" w:type="dxa"/>
            <w:vAlign w:val="center"/>
          </w:tcPr>
          <w:p w14:paraId="47C27A48">
            <w:pPr>
              <w:adjustRightInd w:val="0"/>
              <w:snapToGrid w:val="0"/>
              <w:spacing w:line="400" w:lineRule="exact"/>
              <w:ind w:firstLine="0" w:firstLineChars="0"/>
              <w:jc w:val="center"/>
              <w:rPr>
                <w:rFonts w:ascii="仿宋" w:hAnsi="仿宋" w:eastAsia="仿宋"/>
                <w:color w:val="auto"/>
                <w:sz w:val="24"/>
              </w:rPr>
            </w:pPr>
            <w:r>
              <w:rPr>
                <w:rFonts w:ascii="仿宋" w:hAnsi="仿宋" w:eastAsia="仿宋"/>
                <w:color w:val="auto"/>
                <w:sz w:val="24"/>
              </w:rPr>
              <w:t>6</w:t>
            </w:r>
          </w:p>
        </w:tc>
        <w:tc>
          <w:tcPr>
            <w:tcW w:w="6223" w:type="dxa"/>
            <w:vAlign w:val="center"/>
          </w:tcPr>
          <w:p w14:paraId="53678BD8">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1、评审内容：投标人提供交货安装的方案包含：</w:t>
            </w:r>
          </w:p>
          <w:p w14:paraId="74DA30E7">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（1）交货安装实施进度安排：需明确交货安装时间规划、交货物流安排、进度保障措施等内容。</w:t>
            </w:r>
          </w:p>
          <w:p w14:paraId="0AD9ED02">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（2）交货安装人员设施投入计划：需明确拟投入交货人员分工职责、交货安全配套设施投入等内容。</w:t>
            </w:r>
          </w:p>
          <w:p w14:paraId="2D83717C">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2、评审标准：</w:t>
            </w:r>
          </w:p>
          <w:p w14:paraId="66727EC5">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每条从以下维度进行综合评价：①符合度：需对以上内容进行充分响应，</w:t>
            </w:r>
            <w:r>
              <w:rPr>
                <w:rFonts w:hint="eastAsia" w:ascii="仿宋" w:hAnsi="仿宋" w:eastAsia="仿宋"/>
                <w:snapToGrid w:val="0"/>
                <w:color w:val="auto"/>
                <w:kern w:val="0"/>
                <w:sz w:val="24"/>
              </w:rPr>
              <w:t>内容贴合项目实际，</w:t>
            </w:r>
            <w:r>
              <w:rPr>
                <w:rFonts w:hint="eastAsia" w:ascii="仿宋" w:hAnsi="仿宋" w:eastAsia="仿宋"/>
                <w:color w:val="auto"/>
                <w:sz w:val="24"/>
              </w:rPr>
              <w:t>不得提供无关内容；②完整性：需结合需求，进行全方面的描述，</w:t>
            </w:r>
            <w:r>
              <w:rPr>
                <w:rFonts w:hint="eastAsia" w:ascii="仿宋" w:hAnsi="仿宋" w:eastAsia="仿宋"/>
                <w:snapToGrid w:val="0"/>
                <w:color w:val="auto"/>
                <w:kern w:val="0"/>
                <w:sz w:val="24"/>
              </w:rPr>
              <w:t>涵盖项目完成过程中的各项主要或配套内容等，</w:t>
            </w:r>
            <w:r>
              <w:rPr>
                <w:rFonts w:hint="eastAsia" w:ascii="仿宋" w:hAnsi="仿宋" w:eastAsia="仿宋"/>
                <w:color w:val="auto"/>
                <w:sz w:val="24"/>
              </w:rPr>
              <w:t>不得缺项漏项；③合理性：需依据本项目阐述，措施可落地，</w:t>
            </w:r>
            <w:r>
              <w:rPr>
                <w:rFonts w:hint="eastAsia" w:ascii="仿宋" w:hAnsi="仿宋" w:eastAsia="仿宋"/>
                <w:snapToGrid w:val="0"/>
                <w:color w:val="auto"/>
                <w:kern w:val="0"/>
                <w:sz w:val="24"/>
              </w:rPr>
              <w:t>解决方法得当。</w:t>
            </w:r>
          </w:p>
          <w:p w14:paraId="656618D3">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每条方案完全满足三项维度评价要求的得</w:t>
            </w:r>
            <w:r>
              <w:rPr>
                <w:rFonts w:ascii="仿宋" w:hAnsi="仿宋" w:eastAsia="仿宋"/>
                <w:color w:val="auto"/>
                <w:sz w:val="24"/>
              </w:rPr>
              <w:t>3</w:t>
            </w:r>
            <w:r>
              <w:rPr>
                <w:rFonts w:hint="eastAsia" w:ascii="仿宋" w:hAnsi="仿宋" w:eastAsia="仿宋"/>
                <w:color w:val="auto"/>
                <w:sz w:val="24"/>
              </w:rPr>
              <w:t>分，本项满分6分；单项维度存在缺陷缺漏项或未提供的扣</w:t>
            </w:r>
            <w:r>
              <w:rPr>
                <w:rFonts w:ascii="仿宋" w:hAnsi="仿宋" w:eastAsia="仿宋"/>
                <w:color w:val="auto"/>
                <w:sz w:val="24"/>
              </w:rPr>
              <w:t>1</w:t>
            </w:r>
            <w:r>
              <w:rPr>
                <w:rFonts w:hint="eastAsia" w:ascii="仿宋" w:hAnsi="仿宋" w:eastAsia="仿宋"/>
                <w:color w:val="auto"/>
                <w:sz w:val="24"/>
              </w:rPr>
              <w:t>分，本项最低得</w:t>
            </w:r>
            <w:r>
              <w:rPr>
                <w:rFonts w:ascii="仿宋" w:hAnsi="仿宋" w:eastAsia="仿宋"/>
                <w:color w:val="auto"/>
                <w:sz w:val="24"/>
              </w:rPr>
              <w:t>0</w:t>
            </w:r>
            <w:r>
              <w:rPr>
                <w:rFonts w:hint="eastAsia" w:ascii="仿宋" w:hAnsi="仿宋" w:eastAsia="仿宋"/>
                <w:color w:val="auto"/>
                <w:sz w:val="24"/>
              </w:rPr>
              <w:t>分。</w:t>
            </w:r>
          </w:p>
        </w:tc>
      </w:tr>
      <w:tr w14:paraId="3A869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04" w:type="dxa"/>
            <w:vMerge w:val="continue"/>
            <w:vAlign w:val="center"/>
          </w:tcPr>
          <w:p w14:paraId="0FD24659">
            <w:pPr>
              <w:adjustRightInd w:val="0"/>
              <w:snapToGrid w:val="0"/>
              <w:spacing w:line="400" w:lineRule="exact"/>
              <w:ind w:firstLine="0" w:firstLineChars="0"/>
              <w:jc w:val="center"/>
              <w:rPr>
                <w:rFonts w:ascii="仿宋" w:hAnsi="仿宋" w:eastAsia="仿宋"/>
                <w:color w:val="auto"/>
                <w:sz w:val="24"/>
              </w:rPr>
            </w:pPr>
          </w:p>
        </w:tc>
        <w:tc>
          <w:tcPr>
            <w:tcW w:w="1276" w:type="dxa"/>
            <w:vAlign w:val="center"/>
          </w:tcPr>
          <w:p w14:paraId="10E17A82">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售后服务</w:t>
            </w:r>
          </w:p>
        </w:tc>
        <w:tc>
          <w:tcPr>
            <w:tcW w:w="709" w:type="dxa"/>
            <w:vAlign w:val="center"/>
          </w:tcPr>
          <w:p w14:paraId="35258D37">
            <w:pPr>
              <w:adjustRightInd w:val="0"/>
              <w:snapToGrid w:val="0"/>
              <w:spacing w:line="400" w:lineRule="exact"/>
              <w:ind w:firstLine="0" w:firstLineChars="0"/>
              <w:jc w:val="center"/>
              <w:rPr>
                <w:rFonts w:ascii="仿宋" w:hAnsi="仿宋" w:eastAsia="仿宋"/>
                <w:color w:val="auto"/>
                <w:sz w:val="24"/>
              </w:rPr>
            </w:pPr>
            <w:r>
              <w:rPr>
                <w:rFonts w:ascii="仿宋" w:hAnsi="仿宋" w:eastAsia="仿宋"/>
                <w:color w:val="auto"/>
                <w:sz w:val="24"/>
              </w:rPr>
              <w:t>6</w:t>
            </w:r>
          </w:p>
        </w:tc>
        <w:tc>
          <w:tcPr>
            <w:tcW w:w="6223" w:type="dxa"/>
            <w:vAlign w:val="center"/>
          </w:tcPr>
          <w:p w14:paraId="6DC7EEE3">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1、投标人提供的售后服务保障措施方案包含：</w:t>
            </w:r>
          </w:p>
          <w:p w14:paraId="2A2459DA">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（1）售后服务团队及管理流程：需明确售后服务团队、分工和职责，售后管理流程及服务保障措施等内容。</w:t>
            </w:r>
          </w:p>
          <w:p w14:paraId="4F97BC83">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（2）应急售后处理方案：需明确应急情况下的售后响应措施，紧急服务保障及应急储备等内容。</w:t>
            </w:r>
          </w:p>
          <w:p w14:paraId="526726D2">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2、评审标准：</w:t>
            </w:r>
          </w:p>
          <w:p w14:paraId="5A491663">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每条从以下维度进行综合评价：①符合度：需对以上内容进行充分响应，</w:t>
            </w:r>
            <w:r>
              <w:rPr>
                <w:rFonts w:hint="eastAsia" w:ascii="仿宋" w:hAnsi="仿宋" w:eastAsia="仿宋"/>
                <w:snapToGrid w:val="0"/>
                <w:color w:val="auto"/>
                <w:kern w:val="0"/>
                <w:sz w:val="24"/>
              </w:rPr>
              <w:t>内容贴合项目实际，</w:t>
            </w:r>
            <w:r>
              <w:rPr>
                <w:rFonts w:hint="eastAsia" w:ascii="仿宋" w:hAnsi="仿宋" w:eastAsia="仿宋"/>
                <w:color w:val="auto"/>
                <w:sz w:val="24"/>
              </w:rPr>
              <w:t>不得提供无关内容；②完整性：需结合需求，进行全方面的描述，</w:t>
            </w:r>
            <w:r>
              <w:rPr>
                <w:rFonts w:hint="eastAsia" w:ascii="仿宋" w:hAnsi="仿宋" w:eastAsia="仿宋"/>
                <w:snapToGrid w:val="0"/>
                <w:color w:val="auto"/>
                <w:kern w:val="0"/>
                <w:sz w:val="24"/>
              </w:rPr>
              <w:t>涵盖项目完成过程中的各项主要或配套内容等，</w:t>
            </w:r>
            <w:r>
              <w:rPr>
                <w:rFonts w:hint="eastAsia" w:ascii="仿宋" w:hAnsi="仿宋" w:eastAsia="仿宋"/>
                <w:color w:val="auto"/>
                <w:sz w:val="24"/>
              </w:rPr>
              <w:t>不得缺项漏项；③合理性：需依据本项目阐述，措施可落地，</w:t>
            </w:r>
            <w:r>
              <w:rPr>
                <w:rFonts w:hint="eastAsia" w:ascii="仿宋" w:hAnsi="仿宋" w:eastAsia="仿宋"/>
                <w:snapToGrid w:val="0"/>
                <w:color w:val="auto"/>
                <w:kern w:val="0"/>
                <w:sz w:val="24"/>
              </w:rPr>
              <w:t>解决方法得当。</w:t>
            </w:r>
          </w:p>
          <w:p w14:paraId="7CA75576">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每条方案完全满足三项维度评价要求的得</w:t>
            </w:r>
            <w:r>
              <w:rPr>
                <w:rFonts w:ascii="仿宋" w:hAnsi="仿宋" w:eastAsia="仿宋"/>
                <w:color w:val="auto"/>
                <w:sz w:val="24"/>
              </w:rPr>
              <w:t>3</w:t>
            </w:r>
            <w:r>
              <w:rPr>
                <w:rFonts w:hint="eastAsia" w:ascii="仿宋" w:hAnsi="仿宋" w:eastAsia="仿宋"/>
                <w:color w:val="auto"/>
                <w:sz w:val="24"/>
              </w:rPr>
              <w:t>分，本项满分6分；单项维度存在缺陷缺漏项或未提供的扣</w:t>
            </w:r>
            <w:r>
              <w:rPr>
                <w:rFonts w:ascii="仿宋" w:hAnsi="仿宋" w:eastAsia="仿宋"/>
                <w:color w:val="auto"/>
                <w:sz w:val="24"/>
              </w:rPr>
              <w:t>1</w:t>
            </w:r>
            <w:r>
              <w:rPr>
                <w:rFonts w:hint="eastAsia" w:ascii="仿宋" w:hAnsi="仿宋" w:eastAsia="仿宋"/>
                <w:color w:val="auto"/>
                <w:sz w:val="24"/>
              </w:rPr>
              <w:t>分，本项最低得</w:t>
            </w:r>
            <w:r>
              <w:rPr>
                <w:rFonts w:ascii="仿宋" w:hAnsi="仿宋" w:eastAsia="仿宋"/>
                <w:color w:val="auto"/>
                <w:sz w:val="24"/>
              </w:rPr>
              <w:t>0</w:t>
            </w:r>
            <w:r>
              <w:rPr>
                <w:rFonts w:hint="eastAsia" w:ascii="仿宋" w:hAnsi="仿宋" w:eastAsia="仿宋"/>
                <w:color w:val="auto"/>
                <w:sz w:val="24"/>
              </w:rPr>
              <w:t>分。</w:t>
            </w:r>
          </w:p>
        </w:tc>
      </w:tr>
      <w:tr w14:paraId="16286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04" w:type="dxa"/>
            <w:vMerge w:val="continue"/>
            <w:vAlign w:val="center"/>
          </w:tcPr>
          <w:p w14:paraId="7E05A93F">
            <w:pPr>
              <w:adjustRightInd w:val="0"/>
              <w:snapToGrid w:val="0"/>
              <w:spacing w:line="400" w:lineRule="exact"/>
              <w:ind w:firstLine="0" w:firstLineChars="0"/>
              <w:jc w:val="center"/>
              <w:rPr>
                <w:rFonts w:ascii="仿宋" w:hAnsi="仿宋" w:eastAsia="仿宋"/>
                <w:color w:val="auto"/>
                <w:sz w:val="24"/>
              </w:rPr>
            </w:pPr>
          </w:p>
        </w:tc>
        <w:tc>
          <w:tcPr>
            <w:tcW w:w="1276" w:type="dxa"/>
            <w:vAlign w:val="center"/>
          </w:tcPr>
          <w:p w14:paraId="3A3AC89A">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人员培训</w:t>
            </w:r>
          </w:p>
        </w:tc>
        <w:tc>
          <w:tcPr>
            <w:tcW w:w="709" w:type="dxa"/>
            <w:vAlign w:val="center"/>
          </w:tcPr>
          <w:p w14:paraId="7C2E9961">
            <w:pPr>
              <w:adjustRightInd w:val="0"/>
              <w:snapToGrid w:val="0"/>
              <w:spacing w:line="400" w:lineRule="exact"/>
              <w:ind w:firstLine="0" w:firstLineChars="0"/>
              <w:jc w:val="center"/>
              <w:rPr>
                <w:rFonts w:ascii="仿宋" w:hAnsi="仿宋" w:eastAsia="仿宋"/>
                <w:color w:val="auto"/>
                <w:sz w:val="24"/>
              </w:rPr>
            </w:pPr>
            <w:r>
              <w:rPr>
                <w:rFonts w:ascii="仿宋" w:hAnsi="仿宋" w:eastAsia="仿宋"/>
                <w:color w:val="auto"/>
                <w:sz w:val="24"/>
              </w:rPr>
              <w:t>3</w:t>
            </w:r>
          </w:p>
        </w:tc>
        <w:tc>
          <w:tcPr>
            <w:tcW w:w="6223" w:type="dxa"/>
            <w:vAlign w:val="center"/>
          </w:tcPr>
          <w:p w14:paraId="1B6B96DB">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1、投标人提供人员培训方案包含：</w:t>
            </w:r>
          </w:p>
          <w:p w14:paraId="79C94AC6">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（1）人员培训时间计划安排：包含人员培训的时间安排、培训内容组成、培训效果保障措施等内容。</w:t>
            </w:r>
          </w:p>
          <w:p w14:paraId="48E29A60">
            <w:pPr>
              <w:adjustRightInd w:val="0"/>
              <w:snapToGrid w:val="0"/>
              <w:spacing w:line="276" w:lineRule="auto"/>
              <w:ind w:firstLine="0" w:firstLineChars="0"/>
              <w:rPr>
                <w:rFonts w:ascii="仿宋" w:hAnsi="仿宋" w:eastAsia="仿宋"/>
                <w:color w:val="auto"/>
                <w:sz w:val="24"/>
              </w:rPr>
            </w:pPr>
            <w:r>
              <w:rPr>
                <w:rFonts w:ascii="仿宋" w:hAnsi="仿宋" w:eastAsia="仿宋"/>
                <w:color w:val="auto"/>
                <w:sz w:val="24"/>
              </w:rPr>
              <w:t xml:space="preserve"> </w:t>
            </w:r>
            <w:r>
              <w:rPr>
                <w:rFonts w:hint="eastAsia" w:ascii="仿宋" w:hAnsi="仿宋" w:eastAsia="仿宋"/>
                <w:color w:val="auto"/>
                <w:sz w:val="24"/>
              </w:rPr>
              <w:t>2、评审标准：</w:t>
            </w:r>
          </w:p>
          <w:p w14:paraId="384939A8">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每条从以下维度进行综合评价：①符合度：需对以上内容进行充分响应，</w:t>
            </w:r>
            <w:r>
              <w:rPr>
                <w:rFonts w:hint="eastAsia" w:ascii="仿宋" w:hAnsi="仿宋" w:eastAsia="仿宋"/>
                <w:snapToGrid w:val="0"/>
                <w:color w:val="auto"/>
                <w:kern w:val="0"/>
                <w:sz w:val="24"/>
              </w:rPr>
              <w:t>内容贴合项目实际，</w:t>
            </w:r>
            <w:r>
              <w:rPr>
                <w:rFonts w:hint="eastAsia" w:ascii="仿宋" w:hAnsi="仿宋" w:eastAsia="仿宋"/>
                <w:color w:val="auto"/>
                <w:sz w:val="24"/>
              </w:rPr>
              <w:t>不得提供无关内容；②完整性：需结合需求，进行全方面的描述，</w:t>
            </w:r>
            <w:r>
              <w:rPr>
                <w:rFonts w:hint="eastAsia" w:ascii="仿宋" w:hAnsi="仿宋" w:eastAsia="仿宋"/>
                <w:snapToGrid w:val="0"/>
                <w:color w:val="auto"/>
                <w:kern w:val="0"/>
                <w:sz w:val="24"/>
              </w:rPr>
              <w:t>涵盖项目完成过程中的各项主要或配套内容等，</w:t>
            </w:r>
            <w:r>
              <w:rPr>
                <w:rFonts w:hint="eastAsia" w:ascii="仿宋" w:hAnsi="仿宋" w:eastAsia="仿宋"/>
                <w:color w:val="auto"/>
                <w:sz w:val="24"/>
              </w:rPr>
              <w:t>不得缺项漏项；③合理性：需依据本项目阐述，措施可落地，</w:t>
            </w:r>
            <w:r>
              <w:rPr>
                <w:rFonts w:hint="eastAsia" w:ascii="仿宋" w:hAnsi="仿宋" w:eastAsia="仿宋"/>
                <w:snapToGrid w:val="0"/>
                <w:color w:val="auto"/>
                <w:kern w:val="0"/>
                <w:sz w:val="24"/>
              </w:rPr>
              <w:t>解决方法得当。</w:t>
            </w:r>
          </w:p>
          <w:p w14:paraId="22BF0B7C">
            <w:pPr>
              <w:adjustRightInd w:val="0"/>
              <w:snapToGrid w:val="0"/>
              <w:spacing w:line="276" w:lineRule="auto"/>
              <w:ind w:firstLine="0" w:firstLineChars="0"/>
              <w:rPr>
                <w:rFonts w:ascii="仿宋" w:hAnsi="仿宋" w:eastAsia="仿宋"/>
                <w:color w:val="auto"/>
                <w:sz w:val="24"/>
              </w:rPr>
            </w:pPr>
            <w:r>
              <w:rPr>
                <w:rFonts w:hint="eastAsia" w:ascii="仿宋" w:hAnsi="仿宋" w:eastAsia="仿宋"/>
                <w:color w:val="auto"/>
                <w:sz w:val="24"/>
              </w:rPr>
              <w:t>每条方案完全满足三项维度评价要求的得</w:t>
            </w:r>
            <w:r>
              <w:rPr>
                <w:rFonts w:ascii="仿宋" w:hAnsi="仿宋" w:eastAsia="仿宋"/>
                <w:color w:val="auto"/>
                <w:sz w:val="24"/>
              </w:rPr>
              <w:t>3</w:t>
            </w:r>
            <w:r>
              <w:rPr>
                <w:rFonts w:hint="eastAsia" w:ascii="仿宋" w:hAnsi="仿宋" w:eastAsia="仿宋"/>
                <w:color w:val="auto"/>
                <w:sz w:val="24"/>
              </w:rPr>
              <w:t>分，本项满分</w:t>
            </w:r>
            <w:r>
              <w:rPr>
                <w:rFonts w:ascii="仿宋" w:hAnsi="仿宋" w:eastAsia="仿宋"/>
                <w:color w:val="auto"/>
                <w:sz w:val="24"/>
              </w:rPr>
              <w:t>3</w:t>
            </w:r>
            <w:r>
              <w:rPr>
                <w:rFonts w:hint="eastAsia" w:ascii="仿宋" w:hAnsi="仿宋" w:eastAsia="仿宋"/>
                <w:color w:val="auto"/>
                <w:sz w:val="24"/>
              </w:rPr>
              <w:t>分；单项维度存在缺陷缺漏项或未提供的扣</w:t>
            </w:r>
            <w:r>
              <w:rPr>
                <w:rFonts w:ascii="仿宋" w:hAnsi="仿宋" w:eastAsia="仿宋"/>
                <w:color w:val="auto"/>
                <w:sz w:val="24"/>
              </w:rPr>
              <w:t>1</w:t>
            </w:r>
            <w:r>
              <w:rPr>
                <w:rFonts w:hint="eastAsia" w:ascii="仿宋" w:hAnsi="仿宋" w:eastAsia="仿宋"/>
                <w:color w:val="auto"/>
                <w:sz w:val="24"/>
              </w:rPr>
              <w:t>分，本项最低得</w:t>
            </w:r>
            <w:r>
              <w:rPr>
                <w:rFonts w:ascii="仿宋" w:hAnsi="仿宋" w:eastAsia="仿宋"/>
                <w:color w:val="auto"/>
                <w:sz w:val="24"/>
              </w:rPr>
              <w:t>0</w:t>
            </w:r>
            <w:r>
              <w:rPr>
                <w:rFonts w:hint="eastAsia" w:ascii="仿宋" w:hAnsi="仿宋" w:eastAsia="仿宋"/>
                <w:color w:val="auto"/>
                <w:sz w:val="24"/>
              </w:rPr>
              <w:t>分。</w:t>
            </w:r>
          </w:p>
        </w:tc>
      </w:tr>
      <w:tr w14:paraId="42DBE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04" w:type="dxa"/>
            <w:vAlign w:val="center"/>
          </w:tcPr>
          <w:p w14:paraId="4731064F">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报价评审</w:t>
            </w:r>
          </w:p>
        </w:tc>
        <w:tc>
          <w:tcPr>
            <w:tcW w:w="1276" w:type="dxa"/>
            <w:vAlign w:val="center"/>
          </w:tcPr>
          <w:p w14:paraId="3ECBEA61">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报价</w:t>
            </w:r>
          </w:p>
        </w:tc>
        <w:tc>
          <w:tcPr>
            <w:tcW w:w="709" w:type="dxa"/>
            <w:vAlign w:val="center"/>
          </w:tcPr>
          <w:p w14:paraId="2FEB515F">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30</w:t>
            </w:r>
          </w:p>
        </w:tc>
        <w:tc>
          <w:tcPr>
            <w:tcW w:w="6223" w:type="dxa"/>
            <w:vAlign w:val="center"/>
          </w:tcPr>
          <w:p w14:paraId="719D83F3">
            <w:pPr>
              <w:adjustRightInd w:val="0"/>
              <w:snapToGrid w:val="0"/>
              <w:spacing w:line="400" w:lineRule="exact"/>
              <w:ind w:firstLine="0" w:firstLineChars="0"/>
              <w:rPr>
                <w:rFonts w:ascii="仿宋" w:hAnsi="仿宋" w:eastAsia="仿宋"/>
                <w:color w:val="auto"/>
                <w:sz w:val="24"/>
              </w:rPr>
            </w:pPr>
            <w:r>
              <w:rPr>
                <w:rFonts w:hint="eastAsia" w:ascii="仿宋" w:hAnsi="仿宋" w:eastAsia="仿宋"/>
                <w:color w:val="auto"/>
                <w:sz w:val="24"/>
              </w:rPr>
              <w:t>满足招标文件要求且报价最低的投标报价为评标基准价，其价格分为满分。投标人的价格分按照下列公式计算：投标报价得分＝（评标基准价/投标报价）×价格权值×100。（本项目价格权重为30%）</w:t>
            </w:r>
          </w:p>
        </w:tc>
      </w:tr>
    </w:tbl>
    <w:p w14:paraId="32755DB9">
      <w:pPr>
        <w:ind w:firstLine="480"/>
        <w:rPr>
          <w:rFonts w:ascii="仿宋" w:hAnsi="仿宋" w:eastAsia="仿宋"/>
          <w:snapToGrid w:val="0"/>
          <w:color w:val="auto"/>
          <w:kern w:val="0"/>
          <w:sz w:val="24"/>
        </w:rPr>
      </w:pPr>
    </w:p>
    <w:tbl>
      <w:tblPr>
        <w:tblStyle w:val="44"/>
        <w:tblW w:w="897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Layout w:type="fixed"/>
        <w:tblCellMar>
          <w:top w:w="57" w:type="dxa"/>
          <w:left w:w="57" w:type="dxa"/>
          <w:bottom w:w="57" w:type="dxa"/>
          <w:right w:w="57" w:type="dxa"/>
        </w:tblCellMar>
      </w:tblPr>
      <w:tblGrid>
        <w:gridCol w:w="1415"/>
        <w:gridCol w:w="7555"/>
      </w:tblGrid>
      <w:tr w14:paraId="239B5EFC">
        <w:tblPrEx>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CellMar>
            <w:top w:w="57" w:type="dxa"/>
            <w:left w:w="57" w:type="dxa"/>
            <w:bottom w:w="57" w:type="dxa"/>
            <w:right w:w="57" w:type="dxa"/>
          </w:tblCellMar>
        </w:tblPrEx>
        <w:trPr>
          <w:trHeight w:val="18" w:hRule="atLeast"/>
          <w:jc w:val="center"/>
        </w:trPr>
        <w:tc>
          <w:tcPr>
            <w:tcW w:w="8970" w:type="dxa"/>
            <w:gridSpan w:val="2"/>
            <w:tcBorders>
              <w:bottom w:val="single" w:color="auto" w:sz="2" w:space="0"/>
            </w:tcBorders>
            <w:vAlign w:val="center"/>
          </w:tcPr>
          <w:p w14:paraId="5B994FE8">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政策支持</w:t>
            </w:r>
          </w:p>
        </w:tc>
      </w:tr>
      <w:tr w14:paraId="0CDB4FC4">
        <w:tblPrEx>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CellMar>
            <w:top w:w="57" w:type="dxa"/>
            <w:left w:w="57" w:type="dxa"/>
            <w:bottom w:w="57" w:type="dxa"/>
            <w:right w:w="57" w:type="dxa"/>
          </w:tblCellMar>
        </w:tblPrEx>
        <w:trPr>
          <w:trHeight w:val="18" w:hRule="atLeast"/>
          <w:jc w:val="center"/>
        </w:trPr>
        <w:tc>
          <w:tcPr>
            <w:tcW w:w="1415" w:type="dxa"/>
            <w:tcBorders>
              <w:right w:val="single" w:color="auto" w:sz="2" w:space="0"/>
            </w:tcBorders>
            <w:vAlign w:val="center"/>
          </w:tcPr>
          <w:p w14:paraId="1A97AC03">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所属行业及划型标准</w:t>
            </w:r>
          </w:p>
        </w:tc>
        <w:tc>
          <w:tcPr>
            <w:tcW w:w="7555" w:type="dxa"/>
            <w:tcBorders>
              <w:left w:val="single" w:color="auto" w:sz="2" w:space="0"/>
            </w:tcBorders>
            <w:vAlign w:val="center"/>
          </w:tcPr>
          <w:p w14:paraId="47AEA6FC">
            <w:pPr>
              <w:widowControl/>
              <w:adjustRightInd w:val="0"/>
              <w:snapToGrid w:val="0"/>
              <w:spacing w:line="400" w:lineRule="exact"/>
              <w:ind w:firstLine="0" w:firstLineChars="0"/>
              <w:jc w:val="left"/>
              <w:rPr>
                <w:rFonts w:ascii="仿宋" w:hAnsi="仿宋" w:eastAsia="仿宋" w:cs="仿宋_GB2312"/>
                <w:color w:val="auto"/>
                <w:kern w:val="0"/>
                <w:sz w:val="24"/>
              </w:rPr>
            </w:pPr>
            <w:r>
              <w:rPr>
                <w:rFonts w:hint="eastAsia" w:ascii="仿宋" w:hAnsi="仿宋" w:eastAsia="仿宋" w:cs="仿宋_GB2312"/>
                <w:bCs/>
                <w:color w:val="auto"/>
                <w:kern w:val="0"/>
                <w:sz w:val="24"/>
              </w:rPr>
              <w:t>制造商行业类型：</w:t>
            </w:r>
            <w:r>
              <w:rPr>
                <w:rFonts w:hint="eastAsia" w:ascii="仿宋" w:hAnsi="仿宋" w:eastAsia="仿宋" w:cs="仿宋_GB2312"/>
                <w:color w:val="auto"/>
                <w:kern w:val="0"/>
                <w:sz w:val="24"/>
              </w:rPr>
              <w:t>工业</w:t>
            </w:r>
          </w:p>
          <w:p w14:paraId="1248FEB8">
            <w:pPr>
              <w:widowControl/>
              <w:adjustRightInd w:val="0"/>
              <w:snapToGrid w:val="0"/>
              <w:spacing w:line="400" w:lineRule="exact"/>
              <w:ind w:firstLine="0" w:firstLineChars="0"/>
              <w:jc w:val="left"/>
              <w:rPr>
                <w:rFonts w:ascii="仿宋" w:hAnsi="仿宋" w:eastAsia="仿宋" w:cs="仿宋_GB2312"/>
                <w:color w:val="auto"/>
                <w:kern w:val="0"/>
                <w:sz w:val="24"/>
              </w:rPr>
            </w:pPr>
            <w:r>
              <w:rPr>
                <w:rFonts w:hint="eastAsia" w:ascii="仿宋" w:hAnsi="仿宋" w:eastAsia="仿宋" w:cs="仿宋_GB2312"/>
                <w:color w:val="auto"/>
                <w:kern w:val="0"/>
                <w:sz w:val="24"/>
              </w:rPr>
              <w:t>中型：从业人员X（人）：300≤X＜1000，</w:t>
            </w:r>
          </w:p>
          <w:p w14:paraId="1560A546">
            <w:pPr>
              <w:widowControl/>
              <w:adjustRightInd w:val="0"/>
              <w:snapToGrid w:val="0"/>
              <w:spacing w:line="400" w:lineRule="exact"/>
              <w:ind w:firstLine="0" w:firstLineChars="0"/>
              <w:jc w:val="left"/>
              <w:rPr>
                <w:rFonts w:ascii="仿宋" w:hAnsi="仿宋" w:eastAsia="仿宋" w:cs="仿宋_GB2312"/>
                <w:color w:val="auto"/>
                <w:kern w:val="0"/>
                <w:sz w:val="24"/>
              </w:rPr>
            </w:pPr>
            <w:r>
              <w:rPr>
                <w:rFonts w:hint="eastAsia" w:ascii="仿宋" w:hAnsi="仿宋" w:eastAsia="仿宋" w:cs="仿宋_GB2312"/>
                <w:color w:val="auto"/>
                <w:kern w:val="0"/>
                <w:sz w:val="24"/>
              </w:rPr>
              <w:t>营业收入Y（万元）：2000≤Y＜40000；</w:t>
            </w:r>
          </w:p>
          <w:p w14:paraId="37B12C65">
            <w:pPr>
              <w:widowControl/>
              <w:adjustRightInd w:val="0"/>
              <w:snapToGrid w:val="0"/>
              <w:spacing w:line="400" w:lineRule="exact"/>
              <w:ind w:firstLine="0" w:firstLineChars="0"/>
              <w:jc w:val="left"/>
              <w:rPr>
                <w:rFonts w:ascii="仿宋" w:hAnsi="仿宋" w:eastAsia="仿宋" w:cs="仿宋_GB2312"/>
                <w:color w:val="auto"/>
                <w:kern w:val="0"/>
                <w:sz w:val="24"/>
              </w:rPr>
            </w:pPr>
            <w:r>
              <w:rPr>
                <w:rFonts w:hint="eastAsia" w:ascii="仿宋" w:hAnsi="仿宋" w:eastAsia="仿宋" w:cs="仿宋_GB2312"/>
                <w:color w:val="auto"/>
                <w:kern w:val="0"/>
                <w:sz w:val="24"/>
              </w:rPr>
              <w:t>小型：从业人员X（人）：20≤X＜300，</w:t>
            </w:r>
          </w:p>
          <w:p w14:paraId="230100D9">
            <w:pPr>
              <w:widowControl/>
              <w:adjustRightInd w:val="0"/>
              <w:snapToGrid w:val="0"/>
              <w:spacing w:line="400" w:lineRule="exact"/>
              <w:ind w:firstLine="0" w:firstLineChars="0"/>
              <w:jc w:val="left"/>
              <w:rPr>
                <w:rFonts w:ascii="仿宋" w:hAnsi="仿宋" w:eastAsia="仿宋" w:cs="仿宋_GB2312"/>
                <w:color w:val="auto"/>
                <w:kern w:val="0"/>
                <w:sz w:val="24"/>
              </w:rPr>
            </w:pPr>
            <w:r>
              <w:rPr>
                <w:rFonts w:hint="eastAsia" w:ascii="仿宋" w:hAnsi="仿宋" w:eastAsia="仿宋" w:cs="仿宋_GB2312"/>
                <w:color w:val="auto"/>
                <w:kern w:val="0"/>
                <w:sz w:val="24"/>
              </w:rPr>
              <w:t>营业收入Y（万元）：300≤Y＜2000；</w:t>
            </w:r>
          </w:p>
          <w:p w14:paraId="788A5CB8">
            <w:pPr>
              <w:widowControl/>
              <w:adjustRightInd w:val="0"/>
              <w:snapToGrid w:val="0"/>
              <w:spacing w:line="400" w:lineRule="exact"/>
              <w:ind w:firstLine="0" w:firstLineChars="0"/>
              <w:jc w:val="left"/>
              <w:rPr>
                <w:rFonts w:ascii="仿宋" w:hAnsi="仿宋" w:eastAsia="仿宋" w:cs="仿宋_GB2312"/>
                <w:color w:val="auto"/>
                <w:kern w:val="0"/>
                <w:sz w:val="24"/>
              </w:rPr>
            </w:pPr>
            <w:r>
              <w:rPr>
                <w:rFonts w:hint="eastAsia" w:ascii="仿宋" w:hAnsi="仿宋" w:eastAsia="仿宋" w:cs="仿宋_GB2312"/>
                <w:color w:val="auto"/>
                <w:kern w:val="0"/>
                <w:sz w:val="24"/>
              </w:rPr>
              <w:t>微型：从业人员X（人）：X＜20，</w:t>
            </w:r>
          </w:p>
          <w:p w14:paraId="6F140184">
            <w:pPr>
              <w:widowControl/>
              <w:adjustRightInd w:val="0"/>
              <w:snapToGrid w:val="0"/>
              <w:spacing w:line="400" w:lineRule="exact"/>
              <w:ind w:firstLine="0" w:firstLineChars="0"/>
              <w:jc w:val="left"/>
              <w:rPr>
                <w:rFonts w:ascii="仿宋" w:hAnsi="仿宋" w:eastAsia="仿宋" w:cs="仿宋_GB2312"/>
                <w:color w:val="auto"/>
                <w:kern w:val="0"/>
                <w:sz w:val="24"/>
              </w:rPr>
            </w:pPr>
            <w:r>
              <w:rPr>
                <w:rFonts w:hint="eastAsia" w:ascii="仿宋" w:hAnsi="仿宋" w:eastAsia="仿宋" w:cs="仿宋_GB2312"/>
                <w:color w:val="auto"/>
                <w:kern w:val="0"/>
                <w:sz w:val="24"/>
              </w:rPr>
              <w:t>营业收入Y（万元）：Y＜300；</w:t>
            </w:r>
          </w:p>
          <w:p w14:paraId="6D8B1CC3">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仿宋_GB2312"/>
                <w:color w:val="auto"/>
                <w:sz w:val="24"/>
              </w:rPr>
              <w:t>备注：大型、中型和小型企业须同时满足所列指标的下限，否则下划一档；微型企业只须满足所列指标中的一项即可。</w:t>
            </w:r>
          </w:p>
        </w:tc>
      </w:tr>
      <w:tr w14:paraId="326BB1D8">
        <w:tblPrEx>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CellMar>
            <w:top w:w="57" w:type="dxa"/>
            <w:left w:w="57" w:type="dxa"/>
            <w:bottom w:w="57" w:type="dxa"/>
            <w:right w:w="57" w:type="dxa"/>
          </w:tblCellMar>
        </w:tblPrEx>
        <w:trPr>
          <w:trHeight w:val="567" w:hRule="atLeast"/>
          <w:jc w:val="center"/>
        </w:trPr>
        <w:tc>
          <w:tcPr>
            <w:tcW w:w="1415" w:type="dxa"/>
            <w:tcBorders>
              <w:right w:val="single" w:color="auto" w:sz="2" w:space="0"/>
            </w:tcBorders>
            <w:vAlign w:val="center"/>
          </w:tcPr>
          <w:p w14:paraId="548FCD78">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中小企业</w:t>
            </w:r>
          </w:p>
        </w:tc>
        <w:tc>
          <w:tcPr>
            <w:tcW w:w="7555" w:type="dxa"/>
            <w:tcBorders>
              <w:left w:val="single" w:color="auto" w:sz="2" w:space="0"/>
            </w:tcBorders>
            <w:vAlign w:val="center"/>
          </w:tcPr>
          <w:p w14:paraId="2BCA686F">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一、根据《政府采购促进中小企业发展管理办法》《财政部关于进一步加大政府采购支持中小企业力度的通知》（财库〔2022〕19号）及《关于落实稳住经济一揽子政策进一步加大政府采购支持中小企业力度的通知》（鄂财采发〔2022〕5号）的规定，为了充分发挥政府采购的政策功能，促进中小企业的发展，本项目采用以下方式支持中小企业发展：</w:t>
            </w:r>
          </w:p>
          <w:p w14:paraId="0F153D20">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1.</w:t>
            </w:r>
            <w:r>
              <w:rPr>
                <w:rFonts w:hint="eastAsia" w:ascii="仿宋" w:hAnsi="仿宋" w:eastAsia="仿宋" w:cs="宋体"/>
                <w:color w:val="auto"/>
                <w:sz w:val="24"/>
              </w:rPr>
              <w:sym w:font="Wingdings 2" w:char="00A3"/>
            </w:r>
            <w:r>
              <w:rPr>
                <w:rFonts w:hint="eastAsia" w:ascii="仿宋" w:hAnsi="仿宋" w:eastAsia="仿宋" w:cs="宋体"/>
                <w:color w:val="auto"/>
                <w:kern w:val="0"/>
                <w:sz w:val="24"/>
              </w:rPr>
              <w:t>项目整体预留专门面向中小企业采购；</w:t>
            </w:r>
          </w:p>
          <w:p w14:paraId="3CD69D16">
            <w:pPr>
              <w:widowControl/>
              <w:adjustRightInd w:val="0"/>
              <w:snapToGrid w:val="0"/>
              <w:spacing w:line="400" w:lineRule="exact"/>
              <w:ind w:firstLine="240" w:firstLineChars="100"/>
              <w:rPr>
                <w:rFonts w:ascii="仿宋" w:hAnsi="仿宋" w:eastAsia="仿宋" w:cs="宋体"/>
                <w:color w:val="auto"/>
                <w:kern w:val="0"/>
                <w:sz w:val="24"/>
              </w:rPr>
            </w:pPr>
            <w:r>
              <w:rPr>
                <w:rFonts w:hint="eastAsia" w:ascii="仿宋" w:hAnsi="仿宋" w:eastAsia="仿宋" w:cs="宋体"/>
                <w:color w:val="auto"/>
                <w:sz w:val="24"/>
              </w:rPr>
              <w:sym w:font="Wingdings 2" w:char="00A3"/>
            </w:r>
            <w:r>
              <w:rPr>
                <w:rFonts w:hint="eastAsia" w:ascii="仿宋" w:hAnsi="仿宋" w:eastAsia="仿宋" w:cs="宋体"/>
                <w:color w:val="auto"/>
                <w:kern w:val="0"/>
                <w:sz w:val="24"/>
              </w:rPr>
              <w:t>项目整体预留专门面向小微企业采购；</w:t>
            </w:r>
          </w:p>
          <w:p w14:paraId="10553222">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2.</w:t>
            </w:r>
            <w:r>
              <w:rPr>
                <w:rFonts w:hint="eastAsia" w:ascii="仿宋" w:hAnsi="仿宋" w:eastAsia="仿宋" w:cs="宋体"/>
                <w:color w:val="auto"/>
                <w:sz w:val="24"/>
              </w:rPr>
              <w:sym w:font="Wingdings 2" w:char="00A3"/>
            </w:r>
            <w:r>
              <w:rPr>
                <w:rFonts w:hint="eastAsia" w:ascii="仿宋" w:hAnsi="仿宋" w:eastAsia="仿宋" w:cs="宋体"/>
                <w:color w:val="auto"/>
                <w:kern w:val="0"/>
                <w:sz w:val="24"/>
              </w:rPr>
              <w:t>项目部分预留专门面向中小企业采购；</w:t>
            </w:r>
          </w:p>
          <w:p w14:paraId="2F70ED5D">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3.</w:t>
            </w:r>
            <w:r>
              <w:rPr>
                <w:rFonts w:hint="eastAsia" w:ascii="仿宋" w:hAnsi="仿宋" w:eastAsia="仿宋" w:cs="宋体"/>
                <w:bCs/>
                <w:color w:val="auto"/>
                <w:sz w:val="24"/>
              </w:rPr>
              <w:sym w:font="Wingdings 2" w:char="0052"/>
            </w:r>
            <w:r>
              <w:rPr>
                <w:rFonts w:hint="eastAsia" w:ascii="仿宋" w:hAnsi="仿宋" w:eastAsia="仿宋" w:cs="宋体"/>
                <w:color w:val="auto"/>
                <w:kern w:val="0"/>
                <w:sz w:val="24"/>
              </w:rPr>
              <w:t>项目未预留份额专门面向中小企业采购。</w:t>
            </w:r>
          </w:p>
          <w:p w14:paraId="1A4EC64E">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二、如投标人符合工信部联企业〔2011〕300号文中对中小企业划型标准的，根据《政府采购促进中小企业发展管理办法》（财库〔2020〕46号）的要求，投标人需提供《中小企业声明函》（格式见第六章）并按其要求填写相关数据资料，否则在评审时不享受相关扶持政策。</w:t>
            </w:r>
          </w:p>
          <w:p w14:paraId="5B1A56AE">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三、对于专门面向中小微企业采购或小微企业采购的项目，投标人需提供《中小企业声明函》并按其要求填写相关数据资料，否则作废标处理。</w:t>
            </w:r>
          </w:p>
          <w:p w14:paraId="1C7C41D5">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四、对于未预留份额专门面向中小企业采购的采购项目，以及预留份额项目中的非预留部分采购包，依据相关规定，对参加政府采购活动的小型和微型企业报价给予10%的扣除，用扣除后的价格参与评审；其中，根据《关于落实稳住经济一揽子政策进一步加大政府采购支持中小企业力度的通知》（鄂财采发〔2022〕5号）的规定，对小微企业中的残疾人企业、监狱企业、采购产品纳入创新产品应用示范推荐目录内企业、采购产品获得节能产品或环境标志产品认证证书的企业，报价给予20%的扣除，用扣除后的价格参与评审。</w:t>
            </w:r>
          </w:p>
          <w:p w14:paraId="65F63C14">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接受大中型企业与小微企业组成联合体或者允许大中型企业向一家或者多家小微企业分包的采购项目，对于联合协议或者分包意向协议约定小微企业的合同份额占到合同总金额30%以上的，评审委员会将根据《政府采购促进中小企业发展管理办法》的相关规定在评审时给予联合体投标人4%的价格扣除，用扣除后的价格参与评审。</w:t>
            </w:r>
          </w:p>
        </w:tc>
      </w:tr>
      <w:tr w14:paraId="536C4C3D">
        <w:tblPrEx>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CellMar>
            <w:top w:w="57" w:type="dxa"/>
            <w:left w:w="57" w:type="dxa"/>
            <w:bottom w:w="57" w:type="dxa"/>
            <w:right w:w="57" w:type="dxa"/>
          </w:tblCellMar>
        </w:tblPrEx>
        <w:trPr>
          <w:trHeight w:val="567" w:hRule="atLeast"/>
          <w:jc w:val="center"/>
        </w:trPr>
        <w:tc>
          <w:tcPr>
            <w:tcW w:w="1415" w:type="dxa"/>
            <w:tcBorders>
              <w:right w:val="single" w:color="auto" w:sz="2" w:space="0"/>
            </w:tcBorders>
            <w:vAlign w:val="center"/>
          </w:tcPr>
          <w:p w14:paraId="6892787E">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节能环保</w:t>
            </w:r>
          </w:p>
        </w:tc>
        <w:tc>
          <w:tcPr>
            <w:tcW w:w="7555" w:type="dxa"/>
            <w:tcBorders>
              <w:left w:val="single" w:color="auto" w:sz="2" w:space="0"/>
            </w:tcBorders>
            <w:vAlign w:val="center"/>
          </w:tcPr>
          <w:p w14:paraId="56256F7C">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按照《财政部 发展改革委 生态环境部 市场监管总局 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文件执行。</w:t>
            </w:r>
          </w:p>
          <w:p w14:paraId="7532CF98">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如投标人投标产品符合以上文件的政策支持，须提供产品认证证书（合格有效时间内的）或节能产品查询</w:t>
            </w:r>
          </w:p>
          <w:p w14:paraId="3952FB79">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（http://www.ccgp.gov.cn/search/jnqdchaxun.htm）/环境标志产品查询（http://www.ccgp.gov.cn/search/hbqdchaxun.htm）查询结果截图。</w:t>
            </w:r>
          </w:p>
          <w:p w14:paraId="3F86112C">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经评委会审核确认投标人投标产品符合以上政府采购政策的，给予该项投标产品所占价格的1%的价格扣除，用扣除后的价格参与评审。</w:t>
            </w:r>
          </w:p>
          <w:p w14:paraId="154D9203">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上述政府采购政策优惠须经评标委评审后执行，未提供单独分项报价或证明资料不全的不给予价格扣除。同一项目包内的节能产品价格扣除只对属于节能产品政府清单内的非强制类产品进行，强制类产品已作为投标时强制性要求不再给予价格扣除。</w:t>
            </w:r>
          </w:p>
          <w:p w14:paraId="5BE74C70">
            <w:pPr>
              <w:widowControl/>
              <w:adjustRightInd w:val="0"/>
              <w:snapToGrid w:val="0"/>
              <w:spacing w:line="400" w:lineRule="exact"/>
              <w:ind w:firstLine="0" w:firstLineChars="0"/>
              <w:rPr>
                <w:rFonts w:ascii="仿宋" w:hAnsi="仿宋" w:eastAsia="仿宋" w:cs="宋体"/>
                <w:color w:val="auto"/>
                <w:kern w:val="0"/>
                <w:sz w:val="24"/>
                <w:u w:val="single"/>
              </w:rPr>
            </w:pPr>
            <w:r>
              <w:rPr>
                <w:rFonts w:hint="eastAsia" w:ascii="仿宋" w:hAnsi="仿宋" w:eastAsia="仿宋" w:cs="宋体"/>
                <w:color w:val="auto"/>
                <w:kern w:val="0"/>
                <w:sz w:val="24"/>
              </w:rPr>
              <w:t>同时被认证为节能产品和环境标志产品的不重复享受价格扣除。</w:t>
            </w:r>
          </w:p>
        </w:tc>
      </w:tr>
      <w:tr w14:paraId="1E58CFDE">
        <w:tblPrEx>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CellMar>
            <w:top w:w="57" w:type="dxa"/>
            <w:left w:w="57" w:type="dxa"/>
            <w:bottom w:w="57" w:type="dxa"/>
            <w:right w:w="57" w:type="dxa"/>
          </w:tblCellMar>
        </w:tblPrEx>
        <w:trPr>
          <w:trHeight w:val="1201" w:hRule="atLeast"/>
          <w:jc w:val="center"/>
        </w:trPr>
        <w:tc>
          <w:tcPr>
            <w:tcW w:w="1415" w:type="dxa"/>
            <w:tcBorders>
              <w:right w:val="single" w:color="auto" w:sz="2" w:space="0"/>
            </w:tcBorders>
            <w:vAlign w:val="center"/>
          </w:tcPr>
          <w:p w14:paraId="7CB59B0B">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监狱企业</w:t>
            </w:r>
          </w:p>
        </w:tc>
        <w:tc>
          <w:tcPr>
            <w:tcW w:w="7555" w:type="dxa"/>
            <w:tcBorders>
              <w:left w:val="single" w:color="auto" w:sz="2" w:space="0"/>
            </w:tcBorders>
            <w:vAlign w:val="center"/>
          </w:tcPr>
          <w:p w14:paraId="5E0A01DC">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按照财政部《关于政府采购支持监狱企业发展有关问题的通知》（财库[2014]68号）的规定，在政府采购活动中，监狱企业视同小型、微型企业，享受预留份额、评审中价格扣除等政府采购促进中小企业发展的政府采购政策。</w:t>
            </w:r>
          </w:p>
          <w:p w14:paraId="40F64158">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监狱企业参加政府采购活动时，应当提供由省级以上监狱管理局、戒毒管理局（含新疆生产建设兵团）出具的属于监狱企业的证明文件，材料不全的不予折扣。</w:t>
            </w:r>
          </w:p>
          <w:p w14:paraId="4235A070">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经评委会审核确认投标人属于监狱企业的，在评定时视同中小企业。</w:t>
            </w:r>
          </w:p>
        </w:tc>
      </w:tr>
      <w:tr w14:paraId="7A3FB554">
        <w:tblPrEx>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CellMar>
            <w:top w:w="57" w:type="dxa"/>
            <w:left w:w="57" w:type="dxa"/>
            <w:bottom w:w="57" w:type="dxa"/>
            <w:right w:w="57" w:type="dxa"/>
          </w:tblCellMar>
        </w:tblPrEx>
        <w:trPr>
          <w:trHeight w:val="24" w:hRule="atLeast"/>
          <w:jc w:val="center"/>
        </w:trPr>
        <w:tc>
          <w:tcPr>
            <w:tcW w:w="1415" w:type="dxa"/>
            <w:tcBorders>
              <w:right w:val="single" w:color="auto" w:sz="2" w:space="0"/>
            </w:tcBorders>
            <w:vAlign w:val="center"/>
          </w:tcPr>
          <w:p w14:paraId="502B2FB2">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促进残疾人就业</w:t>
            </w:r>
          </w:p>
        </w:tc>
        <w:tc>
          <w:tcPr>
            <w:tcW w:w="7555" w:type="dxa"/>
            <w:tcBorders>
              <w:left w:val="single" w:color="auto" w:sz="2" w:space="0"/>
            </w:tcBorders>
            <w:vAlign w:val="center"/>
          </w:tcPr>
          <w:p w14:paraId="23D19469">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按照《三部门联合发布关于促进残疾人就业政府采购政策的通知》（财库〔2017〕141号）的规定，在政府采购活动中，残疾人福利性单位视同小型、微型企业，享受预留份额、评审中价格扣除等促进中小企业发展的政府采购政策。</w:t>
            </w:r>
          </w:p>
          <w:p w14:paraId="3A374454">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符合条件的残疾人福利性单位在参加政府采购活动时，应当提供财库〔2017〕141号文规定的《残疾人福利性单位声明函》（格式见第六章），并对声明的真实性负责，未提供声明函的不予折扣。</w:t>
            </w:r>
          </w:p>
          <w:p w14:paraId="75452F97">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s="宋体"/>
                <w:color w:val="auto"/>
                <w:kern w:val="0"/>
                <w:sz w:val="24"/>
              </w:rPr>
              <w:t>经评委会审核确认投标人符合残疾人福利性单位条件的，在评定时视同中小企业。残疾人福利性单位属于小型、微型企业的，不重复享受政策。</w:t>
            </w:r>
          </w:p>
        </w:tc>
      </w:tr>
    </w:tbl>
    <w:p w14:paraId="791C52EB">
      <w:pPr>
        <w:ind w:firstLine="480"/>
        <w:rPr>
          <w:rFonts w:ascii="仿宋" w:hAnsi="仿宋" w:eastAsia="仿宋"/>
          <w:snapToGrid w:val="0"/>
          <w:color w:val="auto"/>
          <w:kern w:val="0"/>
          <w:sz w:val="24"/>
        </w:rPr>
      </w:pPr>
    </w:p>
    <w:tbl>
      <w:tblPr>
        <w:tblStyle w:val="44"/>
        <w:tblW w:w="8931" w:type="dxa"/>
        <w:jc w:val="center"/>
        <w:tblBorders>
          <w:top w:val="single" w:color="auto" w:sz="2" w:space="0"/>
          <w:left w:val="single" w:color="auto" w:sz="2" w:space="0"/>
          <w:bottom w:val="single" w:color="auto" w:sz="2" w:space="0"/>
          <w:right w:val="single" w:color="auto" w:sz="2" w:space="0"/>
          <w:insideH w:val="single" w:color="auto" w:sz="4" w:space="0"/>
          <w:insideV w:val="single" w:color="auto" w:sz="4" w:space="0"/>
        </w:tblBorders>
        <w:tblLayout w:type="fixed"/>
        <w:tblCellMar>
          <w:top w:w="57" w:type="dxa"/>
          <w:left w:w="57" w:type="dxa"/>
          <w:bottom w:w="57" w:type="dxa"/>
          <w:right w:w="57" w:type="dxa"/>
        </w:tblCellMar>
      </w:tblPr>
      <w:tblGrid>
        <w:gridCol w:w="1027"/>
        <w:gridCol w:w="1816"/>
        <w:gridCol w:w="6088"/>
      </w:tblGrid>
      <w:tr w14:paraId="5288AB49">
        <w:tblPrEx>
          <w:tblBorders>
            <w:top w:val="single" w:color="auto" w:sz="2" w:space="0"/>
            <w:left w:val="single" w:color="auto" w:sz="2" w:space="0"/>
            <w:bottom w:val="single" w:color="auto" w:sz="2" w:space="0"/>
            <w:right w:val="single" w:color="auto" w:sz="2" w:space="0"/>
            <w:insideH w:val="single" w:color="auto" w:sz="4" w:space="0"/>
            <w:insideV w:val="single" w:color="auto" w:sz="4" w:space="0"/>
          </w:tblBorders>
          <w:tblCellMar>
            <w:top w:w="57" w:type="dxa"/>
            <w:left w:w="57" w:type="dxa"/>
            <w:bottom w:w="57" w:type="dxa"/>
            <w:right w:w="57" w:type="dxa"/>
          </w:tblCellMar>
        </w:tblPrEx>
        <w:trPr>
          <w:trHeight w:val="24" w:hRule="atLeast"/>
          <w:tblHeader/>
          <w:jc w:val="center"/>
        </w:trPr>
        <w:tc>
          <w:tcPr>
            <w:tcW w:w="8931" w:type="dxa"/>
            <w:gridSpan w:val="3"/>
            <w:vAlign w:val="center"/>
          </w:tcPr>
          <w:p w14:paraId="4EA607DE">
            <w:pPr>
              <w:widowControl/>
              <w:adjustRightInd w:val="0"/>
              <w:snapToGrid w:val="0"/>
              <w:spacing w:line="400" w:lineRule="exact"/>
              <w:ind w:firstLine="0" w:firstLineChars="0"/>
              <w:jc w:val="center"/>
              <w:rPr>
                <w:rFonts w:ascii="仿宋" w:hAnsi="仿宋" w:eastAsia="仿宋" w:cs="宋体"/>
                <w:bCs/>
                <w:color w:val="auto"/>
                <w:kern w:val="0"/>
                <w:sz w:val="24"/>
              </w:rPr>
            </w:pPr>
            <w:r>
              <w:rPr>
                <w:rFonts w:hint="eastAsia" w:ascii="仿宋" w:hAnsi="仿宋" w:eastAsia="仿宋" w:cs="宋体"/>
                <w:bCs/>
                <w:color w:val="auto"/>
                <w:kern w:val="0"/>
                <w:sz w:val="24"/>
              </w:rPr>
              <w:t>评标结果</w:t>
            </w:r>
          </w:p>
        </w:tc>
      </w:tr>
      <w:tr w14:paraId="434C299B">
        <w:tblPrEx>
          <w:tblBorders>
            <w:top w:val="single" w:color="auto" w:sz="2" w:space="0"/>
            <w:left w:val="single" w:color="auto" w:sz="2" w:space="0"/>
            <w:bottom w:val="single" w:color="auto" w:sz="2" w:space="0"/>
            <w:right w:val="single" w:color="auto" w:sz="2" w:space="0"/>
            <w:insideH w:val="single" w:color="auto" w:sz="4" w:space="0"/>
            <w:insideV w:val="single" w:color="auto" w:sz="4" w:space="0"/>
          </w:tblBorders>
          <w:tblCellMar>
            <w:top w:w="57" w:type="dxa"/>
            <w:left w:w="57" w:type="dxa"/>
            <w:bottom w:w="57" w:type="dxa"/>
            <w:right w:w="57" w:type="dxa"/>
          </w:tblCellMar>
        </w:tblPrEx>
        <w:trPr>
          <w:trHeight w:val="19" w:hRule="atLeast"/>
          <w:tblHeader/>
          <w:jc w:val="center"/>
        </w:trPr>
        <w:tc>
          <w:tcPr>
            <w:tcW w:w="1027" w:type="dxa"/>
            <w:vAlign w:val="center"/>
          </w:tcPr>
          <w:p w14:paraId="601FEEFA">
            <w:pPr>
              <w:widowControl/>
              <w:adjustRightInd w:val="0"/>
              <w:snapToGrid w:val="0"/>
              <w:spacing w:line="400" w:lineRule="exact"/>
              <w:ind w:firstLine="0" w:firstLineChars="0"/>
              <w:jc w:val="center"/>
              <w:rPr>
                <w:rFonts w:ascii="仿宋" w:hAnsi="仿宋" w:eastAsia="仿宋" w:cs="宋体"/>
                <w:bCs/>
                <w:color w:val="auto"/>
                <w:kern w:val="0"/>
                <w:sz w:val="24"/>
              </w:rPr>
            </w:pPr>
            <w:r>
              <w:rPr>
                <w:rFonts w:hint="eastAsia" w:ascii="仿宋" w:hAnsi="仿宋" w:eastAsia="仿宋" w:cs="宋体"/>
                <w:bCs/>
                <w:color w:val="auto"/>
                <w:kern w:val="0"/>
                <w:sz w:val="24"/>
              </w:rPr>
              <w:t>条款号</w:t>
            </w:r>
          </w:p>
        </w:tc>
        <w:tc>
          <w:tcPr>
            <w:tcW w:w="1816" w:type="dxa"/>
            <w:vAlign w:val="center"/>
          </w:tcPr>
          <w:p w14:paraId="441FD665">
            <w:pPr>
              <w:widowControl/>
              <w:adjustRightInd w:val="0"/>
              <w:snapToGrid w:val="0"/>
              <w:spacing w:line="400" w:lineRule="exact"/>
              <w:ind w:firstLine="0" w:firstLineChars="0"/>
              <w:jc w:val="center"/>
              <w:rPr>
                <w:rFonts w:ascii="仿宋" w:hAnsi="仿宋" w:eastAsia="仿宋" w:cs="宋体"/>
                <w:bCs/>
                <w:color w:val="auto"/>
                <w:kern w:val="0"/>
                <w:sz w:val="24"/>
              </w:rPr>
            </w:pPr>
            <w:r>
              <w:rPr>
                <w:rFonts w:hint="eastAsia" w:ascii="仿宋" w:hAnsi="仿宋" w:eastAsia="仿宋" w:cs="宋体"/>
                <w:bCs/>
                <w:color w:val="auto"/>
                <w:kern w:val="0"/>
                <w:sz w:val="24"/>
              </w:rPr>
              <w:t>条款内容</w:t>
            </w:r>
          </w:p>
        </w:tc>
        <w:tc>
          <w:tcPr>
            <w:tcW w:w="6088" w:type="dxa"/>
            <w:vAlign w:val="center"/>
          </w:tcPr>
          <w:p w14:paraId="1470B7E9">
            <w:pPr>
              <w:widowControl/>
              <w:adjustRightInd w:val="0"/>
              <w:snapToGrid w:val="0"/>
              <w:spacing w:line="400" w:lineRule="exact"/>
              <w:ind w:firstLine="0" w:firstLineChars="0"/>
              <w:jc w:val="center"/>
              <w:rPr>
                <w:rFonts w:ascii="仿宋" w:hAnsi="仿宋" w:eastAsia="仿宋" w:cs="宋体"/>
                <w:bCs/>
                <w:color w:val="auto"/>
                <w:kern w:val="0"/>
                <w:sz w:val="24"/>
              </w:rPr>
            </w:pPr>
            <w:r>
              <w:rPr>
                <w:rFonts w:hint="eastAsia" w:ascii="仿宋" w:hAnsi="仿宋" w:eastAsia="仿宋" w:cs="宋体"/>
                <w:bCs/>
                <w:color w:val="auto"/>
                <w:kern w:val="0"/>
                <w:sz w:val="24"/>
              </w:rPr>
              <w:t>编列内容</w:t>
            </w:r>
          </w:p>
        </w:tc>
      </w:tr>
      <w:tr w14:paraId="7D295F2F">
        <w:tblPrEx>
          <w:tblBorders>
            <w:top w:val="single" w:color="auto" w:sz="2" w:space="0"/>
            <w:left w:val="single" w:color="auto" w:sz="2" w:space="0"/>
            <w:bottom w:val="single" w:color="auto" w:sz="2" w:space="0"/>
            <w:right w:val="single" w:color="auto" w:sz="2" w:space="0"/>
            <w:insideH w:val="single" w:color="auto" w:sz="4" w:space="0"/>
            <w:insideV w:val="single" w:color="auto" w:sz="4" w:space="0"/>
          </w:tblBorders>
          <w:tblCellMar>
            <w:top w:w="57" w:type="dxa"/>
            <w:left w:w="57" w:type="dxa"/>
            <w:bottom w:w="57" w:type="dxa"/>
            <w:right w:w="57" w:type="dxa"/>
          </w:tblCellMar>
        </w:tblPrEx>
        <w:trPr>
          <w:trHeight w:val="19" w:hRule="atLeast"/>
          <w:jc w:val="center"/>
        </w:trPr>
        <w:tc>
          <w:tcPr>
            <w:tcW w:w="1027" w:type="dxa"/>
            <w:vAlign w:val="center"/>
          </w:tcPr>
          <w:p w14:paraId="5BE4EF7B">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3.5.1</w:t>
            </w:r>
          </w:p>
        </w:tc>
        <w:tc>
          <w:tcPr>
            <w:tcW w:w="1816" w:type="dxa"/>
            <w:vAlign w:val="center"/>
          </w:tcPr>
          <w:p w14:paraId="78C42928">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各投标人的最终得分计算办法</w:t>
            </w:r>
          </w:p>
        </w:tc>
        <w:tc>
          <w:tcPr>
            <w:tcW w:w="6088" w:type="dxa"/>
            <w:vAlign w:val="center"/>
          </w:tcPr>
          <w:p w14:paraId="186BDDD1">
            <w:pPr>
              <w:widowControl/>
              <w:adjustRightInd w:val="0"/>
              <w:snapToGrid w:val="0"/>
              <w:spacing w:line="400" w:lineRule="exact"/>
              <w:ind w:firstLine="0" w:firstLineChars="0"/>
              <w:rPr>
                <w:rFonts w:ascii="仿宋" w:hAnsi="仿宋" w:eastAsia="仿宋" w:cs="宋体"/>
                <w:color w:val="auto"/>
                <w:kern w:val="0"/>
                <w:sz w:val="24"/>
              </w:rPr>
            </w:pPr>
            <w:r>
              <w:rPr>
                <w:rFonts w:hint="eastAsia" w:ascii="仿宋" w:hAnsi="仿宋" w:eastAsia="仿宋"/>
                <w:color w:val="auto"/>
                <w:sz w:val="24"/>
              </w:rPr>
              <w:t>所有评审专家综合评分的总和</w:t>
            </w:r>
          </w:p>
        </w:tc>
      </w:tr>
      <w:tr w14:paraId="3F420839">
        <w:tblPrEx>
          <w:tblBorders>
            <w:top w:val="single" w:color="auto" w:sz="2" w:space="0"/>
            <w:left w:val="single" w:color="auto" w:sz="2" w:space="0"/>
            <w:bottom w:val="single" w:color="auto" w:sz="2" w:space="0"/>
            <w:right w:val="single" w:color="auto" w:sz="2" w:space="0"/>
            <w:insideH w:val="single" w:color="auto" w:sz="4" w:space="0"/>
            <w:insideV w:val="single" w:color="auto" w:sz="4" w:space="0"/>
          </w:tblBorders>
          <w:tblCellMar>
            <w:top w:w="57" w:type="dxa"/>
            <w:left w:w="57" w:type="dxa"/>
            <w:bottom w:w="57" w:type="dxa"/>
            <w:right w:w="57" w:type="dxa"/>
          </w:tblCellMar>
        </w:tblPrEx>
        <w:trPr>
          <w:trHeight w:val="19" w:hRule="atLeast"/>
          <w:jc w:val="center"/>
        </w:trPr>
        <w:tc>
          <w:tcPr>
            <w:tcW w:w="1027" w:type="dxa"/>
            <w:vAlign w:val="center"/>
          </w:tcPr>
          <w:p w14:paraId="37357A1F">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3</w:t>
            </w:r>
            <w:r>
              <w:rPr>
                <w:rFonts w:ascii="仿宋" w:hAnsi="仿宋" w:eastAsia="仿宋" w:cs="宋体"/>
                <w:color w:val="auto"/>
                <w:kern w:val="0"/>
                <w:sz w:val="24"/>
              </w:rPr>
              <w:t>.5</w:t>
            </w:r>
            <w:r>
              <w:rPr>
                <w:rFonts w:hint="eastAsia" w:ascii="仿宋" w:hAnsi="仿宋" w:eastAsia="仿宋" w:cs="宋体"/>
                <w:color w:val="auto"/>
                <w:kern w:val="0"/>
                <w:sz w:val="24"/>
              </w:rPr>
              <w:t>.2</w:t>
            </w:r>
          </w:p>
        </w:tc>
        <w:tc>
          <w:tcPr>
            <w:tcW w:w="1816" w:type="dxa"/>
            <w:vAlign w:val="center"/>
          </w:tcPr>
          <w:p w14:paraId="199ACE68">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同品牌投标人获得中标人推荐资格的确定方法</w:t>
            </w:r>
          </w:p>
        </w:tc>
        <w:tc>
          <w:tcPr>
            <w:tcW w:w="6088" w:type="dxa"/>
            <w:vAlign w:val="center"/>
          </w:tcPr>
          <w:p w14:paraId="62ED28C5">
            <w:pPr>
              <w:widowControl/>
              <w:adjustRightInd w:val="0"/>
              <w:snapToGrid w:val="0"/>
              <w:spacing w:line="400" w:lineRule="exact"/>
              <w:ind w:firstLine="0" w:firstLineChars="0"/>
              <w:rPr>
                <w:rFonts w:ascii="仿宋" w:hAnsi="仿宋" w:eastAsia="仿宋"/>
                <w:color w:val="auto"/>
                <w:sz w:val="24"/>
              </w:rPr>
            </w:pPr>
            <w:r>
              <w:rPr>
                <w:rFonts w:hint="eastAsia" w:ascii="仿宋" w:hAnsi="仿宋" w:eastAsia="仿宋"/>
                <w:color w:val="auto"/>
                <w:sz w:val="24"/>
              </w:rPr>
              <w:t>提供相同品牌产品且通过资格审查、符合性审查的不同投标人参加同一合同项下投标的，按一家投标人计算，评审后得分最高的同品牌投标人获得中标人推荐资格。投标人最后得分相同时，按投标报价由低到高顺序排列，投标报价依然相同时，按评标委员会评标技术分由高到低排列，评标技术分依然相同的，由全体评委进行表决，按少数服从多数原则，产生名次。其他同品牌投标人不作为中标候选人。</w:t>
            </w:r>
          </w:p>
        </w:tc>
      </w:tr>
      <w:tr w14:paraId="016D8E3A">
        <w:tblPrEx>
          <w:tblBorders>
            <w:top w:val="single" w:color="auto" w:sz="2" w:space="0"/>
            <w:left w:val="single" w:color="auto" w:sz="2" w:space="0"/>
            <w:bottom w:val="single" w:color="auto" w:sz="2" w:space="0"/>
            <w:right w:val="single" w:color="auto" w:sz="2" w:space="0"/>
            <w:insideH w:val="single" w:color="auto" w:sz="4" w:space="0"/>
            <w:insideV w:val="single" w:color="auto" w:sz="4" w:space="0"/>
          </w:tblBorders>
          <w:tblCellMar>
            <w:top w:w="57" w:type="dxa"/>
            <w:left w:w="57" w:type="dxa"/>
            <w:bottom w:w="57" w:type="dxa"/>
            <w:right w:w="57" w:type="dxa"/>
          </w:tblCellMar>
        </w:tblPrEx>
        <w:trPr>
          <w:trHeight w:val="19" w:hRule="atLeast"/>
          <w:jc w:val="center"/>
        </w:trPr>
        <w:tc>
          <w:tcPr>
            <w:tcW w:w="1027" w:type="dxa"/>
            <w:vAlign w:val="center"/>
          </w:tcPr>
          <w:p w14:paraId="634259CE">
            <w:pPr>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s="宋体"/>
                <w:color w:val="auto"/>
                <w:kern w:val="0"/>
                <w:sz w:val="24"/>
              </w:rPr>
              <w:t>3.5.3</w:t>
            </w:r>
          </w:p>
        </w:tc>
        <w:tc>
          <w:tcPr>
            <w:tcW w:w="1816" w:type="dxa"/>
            <w:vAlign w:val="center"/>
          </w:tcPr>
          <w:p w14:paraId="037C31A5">
            <w:pPr>
              <w:widowControl/>
              <w:adjustRightInd w:val="0"/>
              <w:snapToGrid w:val="0"/>
              <w:spacing w:line="400" w:lineRule="exact"/>
              <w:ind w:firstLine="0" w:firstLineChars="0"/>
              <w:jc w:val="center"/>
              <w:rPr>
                <w:rFonts w:ascii="仿宋" w:hAnsi="仿宋" w:eastAsia="仿宋" w:cs="宋体"/>
                <w:color w:val="auto"/>
                <w:kern w:val="0"/>
                <w:sz w:val="24"/>
              </w:rPr>
            </w:pPr>
            <w:r>
              <w:rPr>
                <w:rFonts w:hint="eastAsia" w:ascii="仿宋" w:hAnsi="仿宋" w:eastAsia="仿宋"/>
                <w:color w:val="auto"/>
                <w:sz w:val="24"/>
              </w:rPr>
              <w:t>投标人最后得分相同时对投标人进行排序的方法</w:t>
            </w:r>
          </w:p>
        </w:tc>
        <w:tc>
          <w:tcPr>
            <w:tcW w:w="6088" w:type="dxa"/>
            <w:vAlign w:val="center"/>
          </w:tcPr>
          <w:p w14:paraId="4E893971">
            <w:pPr>
              <w:widowControl/>
              <w:adjustRightInd w:val="0"/>
              <w:snapToGrid w:val="0"/>
              <w:spacing w:line="400" w:lineRule="exact"/>
              <w:ind w:firstLine="0" w:firstLineChars="0"/>
              <w:rPr>
                <w:rFonts w:ascii="仿宋" w:hAnsi="仿宋" w:eastAsia="仿宋"/>
                <w:color w:val="auto"/>
                <w:sz w:val="24"/>
              </w:rPr>
            </w:pPr>
            <w:r>
              <w:rPr>
                <w:rFonts w:hint="eastAsia" w:ascii="仿宋" w:hAnsi="仿宋" w:eastAsia="仿宋"/>
                <w:color w:val="auto"/>
                <w:sz w:val="24"/>
              </w:rPr>
              <w:t>投标人最后得分相同时，按投标报价由低到高顺序排列，投标报价相同，按评标委员会评标技术分由高到低排列，评标技术分依然相同的，由全体评委进行表决，产生名次。</w:t>
            </w:r>
          </w:p>
        </w:tc>
      </w:tr>
    </w:tbl>
    <w:p w14:paraId="62F6094E">
      <w:pPr>
        <w:autoSpaceDE w:val="0"/>
        <w:autoSpaceDN w:val="0"/>
        <w:ind w:firstLine="480"/>
        <w:textAlignment w:val="center"/>
        <w:outlineLvl w:val="1"/>
        <w:rPr>
          <w:rFonts w:ascii="仿宋" w:hAnsi="仿宋" w:eastAsia="仿宋" w:cs="宋体"/>
          <w:snapToGrid w:val="0"/>
          <w:color w:val="auto"/>
          <w:kern w:val="0"/>
          <w:sz w:val="24"/>
        </w:rPr>
      </w:pPr>
      <w:bookmarkStart w:id="54" w:name="_Toc48068130"/>
      <w:bookmarkStart w:id="55" w:name="_Toc28920"/>
      <w:bookmarkStart w:id="56" w:name="_Toc181712895"/>
      <w:bookmarkStart w:id="57" w:name="_Toc144974567"/>
      <w:bookmarkStart w:id="58" w:name="_Toc152042377"/>
      <w:bookmarkStart w:id="59" w:name="_Toc152045600"/>
      <w:bookmarkStart w:id="60" w:name="_Toc494528979"/>
      <w:bookmarkStart w:id="61" w:name="_Toc179632618"/>
      <w:r>
        <w:rPr>
          <w:rFonts w:hint="eastAsia" w:ascii="仿宋" w:hAnsi="仿宋" w:eastAsia="仿宋" w:cs="宋体"/>
          <w:snapToGrid w:val="0"/>
          <w:color w:val="auto"/>
          <w:kern w:val="0"/>
          <w:sz w:val="24"/>
        </w:rPr>
        <w:t>三、</w:t>
      </w:r>
      <w:bookmarkStart w:id="62" w:name="_Toc493683353"/>
      <w:r>
        <w:rPr>
          <w:rFonts w:hint="eastAsia" w:ascii="仿宋" w:hAnsi="仿宋" w:eastAsia="仿宋" w:cs="宋体"/>
          <w:snapToGrid w:val="0"/>
          <w:color w:val="auto"/>
          <w:kern w:val="0"/>
          <w:sz w:val="24"/>
        </w:rPr>
        <w:t>评标方法、步骤及标准</w:t>
      </w:r>
      <w:bookmarkEnd w:id="54"/>
      <w:bookmarkEnd w:id="55"/>
      <w:bookmarkEnd w:id="56"/>
      <w:bookmarkEnd w:id="62"/>
    </w:p>
    <w:bookmarkEnd w:id="57"/>
    <w:bookmarkEnd w:id="58"/>
    <w:bookmarkEnd w:id="59"/>
    <w:bookmarkEnd w:id="60"/>
    <w:bookmarkEnd w:id="61"/>
    <w:p w14:paraId="13CFE50F">
      <w:pPr>
        <w:ind w:firstLine="480"/>
        <w:rPr>
          <w:rFonts w:ascii="仿宋" w:hAnsi="仿宋" w:eastAsia="仿宋"/>
          <w:color w:val="auto"/>
          <w:sz w:val="24"/>
        </w:rPr>
      </w:pPr>
      <w:r>
        <w:rPr>
          <w:rFonts w:hint="eastAsia" w:ascii="仿宋" w:hAnsi="仿宋" w:eastAsia="仿宋"/>
          <w:color w:val="auto"/>
          <w:sz w:val="24"/>
        </w:rPr>
        <w:t>1.评标方法</w:t>
      </w:r>
    </w:p>
    <w:p w14:paraId="299328B9">
      <w:pPr>
        <w:ind w:firstLine="480"/>
        <w:rPr>
          <w:rFonts w:ascii="仿宋" w:hAnsi="仿宋" w:eastAsia="仿宋"/>
          <w:color w:val="auto"/>
          <w:sz w:val="24"/>
        </w:rPr>
      </w:pPr>
      <w:r>
        <w:rPr>
          <w:rFonts w:hint="eastAsia" w:ascii="仿宋" w:hAnsi="仿宋" w:eastAsia="仿宋"/>
          <w:color w:val="auto"/>
          <w:sz w:val="24"/>
        </w:rPr>
        <w:t>本次评标采用综合评分法。评标委员会对响应招标文件要求的有效投标文件，按照本章评分细则规定的评分标准进行评分，并按得分由高到低顺序推荐中标候选人。如投标人最后得分相同时，按照本章第3.5.3款规定的办法对投标人进行排序。评标活动遵循“公平、公正、科学、择优”的原则。在评标期间，任何人不得非法干预、影响评标过程。</w:t>
      </w:r>
    </w:p>
    <w:p w14:paraId="0D8E047F">
      <w:pPr>
        <w:ind w:firstLine="480"/>
        <w:rPr>
          <w:rFonts w:ascii="仿宋" w:hAnsi="仿宋" w:eastAsia="仿宋"/>
          <w:color w:val="auto"/>
          <w:sz w:val="24"/>
        </w:rPr>
      </w:pPr>
      <w:r>
        <w:rPr>
          <w:rFonts w:hint="eastAsia" w:ascii="仿宋" w:hAnsi="仿宋" w:eastAsia="仿宋"/>
          <w:color w:val="auto"/>
          <w:sz w:val="24"/>
        </w:rPr>
        <w:t>2.评审标准</w:t>
      </w:r>
    </w:p>
    <w:p w14:paraId="1C4F33F6">
      <w:pPr>
        <w:ind w:firstLine="480"/>
        <w:rPr>
          <w:rFonts w:ascii="仿宋" w:hAnsi="仿宋" w:eastAsia="仿宋"/>
          <w:color w:val="auto"/>
          <w:sz w:val="24"/>
        </w:rPr>
      </w:pPr>
      <w:r>
        <w:rPr>
          <w:rFonts w:hint="eastAsia" w:ascii="仿宋" w:hAnsi="仿宋" w:eastAsia="仿宋"/>
          <w:color w:val="auto"/>
          <w:sz w:val="24"/>
        </w:rPr>
        <w:t>2.1资格性审查标准：见《投标人须知前附表》。</w:t>
      </w:r>
    </w:p>
    <w:p w14:paraId="25892435">
      <w:pPr>
        <w:ind w:firstLine="480"/>
        <w:rPr>
          <w:rFonts w:ascii="仿宋" w:hAnsi="仿宋" w:eastAsia="仿宋"/>
          <w:color w:val="auto"/>
          <w:sz w:val="24"/>
        </w:rPr>
      </w:pPr>
      <w:r>
        <w:rPr>
          <w:rFonts w:hint="eastAsia" w:ascii="仿宋" w:hAnsi="仿宋" w:eastAsia="仿宋"/>
          <w:color w:val="auto"/>
          <w:sz w:val="24"/>
        </w:rPr>
        <w:t>2.2符合性审查标准：见《评标方法前附表》。</w:t>
      </w:r>
    </w:p>
    <w:p w14:paraId="193ED5CE">
      <w:pPr>
        <w:ind w:firstLine="480"/>
        <w:rPr>
          <w:rFonts w:ascii="仿宋" w:hAnsi="仿宋" w:eastAsia="仿宋"/>
          <w:color w:val="auto"/>
          <w:sz w:val="24"/>
        </w:rPr>
      </w:pPr>
      <w:r>
        <w:rPr>
          <w:rFonts w:hint="eastAsia" w:ascii="仿宋" w:hAnsi="仿宋" w:eastAsia="仿宋"/>
          <w:color w:val="auto"/>
          <w:sz w:val="24"/>
        </w:rPr>
        <w:t>2.3评分细则</w:t>
      </w:r>
    </w:p>
    <w:p w14:paraId="1A9CFD6E">
      <w:pPr>
        <w:ind w:firstLine="480"/>
        <w:rPr>
          <w:rFonts w:ascii="仿宋" w:hAnsi="仿宋" w:eastAsia="仿宋"/>
          <w:color w:val="auto"/>
          <w:sz w:val="24"/>
        </w:rPr>
      </w:pPr>
      <w:r>
        <w:rPr>
          <w:rFonts w:hint="eastAsia" w:ascii="仿宋" w:hAnsi="仿宋" w:eastAsia="仿宋"/>
          <w:color w:val="auto"/>
          <w:sz w:val="24"/>
        </w:rPr>
        <w:t>2.3.1评标基准价计算：满足招标文件要求且报价最低的投标报价为评标基准价。</w:t>
      </w:r>
    </w:p>
    <w:p w14:paraId="13B32447">
      <w:pPr>
        <w:ind w:firstLine="480"/>
        <w:rPr>
          <w:rFonts w:ascii="仿宋" w:hAnsi="仿宋" w:eastAsia="仿宋"/>
          <w:color w:val="auto"/>
          <w:sz w:val="24"/>
        </w:rPr>
      </w:pPr>
      <w:r>
        <w:rPr>
          <w:rFonts w:hint="eastAsia" w:ascii="仿宋" w:hAnsi="仿宋" w:eastAsia="仿宋"/>
          <w:color w:val="auto"/>
          <w:sz w:val="24"/>
        </w:rPr>
        <w:t>2.3.2评分标准：见《</w:t>
      </w:r>
      <w:r>
        <w:rPr>
          <w:rFonts w:hint="eastAsia" w:ascii="仿宋" w:hAnsi="仿宋" w:eastAsia="仿宋" w:cs="宋体"/>
          <w:snapToGrid w:val="0"/>
          <w:color w:val="auto"/>
          <w:kern w:val="0"/>
          <w:sz w:val="24"/>
        </w:rPr>
        <w:t>评分细则</w:t>
      </w:r>
      <w:r>
        <w:rPr>
          <w:rFonts w:hint="eastAsia" w:ascii="仿宋" w:hAnsi="仿宋" w:eastAsia="仿宋"/>
          <w:color w:val="auto"/>
          <w:sz w:val="24"/>
        </w:rPr>
        <w:t>表》。</w:t>
      </w:r>
    </w:p>
    <w:p w14:paraId="5A837DED">
      <w:pPr>
        <w:ind w:firstLine="480"/>
        <w:rPr>
          <w:rFonts w:ascii="仿宋" w:hAnsi="仿宋" w:eastAsia="仿宋"/>
          <w:color w:val="auto"/>
          <w:sz w:val="24"/>
        </w:rPr>
      </w:pPr>
      <w:r>
        <w:rPr>
          <w:rFonts w:hint="eastAsia" w:ascii="仿宋" w:hAnsi="仿宋" w:eastAsia="仿宋"/>
          <w:color w:val="auto"/>
          <w:sz w:val="24"/>
        </w:rPr>
        <w:t>3.评标程序</w:t>
      </w:r>
    </w:p>
    <w:p w14:paraId="0182C78A">
      <w:pPr>
        <w:ind w:firstLine="480"/>
        <w:rPr>
          <w:rFonts w:ascii="仿宋" w:hAnsi="仿宋" w:eastAsia="仿宋"/>
          <w:color w:val="auto"/>
          <w:sz w:val="24"/>
        </w:rPr>
      </w:pPr>
      <w:r>
        <w:rPr>
          <w:rFonts w:hint="eastAsia" w:ascii="仿宋" w:hAnsi="仿宋" w:eastAsia="仿宋"/>
          <w:color w:val="auto"/>
          <w:sz w:val="24"/>
        </w:rPr>
        <w:t>3.1资格性审查</w:t>
      </w:r>
    </w:p>
    <w:p w14:paraId="112DB5D4">
      <w:pPr>
        <w:ind w:firstLine="480"/>
        <w:rPr>
          <w:rFonts w:ascii="仿宋" w:hAnsi="仿宋" w:eastAsia="仿宋"/>
          <w:color w:val="auto"/>
          <w:sz w:val="24"/>
        </w:rPr>
      </w:pPr>
      <w:r>
        <w:rPr>
          <w:rFonts w:hint="eastAsia" w:ascii="仿宋" w:hAnsi="仿宋" w:eastAsia="仿宋"/>
          <w:color w:val="auto"/>
          <w:sz w:val="24"/>
        </w:rPr>
        <w:t>采购人或者采购代理机构应当依法对投标人的资格进行审查，资格性审查的内容详见《投标人须知前附表》14.1款，资格性审查不通过的投标人，不得进入符合性审查。</w:t>
      </w:r>
    </w:p>
    <w:p w14:paraId="21A53E71">
      <w:pPr>
        <w:ind w:firstLine="480"/>
        <w:rPr>
          <w:rFonts w:ascii="仿宋" w:hAnsi="仿宋" w:eastAsia="仿宋"/>
          <w:color w:val="auto"/>
          <w:sz w:val="24"/>
        </w:rPr>
      </w:pPr>
      <w:r>
        <w:rPr>
          <w:rFonts w:hint="eastAsia" w:ascii="仿宋" w:hAnsi="仿宋" w:eastAsia="仿宋"/>
          <w:color w:val="auto"/>
          <w:sz w:val="24"/>
        </w:rPr>
        <w:t>3.2符合性审查</w:t>
      </w:r>
    </w:p>
    <w:p w14:paraId="5B592B69">
      <w:pPr>
        <w:ind w:firstLine="480"/>
        <w:rPr>
          <w:rFonts w:ascii="仿宋" w:hAnsi="仿宋" w:eastAsia="仿宋"/>
          <w:color w:val="auto"/>
          <w:sz w:val="24"/>
        </w:rPr>
      </w:pPr>
      <w:r>
        <w:rPr>
          <w:rFonts w:hint="eastAsia" w:ascii="仿宋" w:hAnsi="仿宋" w:eastAsia="仿宋"/>
          <w:color w:val="auto"/>
          <w:sz w:val="24"/>
        </w:rPr>
        <w:t>3.2.1评标委员会依据本章第2.2款规定的标准对投标文件进行符合性评审。有一项不符合评审标准的，其投标按照无效投标处理。</w:t>
      </w:r>
    </w:p>
    <w:p w14:paraId="06E33FBD">
      <w:pPr>
        <w:ind w:firstLine="480"/>
        <w:rPr>
          <w:rFonts w:ascii="仿宋" w:hAnsi="仿宋" w:eastAsia="仿宋"/>
          <w:color w:val="auto"/>
          <w:sz w:val="24"/>
        </w:rPr>
      </w:pPr>
      <w:r>
        <w:rPr>
          <w:rFonts w:hint="eastAsia" w:ascii="仿宋" w:hAnsi="仿宋" w:eastAsia="仿宋"/>
          <w:color w:val="auto"/>
          <w:sz w:val="24"/>
        </w:rPr>
        <w:t>3.2.2投标人有以下情形之一的，视为投标人串通投标，其投标无效：</w:t>
      </w:r>
    </w:p>
    <w:p w14:paraId="5710F6B2">
      <w:pPr>
        <w:ind w:firstLine="480"/>
        <w:rPr>
          <w:rFonts w:ascii="仿宋" w:hAnsi="仿宋" w:eastAsia="仿宋"/>
          <w:color w:val="auto"/>
          <w:sz w:val="24"/>
        </w:rPr>
      </w:pPr>
      <w:r>
        <w:rPr>
          <w:rFonts w:hint="eastAsia" w:ascii="仿宋" w:hAnsi="仿宋" w:eastAsia="仿宋"/>
          <w:color w:val="auto"/>
          <w:sz w:val="24"/>
        </w:rPr>
        <w:t>（1）不同投标人的投标文件由同一单位或者个人编制；</w:t>
      </w:r>
    </w:p>
    <w:p w14:paraId="40D4FDFB">
      <w:pPr>
        <w:ind w:firstLine="480"/>
        <w:rPr>
          <w:rFonts w:ascii="仿宋" w:hAnsi="仿宋" w:eastAsia="仿宋"/>
          <w:color w:val="auto"/>
          <w:sz w:val="24"/>
        </w:rPr>
      </w:pPr>
      <w:r>
        <w:rPr>
          <w:rFonts w:hint="eastAsia" w:ascii="仿宋" w:hAnsi="仿宋" w:eastAsia="仿宋"/>
          <w:color w:val="auto"/>
          <w:sz w:val="24"/>
        </w:rPr>
        <w:t>（2）不同投标人委托同一单位或者个人办理投标事宜；</w:t>
      </w:r>
    </w:p>
    <w:p w14:paraId="46204E90">
      <w:pPr>
        <w:ind w:firstLine="480"/>
        <w:rPr>
          <w:rFonts w:ascii="仿宋" w:hAnsi="仿宋" w:eastAsia="仿宋"/>
          <w:color w:val="auto"/>
          <w:sz w:val="24"/>
        </w:rPr>
      </w:pPr>
      <w:r>
        <w:rPr>
          <w:rFonts w:hint="eastAsia" w:ascii="仿宋" w:hAnsi="仿宋" w:eastAsia="仿宋"/>
          <w:color w:val="auto"/>
          <w:sz w:val="24"/>
        </w:rPr>
        <w:t>（3）不同投标人的投标文件载明的项目管理成员或者联系人员为同一人；</w:t>
      </w:r>
    </w:p>
    <w:p w14:paraId="6072D5FC">
      <w:pPr>
        <w:ind w:firstLine="480"/>
        <w:rPr>
          <w:rFonts w:ascii="仿宋" w:hAnsi="仿宋" w:eastAsia="仿宋"/>
          <w:color w:val="auto"/>
          <w:sz w:val="24"/>
        </w:rPr>
      </w:pPr>
      <w:r>
        <w:rPr>
          <w:rFonts w:hint="eastAsia" w:ascii="仿宋" w:hAnsi="仿宋" w:eastAsia="仿宋"/>
          <w:color w:val="auto"/>
          <w:sz w:val="24"/>
        </w:rPr>
        <w:t>（4）不同投标人的投标文件异常一致或者投标报价呈规律性差异；</w:t>
      </w:r>
    </w:p>
    <w:p w14:paraId="3087FF10">
      <w:pPr>
        <w:ind w:firstLine="480"/>
        <w:rPr>
          <w:rFonts w:ascii="仿宋" w:hAnsi="仿宋" w:eastAsia="仿宋"/>
          <w:color w:val="auto"/>
          <w:sz w:val="24"/>
        </w:rPr>
      </w:pPr>
      <w:r>
        <w:rPr>
          <w:rFonts w:hint="eastAsia" w:ascii="仿宋" w:hAnsi="仿宋" w:eastAsia="仿宋"/>
          <w:color w:val="auto"/>
          <w:sz w:val="24"/>
        </w:rPr>
        <w:t>（5）不同投标人的投标文件相互混装；</w:t>
      </w:r>
    </w:p>
    <w:p w14:paraId="6C50CC78">
      <w:pPr>
        <w:ind w:firstLine="480"/>
        <w:rPr>
          <w:rFonts w:ascii="仿宋" w:hAnsi="仿宋" w:eastAsia="仿宋"/>
          <w:color w:val="auto"/>
          <w:sz w:val="24"/>
        </w:rPr>
      </w:pPr>
      <w:r>
        <w:rPr>
          <w:rFonts w:hint="eastAsia" w:ascii="仿宋" w:hAnsi="仿宋" w:eastAsia="仿宋"/>
          <w:color w:val="auto"/>
          <w:sz w:val="24"/>
        </w:rPr>
        <w:t>（6）不同投标人的投标保证金从同一单位或者个人的账户转出。</w:t>
      </w:r>
    </w:p>
    <w:p w14:paraId="72C1189E">
      <w:pPr>
        <w:ind w:firstLine="480"/>
        <w:rPr>
          <w:rFonts w:ascii="仿宋" w:hAnsi="仿宋" w:eastAsia="仿宋"/>
          <w:color w:val="auto"/>
          <w:sz w:val="24"/>
        </w:rPr>
      </w:pPr>
      <w:r>
        <w:rPr>
          <w:rFonts w:hint="eastAsia" w:ascii="仿宋" w:hAnsi="仿宋" w:eastAsia="仿宋"/>
          <w:color w:val="auto"/>
          <w:sz w:val="24"/>
        </w:rPr>
        <w:t>3.2.3在招标采购中，出现下列情形之一的，应予废标：</w:t>
      </w:r>
    </w:p>
    <w:p w14:paraId="74DA5D81">
      <w:pPr>
        <w:ind w:firstLine="480"/>
        <w:rPr>
          <w:rFonts w:ascii="仿宋" w:hAnsi="仿宋" w:eastAsia="仿宋"/>
          <w:color w:val="auto"/>
          <w:sz w:val="24"/>
        </w:rPr>
      </w:pPr>
      <w:r>
        <w:rPr>
          <w:rFonts w:hint="eastAsia" w:ascii="仿宋" w:hAnsi="仿宋" w:eastAsia="仿宋"/>
          <w:color w:val="auto"/>
          <w:sz w:val="24"/>
        </w:rPr>
        <w:t>（1）符合专业条件的投标人或者对招标文件作实质响应的投标人不足三家的；</w:t>
      </w:r>
    </w:p>
    <w:p w14:paraId="784224A8">
      <w:pPr>
        <w:ind w:firstLine="480"/>
        <w:rPr>
          <w:rFonts w:ascii="仿宋" w:hAnsi="仿宋" w:eastAsia="仿宋"/>
          <w:color w:val="auto"/>
          <w:sz w:val="24"/>
        </w:rPr>
      </w:pPr>
      <w:r>
        <w:rPr>
          <w:rFonts w:hint="eastAsia" w:ascii="仿宋" w:hAnsi="仿宋" w:eastAsia="仿宋"/>
          <w:color w:val="auto"/>
          <w:sz w:val="24"/>
        </w:rPr>
        <w:t>（2）出现影响采购公正的违法、违规行为的；</w:t>
      </w:r>
    </w:p>
    <w:p w14:paraId="1C85388B">
      <w:pPr>
        <w:ind w:firstLine="480"/>
        <w:rPr>
          <w:rFonts w:ascii="仿宋" w:hAnsi="仿宋" w:eastAsia="仿宋"/>
          <w:color w:val="auto"/>
          <w:sz w:val="24"/>
        </w:rPr>
      </w:pPr>
      <w:r>
        <w:rPr>
          <w:rFonts w:hint="eastAsia" w:ascii="仿宋" w:hAnsi="仿宋" w:eastAsia="仿宋"/>
          <w:color w:val="auto"/>
          <w:sz w:val="24"/>
        </w:rPr>
        <w:t>（3）投标人的报价均超过了采购预算，采购人不能支付的；</w:t>
      </w:r>
    </w:p>
    <w:p w14:paraId="3DD6FB8C">
      <w:pPr>
        <w:ind w:firstLine="480"/>
        <w:rPr>
          <w:rFonts w:ascii="仿宋" w:hAnsi="仿宋" w:eastAsia="仿宋"/>
          <w:color w:val="auto"/>
          <w:sz w:val="24"/>
        </w:rPr>
      </w:pPr>
      <w:r>
        <w:rPr>
          <w:rFonts w:hint="eastAsia" w:ascii="仿宋" w:hAnsi="仿宋" w:eastAsia="仿宋"/>
          <w:color w:val="auto"/>
          <w:sz w:val="24"/>
        </w:rPr>
        <w:t>（4）因重大变故，采购任务取消的。</w:t>
      </w:r>
    </w:p>
    <w:p w14:paraId="7B7CF589">
      <w:pPr>
        <w:ind w:firstLine="480"/>
        <w:rPr>
          <w:rFonts w:ascii="仿宋" w:hAnsi="仿宋" w:eastAsia="仿宋"/>
          <w:color w:val="auto"/>
          <w:sz w:val="24"/>
        </w:rPr>
      </w:pPr>
      <w:r>
        <w:rPr>
          <w:rFonts w:hint="eastAsia" w:ascii="仿宋" w:hAnsi="仿宋" w:eastAsia="仿宋"/>
          <w:color w:val="auto"/>
          <w:sz w:val="24"/>
        </w:rPr>
        <w:t>废标后，采购人应当将废标理由通知所有投标人。</w:t>
      </w:r>
    </w:p>
    <w:p w14:paraId="03E47425">
      <w:pPr>
        <w:ind w:firstLine="480"/>
        <w:rPr>
          <w:rFonts w:ascii="仿宋" w:hAnsi="仿宋" w:eastAsia="仿宋"/>
          <w:color w:val="auto"/>
          <w:sz w:val="24"/>
        </w:rPr>
      </w:pPr>
      <w:r>
        <w:rPr>
          <w:rFonts w:hint="eastAsia" w:ascii="仿宋" w:hAnsi="仿宋" w:eastAsia="仿宋"/>
          <w:color w:val="auto"/>
          <w:sz w:val="24"/>
        </w:rPr>
        <w:t>3.2.4投标文件报价出现前后不一致的，评标委员会按下面的原则对投标报价进行修正。</w:t>
      </w:r>
    </w:p>
    <w:p w14:paraId="6E486E27">
      <w:pPr>
        <w:ind w:firstLine="480"/>
        <w:rPr>
          <w:rFonts w:ascii="仿宋" w:hAnsi="仿宋" w:eastAsia="仿宋"/>
          <w:color w:val="auto"/>
          <w:sz w:val="24"/>
        </w:rPr>
      </w:pPr>
      <w:r>
        <w:rPr>
          <w:rFonts w:hint="eastAsia" w:ascii="仿宋" w:hAnsi="仿宋" w:eastAsia="仿宋"/>
          <w:color w:val="auto"/>
          <w:sz w:val="24"/>
        </w:rPr>
        <w:t>（1）投标文件中开标一览表（报价表）内容与投标文件中相应内容不一致的，以开标一览表（报价表）为准；</w:t>
      </w:r>
    </w:p>
    <w:p w14:paraId="6BB6CFA4">
      <w:pPr>
        <w:ind w:firstLine="480"/>
        <w:rPr>
          <w:rFonts w:ascii="仿宋" w:hAnsi="仿宋" w:eastAsia="仿宋"/>
          <w:color w:val="auto"/>
          <w:sz w:val="24"/>
        </w:rPr>
      </w:pPr>
      <w:r>
        <w:rPr>
          <w:rFonts w:hint="eastAsia" w:ascii="仿宋" w:hAnsi="仿宋" w:eastAsia="仿宋"/>
          <w:color w:val="auto"/>
          <w:sz w:val="24"/>
        </w:rPr>
        <w:t>（2）大写金额和小写金额不一致的，以大写金额为准；</w:t>
      </w:r>
    </w:p>
    <w:p w14:paraId="5F48C1FC">
      <w:pPr>
        <w:ind w:firstLine="480"/>
        <w:rPr>
          <w:rFonts w:ascii="仿宋" w:hAnsi="仿宋" w:eastAsia="仿宋"/>
          <w:color w:val="auto"/>
          <w:sz w:val="24"/>
        </w:rPr>
      </w:pPr>
      <w:r>
        <w:rPr>
          <w:rFonts w:hint="eastAsia" w:ascii="仿宋" w:hAnsi="仿宋" w:eastAsia="仿宋"/>
          <w:color w:val="auto"/>
          <w:sz w:val="24"/>
        </w:rPr>
        <w:t>（3）单价金额小数点或者百分比有明显错位的，以开标一览表的总价为准，并修改单价；</w:t>
      </w:r>
    </w:p>
    <w:p w14:paraId="0546C0AF">
      <w:pPr>
        <w:ind w:firstLine="480"/>
        <w:rPr>
          <w:rFonts w:ascii="仿宋" w:hAnsi="仿宋" w:eastAsia="仿宋"/>
          <w:color w:val="auto"/>
          <w:sz w:val="24"/>
        </w:rPr>
      </w:pPr>
      <w:r>
        <w:rPr>
          <w:rFonts w:hint="eastAsia" w:ascii="仿宋" w:hAnsi="仿宋" w:eastAsia="仿宋"/>
          <w:color w:val="auto"/>
          <w:sz w:val="24"/>
        </w:rPr>
        <w:t>（4）总价金额与按单价汇总金额不一致的，以单价金额计算结果为准。</w:t>
      </w:r>
    </w:p>
    <w:p w14:paraId="065AAEC7">
      <w:pPr>
        <w:ind w:firstLine="480"/>
        <w:rPr>
          <w:rFonts w:ascii="仿宋" w:hAnsi="仿宋" w:eastAsia="仿宋"/>
          <w:color w:val="auto"/>
          <w:sz w:val="24"/>
        </w:rPr>
      </w:pPr>
      <w:r>
        <w:rPr>
          <w:rFonts w:hint="eastAsia" w:ascii="仿宋" w:hAnsi="仿宋" w:eastAsia="仿宋"/>
          <w:color w:val="auto"/>
          <w:sz w:val="24"/>
        </w:rPr>
        <w:t>同时出现两种以上不一致的，按照前款规定的顺序修正。修正后的报价经投标人确认后产生约束力，投标人不确认的，其投标无效。</w:t>
      </w:r>
    </w:p>
    <w:p w14:paraId="5FEFBA6B">
      <w:pPr>
        <w:ind w:firstLine="480"/>
        <w:rPr>
          <w:rFonts w:ascii="仿宋" w:hAnsi="仿宋" w:eastAsia="仿宋"/>
          <w:color w:val="auto"/>
          <w:sz w:val="24"/>
        </w:rPr>
      </w:pPr>
      <w:r>
        <w:rPr>
          <w:rFonts w:hint="eastAsia" w:ascii="仿宋" w:hAnsi="仿宋" w:eastAsia="仿宋"/>
          <w:color w:val="auto"/>
          <w:sz w:val="24"/>
        </w:rPr>
        <w:t>3.3详细评审</w:t>
      </w:r>
    </w:p>
    <w:p w14:paraId="0ACF8892">
      <w:pPr>
        <w:ind w:firstLine="480"/>
        <w:rPr>
          <w:rFonts w:ascii="仿宋" w:hAnsi="仿宋" w:eastAsia="仿宋"/>
          <w:color w:val="auto"/>
          <w:sz w:val="24"/>
        </w:rPr>
      </w:pPr>
      <w:r>
        <w:rPr>
          <w:rFonts w:hint="eastAsia" w:ascii="仿宋" w:hAnsi="仿宋" w:eastAsia="仿宋"/>
          <w:color w:val="auto"/>
          <w:sz w:val="24"/>
        </w:rPr>
        <w:t>3.3.1评标委员会按《评分细则表》规定的评分标准进行评分。</w:t>
      </w:r>
    </w:p>
    <w:p w14:paraId="56B6F984">
      <w:pPr>
        <w:ind w:firstLine="480"/>
        <w:rPr>
          <w:rFonts w:ascii="仿宋" w:hAnsi="仿宋" w:eastAsia="仿宋"/>
          <w:color w:val="auto"/>
          <w:sz w:val="24"/>
        </w:rPr>
      </w:pPr>
      <w:r>
        <w:rPr>
          <w:rFonts w:hint="eastAsia" w:ascii="仿宋" w:hAnsi="仿宋" w:eastAsia="仿宋"/>
          <w:color w:val="auto"/>
          <w:sz w:val="24"/>
        </w:rPr>
        <w:t>3.3.2评分分值计算保留小数点后两位（四舍五入）。</w:t>
      </w:r>
    </w:p>
    <w:p w14:paraId="448F2ACC">
      <w:pPr>
        <w:ind w:firstLine="480"/>
        <w:rPr>
          <w:rFonts w:ascii="仿宋" w:hAnsi="仿宋" w:eastAsia="仿宋"/>
          <w:color w:val="auto"/>
          <w:sz w:val="24"/>
        </w:rPr>
      </w:pPr>
      <w:r>
        <w:rPr>
          <w:rFonts w:hint="eastAsia" w:ascii="仿宋" w:hAnsi="仿宋" w:eastAsia="仿宋"/>
          <w:color w:val="auto"/>
          <w:sz w:val="24"/>
        </w:rPr>
        <w:t>3.3.3投标人得分=技术得分+商务得分+价格得分。</w:t>
      </w:r>
    </w:p>
    <w:p w14:paraId="4369B8E3">
      <w:pPr>
        <w:ind w:firstLine="480"/>
        <w:rPr>
          <w:rFonts w:ascii="仿宋" w:hAnsi="仿宋" w:eastAsia="仿宋"/>
          <w:color w:val="auto"/>
          <w:sz w:val="24"/>
        </w:rPr>
      </w:pPr>
      <w:r>
        <w:rPr>
          <w:rFonts w:hint="eastAsia" w:ascii="仿宋" w:hAnsi="仿宋" w:eastAsia="仿宋"/>
          <w:color w:val="auto"/>
          <w:sz w:val="24"/>
        </w:rPr>
        <w:t>3.4投标文件的澄清和补正</w:t>
      </w:r>
    </w:p>
    <w:p w14:paraId="49E6C211">
      <w:pPr>
        <w:ind w:firstLine="480"/>
        <w:rPr>
          <w:rFonts w:ascii="仿宋" w:hAnsi="仿宋" w:eastAsia="仿宋"/>
          <w:color w:val="auto"/>
          <w:sz w:val="24"/>
        </w:rPr>
      </w:pPr>
      <w:r>
        <w:rPr>
          <w:rFonts w:hint="eastAsia" w:ascii="仿宋" w:hAnsi="仿宋" w:eastAsia="仿宋"/>
          <w:color w:val="auto"/>
          <w:sz w:val="24"/>
        </w:rPr>
        <w:t>3.4.1对于投标文件中含义不明确、同类问题表述不一致或者有明显文字和计算错误的内容，评标委员会应当以书面形式要求投标人作出必要的澄清、说明或者补正。</w:t>
      </w:r>
    </w:p>
    <w:p w14:paraId="34AFEBB4">
      <w:pPr>
        <w:ind w:firstLine="480"/>
        <w:rPr>
          <w:rFonts w:ascii="仿宋" w:hAnsi="仿宋" w:eastAsia="仿宋"/>
          <w:color w:val="auto"/>
          <w:sz w:val="24"/>
        </w:rPr>
      </w:pPr>
      <w:r>
        <w:rPr>
          <w:rFonts w:hint="eastAsia" w:ascii="仿宋" w:hAnsi="仿宋" w:eastAsia="仿宋"/>
          <w:color w:val="auto"/>
          <w:sz w:val="24"/>
        </w:rPr>
        <w:t>3.4.2在评标期间，评标委员会可要求投标人对其投标文件进行澄清，但不得寻求、提供或允许投标人对投标报价等实质性内容做任何更改。投标人的澄清文件是其投标文件的组成部分。</w:t>
      </w:r>
    </w:p>
    <w:p w14:paraId="5BF236F3">
      <w:pPr>
        <w:ind w:firstLine="480"/>
        <w:rPr>
          <w:rFonts w:ascii="仿宋" w:hAnsi="仿宋" w:eastAsia="仿宋"/>
          <w:color w:val="auto"/>
          <w:sz w:val="24"/>
        </w:rPr>
      </w:pPr>
      <w:r>
        <w:rPr>
          <w:rFonts w:hint="eastAsia" w:ascii="仿宋" w:hAnsi="仿宋" w:eastAsia="仿宋"/>
          <w:color w:val="auto"/>
          <w:sz w:val="24"/>
        </w:rPr>
        <w:t>3.4.3投标人必须按照评标委员会要求的澄清内容和时间做出澄清。投标人的澄清、说明或者补正应当采用书面形式，并加盖公章，或者由法定代表人或其授权的代表签字。除按本章第3.2.4款规定修正投标报价外，投标人的澄清、说明或者补正不得超出投标文件的范围或者改变投标文件的实质性内容。不按评标委员会要求澄清、说明、补正和修正的将予以废标。</w:t>
      </w:r>
    </w:p>
    <w:p w14:paraId="7632EAF4">
      <w:pPr>
        <w:ind w:firstLine="480"/>
        <w:rPr>
          <w:rFonts w:ascii="仿宋" w:hAnsi="仿宋" w:eastAsia="仿宋"/>
          <w:color w:val="auto"/>
          <w:sz w:val="24"/>
        </w:rPr>
      </w:pPr>
      <w:r>
        <w:rPr>
          <w:rFonts w:hint="eastAsia" w:ascii="仿宋" w:hAnsi="仿宋" w:eastAsia="仿宋"/>
          <w:color w:val="auto"/>
          <w:sz w:val="24"/>
        </w:rPr>
        <w:t>3.4.4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将其作为无效投标处理。</w:t>
      </w:r>
    </w:p>
    <w:p w14:paraId="1A6C9B50">
      <w:pPr>
        <w:ind w:firstLine="480"/>
        <w:rPr>
          <w:rFonts w:ascii="仿宋" w:hAnsi="仿宋" w:eastAsia="仿宋"/>
          <w:color w:val="auto"/>
          <w:sz w:val="24"/>
        </w:rPr>
      </w:pPr>
      <w:r>
        <w:rPr>
          <w:rFonts w:hint="eastAsia" w:ascii="仿宋" w:hAnsi="仿宋" w:eastAsia="仿宋"/>
          <w:color w:val="auto"/>
          <w:sz w:val="24"/>
        </w:rPr>
        <w:t>3.5评标结果</w:t>
      </w:r>
    </w:p>
    <w:p w14:paraId="538F0B87">
      <w:pPr>
        <w:ind w:firstLine="480"/>
        <w:rPr>
          <w:rFonts w:ascii="仿宋" w:hAnsi="仿宋" w:eastAsia="仿宋"/>
          <w:color w:val="auto"/>
          <w:sz w:val="24"/>
        </w:rPr>
      </w:pPr>
      <w:r>
        <w:rPr>
          <w:rFonts w:hint="eastAsia" w:ascii="仿宋" w:hAnsi="仿宋" w:eastAsia="仿宋"/>
          <w:color w:val="auto"/>
          <w:sz w:val="24"/>
        </w:rPr>
        <w:t>3.5.1各评委严格按照本章要求对满足招标文件全部实质性要求的有效投标文件进行独立评分。全体评委评分完成后再进行汇总。评标委员会组长负责审核，采购人、采购代理机构负责核对评标结果。</w:t>
      </w:r>
      <w:r>
        <w:rPr>
          <w:rFonts w:hint="eastAsia" w:ascii="仿宋" w:hAnsi="仿宋" w:eastAsia="仿宋" w:cs="宋体"/>
          <w:color w:val="auto"/>
          <w:kern w:val="0"/>
          <w:sz w:val="24"/>
        </w:rPr>
        <w:t>各投标人的最终得分计算办法</w:t>
      </w:r>
      <w:r>
        <w:rPr>
          <w:rFonts w:hint="eastAsia" w:ascii="仿宋" w:hAnsi="仿宋" w:eastAsia="仿宋"/>
          <w:color w:val="auto"/>
          <w:sz w:val="24"/>
        </w:rPr>
        <w:t>详见《评分细则表》。</w:t>
      </w:r>
    </w:p>
    <w:p w14:paraId="31BA0E1D">
      <w:pPr>
        <w:ind w:firstLine="480"/>
        <w:rPr>
          <w:rFonts w:ascii="仿宋" w:hAnsi="仿宋" w:eastAsia="仿宋"/>
          <w:color w:val="auto"/>
          <w:sz w:val="24"/>
        </w:rPr>
      </w:pPr>
      <w:r>
        <w:rPr>
          <w:rFonts w:hint="eastAsia" w:ascii="仿宋" w:hAnsi="仿宋" w:eastAsia="仿宋"/>
          <w:color w:val="auto"/>
          <w:sz w:val="24"/>
        </w:rPr>
        <w:t>3.5.2提供相同品牌产品且通过资格审查、符合性审查的不同投标人参加同一合同项下投标的，按一家投标人计算，评审后得分最高的同品牌投标人获得中标人推荐资格。其他同品牌投标人不作为中标候选人。同品牌投标人获得中标人推荐资格的确定方法详见评标办法前附表。</w:t>
      </w:r>
    </w:p>
    <w:p w14:paraId="49BC40BB">
      <w:pPr>
        <w:ind w:firstLine="480"/>
        <w:rPr>
          <w:rFonts w:ascii="仿宋" w:hAnsi="仿宋" w:eastAsia="仿宋"/>
          <w:color w:val="auto"/>
          <w:sz w:val="24"/>
        </w:rPr>
      </w:pPr>
      <w:r>
        <w:rPr>
          <w:rFonts w:hint="eastAsia" w:ascii="仿宋" w:hAnsi="仿宋" w:eastAsia="仿宋"/>
          <w:color w:val="auto"/>
          <w:sz w:val="24"/>
        </w:rPr>
        <w:t>3.5.3评标委员会按评审后最终得分由高到低的顺序确定中标候选人，投标人最后得分相同时对投标人进行排序的方法详见《评分细则表》。</w:t>
      </w:r>
    </w:p>
    <w:p w14:paraId="560C29BD">
      <w:pPr>
        <w:ind w:firstLine="480"/>
        <w:rPr>
          <w:rFonts w:ascii="仿宋" w:hAnsi="仿宋" w:eastAsia="仿宋"/>
          <w:color w:val="auto"/>
          <w:sz w:val="24"/>
        </w:rPr>
      </w:pPr>
      <w:r>
        <w:rPr>
          <w:rFonts w:hint="eastAsia" w:ascii="仿宋" w:hAnsi="仿宋" w:eastAsia="仿宋"/>
          <w:color w:val="auto"/>
          <w:sz w:val="24"/>
        </w:rPr>
        <w:t>3.5.4完成评标后，全体评委在评标结果推荐意见上共同签字。</w:t>
      </w:r>
    </w:p>
    <w:p w14:paraId="2BAA0F67">
      <w:pPr>
        <w:spacing w:before="156" w:beforeLines="50" w:after="156" w:afterLines="50" w:line="240" w:lineRule="auto"/>
        <w:ind w:firstLine="0" w:firstLineChars="0"/>
        <w:jc w:val="center"/>
        <w:outlineLvl w:val="0"/>
        <w:rPr>
          <w:rFonts w:ascii="仿宋" w:hAnsi="仿宋" w:eastAsia="仿宋" w:cs="宋体"/>
          <w:bCs/>
          <w:color w:val="auto"/>
          <w:kern w:val="0"/>
          <w:szCs w:val="21"/>
        </w:rPr>
      </w:pPr>
      <w:r>
        <w:rPr>
          <w:rFonts w:hint="eastAsia" w:ascii="仿宋" w:hAnsi="仿宋" w:eastAsia="仿宋" w:cs="宋体"/>
          <w:snapToGrid w:val="0"/>
          <w:color w:val="auto"/>
          <w:kern w:val="0"/>
          <w:szCs w:val="21"/>
          <w:lang w:val="zh-CN"/>
        </w:rPr>
        <w:br w:type="page"/>
      </w:r>
      <w:bookmarkStart w:id="63" w:name="_Toc211783328"/>
      <w:bookmarkStart w:id="64" w:name="_Toc181712896"/>
      <w:bookmarkStart w:id="65" w:name="_Toc494528982"/>
      <w:r>
        <w:rPr>
          <w:rFonts w:hint="eastAsia" w:ascii="仿宋" w:hAnsi="仿宋" w:eastAsia="仿宋"/>
          <w:bCs/>
          <w:color w:val="auto"/>
          <w:sz w:val="36"/>
          <w:szCs w:val="36"/>
        </w:rPr>
        <w:t>第五章 合同书</w:t>
      </w:r>
      <w:bookmarkEnd w:id="63"/>
      <w:r>
        <w:rPr>
          <w:rFonts w:hint="eastAsia" w:ascii="仿宋" w:hAnsi="仿宋" w:eastAsia="仿宋"/>
          <w:bCs/>
          <w:color w:val="auto"/>
          <w:sz w:val="36"/>
          <w:szCs w:val="36"/>
        </w:rPr>
        <w:t>格式</w:t>
      </w:r>
      <w:bookmarkEnd w:id="64"/>
      <w:bookmarkEnd w:id="65"/>
    </w:p>
    <w:p w14:paraId="64C25613">
      <w:pPr>
        <w:spacing w:before="156" w:beforeLines="50" w:after="156" w:afterLines="50" w:line="240" w:lineRule="auto"/>
        <w:ind w:firstLine="0" w:firstLineChars="0"/>
        <w:jc w:val="center"/>
        <w:outlineLvl w:val="0"/>
        <w:rPr>
          <w:rFonts w:ascii="仿宋" w:hAnsi="仿宋" w:eastAsia="仿宋" w:cs="仿宋_GB2312"/>
          <w:bCs/>
          <w:color w:val="auto"/>
          <w:sz w:val="28"/>
          <w:szCs w:val="20"/>
        </w:rPr>
      </w:pPr>
      <w:bookmarkStart w:id="66" w:name="_Toc172122902"/>
      <w:bookmarkStart w:id="67" w:name="_Toc181712897"/>
      <w:bookmarkStart w:id="68" w:name="_Toc119623143"/>
      <w:bookmarkStart w:id="69" w:name="_Toc494528983"/>
      <w:bookmarkStart w:id="70" w:name="_Toc4551"/>
      <w:r>
        <w:rPr>
          <w:rFonts w:hint="eastAsia" w:ascii="仿宋" w:hAnsi="仿宋" w:eastAsia="仿宋" w:cs="仿宋_GB2312"/>
          <w:bCs/>
          <w:color w:val="auto"/>
          <w:sz w:val="28"/>
          <w:szCs w:val="20"/>
        </w:rPr>
        <w:t>一、通用合同条款</w:t>
      </w:r>
      <w:bookmarkEnd w:id="66"/>
      <w:bookmarkEnd w:id="67"/>
      <w:bookmarkEnd w:id="68"/>
    </w:p>
    <w:p w14:paraId="0E6CFDB5">
      <w:pPr>
        <w:pStyle w:val="4"/>
        <w:keepNext w:val="0"/>
        <w:keepLines w:val="0"/>
        <w:spacing w:before="0" w:after="0" w:line="360" w:lineRule="auto"/>
        <w:ind w:firstLine="480"/>
        <w:rPr>
          <w:rFonts w:ascii="仿宋" w:hAnsi="仿宋" w:eastAsia="仿宋" w:cs="仿宋_GB2312"/>
          <w:b w:val="0"/>
          <w:color w:val="auto"/>
          <w:sz w:val="24"/>
          <w:szCs w:val="24"/>
        </w:rPr>
      </w:pPr>
      <w:bookmarkStart w:id="71" w:name="_Toc172122903"/>
      <w:bookmarkStart w:id="72" w:name="_Toc119623144"/>
      <w:bookmarkStart w:id="73" w:name="_Toc133603550"/>
      <w:bookmarkStart w:id="74" w:name="_Toc181712898"/>
      <w:bookmarkStart w:id="75" w:name="_Toc133426316"/>
      <w:r>
        <w:rPr>
          <w:rFonts w:hint="eastAsia" w:ascii="仿宋" w:hAnsi="仿宋" w:eastAsia="仿宋" w:cs="仿宋_GB2312"/>
          <w:b w:val="0"/>
          <w:color w:val="auto"/>
          <w:sz w:val="24"/>
          <w:szCs w:val="24"/>
        </w:rPr>
        <w:t>1.定义</w:t>
      </w:r>
      <w:bookmarkEnd w:id="71"/>
      <w:bookmarkEnd w:id="72"/>
      <w:bookmarkEnd w:id="73"/>
      <w:bookmarkEnd w:id="74"/>
      <w:bookmarkEnd w:id="75"/>
    </w:p>
    <w:p w14:paraId="064DC453">
      <w:pPr>
        <w:ind w:firstLine="480"/>
        <w:rPr>
          <w:rFonts w:ascii="仿宋" w:hAnsi="仿宋" w:eastAsia="仿宋" w:cs="仿宋_GB2312"/>
          <w:color w:val="auto"/>
          <w:sz w:val="24"/>
        </w:rPr>
      </w:pPr>
      <w:r>
        <w:rPr>
          <w:rFonts w:hint="eastAsia" w:ascii="仿宋" w:hAnsi="仿宋" w:eastAsia="仿宋" w:cs="仿宋_GB2312"/>
          <w:color w:val="auto"/>
          <w:sz w:val="24"/>
        </w:rPr>
        <w:t>1.1本合同下列术语应解释为：</w:t>
      </w:r>
    </w:p>
    <w:p w14:paraId="70716723">
      <w:pPr>
        <w:ind w:firstLine="480"/>
        <w:rPr>
          <w:rFonts w:ascii="仿宋" w:hAnsi="仿宋" w:eastAsia="仿宋" w:cs="仿宋_GB2312"/>
          <w:color w:val="auto"/>
          <w:sz w:val="24"/>
        </w:rPr>
      </w:pPr>
      <w:r>
        <w:rPr>
          <w:rFonts w:hint="eastAsia" w:ascii="仿宋" w:hAnsi="仿宋" w:eastAsia="仿宋" w:cs="仿宋_GB2312"/>
          <w:color w:val="auto"/>
          <w:sz w:val="24"/>
        </w:rPr>
        <w:t>（1）合同：指买方和卖方签署的、合同格式中载明的买卖双方所达成的协议，包括所有的附件、附录和上述文件所提到的构成合同的所有文件。</w:t>
      </w:r>
    </w:p>
    <w:p w14:paraId="498E9264">
      <w:pPr>
        <w:ind w:firstLine="480"/>
        <w:rPr>
          <w:rFonts w:ascii="仿宋" w:hAnsi="仿宋" w:eastAsia="仿宋" w:cs="仿宋_GB2312"/>
          <w:color w:val="auto"/>
          <w:sz w:val="24"/>
        </w:rPr>
      </w:pPr>
      <w:r>
        <w:rPr>
          <w:rFonts w:hint="eastAsia" w:ascii="仿宋" w:hAnsi="仿宋" w:eastAsia="仿宋" w:cs="仿宋_GB2312"/>
          <w:color w:val="auto"/>
          <w:sz w:val="24"/>
        </w:rPr>
        <w:t>（2）合同价：指根据合同规定卖方在正确地履行完合同义务后，买方应支付给卖方的价格。</w:t>
      </w:r>
    </w:p>
    <w:p w14:paraId="7D92D6B9">
      <w:pPr>
        <w:ind w:firstLine="480"/>
        <w:rPr>
          <w:rFonts w:ascii="仿宋" w:hAnsi="仿宋" w:eastAsia="仿宋" w:cs="仿宋_GB2312"/>
          <w:color w:val="auto"/>
          <w:sz w:val="24"/>
        </w:rPr>
      </w:pPr>
      <w:r>
        <w:rPr>
          <w:rFonts w:hint="eastAsia" w:ascii="仿宋" w:hAnsi="仿宋" w:eastAsia="仿宋" w:cs="仿宋_GB2312"/>
          <w:color w:val="auto"/>
          <w:sz w:val="24"/>
        </w:rPr>
        <w:t>（3）买方：《投标人须知前附表》中明确的购买货物和服务的法人或其他组织。</w:t>
      </w:r>
    </w:p>
    <w:p w14:paraId="05447398">
      <w:pPr>
        <w:ind w:firstLine="480"/>
        <w:rPr>
          <w:rFonts w:ascii="仿宋" w:hAnsi="仿宋" w:eastAsia="仿宋" w:cs="仿宋_GB2312"/>
          <w:color w:val="auto"/>
          <w:sz w:val="24"/>
        </w:rPr>
      </w:pPr>
      <w:r>
        <w:rPr>
          <w:rFonts w:hint="eastAsia" w:ascii="仿宋" w:hAnsi="仿宋" w:eastAsia="仿宋" w:cs="仿宋_GB2312"/>
          <w:color w:val="auto"/>
          <w:sz w:val="24"/>
        </w:rPr>
        <w:t>（4）卖方：指与买方签订本合同协议书并提供本合同项下货物和服务的公司或实体。</w:t>
      </w:r>
    </w:p>
    <w:p w14:paraId="2E132F6A">
      <w:pPr>
        <w:ind w:firstLine="480"/>
        <w:rPr>
          <w:rFonts w:ascii="仿宋" w:hAnsi="仿宋" w:eastAsia="仿宋" w:cs="仿宋_GB2312"/>
          <w:color w:val="auto"/>
          <w:sz w:val="24"/>
        </w:rPr>
      </w:pPr>
      <w:r>
        <w:rPr>
          <w:rFonts w:hint="eastAsia" w:ascii="仿宋" w:hAnsi="仿宋" w:eastAsia="仿宋" w:cs="仿宋_GB2312"/>
          <w:color w:val="auto"/>
          <w:sz w:val="24"/>
        </w:rPr>
        <w:t>（5）天：指日历天数。</w:t>
      </w:r>
    </w:p>
    <w:p w14:paraId="310EBAE5">
      <w:pPr>
        <w:ind w:firstLine="480"/>
        <w:rPr>
          <w:rFonts w:ascii="仿宋" w:hAnsi="仿宋" w:eastAsia="仿宋" w:cs="仿宋_GB2312"/>
          <w:color w:val="auto"/>
          <w:sz w:val="24"/>
        </w:rPr>
      </w:pPr>
      <w:r>
        <w:rPr>
          <w:rFonts w:hint="eastAsia" w:ascii="仿宋" w:hAnsi="仿宋" w:eastAsia="仿宋" w:cs="仿宋_GB2312"/>
          <w:color w:val="auto"/>
          <w:sz w:val="24"/>
        </w:rPr>
        <w:t>（6）原产地：指货物的生产所在地，或提供辅助服务的来源地。</w:t>
      </w:r>
    </w:p>
    <w:p w14:paraId="1D249E50">
      <w:pPr>
        <w:ind w:firstLine="480"/>
        <w:rPr>
          <w:rFonts w:ascii="仿宋" w:hAnsi="仿宋" w:eastAsia="仿宋" w:cs="仿宋_GB2312"/>
          <w:color w:val="auto"/>
          <w:sz w:val="24"/>
        </w:rPr>
      </w:pPr>
      <w:r>
        <w:rPr>
          <w:rFonts w:hint="eastAsia" w:ascii="仿宋" w:hAnsi="仿宋" w:eastAsia="仿宋" w:cs="仿宋_GB2312"/>
          <w:color w:val="auto"/>
          <w:sz w:val="24"/>
        </w:rPr>
        <w:t>（7）验收：指买方依据招标文件的要求，卖方投标文件的承诺以及本合同的规定，接受卖方所供货物时应依据的程序和条件。</w:t>
      </w:r>
    </w:p>
    <w:p w14:paraId="20DA229B">
      <w:pPr>
        <w:ind w:firstLine="480"/>
        <w:rPr>
          <w:rFonts w:ascii="仿宋" w:hAnsi="仿宋" w:eastAsia="仿宋" w:cs="仿宋_GB2312"/>
          <w:color w:val="auto"/>
          <w:sz w:val="24"/>
        </w:rPr>
      </w:pPr>
      <w:r>
        <w:rPr>
          <w:rFonts w:hint="eastAsia" w:ascii="仿宋" w:hAnsi="仿宋" w:eastAsia="仿宋" w:cs="仿宋_GB2312"/>
          <w:color w:val="auto"/>
          <w:sz w:val="24"/>
        </w:rPr>
        <w:t>（8）“质量保证期”系指“合同专用条款”中规定的本合同项下的货物的质量保证期限。</w:t>
      </w:r>
    </w:p>
    <w:p w14:paraId="6B6E48FB">
      <w:pPr>
        <w:pStyle w:val="4"/>
        <w:keepNext w:val="0"/>
        <w:keepLines w:val="0"/>
        <w:spacing w:before="0" w:after="0" w:line="360" w:lineRule="auto"/>
        <w:ind w:firstLine="480"/>
        <w:rPr>
          <w:rFonts w:ascii="仿宋" w:hAnsi="仿宋" w:eastAsia="仿宋" w:cs="仿宋_GB2312"/>
          <w:b w:val="0"/>
          <w:color w:val="auto"/>
          <w:sz w:val="24"/>
          <w:szCs w:val="24"/>
        </w:rPr>
      </w:pPr>
      <w:bookmarkStart w:id="76" w:name="_Toc172122904"/>
      <w:bookmarkStart w:id="77" w:name="_Toc119623145"/>
      <w:bookmarkStart w:id="78" w:name="_Toc133426317"/>
      <w:bookmarkStart w:id="79" w:name="_Toc181712899"/>
      <w:bookmarkStart w:id="80" w:name="_Toc133603551"/>
      <w:r>
        <w:rPr>
          <w:rFonts w:hint="eastAsia" w:ascii="仿宋" w:hAnsi="仿宋" w:eastAsia="仿宋" w:cs="仿宋_GB2312"/>
          <w:b w:val="0"/>
          <w:color w:val="auto"/>
          <w:sz w:val="24"/>
          <w:szCs w:val="24"/>
        </w:rPr>
        <w:t>2.适用性</w:t>
      </w:r>
      <w:bookmarkEnd w:id="76"/>
      <w:bookmarkEnd w:id="77"/>
      <w:bookmarkEnd w:id="78"/>
      <w:bookmarkEnd w:id="79"/>
      <w:bookmarkEnd w:id="80"/>
    </w:p>
    <w:p w14:paraId="00F2B9A0">
      <w:pPr>
        <w:ind w:firstLine="480"/>
        <w:rPr>
          <w:rFonts w:ascii="仿宋" w:hAnsi="仿宋" w:eastAsia="仿宋" w:cs="仿宋_GB2312"/>
          <w:color w:val="auto"/>
          <w:sz w:val="24"/>
        </w:rPr>
      </w:pPr>
      <w:r>
        <w:rPr>
          <w:rFonts w:hint="eastAsia" w:ascii="仿宋" w:hAnsi="仿宋" w:eastAsia="仿宋" w:cs="仿宋_GB2312"/>
          <w:color w:val="auto"/>
          <w:sz w:val="24"/>
        </w:rPr>
        <w:t>2.1本合同条款适用于没有被本合同其他部分的条款所取代的范围。</w:t>
      </w:r>
    </w:p>
    <w:p w14:paraId="7AC7ED16">
      <w:pPr>
        <w:pStyle w:val="4"/>
        <w:keepNext w:val="0"/>
        <w:keepLines w:val="0"/>
        <w:spacing w:before="0" w:after="0" w:line="360" w:lineRule="auto"/>
        <w:ind w:firstLine="480"/>
        <w:rPr>
          <w:rFonts w:ascii="仿宋" w:hAnsi="仿宋" w:eastAsia="仿宋" w:cs="仿宋_GB2312"/>
          <w:b w:val="0"/>
          <w:color w:val="auto"/>
          <w:sz w:val="24"/>
          <w:szCs w:val="24"/>
        </w:rPr>
      </w:pPr>
      <w:bookmarkStart w:id="81" w:name="_Toc181712900"/>
      <w:bookmarkStart w:id="82" w:name="_Toc133603552"/>
      <w:bookmarkStart w:id="83" w:name="_Toc172122905"/>
      <w:bookmarkStart w:id="84" w:name="_Toc133426318"/>
      <w:r>
        <w:rPr>
          <w:rFonts w:hint="eastAsia" w:ascii="仿宋" w:hAnsi="仿宋" w:eastAsia="仿宋" w:cs="仿宋_GB2312"/>
          <w:b w:val="0"/>
          <w:color w:val="auto"/>
          <w:sz w:val="24"/>
          <w:szCs w:val="24"/>
        </w:rPr>
        <w:t>3.标准与计量</w:t>
      </w:r>
      <w:bookmarkEnd w:id="81"/>
      <w:bookmarkEnd w:id="82"/>
      <w:bookmarkEnd w:id="83"/>
      <w:bookmarkEnd w:id="84"/>
    </w:p>
    <w:p w14:paraId="62DF6D83">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3.1本合同项下交付的货物应符合“招标货物技术规格、参数及要求”所述的标准，如果没有提及适用标准，则应按照对买方最有利、符合中华人民共和国有关权威机构颁布的最新版本的相应标准。</w:t>
      </w:r>
    </w:p>
    <w:p w14:paraId="30791E05">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3.2除本合同中另有规定，计量单位均采用中华人民共和国法定计量单位。</w:t>
      </w:r>
    </w:p>
    <w:p w14:paraId="31818115">
      <w:pPr>
        <w:pStyle w:val="4"/>
        <w:keepNext w:val="0"/>
        <w:keepLines w:val="0"/>
        <w:spacing w:before="0" w:after="0" w:line="360" w:lineRule="auto"/>
        <w:ind w:firstLine="480"/>
        <w:rPr>
          <w:rFonts w:ascii="仿宋" w:hAnsi="仿宋" w:eastAsia="仿宋" w:cs="仿宋_GB2312"/>
          <w:b w:val="0"/>
          <w:color w:val="auto"/>
          <w:sz w:val="24"/>
          <w:szCs w:val="24"/>
        </w:rPr>
      </w:pPr>
      <w:bookmarkStart w:id="85" w:name="_Toc133603553"/>
      <w:bookmarkStart w:id="86" w:name="_Toc133426319"/>
      <w:bookmarkStart w:id="87" w:name="_Toc172122906"/>
      <w:bookmarkStart w:id="88" w:name="_Toc181712901"/>
      <w:r>
        <w:rPr>
          <w:rFonts w:hint="eastAsia" w:ascii="仿宋" w:hAnsi="仿宋" w:eastAsia="仿宋" w:cs="仿宋_GB2312"/>
          <w:b w:val="0"/>
          <w:color w:val="auto"/>
          <w:sz w:val="24"/>
          <w:szCs w:val="24"/>
        </w:rPr>
        <w:t>4.合同文件和资料的使用</w:t>
      </w:r>
      <w:bookmarkEnd w:id="85"/>
      <w:bookmarkEnd w:id="86"/>
      <w:bookmarkEnd w:id="87"/>
      <w:bookmarkEnd w:id="88"/>
    </w:p>
    <w:p w14:paraId="5041BF3F">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4.1卖方未经买方事先书面同意，不得将合同、合同中的条款或由买方或以买方名义提供的任何规范、规划、图纸、模型、样品或资料提供给与履行本合同无关的任何人。</w:t>
      </w:r>
    </w:p>
    <w:p w14:paraId="0552ABB5">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4.2除了履行本合同之外，未经买方事先书面同意，卖方不应使用本合同第26.1条款所列举的任何文件和资料。</w:t>
      </w:r>
    </w:p>
    <w:p w14:paraId="4F91EDBC">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4.3本合同第26.1条款所列举的任何文件，除了合同本身以外，均应属于是买方的财产。当买方提出要求时，卖方在履行合同后应将上述文件退还给买方。</w:t>
      </w:r>
    </w:p>
    <w:p w14:paraId="2C5A1ADE">
      <w:pPr>
        <w:pStyle w:val="4"/>
        <w:keepNext w:val="0"/>
        <w:keepLines w:val="0"/>
        <w:spacing w:before="0" w:after="0" w:line="360" w:lineRule="auto"/>
        <w:ind w:firstLine="480"/>
        <w:rPr>
          <w:rFonts w:ascii="仿宋" w:hAnsi="仿宋" w:eastAsia="仿宋" w:cs="仿宋_GB2312"/>
          <w:b w:val="0"/>
          <w:color w:val="auto"/>
          <w:sz w:val="24"/>
          <w:szCs w:val="24"/>
        </w:rPr>
      </w:pPr>
      <w:bookmarkStart w:id="89" w:name="_Toc172122907"/>
      <w:bookmarkStart w:id="90" w:name="_Toc181712902"/>
      <w:bookmarkStart w:id="91" w:name="_Toc133603554"/>
      <w:bookmarkStart w:id="92" w:name="_Toc133426320"/>
      <w:r>
        <w:rPr>
          <w:rFonts w:hint="eastAsia" w:ascii="仿宋" w:hAnsi="仿宋" w:eastAsia="仿宋" w:cs="仿宋_GB2312"/>
          <w:b w:val="0"/>
          <w:color w:val="auto"/>
          <w:sz w:val="24"/>
          <w:szCs w:val="24"/>
        </w:rPr>
        <w:t>5．知识产权</w:t>
      </w:r>
      <w:bookmarkEnd w:id="89"/>
      <w:bookmarkEnd w:id="90"/>
      <w:bookmarkEnd w:id="91"/>
      <w:bookmarkEnd w:id="92"/>
    </w:p>
    <w:p w14:paraId="17C57AC3">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5.1卖方应保证买方在使用本合同项下货物或货物的任何一部分时免受第三方提出的侵犯其专利权、商标权、著作权或其它知识产权引起的一切索赔和诉讼。</w:t>
      </w:r>
    </w:p>
    <w:p w14:paraId="0E034297">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5.2如果发生第三方就卖方向买方提供的本合同项下所涉及的货物及服务对买方进行侵权指控，卖方应承担由此而引起的一切经济和法律责任。</w:t>
      </w:r>
    </w:p>
    <w:p w14:paraId="2E1E53BA">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5.3本条规定不因本合同的终止和到期而失效。</w:t>
      </w:r>
    </w:p>
    <w:p w14:paraId="5C7EDB3D">
      <w:pPr>
        <w:pStyle w:val="4"/>
        <w:keepNext w:val="0"/>
        <w:keepLines w:val="0"/>
        <w:spacing w:before="0" w:after="0" w:line="360" w:lineRule="auto"/>
        <w:ind w:firstLine="480"/>
        <w:rPr>
          <w:rFonts w:ascii="仿宋" w:hAnsi="仿宋" w:eastAsia="仿宋" w:cs="仿宋_GB2312"/>
          <w:b w:val="0"/>
          <w:color w:val="auto"/>
          <w:sz w:val="24"/>
          <w:szCs w:val="24"/>
        </w:rPr>
      </w:pPr>
      <w:bookmarkStart w:id="93" w:name="_Toc181712903"/>
      <w:bookmarkStart w:id="94" w:name="_Toc172122908"/>
      <w:bookmarkStart w:id="95" w:name="_Toc133603555"/>
      <w:bookmarkStart w:id="96" w:name="_Toc133426321"/>
      <w:r>
        <w:rPr>
          <w:rFonts w:hint="eastAsia" w:ascii="仿宋" w:hAnsi="仿宋" w:eastAsia="仿宋" w:cs="仿宋_GB2312"/>
          <w:b w:val="0"/>
          <w:color w:val="auto"/>
          <w:sz w:val="24"/>
          <w:szCs w:val="24"/>
        </w:rPr>
        <w:t>6．交货地点及时间</w:t>
      </w:r>
      <w:bookmarkEnd w:id="93"/>
      <w:bookmarkEnd w:id="94"/>
      <w:bookmarkEnd w:id="95"/>
      <w:bookmarkEnd w:id="96"/>
    </w:p>
    <w:p w14:paraId="09AD96BE">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6.1货物交货地点及时间详见合同专用条款。</w:t>
      </w:r>
    </w:p>
    <w:p w14:paraId="637CB9DC">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6.2卖方应在合同规定的交货验收期前五日以传真形式通知买方。</w:t>
      </w:r>
    </w:p>
    <w:p w14:paraId="42F307A9">
      <w:pPr>
        <w:pStyle w:val="4"/>
        <w:keepNext w:val="0"/>
        <w:keepLines w:val="0"/>
        <w:spacing w:before="0" w:after="0" w:line="360" w:lineRule="auto"/>
        <w:ind w:firstLine="480"/>
        <w:rPr>
          <w:rFonts w:ascii="仿宋" w:hAnsi="仿宋" w:eastAsia="仿宋" w:cs="仿宋_GB2312"/>
          <w:b w:val="0"/>
          <w:bCs w:val="0"/>
          <w:color w:val="auto"/>
          <w:sz w:val="24"/>
          <w:szCs w:val="24"/>
        </w:rPr>
      </w:pPr>
      <w:bookmarkStart w:id="97" w:name="_Toc133426322"/>
      <w:bookmarkStart w:id="98" w:name="_Toc181712904"/>
      <w:bookmarkStart w:id="99" w:name="_Toc133603556"/>
      <w:bookmarkStart w:id="100" w:name="_Toc172122909"/>
      <w:bookmarkStart w:id="101" w:name="_Toc119623146"/>
      <w:r>
        <w:rPr>
          <w:rFonts w:hint="eastAsia" w:ascii="仿宋" w:hAnsi="仿宋" w:eastAsia="仿宋" w:cs="仿宋_GB2312"/>
          <w:b w:val="0"/>
          <w:color w:val="auto"/>
          <w:sz w:val="24"/>
          <w:szCs w:val="24"/>
        </w:rPr>
        <w:t>7．包装与标记</w:t>
      </w:r>
      <w:bookmarkEnd w:id="97"/>
      <w:bookmarkEnd w:id="98"/>
      <w:bookmarkEnd w:id="99"/>
      <w:bookmarkEnd w:id="100"/>
      <w:bookmarkEnd w:id="101"/>
    </w:p>
    <w:p w14:paraId="0079B6F7">
      <w:pPr>
        <w:ind w:firstLine="480"/>
        <w:rPr>
          <w:rFonts w:ascii="仿宋" w:hAnsi="仿宋" w:eastAsia="仿宋" w:cs="仿宋_GB2312"/>
          <w:color w:val="auto"/>
          <w:sz w:val="24"/>
        </w:rPr>
      </w:pPr>
      <w:r>
        <w:rPr>
          <w:rFonts w:hint="eastAsia" w:ascii="仿宋" w:hAnsi="仿宋" w:eastAsia="仿宋" w:cs="仿宋_GB2312"/>
          <w:color w:val="auto"/>
          <w:sz w:val="24"/>
        </w:rPr>
        <w:t>7.1卖方应根据合同货物的不同形状与特点，对所提供的全部货物均应按标准保护措施进行包装，以防止货物在转运中损坏或变质。这类包装应采取防潮、防晒、防锈、防腐蚀、防震动及防止其它损坏的必要保护措施，从而保护货物能够经受多次搬运、装卸及长途运输。</w:t>
      </w:r>
    </w:p>
    <w:p w14:paraId="586CC9AB">
      <w:pPr>
        <w:ind w:firstLine="480"/>
        <w:rPr>
          <w:rFonts w:ascii="仿宋" w:hAnsi="仿宋" w:eastAsia="仿宋" w:cs="仿宋_GB2312"/>
          <w:color w:val="auto"/>
          <w:sz w:val="24"/>
        </w:rPr>
      </w:pPr>
      <w:r>
        <w:rPr>
          <w:rFonts w:hint="eastAsia" w:ascii="仿宋" w:hAnsi="仿宋" w:eastAsia="仿宋" w:cs="仿宋_GB2312"/>
          <w:color w:val="auto"/>
          <w:sz w:val="24"/>
        </w:rPr>
        <w:t>7.2包装、标记和包装箱内外的单据应严格符合合同的特殊要求，包括合同专用条款规定的要求以及买方后来发出的指示。</w:t>
      </w:r>
    </w:p>
    <w:p w14:paraId="608177D7">
      <w:pPr>
        <w:ind w:firstLine="480"/>
        <w:rPr>
          <w:rFonts w:ascii="仿宋" w:hAnsi="仿宋" w:eastAsia="仿宋" w:cs="仿宋_GB2312"/>
          <w:color w:val="auto"/>
          <w:sz w:val="24"/>
        </w:rPr>
      </w:pPr>
      <w:r>
        <w:rPr>
          <w:rFonts w:hint="eastAsia" w:ascii="仿宋" w:hAnsi="仿宋" w:eastAsia="仿宋" w:cs="仿宋_GB2312"/>
          <w:color w:val="auto"/>
          <w:sz w:val="24"/>
        </w:rPr>
        <w:t>7.2.1每一个包装箱内应附一份详细的装箱单、质量保证书、有关设备的技术文件、需要安装设备部件的详细装配图等。</w:t>
      </w:r>
    </w:p>
    <w:p w14:paraId="61DF6CCA">
      <w:pPr>
        <w:ind w:firstLine="480"/>
        <w:rPr>
          <w:rFonts w:ascii="仿宋" w:hAnsi="仿宋" w:eastAsia="仿宋" w:cs="仿宋_GB2312"/>
          <w:color w:val="auto"/>
          <w:sz w:val="24"/>
        </w:rPr>
      </w:pPr>
      <w:r>
        <w:rPr>
          <w:rFonts w:hint="eastAsia" w:ascii="仿宋" w:hAnsi="仿宋" w:eastAsia="仿宋" w:cs="仿宋_GB2312"/>
          <w:color w:val="auto"/>
          <w:sz w:val="24"/>
        </w:rPr>
        <w:t>7.2.2卖方应对包装箱中的附属设备散件挂上标记，表明其合同号、主设备编号、附属设备名称及其在装配图中的位置号。备品备件和随机工具除按上述要求标记外还应标上“备品备件”或“随机工具”字样。</w:t>
      </w:r>
    </w:p>
    <w:p w14:paraId="535D5A9F">
      <w:pPr>
        <w:ind w:firstLine="480"/>
        <w:rPr>
          <w:rFonts w:ascii="仿宋" w:hAnsi="仿宋" w:eastAsia="仿宋" w:cs="仿宋_GB2312"/>
          <w:color w:val="auto"/>
          <w:sz w:val="24"/>
        </w:rPr>
      </w:pPr>
      <w:r>
        <w:rPr>
          <w:rFonts w:hint="eastAsia" w:ascii="仿宋" w:hAnsi="仿宋" w:eastAsia="仿宋" w:cs="仿宋_GB2312"/>
          <w:color w:val="auto"/>
          <w:sz w:val="24"/>
        </w:rPr>
        <w:t>7.2.3卖方应在包装箱两侧用印刷体标明：项目名称、货物名称与合同号、以及买方及卖方名称和相关信息。</w:t>
      </w:r>
    </w:p>
    <w:p w14:paraId="3F6A6C6A">
      <w:pPr>
        <w:ind w:firstLine="480"/>
        <w:rPr>
          <w:rFonts w:ascii="仿宋" w:hAnsi="仿宋" w:eastAsia="仿宋" w:cs="仿宋_GB2312"/>
          <w:color w:val="auto"/>
          <w:sz w:val="24"/>
        </w:rPr>
      </w:pPr>
      <w:r>
        <w:rPr>
          <w:rFonts w:hint="eastAsia" w:ascii="仿宋" w:hAnsi="仿宋" w:eastAsia="仿宋" w:cs="仿宋_GB2312"/>
          <w:color w:val="auto"/>
          <w:sz w:val="24"/>
        </w:rPr>
        <w:t>7.2.4对裸装合同货物应以金属标签注明上述内容，裸装合同货物的装箱单应集中包装，随合同货物发运。</w:t>
      </w:r>
    </w:p>
    <w:p w14:paraId="70CDF280">
      <w:pPr>
        <w:ind w:firstLine="480"/>
        <w:rPr>
          <w:rFonts w:ascii="仿宋" w:hAnsi="仿宋" w:eastAsia="仿宋" w:cs="仿宋_GB2312"/>
          <w:color w:val="auto"/>
          <w:sz w:val="24"/>
        </w:rPr>
      </w:pPr>
      <w:r>
        <w:rPr>
          <w:rFonts w:hint="eastAsia" w:ascii="仿宋" w:hAnsi="仿宋" w:eastAsia="仿宋" w:cs="仿宋_GB2312"/>
          <w:color w:val="auto"/>
          <w:sz w:val="24"/>
        </w:rPr>
        <w:t>7.2.5如果单件包装箱的重量在2吨或2吨以上，卖方应在包装箱两侧用中文和适当的运输标记标明“重心”和“起吊点”以便装卸和搬运。根据货物的特点和运输的不同要求，卖方应在包装箱上清楚地标明“小心轻放”、“此端朝上，请勿倒置”、“保持干燥”等字样和其他适当标记。</w:t>
      </w:r>
    </w:p>
    <w:p w14:paraId="27DD0A18">
      <w:pPr>
        <w:ind w:firstLine="480"/>
        <w:rPr>
          <w:rFonts w:ascii="仿宋" w:hAnsi="仿宋" w:eastAsia="仿宋" w:cs="仿宋_GB2312"/>
          <w:color w:val="auto"/>
          <w:sz w:val="24"/>
        </w:rPr>
      </w:pPr>
      <w:r>
        <w:rPr>
          <w:rFonts w:hint="eastAsia" w:ascii="仿宋" w:hAnsi="仿宋" w:eastAsia="仿宋" w:cs="仿宋_GB2312"/>
          <w:color w:val="auto"/>
          <w:sz w:val="24"/>
        </w:rPr>
        <w:t>7.3卖方应承担由于其包装或其防护措施不完善而引起的货物锈蚀、损坏和丢失的责任。</w:t>
      </w:r>
    </w:p>
    <w:p w14:paraId="65D8FC47">
      <w:pPr>
        <w:pStyle w:val="4"/>
        <w:keepNext w:val="0"/>
        <w:keepLines w:val="0"/>
        <w:spacing w:before="0" w:after="0" w:line="360" w:lineRule="auto"/>
        <w:ind w:firstLine="480"/>
        <w:rPr>
          <w:rFonts w:ascii="仿宋" w:hAnsi="仿宋" w:eastAsia="仿宋" w:cs="仿宋_GB2312"/>
          <w:b w:val="0"/>
          <w:bCs w:val="0"/>
          <w:color w:val="auto"/>
          <w:sz w:val="24"/>
          <w:szCs w:val="24"/>
        </w:rPr>
      </w:pPr>
      <w:bookmarkStart w:id="102" w:name="_Toc133603557"/>
      <w:bookmarkStart w:id="103" w:name="_Toc119623147"/>
      <w:bookmarkStart w:id="104" w:name="_Toc133426323"/>
      <w:bookmarkStart w:id="105" w:name="_Toc181712905"/>
      <w:bookmarkStart w:id="106" w:name="_Toc172122910"/>
      <w:r>
        <w:rPr>
          <w:rFonts w:hint="eastAsia" w:ascii="仿宋" w:hAnsi="仿宋" w:eastAsia="仿宋" w:cs="仿宋_GB2312"/>
          <w:b w:val="0"/>
          <w:color w:val="auto"/>
          <w:sz w:val="24"/>
          <w:szCs w:val="24"/>
        </w:rPr>
        <w:t>8．运输和保险</w:t>
      </w:r>
      <w:bookmarkEnd w:id="102"/>
      <w:bookmarkEnd w:id="103"/>
      <w:bookmarkEnd w:id="104"/>
      <w:bookmarkEnd w:id="105"/>
      <w:bookmarkEnd w:id="106"/>
    </w:p>
    <w:p w14:paraId="50532D86">
      <w:pPr>
        <w:ind w:firstLine="480"/>
        <w:rPr>
          <w:rFonts w:ascii="仿宋" w:hAnsi="仿宋" w:eastAsia="仿宋" w:cs="仿宋_GB2312"/>
          <w:color w:val="auto"/>
          <w:sz w:val="24"/>
        </w:rPr>
      </w:pPr>
      <w:r>
        <w:rPr>
          <w:rFonts w:hint="eastAsia" w:ascii="仿宋" w:hAnsi="仿宋" w:eastAsia="仿宋" w:cs="仿宋_GB2312"/>
          <w:color w:val="auto"/>
          <w:sz w:val="24"/>
        </w:rPr>
        <w:t>8.1如果货物是按买方指定的交货现场报价，由卖方负责办理将货物运抵本标书合同专用条款规定的交货地点的一切运输事项，相关费用应包含在合同总价中。</w:t>
      </w:r>
    </w:p>
    <w:p w14:paraId="22063F94">
      <w:pPr>
        <w:ind w:firstLine="480"/>
        <w:rPr>
          <w:rFonts w:ascii="仿宋" w:hAnsi="仿宋" w:eastAsia="仿宋" w:cs="仿宋_GB2312"/>
          <w:color w:val="auto"/>
          <w:sz w:val="24"/>
        </w:rPr>
      </w:pPr>
      <w:r>
        <w:rPr>
          <w:rFonts w:hint="eastAsia" w:ascii="仿宋" w:hAnsi="仿宋" w:eastAsia="仿宋" w:cs="仿宋_GB2312"/>
          <w:color w:val="auto"/>
          <w:sz w:val="24"/>
        </w:rPr>
        <w:t>8.2除非专用合同条款另有规定，卖方应在合同货物起运前或同时对装运的货物向保险公司投保以买方为受益人的发运合同货物发票金额的110%运输“一切险”。该保险范围包括卖方承诺装运的货物，并应履盖合同货物自卖方的发运仓库起至买方指定的工地仓库或工地安装现场开箱验收完毕止。</w:t>
      </w:r>
    </w:p>
    <w:p w14:paraId="64C1D8B2">
      <w:pPr>
        <w:pStyle w:val="4"/>
        <w:keepNext w:val="0"/>
        <w:keepLines w:val="0"/>
        <w:spacing w:before="0" w:after="0" w:line="360" w:lineRule="auto"/>
        <w:ind w:firstLine="480"/>
        <w:rPr>
          <w:rFonts w:ascii="仿宋" w:hAnsi="仿宋" w:eastAsia="仿宋" w:cs="仿宋_GB2312"/>
          <w:b w:val="0"/>
          <w:bCs w:val="0"/>
          <w:color w:val="auto"/>
          <w:sz w:val="24"/>
          <w:szCs w:val="24"/>
        </w:rPr>
      </w:pPr>
      <w:bookmarkStart w:id="107" w:name="_Toc119623148"/>
      <w:bookmarkStart w:id="108" w:name="_Toc133603558"/>
      <w:bookmarkStart w:id="109" w:name="_Toc172122911"/>
      <w:bookmarkStart w:id="110" w:name="_Toc181712906"/>
      <w:bookmarkStart w:id="111" w:name="_Toc133426324"/>
      <w:r>
        <w:rPr>
          <w:rFonts w:hint="eastAsia" w:ascii="仿宋" w:hAnsi="仿宋" w:eastAsia="仿宋" w:cs="仿宋_GB2312"/>
          <w:b w:val="0"/>
          <w:color w:val="auto"/>
          <w:sz w:val="24"/>
          <w:szCs w:val="24"/>
        </w:rPr>
        <w:t>9．备件、专用工具、资料及其他</w:t>
      </w:r>
      <w:bookmarkEnd w:id="107"/>
      <w:bookmarkEnd w:id="108"/>
      <w:bookmarkEnd w:id="109"/>
      <w:bookmarkEnd w:id="110"/>
      <w:bookmarkEnd w:id="111"/>
    </w:p>
    <w:p w14:paraId="7BA30CE3">
      <w:pPr>
        <w:ind w:firstLine="480"/>
        <w:rPr>
          <w:rFonts w:ascii="仿宋" w:hAnsi="仿宋" w:eastAsia="仿宋" w:cs="仿宋_GB2312"/>
          <w:color w:val="auto"/>
          <w:sz w:val="24"/>
        </w:rPr>
      </w:pPr>
      <w:r>
        <w:rPr>
          <w:rFonts w:hint="eastAsia" w:ascii="仿宋" w:hAnsi="仿宋" w:eastAsia="仿宋" w:cs="仿宋_GB2312"/>
          <w:color w:val="auto"/>
          <w:sz w:val="24"/>
        </w:rPr>
        <w:t>9.1卖方交货时应向买方提供货物出厂标准规定的和备品备件清单列出的由卖方提供的备品备件。</w:t>
      </w:r>
    </w:p>
    <w:p w14:paraId="393253B5">
      <w:pPr>
        <w:ind w:firstLine="480"/>
        <w:rPr>
          <w:rFonts w:ascii="仿宋" w:hAnsi="仿宋" w:eastAsia="仿宋" w:cs="仿宋_GB2312"/>
          <w:color w:val="auto"/>
          <w:sz w:val="24"/>
        </w:rPr>
      </w:pPr>
      <w:r>
        <w:rPr>
          <w:rFonts w:hint="eastAsia" w:ascii="仿宋" w:hAnsi="仿宋" w:eastAsia="仿宋" w:cs="仿宋_GB2312"/>
          <w:color w:val="auto"/>
          <w:sz w:val="24"/>
        </w:rPr>
        <w:t>9.2备品备件应按要求进行包装，以防损坏。</w:t>
      </w:r>
    </w:p>
    <w:p w14:paraId="5AC20851">
      <w:pPr>
        <w:ind w:firstLine="480"/>
        <w:rPr>
          <w:rFonts w:ascii="仿宋" w:hAnsi="仿宋" w:eastAsia="仿宋" w:cs="仿宋_GB2312"/>
          <w:color w:val="auto"/>
          <w:sz w:val="24"/>
        </w:rPr>
      </w:pPr>
      <w:r>
        <w:rPr>
          <w:rFonts w:hint="eastAsia" w:ascii="仿宋" w:hAnsi="仿宋" w:eastAsia="仿宋" w:cs="仿宋_GB2312"/>
          <w:color w:val="auto"/>
          <w:sz w:val="24"/>
        </w:rPr>
        <w:t>9.3卖方交货时应向买方提供产品目录、图纸、操作手册、使用说明、维护手册或服务指南等相关资料。</w:t>
      </w:r>
    </w:p>
    <w:p w14:paraId="60C5E2CA">
      <w:pPr>
        <w:ind w:firstLine="480"/>
        <w:rPr>
          <w:rFonts w:ascii="仿宋" w:hAnsi="仿宋" w:eastAsia="仿宋" w:cs="仿宋_GB2312"/>
          <w:color w:val="auto"/>
          <w:sz w:val="24"/>
        </w:rPr>
      </w:pPr>
      <w:r>
        <w:rPr>
          <w:rFonts w:hint="eastAsia" w:ascii="仿宋" w:hAnsi="仿宋" w:eastAsia="仿宋" w:cs="仿宋_GB2312"/>
          <w:color w:val="auto"/>
          <w:sz w:val="24"/>
        </w:rPr>
        <w:t>9.4卖方应保证在货物寿命期内优惠、优先供应买方备品备件，以保证货物的正常运行。</w:t>
      </w:r>
    </w:p>
    <w:p w14:paraId="229A57A5">
      <w:pPr>
        <w:pStyle w:val="4"/>
        <w:keepNext w:val="0"/>
        <w:keepLines w:val="0"/>
        <w:spacing w:before="0" w:after="0" w:line="360" w:lineRule="auto"/>
        <w:ind w:firstLine="480"/>
        <w:rPr>
          <w:rFonts w:ascii="仿宋" w:hAnsi="仿宋" w:eastAsia="仿宋" w:cs="仿宋_GB2312"/>
          <w:b w:val="0"/>
          <w:bCs w:val="0"/>
          <w:color w:val="auto"/>
          <w:sz w:val="24"/>
          <w:szCs w:val="24"/>
        </w:rPr>
      </w:pPr>
      <w:bookmarkStart w:id="112" w:name="_Toc119623149"/>
      <w:bookmarkStart w:id="113" w:name="_Toc172122912"/>
      <w:bookmarkStart w:id="114" w:name="_Toc181712907"/>
      <w:bookmarkStart w:id="115" w:name="_Toc133603559"/>
      <w:bookmarkStart w:id="116" w:name="_Toc133426325"/>
      <w:r>
        <w:rPr>
          <w:rFonts w:hint="eastAsia" w:ascii="仿宋" w:hAnsi="仿宋" w:eastAsia="仿宋" w:cs="仿宋_GB2312"/>
          <w:b w:val="0"/>
          <w:color w:val="auto"/>
          <w:sz w:val="24"/>
          <w:szCs w:val="24"/>
        </w:rPr>
        <w:t>10．服务</w:t>
      </w:r>
      <w:bookmarkEnd w:id="112"/>
      <w:bookmarkEnd w:id="113"/>
      <w:bookmarkEnd w:id="114"/>
      <w:bookmarkEnd w:id="115"/>
      <w:bookmarkEnd w:id="116"/>
    </w:p>
    <w:p w14:paraId="16211CE0">
      <w:pPr>
        <w:ind w:left="240" w:hanging="240" w:hangingChars="100"/>
        <w:rPr>
          <w:rFonts w:ascii="仿宋" w:hAnsi="仿宋" w:eastAsia="仿宋" w:cs="仿宋_GB2312"/>
          <w:color w:val="auto"/>
          <w:sz w:val="24"/>
        </w:rPr>
      </w:pPr>
      <w:r>
        <w:rPr>
          <w:rFonts w:hint="eastAsia" w:ascii="仿宋" w:hAnsi="仿宋" w:eastAsia="仿宋" w:cs="仿宋_GB2312"/>
          <w:color w:val="auto"/>
          <w:sz w:val="24"/>
        </w:rPr>
        <w:t>10.1卖方应提供下列服务中的任一种或所有的服务：</w:t>
      </w:r>
    </w:p>
    <w:p w14:paraId="0F5D7F3E">
      <w:pPr>
        <w:ind w:left="240" w:hanging="240" w:hangingChars="100"/>
        <w:rPr>
          <w:rFonts w:ascii="仿宋" w:hAnsi="仿宋" w:eastAsia="仿宋" w:cs="仿宋_GB2312"/>
          <w:color w:val="auto"/>
          <w:sz w:val="24"/>
        </w:rPr>
      </w:pPr>
      <w:r>
        <w:rPr>
          <w:rFonts w:hint="eastAsia" w:ascii="仿宋" w:hAnsi="仿宋" w:eastAsia="仿宋" w:cs="仿宋_GB2312"/>
          <w:color w:val="auto"/>
          <w:sz w:val="24"/>
        </w:rPr>
        <w:t>（1）负责货物的运输、现场移动、安装和调试；</w:t>
      </w:r>
    </w:p>
    <w:p w14:paraId="10E7140A">
      <w:pPr>
        <w:ind w:left="240" w:hanging="240" w:hangingChars="100"/>
        <w:rPr>
          <w:rFonts w:ascii="仿宋" w:hAnsi="仿宋" w:eastAsia="仿宋" w:cs="仿宋_GB2312"/>
          <w:color w:val="auto"/>
          <w:sz w:val="24"/>
        </w:rPr>
      </w:pPr>
      <w:r>
        <w:rPr>
          <w:rFonts w:hint="eastAsia" w:ascii="仿宋" w:hAnsi="仿宋" w:eastAsia="仿宋" w:cs="仿宋_GB2312"/>
          <w:color w:val="auto"/>
          <w:sz w:val="24"/>
        </w:rPr>
        <w:t>（2）对货物的现场移动、安装和调试提供技术指导；</w:t>
      </w:r>
    </w:p>
    <w:p w14:paraId="0BF8850C">
      <w:pPr>
        <w:ind w:left="240" w:hanging="240" w:hangingChars="100"/>
        <w:rPr>
          <w:rFonts w:ascii="仿宋" w:hAnsi="仿宋" w:eastAsia="仿宋" w:cs="仿宋_GB2312"/>
          <w:color w:val="auto"/>
          <w:sz w:val="24"/>
        </w:rPr>
      </w:pPr>
      <w:r>
        <w:rPr>
          <w:rFonts w:hint="eastAsia" w:ascii="仿宋" w:hAnsi="仿宋" w:eastAsia="仿宋" w:cs="仿宋_GB2312"/>
          <w:color w:val="auto"/>
          <w:sz w:val="24"/>
        </w:rPr>
        <w:t>（3）对买方人员进行培训；</w:t>
      </w:r>
    </w:p>
    <w:p w14:paraId="5814E6CA">
      <w:pPr>
        <w:ind w:left="240" w:hanging="240" w:hangingChars="100"/>
        <w:rPr>
          <w:rFonts w:ascii="仿宋" w:hAnsi="仿宋" w:eastAsia="仿宋" w:cs="仿宋_GB2312"/>
          <w:color w:val="auto"/>
          <w:sz w:val="24"/>
        </w:rPr>
      </w:pPr>
      <w:r>
        <w:rPr>
          <w:rFonts w:hint="eastAsia" w:ascii="仿宋" w:hAnsi="仿宋" w:eastAsia="仿宋" w:cs="仿宋_GB2312"/>
          <w:color w:val="auto"/>
          <w:sz w:val="24"/>
        </w:rPr>
        <w:t>（4）其他附加服务。</w:t>
      </w:r>
    </w:p>
    <w:p w14:paraId="34E6AD86">
      <w:pPr>
        <w:ind w:left="240" w:hanging="240" w:hangingChars="100"/>
        <w:rPr>
          <w:rFonts w:ascii="仿宋" w:hAnsi="仿宋" w:eastAsia="仿宋" w:cs="仿宋_GB2312"/>
          <w:color w:val="auto"/>
          <w:sz w:val="24"/>
        </w:rPr>
      </w:pPr>
      <w:r>
        <w:rPr>
          <w:rFonts w:hint="eastAsia" w:ascii="仿宋" w:hAnsi="仿宋" w:eastAsia="仿宋" w:cs="仿宋_GB2312"/>
          <w:color w:val="auto"/>
          <w:sz w:val="24"/>
        </w:rPr>
        <w:t>具体要求详见专用条款。</w:t>
      </w:r>
    </w:p>
    <w:p w14:paraId="109BB4DD">
      <w:pPr>
        <w:ind w:left="240" w:hanging="240" w:hangingChars="100"/>
        <w:rPr>
          <w:rFonts w:ascii="仿宋" w:hAnsi="仿宋" w:eastAsia="仿宋" w:cs="仿宋_GB2312"/>
          <w:color w:val="auto"/>
          <w:sz w:val="24"/>
        </w:rPr>
      </w:pPr>
      <w:r>
        <w:rPr>
          <w:rFonts w:hint="eastAsia" w:ascii="仿宋" w:hAnsi="仿宋" w:eastAsia="仿宋" w:cs="仿宋_GB2312"/>
          <w:color w:val="auto"/>
          <w:sz w:val="24"/>
        </w:rPr>
        <w:t>10.2卖方提供服务的费用应含在货物的合同总价中，买方不再另行支付。</w:t>
      </w:r>
    </w:p>
    <w:p w14:paraId="40764B31">
      <w:pPr>
        <w:pStyle w:val="4"/>
        <w:keepNext w:val="0"/>
        <w:keepLines w:val="0"/>
        <w:spacing w:before="0" w:after="0" w:line="360" w:lineRule="auto"/>
        <w:ind w:firstLine="480"/>
        <w:rPr>
          <w:rFonts w:ascii="仿宋" w:hAnsi="仿宋" w:eastAsia="仿宋" w:cs="仿宋_GB2312"/>
          <w:b w:val="0"/>
          <w:bCs w:val="0"/>
          <w:color w:val="auto"/>
          <w:sz w:val="24"/>
          <w:szCs w:val="24"/>
        </w:rPr>
      </w:pPr>
      <w:bookmarkStart w:id="117" w:name="_Toc119623150"/>
      <w:bookmarkStart w:id="118" w:name="_Toc133426326"/>
      <w:bookmarkStart w:id="119" w:name="_Toc181712908"/>
      <w:bookmarkStart w:id="120" w:name="_Toc172122913"/>
      <w:bookmarkStart w:id="121" w:name="_Toc133603560"/>
      <w:r>
        <w:rPr>
          <w:rFonts w:hint="eastAsia" w:ascii="仿宋" w:hAnsi="仿宋" w:eastAsia="仿宋" w:cs="仿宋_GB2312"/>
          <w:b w:val="0"/>
          <w:color w:val="auto"/>
          <w:sz w:val="24"/>
          <w:szCs w:val="24"/>
        </w:rPr>
        <w:t>11．质量保证</w:t>
      </w:r>
      <w:bookmarkEnd w:id="117"/>
      <w:bookmarkEnd w:id="118"/>
      <w:bookmarkEnd w:id="119"/>
      <w:bookmarkEnd w:id="120"/>
      <w:bookmarkEnd w:id="121"/>
    </w:p>
    <w:p w14:paraId="152F6687">
      <w:pPr>
        <w:ind w:firstLine="480"/>
        <w:rPr>
          <w:rFonts w:ascii="仿宋" w:hAnsi="仿宋" w:eastAsia="仿宋" w:cs="仿宋_GB2312"/>
          <w:color w:val="auto"/>
          <w:sz w:val="24"/>
        </w:rPr>
      </w:pPr>
      <w:r>
        <w:rPr>
          <w:rFonts w:hint="eastAsia" w:ascii="仿宋" w:hAnsi="仿宋" w:eastAsia="仿宋" w:cs="仿宋_GB2312"/>
          <w:color w:val="auto"/>
          <w:sz w:val="24"/>
        </w:rPr>
        <w:t>11.1卖方应保证合同项下所供货物是全新的、未使用过的，并完全符合合同规定的质量标准、技术要求。卖方应保证所提供的货物经正确安装、正常运转和保养在其使用寿命期内应具有满意的性能。在货物质量保证期之内，卖方应对由于设计、工艺或材料的缺陷而发生的任何不足或故障负责。</w:t>
      </w:r>
    </w:p>
    <w:p w14:paraId="567D06B5">
      <w:pPr>
        <w:ind w:firstLine="480"/>
        <w:rPr>
          <w:rFonts w:ascii="仿宋" w:hAnsi="仿宋" w:eastAsia="仿宋" w:cs="仿宋_GB2312"/>
          <w:color w:val="auto"/>
          <w:sz w:val="24"/>
        </w:rPr>
      </w:pPr>
      <w:r>
        <w:rPr>
          <w:rFonts w:hint="eastAsia" w:ascii="仿宋" w:hAnsi="仿宋" w:eastAsia="仿宋" w:cs="仿宋_GB2312"/>
          <w:color w:val="auto"/>
          <w:sz w:val="24"/>
        </w:rPr>
        <w:t xml:space="preserve">11.2质量保证期按合同专用条款执行。 </w:t>
      </w:r>
    </w:p>
    <w:p w14:paraId="15773A67">
      <w:pPr>
        <w:ind w:firstLine="480"/>
        <w:rPr>
          <w:rFonts w:ascii="仿宋" w:hAnsi="仿宋" w:eastAsia="仿宋" w:cs="仿宋_GB2312"/>
          <w:color w:val="auto"/>
          <w:sz w:val="24"/>
        </w:rPr>
      </w:pPr>
      <w:r>
        <w:rPr>
          <w:rFonts w:hint="eastAsia" w:ascii="仿宋" w:hAnsi="仿宋" w:eastAsia="仿宋" w:cs="仿宋_GB2312"/>
          <w:color w:val="auto"/>
          <w:sz w:val="24"/>
        </w:rPr>
        <w:t>11.3质量保证期内，由于卖方责任，维修或更换有缺陷的货物或部件，或为解决货物使用过程中出现的问题所产生的一切费用由卖方承担。</w:t>
      </w:r>
    </w:p>
    <w:p w14:paraId="1A08436F">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11.4除非专用条款中另有规定，在质量保证期内，由于维修、更换有缺陷或损坏的货物或部件，其保证期将延长，延长时间等于自货物出现缺陷至恢复正常的时间。</w:t>
      </w:r>
    </w:p>
    <w:p w14:paraId="4A0FADC6">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11.5买方在货物出现缺陷时应及时通知卖方。除非合同专用条款中另有规定，卖方在收到通知后七(7)天内应免费维修或更换有缺陷的货物或部件，如果卖方在收到通知后七(7)天天内未能弥补缺陷，买方可采取必要的补救措施，但其责任和费用将由卖方承担，买方根据合同规定对卖方行使的其他权利不受影响。</w:t>
      </w:r>
    </w:p>
    <w:p w14:paraId="568A6476">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11.6在质量保证期内，如果发现由于卖方责任造成货物的质量或规格与合同不符，或证实货物是有缺陷的，包括潜在的缺陷或使用不符合要求的材料等，或由于卖方技术文件错误或卖方人员在安装、调试、试运行和验收过程中错误指导而导致货物损坏，买方可以以书面形式向卖方提出补救措施或索赔。</w:t>
      </w:r>
    </w:p>
    <w:p w14:paraId="163CF36A">
      <w:pPr>
        <w:pStyle w:val="4"/>
        <w:keepNext w:val="0"/>
        <w:keepLines w:val="0"/>
        <w:spacing w:before="0" w:after="0" w:line="360" w:lineRule="auto"/>
        <w:ind w:firstLine="480"/>
        <w:rPr>
          <w:rFonts w:ascii="仿宋" w:hAnsi="仿宋" w:eastAsia="仿宋" w:cs="仿宋_GB2312"/>
          <w:b w:val="0"/>
          <w:color w:val="auto"/>
          <w:sz w:val="24"/>
          <w:szCs w:val="24"/>
        </w:rPr>
      </w:pPr>
      <w:bookmarkStart w:id="122" w:name="_Toc181712909"/>
      <w:bookmarkStart w:id="123" w:name="_Toc172122914"/>
      <w:bookmarkStart w:id="124" w:name="_Toc133426327"/>
      <w:bookmarkStart w:id="125" w:name="_Toc133603561"/>
      <w:r>
        <w:rPr>
          <w:rFonts w:hint="eastAsia" w:ascii="仿宋" w:hAnsi="仿宋" w:eastAsia="仿宋" w:cs="仿宋_GB2312"/>
          <w:b w:val="0"/>
          <w:color w:val="auto"/>
          <w:sz w:val="24"/>
          <w:szCs w:val="24"/>
        </w:rPr>
        <w:t>12．检验和验收</w:t>
      </w:r>
      <w:bookmarkEnd w:id="122"/>
      <w:bookmarkEnd w:id="123"/>
      <w:bookmarkEnd w:id="124"/>
      <w:bookmarkEnd w:id="125"/>
    </w:p>
    <w:p w14:paraId="3B52D63E">
      <w:pPr>
        <w:pStyle w:val="22"/>
        <w:ind w:firstLine="480"/>
        <w:rPr>
          <w:rFonts w:ascii="仿宋" w:hAnsi="仿宋" w:eastAsia="仿宋" w:cs="仿宋_GB2312"/>
          <w:bCs/>
          <w:color w:val="auto"/>
          <w:sz w:val="24"/>
          <w:szCs w:val="24"/>
        </w:rPr>
      </w:pPr>
      <w:r>
        <w:rPr>
          <w:rFonts w:hint="eastAsia" w:ascii="仿宋" w:hAnsi="仿宋" w:eastAsia="仿宋" w:cs="仿宋_GB2312"/>
          <w:color w:val="auto"/>
          <w:sz w:val="24"/>
          <w:szCs w:val="24"/>
        </w:rPr>
        <w:t>12.1在交货前，卖方应对货物的质量、规格、性能、数量和重量等进行详细而全面的检验，并出具一份证明货物符合合同规定的证书。但有关质量、规格、性能、数量或重量的检验不应视为最终检验。</w:t>
      </w:r>
    </w:p>
    <w:p w14:paraId="73F1CCDB">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12.2货物运抵现场后，买方将对货物的质量、规格、数量和重量按照“合同专用条款”中规定的以下的一种方式进行验收：</w:t>
      </w:r>
    </w:p>
    <w:p w14:paraId="1E4CE093">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（1）买卖双方根据货物的技术规格要求和质量标准，对货物进行检查验收。</w:t>
      </w:r>
    </w:p>
    <w:p w14:paraId="06503A5A">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（2）由卖方委托经买方认可的法定质量检测机构进行验收，验收合格后由法定质量检测机构出具验收报告。验收费用应包含在合同价中，买方不再另行支付。</w:t>
      </w:r>
    </w:p>
    <w:p w14:paraId="4EDB4518">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（3）由买方委托经卖方认可的法定质量检测机构进行验收，验收合格后由法定质量检测机构出具验收报告。验收费用由买方承担，另行支付。</w:t>
      </w:r>
    </w:p>
    <w:p w14:paraId="4CF67E9D">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（4）“合同专用条款”中规定的其他验收方式。</w:t>
      </w:r>
    </w:p>
    <w:p w14:paraId="27641F29">
      <w:pPr>
        <w:ind w:firstLine="480"/>
        <w:rPr>
          <w:rFonts w:ascii="仿宋" w:hAnsi="仿宋" w:eastAsia="仿宋" w:cs="仿宋_GB2312"/>
          <w:color w:val="auto"/>
          <w:sz w:val="24"/>
        </w:rPr>
      </w:pPr>
      <w:r>
        <w:rPr>
          <w:rFonts w:hint="eastAsia" w:ascii="仿宋" w:hAnsi="仿宋" w:eastAsia="仿宋" w:cs="仿宋_GB2312"/>
          <w:color w:val="auto"/>
          <w:sz w:val="24"/>
        </w:rPr>
        <w:t>12.3货物的数量不足或表面瑕疵，买方应在验收时当面提出；对其它质量问题有异议的应在安装调试后七(7)天内提出。</w:t>
      </w:r>
    </w:p>
    <w:p w14:paraId="470C1E5E">
      <w:pPr>
        <w:ind w:firstLine="480"/>
        <w:rPr>
          <w:rFonts w:ascii="仿宋" w:hAnsi="仿宋" w:eastAsia="仿宋" w:cs="仿宋_GB2312"/>
          <w:color w:val="auto"/>
          <w:sz w:val="24"/>
        </w:rPr>
      </w:pPr>
      <w:r>
        <w:rPr>
          <w:rFonts w:hint="eastAsia" w:ascii="仿宋" w:hAnsi="仿宋" w:eastAsia="仿宋" w:cs="仿宋_GB2312"/>
          <w:color w:val="auto"/>
          <w:sz w:val="24"/>
        </w:rPr>
        <w:t>12.4在验收过程中发现数量不足或有质量、技术、设备安全防护等问题，卖方应负责按照买方的要求采取补足、更换或退货等处理措施，并承担由此发生的一切费用和损失。</w:t>
      </w:r>
    </w:p>
    <w:p w14:paraId="36F5D803">
      <w:pPr>
        <w:ind w:firstLine="480"/>
        <w:rPr>
          <w:rFonts w:ascii="仿宋" w:hAnsi="仿宋" w:eastAsia="仿宋" w:cs="仿宋_GB2312"/>
          <w:bCs/>
          <w:color w:val="auto"/>
          <w:sz w:val="24"/>
        </w:rPr>
      </w:pPr>
      <w:r>
        <w:rPr>
          <w:rFonts w:hint="eastAsia" w:ascii="仿宋" w:hAnsi="仿宋" w:eastAsia="仿宋" w:cs="仿宋_GB2312"/>
          <w:color w:val="auto"/>
          <w:sz w:val="24"/>
        </w:rPr>
        <w:t>12.5买方在卖方按合同规定交货或安装、调试后，无正当理由而拖延接收、验收或拒绝接收、验收的，应承担由此而造成的卖方直接损失。</w:t>
      </w:r>
    </w:p>
    <w:p w14:paraId="106CB918">
      <w:pPr>
        <w:ind w:firstLine="480"/>
        <w:rPr>
          <w:rFonts w:ascii="仿宋" w:hAnsi="仿宋" w:eastAsia="仿宋" w:cs="仿宋_GB2312"/>
          <w:bCs/>
          <w:color w:val="auto"/>
          <w:sz w:val="24"/>
        </w:rPr>
      </w:pPr>
      <w:r>
        <w:rPr>
          <w:rFonts w:hint="eastAsia" w:ascii="仿宋" w:hAnsi="仿宋" w:eastAsia="仿宋" w:cs="仿宋_GB2312"/>
          <w:color w:val="auto"/>
          <w:sz w:val="24"/>
        </w:rPr>
        <w:t>12.6合同条款第11条的规定不能免除卖方在本合同项下的质量保证义务或其他义务。</w:t>
      </w:r>
    </w:p>
    <w:p w14:paraId="36058491">
      <w:pPr>
        <w:pStyle w:val="4"/>
        <w:keepNext w:val="0"/>
        <w:keepLines w:val="0"/>
        <w:spacing w:before="0" w:after="0" w:line="360" w:lineRule="auto"/>
        <w:ind w:firstLine="480"/>
        <w:rPr>
          <w:rFonts w:ascii="仿宋" w:hAnsi="仿宋" w:eastAsia="仿宋" w:cs="仿宋_GB2312"/>
          <w:b w:val="0"/>
          <w:bCs w:val="0"/>
          <w:color w:val="auto"/>
          <w:sz w:val="24"/>
          <w:szCs w:val="24"/>
        </w:rPr>
      </w:pPr>
      <w:bookmarkStart w:id="126" w:name="_Toc172122915"/>
      <w:bookmarkStart w:id="127" w:name="_Toc133426328"/>
      <w:bookmarkStart w:id="128" w:name="_Toc181712910"/>
      <w:bookmarkStart w:id="129" w:name="_Toc119623151"/>
      <w:bookmarkStart w:id="130" w:name="_Toc133603562"/>
      <w:r>
        <w:rPr>
          <w:rFonts w:hint="eastAsia" w:ascii="仿宋" w:hAnsi="仿宋" w:eastAsia="仿宋" w:cs="仿宋_GB2312"/>
          <w:b w:val="0"/>
          <w:color w:val="auto"/>
          <w:sz w:val="24"/>
          <w:szCs w:val="24"/>
        </w:rPr>
        <w:t>13．合同价格</w:t>
      </w:r>
      <w:bookmarkEnd w:id="126"/>
      <w:bookmarkEnd w:id="127"/>
      <w:bookmarkEnd w:id="128"/>
      <w:bookmarkEnd w:id="129"/>
      <w:bookmarkEnd w:id="130"/>
    </w:p>
    <w:p w14:paraId="0CBB8705">
      <w:pPr>
        <w:tabs>
          <w:tab w:val="left" w:pos="2385"/>
        </w:tabs>
        <w:ind w:firstLine="480"/>
        <w:rPr>
          <w:rFonts w:ascii="仿宋" w:hAnsi="仿宋" w:eastAsia="仿宋" w:cs="仿宋_GB2312"/>
          <w:color w:val="auto"/>
          <w:sz w:val="24"/>
        </w:rPr>
      </w:pPr>
      <w:r>
        <w:rPr>
          <w:rFonts w:hint="eastAsia" w:ascii="仿宋" w:hAnsi="仿宋" w:eastAsia="仿宋" w:cs="仿宋_GB2312"/>
          <w:color w:val="auto"/>
          <w:sz w:val="24"/>
        </w:rPr>
        <w:t>13.1买卖双方所签合同货物的单价和总价是按合同交货验收期交货的最终结算价，不受任何调价因素的影响，在整个履行合同期间有效。</w:t>
      </w:r>
    </w:p>
    <w:p w14:paraId="11378437">
      <w:pPr>
        <w:pStyle w:val="4"/>
        <w:keepNext w:val="0"/>
        <w:keepLines w:val="0"/>
        <w:spacing w:before="0" w:after="0" w:line="360" w:lineRule="auto"/>
        <w:ind w:firstLine="480"/>
        <w:rPr>
          <w:rFonts w:ascii="仿宋" w:hAnsi="仿宋" w:eastAsia="仿宋" w:cs="仿宋_GB2312"/>
          <w:b w:val="0"/>
          <w:bCs w:val="0"/>
          <w:color w:val="auto"/>
          <w:sz w:val="24"/>
          <w:szCs w:val="24"/>
        </w:rPr>
      </w:pPr>
      <w:bookmarkStart w:id="131" w:name="_Toc181712911"/>
      <w:bookmarkStart w:id="132" w:name="_Toc172122916"/>
      <w:bookmarkStart w:id="133" w:name="_Toc119623152"/>
      <w:bookmarkStart w:id="134" w:name="_Toc133603563"/>
      <w:bookmarkStart w:id="135" w:name="_Toc133426329"/>
      <w:r>
        <w:rPr>
          <w:rFonts w:hint="eastAsia" w:ascii="仿宋" w:hAnsi="仿宋" w:eastAsia="仿宋" w:cs="仿宋_GB2312"/>
          <w:b w:val="0"/>
          <w:color w:val="auto"/>
          <w:sz w:val="24"/>
          <w:szCs w:val="24"/>
        </w:rPr>
        <w:t>14．合同的支付</w:t>
      </w:r>
      <w:bookmarkEnd w:id="131"/>
      <w:bookmarkEnd w:id="132"/>
      <w:bookmarkEnd w:id="133"/>
      <w:bookmarkEnd w:id="134"/>
      <w:bookmarkEnd w:id="135"/>
    </w:p>
    <w:p w14:paraId="19D7EAB4">
      <w:pPr>
        <w:ind w:firstLine="480"/>
        <w:rPr>
          <w:rFonts w:ascii="仿宋" w:hAnsi="仿宋" w:eastAsia="仿宋" w:cs="仿宋_GB2312"/>
          <w:color w:val="auto"/>
          <w:sz w:val="24"/>
        </w:rPr>
      </w:pPr>
      <w:r>
        <w:rPr>
          <w:rFonts w:hint="eastAsia" w:ascii="仿宋" w:hAnsi="仿宋" w:eastAsia="仿宋" w:cs="仿宋_GB2312"/>
          <w:color w:val="auto"/>
          <w:sz w:val="24"/>
        </w:rPr>
        <w:t>14.1本合同以人民币支付。</w:t>
      </w:r>
    </w:p>
    <w:p w14:paraId="0B53C220">
      <w:pPr>
        <w:ind w:firstLine="480"/>
        <w:rPr>
          <w:rFonts w:ascii="仿宋" w:hAnsi="仿宋" w:eastAsia="仿宋" w:cs="仿宋_GB2312"/>
          <w:color w:val="auto"/>
          <w:sz w:val="24"/>
        </w:rPr>
      </w:pPr>
      <w:r>
        <w:rPr>
          <w:rFonts w:hint="eastAsia" w:ascii="仿宋" w:hAnsi="仿宋" w:eastAsia="仿宋" w:cs="仿宋_GB2312"/>
          <w:color w:val="auto"/>
          <w:sz w:val="24"/>
        </w:rPr>
        <w:t>14.2具体支付办法详见合同专用条款的规定。</w:t>
      </w:r>
    </w:p>
    <w:p w14:paraId="274B0B16">
      <w:pPr>
        <w:pStyle w:val="4"/>
        <w:keepNext w:val="0"/>
        <w:keepLines w:val="0"/>
        <w:spacing w:before="0" w:after="0" w:line="360" w:lineRule="auto"/>
        <w:ind w:firstLine="480"/>
        <w:rPr>
          <w:rFonts w:ascii="仿宋" w:hAnsi="仿宋" w:eastAsia="仿宋" w:cs="仿宋_GB2312"/>
          <w:b w:val="0"/>
          <w:color w:val="auto"/>
          <w:sz w:val="24"/>
          <w:szCs w:val="24"/>
        </w:rPr>
      </w:pPr>
      <w:bookmarkStart w:id="136" w:name="_Toc133426330"/>
      <w:bookmarkStart w:id="137" w:name="_Toc181712912"/>
      <w:bookmarkStart w:id="138" w:name="_Toc172122917"/>
      <w:bookmarkStart w:id="139" w:name="_Toc133603564"/>
      <w:r>
        <w:rPr>
          <w:rFonts w:hint="eastAsia" w:ascii="仿宋" w:hAnsi="仿宋" w:eastAsia="仿宋" w:cs="仿宋_GB2312"/>
          <w:b w:val="0"/>
          <w:color w:val="auto"/>
          <w:sz w:val="24"/>
          <w:szCs w:val="24"/>
        </w:rPr>
        <w:t>15．合同的变更和修改</w:t>
      </w:r>
      <w:bookmarkEnd w:id="136"/>
      <w:bookmarkEnd w:id="137"/>
      <w:bookmarkEnd w:id="138"/>
      <w:bookmarkEnd w:id="139"/>
    </w:p>
    <w:p w14:paraId="04F50D15">
      <w:pPr>
        <w:ind w:firstLine="480"/>
        <w:rPr>
          <w:rFonts w:ascii="仿宋" w:hAnsi="仿宋" w:eastAsia="仿宋" w:cs="仿宋_GB2312"/>
          <w:color w:val="auto"/>
          <w:sz w:val="24"/>
        </w:rPr>
      </w:pPr>
      <w:r>
        <w:rPr>
          <w:rFonts w:hint="eastAsia" w:ascii="仿宋" w:hAnsi="仿宋" w:eastAsia="仿宋" w:cs="仿宋_GB2312"/>
          <w:color w:val="auto"/>
          <w:sz w:val="24"/>
        </w:rPr>
        <w:t>15.1在合同的履行过程中，买方可以在任何时候书面向卖方发出变更通知，在本合同总的范围内变更下述一项或多项：</w:t>
      </w:r>
    </w:p>
    <w:p w14:paraId="48039A0C">
      <w:pPr>
        <w:ind w:firstLine="480"/>
        <w:rPr>
          <w:rFonts w:ascii="仿宋" w:hAnsi="仿宋" w:eastAsia="仿宋" w:cs="仿宋_GB2312"/>
          <w:color w:val="auto"/>
          <w:sz w:val="24"/>
        </w:rPr>
      </w:pPr>
      <w:r>
        <w:rPr>
          <w:rFonts w:hint="eastAsia" w:ascii="仿宋" w:hAnsi="仿宋" w:eastAsia="仿宋" w:cs="仿宋_GB2312"/>
          <w:color w:val="auto"/>
          <w:sz w:val="24"/>
        </w:rPr>
        <w:t>（1）合同货物的图纸、设计或技术规范；</w:t>
      </w:r>
    </w:p>
    <w:p w14:paraId="4D3999C5">
      <w:pPr>
        <w:ind w:firstLine="480"/>
        <w:rPr>
          <w:rFonts w:ascii="仿宋" w:hAnsi="仿宋" w:eastAsia="仿宋" w:cs="仿宋_GB2312"/>
          <w:color w:val="auto"/>
          <w:sz w:val="24"/>
        </w:rPr>
      </w:pPr>
      <w:r>
        <w:rPr>
          <w:rFonts w:hint="eastAsia" w:ascii="仿宋" w:hAnsi="仿宋" w:eastAsia="仿宋" w:cs="仿宋_GB2312"/>
          <w:color w:val="auto"/>
          <w:sz w:val="24"/>
        </w:rPr>
        <w:t>（2）货物交货或包装的方法；</w:t>
      </w:r>
    </w:p>
    <w:p w14:paraId="35CD0B7C">
      <w:pPr>
        <w:ind w:firstLine="480"/>
        <w:rPr>
          <w:rFonts w:ascii="仿宋" w:hAnsi="仿宋" w:eastAsia="仿宋" w:cs="仿宋_GB2312"/>
          <w:color w:val="auto"/>
          <w:sz w:val="24"/>
        </w:rPr>
      </w:pPr>
      <w:r>
        <w:rPr>
          <w:rFonts w:hint="eastAsia" w:ascii="仿宋" w:hAnsi="仿宋" w:eastAsia="仿宋" w:cs="仿宋_GB2312"/>
          <w:color w:val="auto"/>
          <w:sz w:val="24"/>
        </w:rPr>
        <w:t>（3）卖方提供的服务；</w:t>
      </w:r>
    </w:p>
    <w:p w14:paraId="163E63A0">
      <w:pPr>
        <w:ind w:firstLine="480"/>
        <w:rPr>
          <w:rFonts w:ascii="仿宋" w:hAnsi="仿宋" w:eastAsia="仿宋" w:cs="仿宋_GB2312"/>
          <w:color w:val="auto"/>
          <w:sz w:val="24"/>
        </w:rPr>
      </w:pPr>
      <w:r>
        <w:rPr>
          <w:rFonts w:hint="eastAsia" w:ascii="仿宋" w:hAnsi="仿宋" w:eastAsia="仿宋" w:cs="仿宋_GB2312"/>
          <w:color w:val="auto"/>
          <w:sz w:val="24"/>
        </w:rPr>
        <w:t>（4）交货地点、交货进度。</w:t>
      </w:r>
    </w:p>
    <w:p w14:paraId="7280A0DA">
      <w:pPr>
        <w:ind w:firstLine="480"/>
        <w:rPr>
          <w:rFonts w:ascii="仿宋" w:hAnsi="仿宋" w:eastAsia="仿宋" w:cs="仿宋_GB2312"/>
          <w:color w:val="auto"/>
          <w:sz w:val="24"/>
        </w:rPr>
      </w:pPr>
      <w:r>
        <w:rPr>
          <w:rFonts w:hint="eastAsia" w:ascii="仿宋" w:hAnsi="仿宋" w:eastAsia="仿宋" w:cs="仿宋_GB2312"/>
          <w:color w:val="auto"/>
          <w:sz w:val="24"/>
        </w:rPr>
        <w:t>15.2在不改变合同其他条款的前提下，如果由于上述变更引起卖方履行合同义务的费用或时间增减，将以补充合同的形式对合同价或交货时间或两者同时进行合理的调整。卖方根据本条款进行调整的要求，必须在收到买方的变更通知后十(10)天内提出。否则，买方的通知和规定是最终的。</w:t>
      </w:r>
    </w:p>
    <w:p w14:paraId="4BA7C015">
      <w:pPr>
        <w:ind w:firstLine="480"/>
        <w:rPr>
          <w:rFonts w:ascii="仿宋" w:hAnsi="仿宋" w:eastAsia="仿宋" w:cs="仿宋_GB2312"/>
          <w:color w:val="auto"/>
          <w:sz w:val="24"/>
        </w:rPr>
      </w:pPr>
      <w:r>
        <w:rPr>
          <w:rFonts w:hint="eastAsia" w:ascii="仿宋" w:hAnsi="仿宋" w:eastAsia="仿宋" w:cs="仿宋_GB2312"/>
          <w:color w:val="auto"/>
          <w:sz w:val="24"/>
        </w:rPr>
        <w:t>15.3若上述变更不引起卖方履行合同义务的费用或时间的实质性变化时，合同的价格或交货时间将不予调整，但也需卖方书面确认。</w:t>
      </w:r>
    </w:p>
    <w:p w14:paraId="7D80CD40">
      <w:pPr>
        <w:ind w:firstLine="480"/>
        <w:rPr>
          <w:rFonts w:ascii="仿宋" w:hAnsi="仿宋" w:eastAsia="仿宋" w:cs="仿宋_GB2312"/>
          <w:color w:val="auto"/>
          <w:sz w:val="24"/>
        </w:rPr>
      </w:pPr>
      <w:r>
        <w:rPr>
          <w:rFonts w:hint="eastAsia" w:ascii="仿宋" w:hAnsi="仿宋" w:eastAsia="仿宋" w:cs="仿宋_GB2312"/>
          <w:color w:val="auto"/>
          <w:sz w:val="24"/>
        </w:rPr>
        <w:t>15.4除上述规定之外，任何对合同条件的变更或修改均需双方签订书面修改协议。</w:t>
      </w:r>
    </w:p>
    <w:p w14:paraId="514F1878">
      <w:pPr>
        <w:pStyle w:val="4"/>
        <w:keepNext w:val="0"/>
        <w:keepLines w:val="0"/>
        <w:spacing w:before="0" w:after="0" w:line="360" w:lineRule="auto"/>
        <w:ind w:firstLine="480"/>
        <w:rPr>
          <w:rFonts w:ascii="仿宋" w:hAnsi="仿宋" w:eastAsia="仿宋" w:cs="仿宋_GB2312"/>
          <w:b w:val="0"/>
          <w:bCs w:val="0"/>
          <w:color w:val="auto"/>
          <w:sz w:val="24"/>
          <w:szCs w:val="24"/>
        </w:rPr>
      </w:pPr>
      <w:bookmarkStart w:id="140" w:name="_Toc181712913"/>
      <w:bookmarkStart w:id="141" w:name="_Toc119623153"/>
      <w:bookmarkStart w:id="142" w:name="_Toc133603565"/>
      <w:bookmarkStart w:id="143" w:name="_Toc172122918"/>
      <w:bookmarkStart w:id="144" w:name="_Toc133426331"/>
      <w:r>
        <w:rPr>
          <w:rFonts w:hint="eastAsia" w:ascii="仿宋" w:hAnsi="仿宋" w:eastAsia="仿宋" w:cs="仿宋_GB2312"/>
          <w:b w:val="0"/>
          <w:color w:val="auto"/>
          <w:sz w:val="24"/>
          <w:szCs w:val="24"/>
        </w:rPr>
        <w:t>16．合同的转让与分包</w:t>
      </w:r>
      <w:bookmarkEnd w:id="140"/>
      <w:bookmarkEnd w:id="141"/>
      <w:bookmarkEnd w:id="142"/>
      <w:bookmarkEnd w:id="143"/>
      <w:bookmarkEnd w:id="144"/>
    </w:p>
    <w:p w14:paraId="626A961F">
      <w:pPr>
        <w:ind w:firstLine="480"/>
        <w:rPr>
          <w:rFonts w:ascii="仿宋" w:hAnsi="仿宋" w:eastAsia="仿宋" w:cs="仿宋_GB2312"/>
          <w:color w:val="auto"/>
          <w:sz w:val="24"/>
        </w:rPr>
      </w:pPr>
      <w:r>
        <w:rPr>
          <w:rFonts w:hint="eastAsia" w:ascii="仿宋" w:hAnsi="仿宋" w:eastAsia="仿宋" w:cs="仿宋_GB2312"/>
          <w:color w:val="auto"/>
          <w:sz w:val="24"/>
        </w:rPr>
        <w:t>16.1除买方事先书面同意外，卖方不得部分或全部转让其应履行的合同义务。</w:t>
      </w:r>
    </w:p>
    <w:p w14:paraId="2E0E1DFF">
      <w:pPr>
        <w:ind w:firstLine="480"/>
        <w:rPr>
          <w:rFonts w:ascii="仿宋" w:hAnsi="仿宋" w:eastAsia="仿宋" w:cs="仿宋_GB2312"/>
          <w:color w:val="auto"/>
          <w:sz w:val="24"/>
        </w:rPr>
      </w:pPr>
      <w:r>
        <w:rPr>
          <w:rFonts w:hint="eastAsia" w:ascii="仿宋" w:hAnsi="仿宋" w:eastAsia="仿宋" w:cs="仿宋_GB2312"/>
          <w:color w:val="auto"/>
          <w:sz w:val="24"/>
        </w:rPr>
        <w:t>16.2未征得买方同意，卖方不得改变在投标文件中提出的分包项目和建议的分包人。</w:t>
      </w:r>
    </w:p>
    <w:p w14:paraId="6EA18757">
      <w:pPr>
        <w:ind w:firstLine="480"/>
        <w:rPr>
          <w:rFonts w:ascii="仿宋" w:hAnsi="仿宋" w:eastAsia="仿宋" w:cs="仿宋_GB2312"/>
          <w:color w:val="auto"/>
          <w:sz w:val="24"/>
        </w:rPr>
      </w:pPr>
      <w:r>
        <w:rPr>
          <w:rFonts w:hint="eastAsia" w:ascii="仿宋" w:hAnsi="仿宋" w:eastAsia="仿宋" w:cs="仿宋_GB2312"/>
          <w:color w:val="auto"/>
          <w:sz w:val="24"/>
        </w:rPr>
        <w:t>16.3无论原投标书或后来的分包通知均不能解除卖方履行本合同的责任和义务。</w:t>
      </w:r>
    </w:p>
    <w:p w14:paraId="45D20E4A">
      <w:pPr>
        <w:ind w:firstLine="480"/>
        <w:rPr>
          <w:rFonts w:ascii="仿宋" w:hAnsi="仿宋" w:eastAsia="仿宋" w:cs="仿宋_GB2312"/>
          <w:color w:val="auto"/>
          <w:sz w:val="24"/>
        </w:rPr>
      </w:pPr>
      <w:r>
        <w:rPr>
          <w:rFonts w:hint="eastAsia" w:ascii="仿宋" w:hAnsi="仿宋" w:eastAsia="仿宋" w:cs="仿宋_GB2312"/>
          <w:color w:val="auto"/>
          <w:sz w:val="24"/>
        </w:rPr>
        <w:t>16.4在合同实施过程中，除非卖方违约，买方不得指定分包人。</w:t>
      </w:r>
    </w:p>
    <w:p w14:paraId="267B0620">
      <w:pPr>
        <w:pStyle w:val="4"/>
        <w:keepNext w:val="0"/>
        <w:keepLines w:val="0"/>
        <w:spacing w:before="0" w:after="0" w:line="360" w:lineRule="auto"/>
        <w:ind w:firstLine="480"/>
        <w:rPr>
          <w:rFonts w:ascii="仿宋" w:hAnsi="仿宋" w:eastAsia="仿宋" w:cs="仿宋_GB2312"/>
          <w:b w:val="0"/>
          <w:bCs w:val="0"/>
          <w:color w:val="auto"/>
          <w:sz w:val="24"/>
          <w:szCs w:val="24"/>
        </w:rPr>
      </w:pPr>
      <w:bookmarkStart w:id="145" w:name="_Toc119623154"/>
      <w:bookmarkStart w:id="146" w:name="_Toc133603566"/>
      <w:bookmarkStart w:id="147" w:name="_Toc172122919"/>
      <w:bookmarkStart w:id="148" w:name="_Toc133426332"/>
      <w:bookmarkStart w:id="149" w:name="_Toc181712914"/>
      <w:r>
        <w:rPr>
          <w:rFonts w:hint="eastAsia" w:ascii="仿宋" w:hAnsi="仿宋" w:eastAsia="仿宋" w:cs="仿宋_GB2312"/>
          <w:b w:val="0"/>
          <w:color w:val="auto"/>
          <w:sz w:val="24"/>
          <w:szCs w:val="24"/>
        </w:rPr>
        <w:t>17．履约延误</w:t>
      </w:r>
      <w:bookmarkEnd w:id="145"/>
      <w:bookmarkEnd w:id="146"/>
      <w:bookmarkEnd w:id="147"/>
      <w:bookmarkEnd w:id="148"/>
      <w:bookmarkEnd w:id="149"/>
    </w:p>
    <w:p w14:paraId="58A6B9EA">
      <w:pPr>
        <w:ind w:firstLine="480"/>
        <w:rPr>
          <w:rFonts w:ascii="仿宋" w:hAnsi="仿宋" w:eastAsia="仿宋" w:cs="仿宋_GB2312"/>
          <w:color w:val="auto"/>
          <w:sz w:val="24"/>
        </w:rPr>
      </w:pPr>
      <w:r>
        <w:rPr>
          <w:rFonts w:hint="eastAsia" w:ascii="仿宋" w:hAnsi="仿宋" w:eastAsia="仿宋" w:cs="仿宋_GB2312"/>
          <w:color w:val="auto"/>
          <w:sz w:val="24"/>
        </w:rPr>
        <w:t>17.1卖方应按照招标文件中确定的交货验收期完成交货和提供服务。</w:t>
      </w:r>
    </w:p>
    <w:p w14:paraId="0F371A01">
      <w:pPr>
        <w:ind w:firstLine="480"/>
        <w:rPr>
          <w:rFonts w:ascii="仿宋" w:hAnsi="仿宋" w:eastAsia="仿宋" w:cs="仿宋_GB2312"/>
          <w:color w:val="auto"/>
          <w:sz w:val="24"/>
        </w:rPr>
      </w:pPr>
      <w:r>
        <w:rPr>
          <w:rFonts w:hint="eastAsia" w:ascii="仿宋" w:hAnsi="仿宋" w:eastAsia="仿宋" w:cs="仿宋_GB2312"/>
          <w:color w:val="auto"/>
          <w:sz w:val="24"/>
        </w:rPr>
        <w:t>17.2在履行合同过程中，如果卖方遇到妨碍按时交货和提供服务的情况时，应在24小时以内以书面形式将拖延的事实，可能拖延的时间和原因通知买方。买方在收到卖方通知后，应尽快对情况进行评价，并确定是否通过修改合同延长交货时间。</w:t>
      </w:r>
    </w:p>
    <w:p w14:paraId="4FED6397">
      <w:pPr>
        <w:ind w:firstLine="480"/>
        <w:rPr>
          <w:rFonts w:ascii="仿宋" w:hAnsi="仿宋" w:eastAsia="仿宋" w:cs="仿宋_GB2312"/>
          <w:color w:val="auto"/>
          <w:sz w:val="24"/>
        </w:rPr>
      </w:pPr>
      <w:r>
        <w:rPr>
          <w:rFonts w:hint="eastAsia" w:ascii="仿宋" w:hAnsi="仿宋" w:eastAsia="仿宋" w:cs="仿宋_GB2312"/>
          <w:color w:val="auto"/>
          <w:sz w:val="24"/>
        </w:rPr>
        <w:t>17.3如卖方无正当理由而拖延交货，买方有权采取以下的一种或多种措施：没收履约保证金、加收误期损失赔偿费、终止合同、要求卖方继续履行或采取其他补救措施。</w:t>
      </w:r>
    </w:p>
    <w:p w14:paraId="61127FC8">
      <w:pPr>
        <w:pStyle w:val="4"/>
        <w:keepNext w:val="0"/>
        <w:keepLines w:val="0"/>
        <w:spacing w:before="0" w:after="0" w:line="360" w:lineRule="auto"/>
        <w:ind w:firstLine="480"/>
        <w:rPr>
          <w:rFonts w:ascii="仿宋" w:hAnsi="仿宋" w:eastAsia="仿宋" w:cs="仿宋_GB2312"/>
          <w:b w:val="0"/>
          <w:color w:val="auto"/>
          <w:sz w:val="24"/>
          <w:szCs w:val="24"/>
        </w:rPr>
      </w:pPr>
      <w:bookmarkStart w:id="150" w:name="_Toc181712915"/>
      <w:bookmarkStart w:id="151" w:name="_Toc172122920"/>
      <w:bookmarkStart w:id="152" w:name="_Toc119623155"/>
      <w:bookmarkStart w:id="153" w:name="_Toc133603567"/>
      <w:bookmarkStart w:id="154" w:name="_Toc133426333"/>
      <w:r>
        <w:rPr>
          <w:rFonts w:hint="eastAsia" w:ascii="仿宋" w:hAnsi="仿宋" w:eastAsia="仿宋" w:cs="仿宋_GB2312"/>
          <w:b w:val="0"/>
          <w:color w:val="auto"/>
          <w:sz w:val="24"/>
          <w:szCs w:val="24"/>
        </w:rPr>
        <w:t>18．违约</w:t>
      </w:r>
      <w:bookmarkEnd w:id="150"/>
      <w:bookmarkEnd w:id="151"/>
      <w:bookmarkEnd w:id="152"/>
      <w:bookmarkEnd w:id="153"/>
      <w:bookmarkEnd w:id="154"/>
    </w:p>
    <w:p w14:paraId="1DBCF306">
      <w:pPr>
        <w:ind w:firstLine="480"/>
        <w:rPr>
          <w:rFonts w:ascii="仿宋" w:hAnsi="仿宋" w:eastAsia="仿宋" w:cs="仿宋_GB2312"/>
          <w:color w:val="auto"/>
          <w:sz w:val="24"/>
        </w:rPr>
      </w:pPr>
      <w:r>
        <w:rPr>
          <w:rFonts w:hint="eastAsia" w:ascii="仿宋" w:hAnsi="仿宋" w:eastAsia="仿宋" w:cs="仿宋_GB2312"/>
          <w:color w:val="auto"/>
          <w:sz w:val="24"/>
        </w:rPr>
        <w:t>18.1卖方违约</w:t>
      </w:r>
    </w:p>
    <w:p w14:paraId="74C3FF13">
      <w:pPr>
        <w:ind w:firstLine="480"/>
        <w:rPr>
          <w:rFonts w:ascii="仿宋" w:hAnsi="仿宋" w:eastAsia="仿宋" w:cs="仿宋_GB2312"/>
          <w:color w:val="auto"/>
          <w:sz w:val="24"/>
        </w:rPr>
      </w:pPr>
      <w:r>
        <w:rPr>
          <w:rFonts w:hint="eastAsia" w:ascii="仿宋" w:hAnsi="仿宋" w:eastAsia="仿宋" w:cs="仿宋_GB2312"/>
          <w:color w:val="auto"/>
          <w:sz w:val="24"/>
        </w:rPr>
        <w:t>18.1.1卖方违约的情形</w:t>
      </w:r>
    </w:p>
    <w:p w14:paraId="1E1D6A33">
      <w:pPr>
        <w:ind w:firstLine="480"/>
        <w:rPr>
          <w:rFonts w:ascii="仿宋" w:hAnsi="仿宋" w:eastAsia="仿宋" w:cs="仿宋_GB2312"/>
          <w:color w:val="auto"/>
          <w:sz w:val="24"/>
        </w:rPr>
      </w:pPr>
      <w:r>
        <w:rPr>
          <w:rFonts w:hint="eastAsia" w:ascii="仿宋" w:hAnsi="仿宋" w:eastAsia="仿宋" w:cs="仿宋_GB2312"/>
          <w:color w:val="auto"/>
          <w:sz w:val="24"/>
        </w:rPr>
        <w:t>在履行合同过程中发生的下列情况属卖方违约：</w:t>
      </w:r>
    </w:p>
    <w:p w14:paraId="697FE863">
      <w:pPr>
        <w:ind w:firstLine="480"/>
        <w:rPr>
          <w:rFonts w:ascii="仿宋" w:hAnsi="仿宋" w:eastAsia="仿宋" w:cs="仿宋_GB2312"/>
          <w:color w:val="auto"/>
          <w:sz w:val="24"/>
        </w:rPr>
      </w:pPr>
      <w:r>
        <w:rPr>
          <w:rFonts w:hint="eastAsia" w:ascii="仿宋" w:hAnsi="仿宋" w:eastAsia="仿宋" w:cs="仿宋_GB2312"/>
          <w:color w:val="auto"/>
          <w:sz w:val="24"/>
        </w:rPr>
        <w:t>（1）卖方违反第16条的约定，私自将合同的全部或部分权利转让给其他人，或私自将合同的全部或部分义务转移给其他人；</w:t>
      </w:r>
    </w:p>
    <w:p w14:paraId="6B031134">
      <w:pPr>
        <w:ind w:firstLine="480"/>
        <w:rPr>
          <w:rFonts w:ascii="仿宋" w:hAnsi="仿宋" w:eastAsia="仿宋" w:cs="仿宋_GB2312"/>
          <w:color w:val="auto"/>
          <w:sz w:val="24"/>
        </w:rPr>
      </w:pPr>
      <w:r>
        <w:rPr>
          <w:rFonts w:hint="eastAsia" w:ascii="仿宋" w:hAnsi="仿宋" w:eastAsia="仿宋" w:cs="仿宋_GB2312"/>
          <w:color w:val="auto"/>
          <w:sz w:val="24"/>
        </w:rPr>
        <w:t>（2）卖方违反第11条的约定，导致所供货物不满足合同约定的质量标准和技术要求，且拒绝采取补救措施的；</w:t>
      </w:r>
    </w:p>
    <w:p w14:paraId="6FB7DFAA">
      <w:pPr>
        <w:ind w:firstLine="480"/>
        <w:rPr>
          <w:rFonts w:ascii="仿宋" w:hAnsi="仿宋" w:eastAsia="仿宋" w:cs="仿宋_GB2312"/>
          <w:color w:val="auto"/>
          <w:sz w:val="24"/>
        </w:rPr>
      </w:pPr>
      <w:r>
        <w:rPr>
          <w:rFonts w:hint="eastAsia" w:ascii="仿宋" w:hAnsi="仿宋" w:eastAsia="仿宋" w:cs="仿宋_GB2312"/>
          <w:color w:val="auto"/>
          <w:sz w:val="24"/>
        </w:rPr>
        <w:t>（3）卖方未能按照合同约定的时间及时完成合同约定的工作，已造成或预期造成延期；</w:t>
      </w:r>
    </w:p>
    <w:p w14:paraId="7C0C6C9F">
      <w:pPr>
        <w:ind w:firstLine="480"/>
        <w:rPr>
          <w:rFonts w:ascii="仿宋" w:hAnsi="仿宋" w:eastAsia="仿宋" w:cs="仿宋_GB2312"/>
          <w:color w:val="auto"/>
          <w:sz w:val="24"/>
        </w:rPr>
      </w:pPr>
      <w:r>
        <w:rPr>
          <w:rFonts w:hint="eastAsia" w:ascii="仿宋" w:hAnsi="仿宋" w:eastAsia="仿宋" w:cs="仿宋_GB2312"/>
          <w:color w:val="auto"/>
          <w:sz w:val="24"/>
        </w:rPr>
        <w:t>（4）卖方在质量保证期内，未能对买方所列的缺陷清单的内容或质量保证期内发生的缺陷进行修复，且又拒绝按买方指示再进行修复；</w:t>
      </w:r>
    </w:p>
    <w:p w14:paraId="03B01750">
      <w:pPr>
        <w:ind w:firstLine="480"/>
        <w:rPr>
          <w:rFonts w:ascii="仿宋" w:hAnsi="仿宋" w:eastAsia="仿宋" w:cs="仿宋_GB2312"/>
          <w:color w:val="auto"/>
          <w:sz w:val="24"/>
        </w:rPr>
      </w:pPr>
      <w:r>
        <w:rPr>
          <w:rFonts w:hint="eastAsia" w:ascii="仿宋" w:hAnsi="仿宋" w:eastAsia="仿宋" w:cs="仿宋_GB2312"/>
          <w:color w:val="auto"/>
          <w:sz w:val="24"/>
        </w:rPr>
        <w:t>（5）卖方无法继续履行或明确表示不履行或实质上已停止履行合同；</w:t>
      </w:r>
    </w:p>
    <w:p w14:paraId="157AFBCE">
      <w:pPr>
        <w:ind w:firstLine="480"/>
        <w:rPr>
          <w:rFonts w:ascii="仿宋" w:hAnsi="仿宋" w:eastAsia="仿宋" w:cs="仿宋_GB2312"/>
          <w:color w:val="auto"/>
          <w:sz w:val="24"/>
        </w:rPr>
      </w:pPr>
      <w:r>
        <w:rPr>
          <w:rFonts w:hint="eastAsia" w:ascii="仿宋" w:hAnsi="仿宋" w:eastAsia="仿宋" w:cs="仿宋_GB2312"/>
          <w:color w:val="auto"/>
          <w:sz w:val="24"/>
        </w:rPr>
        <w:t>（6）卖方不按合同约定履行义务的其他情况。</w:t>
      </w:r>
    </w:p>
    <w:p w14:paraId="2A1AD9F7">
      <w:pPr>
        <w:ind w:firstLine="480"/>
        <w:rPr>
          <w:rFonts w:ascii="仿宋" w:hAnsi="仿宋" w:eastAsia="仿宋" w:cs="仿宋_GB2312"/>
          <w:color w:val="auto"/>
          <w:sz w:val="24"/>
        </w:rPr>
      </w:pPr>
      <w:r>
        <w:rPr>
          <w:rFonts w:hint="eastAsia" w:ascii="仿宋" w:hAnsi="仿宋" w:eastAsia="仿宋" w:cs="仿宋_GB2312"/>
          <w:color w:val="auto"/>
          <w:sz w:val="24"/>
        </w:rPr>
        <w:t>18.1.2对卖方违约的处理</w:t>
      </w:r>
    </w:p>
    <w:p w14:paraId="6328A12F">
      <w:pPr>
        <w:ind w:firstLine="480"/>
        <w:rPr>
          <w:rFonts w:ascii="仿宋" w:hAnsi="仿宋" w:eastAsia="仿宋" w:cs="仿宋_GB2312"/>
          <w:color w:val="auto"/>
          <w:sz w:val="24"/>
        </w:rPr>
      </w:pPr>
      <w:r>
        <w:rPr>
          <w:rFonts w:hint="eastAsia" w:ascii="仿宋" w:hAnsi="仿宋" w:eastAsia="仿宋" w:cs="仿宋_GB2312"/>
          <w:color w:val="auto"/>
          <w:sz w:val="24"/>
        </w:rPr>
        <w:t>（1）卖方发生第18.1.1（5）条约定的违约情况，买方可通知卖方立即解除合同，卖方无条件全额返还买方已付款项，买方有权要求卖方赔偿相当于合同总额10%的违约金，若该违约金不足以补偿给买方造成的损失，则卖方还应当补足差额部分，并按有关法律处理。</w:t>
      </w:r>
    </w:p>
    <w:p w14:paraId="28BC7AB7">
      <w:pPr>
        <w:ind w:firstLine="480"/>
        <w:rPr>
          <w:rFonts w:ascii="仿宋" w:hAnsi="仿宋" w:eastAsia="仿宋" w:cs="仿宋_GB2312"/>
          <w:color w:val="auto"/>
          <w:sz w:val="24"/>
        </w:rPr>
      </w:pPr>
      <w:r>
        <w:rPr>
          <w:rFonts w:hint="eastAsia" w:ascii="仿宋" w:hAnsi="仿宋" w:eastAsia="仿宋" w:cs="仿宋_GB2312"/>
          <w:color w:val="auto"/>
          <w:sz w:val="24"/>
        </w:rPr>
        <w:t>（2）卖方发生第18.1.1（5）条约定以外的违约情况，买方可向卖方发出通知，要求其在指定的期限内改正。卖方应承担其违约所引起的费用增加和（或）延期。</w:t>
      </w:r>
    </w:p>
    <w:p w14:paraId="61BC94DF">
      <w:pPr>
        <w:ind w:firstLine="480"/>
        <w:rPr>
          <w:rFonts w:ascii="仿宋" w:hAnsi="仿宋" w:eastAsia="仿宋" w:cs="仿宋_GB2312"/>
          <w:color w:val="auto"/>
          <w:sz w:val="24"/>
        </w:rPr>
      </w:pPr>
      <w:r>
        <w:rPr>
          <w:rFonts w:hint="eastAsia" w:ascii="仿宋" w:hAnsi="仿宋" w:eastAsia="仿宋" w:cs="仿宋_GB2312"/>
          <w:color w:val="auto"/>
          <w:sz w:val="24"/>
        </w:rPr>
        <w:t>18.2买方违约</w:t>
      </w:r>
    </w:p>
    <w:p w14:paraId="1AA8196A">
      <w:pPr>
        <w:ind w:firstLine="480"/>
        <w:rPr>
          <w:rFonts w:ascii="仿宋" w:hAnsi="仿宋" w:eastAsia="仿宋" w:cs="仿宋_GB2312"/>
          <w:color w:val="auto"/>
          <w:sz w:val="24"/>
        </w:rPr>
      </w:pPr>
      <w:r>
        <w:rPr>
          <w:rFonts w:hint="eastAsia" w:ascii="仿宋" w:hAnsi="仿宋" w:eastAsia="仿宋" w:cs="仿宋_GB2312"/>
          <w:color w:val="auto"/>
          <w:sz w:val="24"/>
        </w:rPr>
        <w:t>18.2.1买方违约的情形</w:t>
      </w:r>
    </w:p>
    <w:p w14:paraId="3DE3A849">
      <w:pPr>
        <w:ind w:firstLine="480"/>
        <w:rPr>
          <w:rFonts w:ascii="仿宋" w:hAnsi="仿宋" w:eastAsia="仿宋" w:cs="仿宋_GB2312"/>
          <w:color w:val="auto"/>
          <w:sz w:val="24"/>
        </w:rPr>
      </w:pPr>
      <w:r>
        <w:rPr>
          <w:rFonts w:hint="eastAsia" w:ascii="仿宋" w:hAnsi="仿宋" w:eastAsia="仿宋" w:cs="仿宋_GB2312"/>
          <w:color w:val="auto"/>
          <w:sz w:val="24"/>
        </w:rPr>
        <w:t>在履行合同过程中发生的下列情形，属买方违约：</w:t>
      </w:r>
    </w:p>
    <w:p w14:paraId="61BBDBDF">
      <w:pPr>
        <w:ind w:firstLine="480"/>
        <w:rPr>
          <w:rFonts w:ascii="仿宋" w:hAnsi="仿宋" w:eastAsia="仿宋" w:cs="仿宋_GB2312"/>
          <w:color w:val="auto"/>
          <w:sz w:val="24"/>
        </w:rPr>
      </w:pPr>
      <w:r>
        <w:rPr>
          <w:rFonts w:hint="eastAsia" w:ascii="仿宋" w:hAnsi="仿宋" w:eastAsia="仿宋" w:cs="仿宋_GB2312"/>
          <w:color w:val="auto"/>
          <w:sz w:val="24"/>
        </w:rPr>
        <w:t>（1）买方未能按照合同约定支付预付款或合同价款，或拖延、拒绝批准付款申请，导致付款延误的；</w:t>
      </w:r>
    </w:p>
    <w:p w14:paraId="7EEEF4AA">
      <w:pPr>
        <w:ind w:firstLine="480"/>
        <w:rPr>
          <w:rFonts w:ascii="仿宋" w:hAnsi="仿宋" w:eastAsia="仿宋" w:cs="仿宋_GB2312"/>
          <w:color w:val="auto"/>
          <w:sz w:val="24"/>
        </w:rPr>
      </w:pPr>
      <w:r>
        <w:rPr>
          <w:rFonts w:hint="eastAsia" w:ascii="仿宋" w:hAnsi="仿宋" w:eastAsia="仿宋" w:cs="仿宋_GB2312"/>
          <w:color w:val="auto"/>
          <w:sz w:val="24"/>
        </w:rPr>
        <w:t>（2）买方原因造成延期的；</w:t>
      </w:r>
    </w:p>
    <w:p w14:paraId="302D2B39">
      <w:pPr>
        <w:ind w:firstLine="480"/>
        <w:rPr>
          <w:rFonts w:ascii="仿宋" w:hAnsi="仿宋" w:eastAsia="仿宋" w:cs="仿宋_GB2312"/>
          <w:color w:val="auto"/>
          <w:sz w:val="24"/>
        </w:rPr>
      </w:pPr>
      <w:r>
        <w:rPr>
          <w:rFonts w:hint="eastAsia" w:ascii="仿宋" w:hAnsi="仿宋" w:eastAsia="仿宋" w:cs="仿宋_GB2312"/>
          <w:color w:val="auto"/>
          <w:sz w:val="24"/>
        </w:rPr>
        <w:t>（3）买方无法继续履行或明确表示不履行或实质上已停止履行合同；</w:t>
      </w:r>
    </w:p>
    <w:p w14:paraId="4FE00126">
      <w:pPr>
        <w:ind w:firstLine="480"/>
        <w:rPr>
          <w:rFonts w:ascii="仿宋" w:hAnsi="仿宋" w:eastAsia="仿宋" w:cs="仿宋_GB2312"/>
          <w:color w:val="auto"/>
          <w:sz w:val="24"/>
        </w:rPr>
      </w:pPr>
      <w:r>
        <w:rPr>
          <w:rFonts w:hint="eastAsia" w:ascii="仿宋" w:hAnsi="仿宋" w:eastAsia="仿宋" w:cs="仿宋_GB2312"/>
          <w:color w:val="auto"/>
          <w:sz w:val="24"/>
        </w:rPr>
        <w:t>（4）买方不按合同约定履行义务的其他情况。</w:t>
      </w:r>
    </w:p>
    <w:p w14:paraId="5F98E7AB">
      <w:pPr>
        <w:ind w:firstLine="480"/>
        <w:rPr>
          <w:rFonts w:ascii="仿宋" w:hAnsi="仿宋" w:eastAsia="仿宋" w:cs="仿宋_GB2312"/>
          <w:color w:val="auto"/>
          <w:sz w:val="24"/>
        </w:rPr>
      </w:pPr>
      <w:r>
        <w:rPr>
          <w:rFonts w:hint="eastAsia" w:ascii="仿宋" w:hAnsi="仿宋" w:eastAsia="仿宋" w:cs="仿宋_GB2312"/>
          <w:color w:val="auto"/>
          <w:sz w:val="24"/>
        </w:rPr>
        <w:t>18.2.2对卖方违约的处理</w:t>
      </w:r>
    </w:p>
    <w:p w14:paraId="07FC754C">
      <w:pPr>
        <w:ind w:firstLine="480"/>
        <w:rPr>
          <w:rFonts w:ascii="仿宋" w:hAnsi="仿宋" w:eastAsia="仿宋" w:cs="仿宋_GB2312"/>
          <w:color w:val="auto"/>
          <w:sz w:val="24"/>
        </w:rPr>
      </w:pPr>
      <w:r>
        <w:rPr>
          <w:rFonts w:hint="eastAsia" w:ascii="仿宋" w:hAnsi="仿宋" w:eastAsia="仿宋" w:cs="仿宋_GB2312"/>
          <w:color w:val="auto"/>
          <w:sz w:val="24"/>
        </w:rPr>
        <w:t>（1）买方发生第18.2.1（3）条约定的违约情况，卖方可书面通知买方解除合同。</w:t>
      </w:r>
    </w:p>
    <w:p w14:paraId="7B2CA6D8">
      <w:pPr>
        <w:ind w:firstLine="480"/>
        <w:rPr>
          <w:rFonts w:ascii="仿宋" w:hAnsi="仿宋" w:eastAsia="仿宋" w:cs="仿宋_GB2312"/>
          <w:color w:val="auto"/>
          <w:sz w:val="24"/>
        </w:rPr>
      </w:pPr>
      <w:r>
        <w:rPr>
          <w:rFonts w:hint="eastAsia" w:ascii="仿宋" w:hAnsi="仿宋" w:eastAsia="仿宋" w:cs="仿宋_GB2312"/>
          <w:color w:val="auto"/>
          <w:sz w:val="24"/>
        </w:rPr>
        <w:t>（2）卖方发生第18.2.1（3）条约定以外的违约情况，卖方可向买方发出通知，要求买方采取有效措施纠正违约行为。买方在收到卖方通知30天后仍不履行合同义务，卖方有权暂停供货或服务，买方应承担由此增加的费用和（或）延期，并支付卖方合理利润。</w:t>
      </w:r>
    </w:p>
    <w:p w14:paraId="7B099C2F">
      <w:pPr>
        <w:ind w:firstLine="480"/>
        <w:rPr>
          <w:rFonts w:ascii="仿宋" w:hAnsi="仿宋" w:eastAsia="仿宋" w:cs="仿宋_GB2312"/>
          <w:color w:val="auto"/>
          <w:sz w:val="24"/>
        </w:rPr>
      </w:pPr>
      <w:r>
        <w:rPr>
          <w:rFonts w:hint="eastAsia" w:ascii="仿宋" w:hAnsi="仿宋" w:eastAsia="仿宋" w:cs="仿宋_GB2312"/>
          <w:color w:val="auto"/>
          <w:sz w:val="24"/>
        </w:rPr>
        <w:t>18.3第三人造成的违约</w:t>
      </w:r>
    </w:p>
    <w:p w14:paraId="3AB9B0AF">
      <w:pPr>
        <w:ind w:firstLine="480"/>
        <w:rPr>
          <w:rFonts w:ascii="仿宋" w:hAnsi="仿宋" w:eastAsia="仿宋" w:cs="仿宋_GB2312"/>
          <w:color w:val="auto"/>
          <w:sz w:val="24"/>
        </w:rPr>
      </w:pPr>
      <w:r>
        <w:rPr>
          <w:rFonts w:hint="eastAsia" w:ascii="仿宋" w:hAnsi="仿宋" w:eastAsia="仿宋" w:cs="仿宋_GB2312"/>
          <w:color w:val="auto"/>
          <w:sz w:val="24"/>
        </w:rPr>
        <w:t>在履行合同过程中，一方当事人因第三人的原因造成违约的，应当向对方当事人承担违约责任。一方当事人和第三人之间的纠纷，依照法律规定解决。</w:t>
      </w:r>
    </w:p>
    <w:p w14:paraId="00BBFBED">
      <w:pPr>
        <w:pStyle w:val="4"/>
        <w:keepNext w:val="0"/>
        <w:keepLines w:val="0"/>
        <w:spacing w:before="0" w:after="0" w:line="360" w:lineRule="auto"/>
        <w:ind w:firstLine="480"/>
        <w:rPr>
          <w:rFonts w:ascii="仿宋" w:hAnsi="仿宋" w:eastAsia="仿宋" w:cs="仿宋_GB2312"/>
          <w:b w:val="0"/>
          <w:color w:val="auto"/>
          <w:sz w:val="24"/>
          <w:szCs w:val="24"/>
        </w:rPr>
      </w:pPr>
      <w:bookmarkStart w:id="155" w:name="_Toc172122921"/>
      <w:bookmarkStart w:id="156" w:name="_Toc181712916"/>
      <w:bookmarkStart w:id="157" w:name="_Toc133603568"/>
      <w:bookmarkStart w:id="158" w:name="_Toc133426334"/>
      <w:r>
        <w:rPr>
          <w:rFonts w:hint="eastAsia" w:ascii="仿宋" w:hAnsi="仿宋" w:eastAsia="仿宋" w:cs="仿宋_GB2312"/>
          <w:b w:val="0"/>
          <w:color w:val="auto"/>
          <w:sz w:val="24"/>
          <w:szCs w:val="24"/>
        </w:rPr>
        <w:t>19．索赔</w:t>
      </w:r>
      <w:bookmarkEnd w:id="155"/>
      <w:bookmarkEnd w:id="156"/>
      <w:bookmarkEnd w:id="157"/>
      <w:bookmarkEnd w:id="158"/>
    </w:p>
    <w:p w14:paraId="46BC581D">
      <w:pPr>
        <w:ind w:firstLine="480"/>
        <w:rPr>
          <w:rFonts w:ascii="仿宋" w:hAnsi="仿宋" w:eastAsia="仿宋" w:cs="仿宋_GB2312"/>
          <w:color w:val="auto"/>
          <w:sz w:val="24"/>
        </w:rPr>
      </w:pPr>
      <w:r>
        <w:rPr>
          <w:rFonts w:hint="eastAsia" w:ascii="仿宋" w:hAnsi="仿宋" w:eastAsia="仿宋" w:cs="仿宋_GB2312"/>
          <w:color w:val="auto"/>
          <w:sz w:val="24"/>
        </w:rPr>
        <w:t>19.1卖方提出的索赔</w:t>
      </w:r>
    </w:p>
    <w:p w14:paraId="428D2009">
      <w:pPr>
        <w:ind w:firstLine="480"/>
        <w:rPr>
          <w:rFonts w:ascii="仿宋" w:hAnsi="仿宋" w:eastAsia="仿宋" w:cs="仿宋_GB2312"/>
          <w:color w:val="auto"/>
          <w:sz w:val="24"/>
        </w:rPr>
      </w:pPr>
      <w:r>
        <w:rPr>
          <w:rFonts w:hint="eastAsia" w:ascii="仿宋" w:hAnsi="仿宋" w:eastAsia="仿宋" w:cs="仿宋_GB2312"/>
          <w:color w:val="auto"/>
          <w:sz w:val="24"/>
        </w:rPr>
        <w:t>根据合同约定，卖方认为有权得到追加付款和（或）延期的，应按以下程序向买方提出索赔：</w:t>
      </w:r>
    </w:p>
    <w:p w14:paraId="3B12D3DC">
      <w:pPr>
        <w:ind w:firstLine="480"/>
        <w:rPr>
          <w:rFonts w:ascii="仿宋" w:hAnsi="仿宋" w:eastAsia="仿宋" w:cs="仿宋_GB2312"/>
          <w:color w:val="auto"/>
          <w:sz w:val="24"/>
        </w:rPr>
      </w:pPr>
      <w:r>
        <w:rPr>
          <w:rFonts w:hint="eastAsia" w:ascii="仿宋" w:hAnsi="仿宋" w:eastAsia="仿宋" w:cs="仿宋_GB2312"/>
          <w:color w:val="auto"/>
          <w:sz w:val="24"/>
        </w:rPr>
        <w:t>（1）卖方应在知道或应当知道索赔事件发生后5天内，向买方发出通知，并说明发生索赔事件的事由。卖方未在前述5天内发出通知的，丧失要求追加付款和（或）延期的权利；</w:t>
      </w:r>
    </w:p>
    <w:p w14:paraId="5C56698D">
      <w:pPr>
        <w:ind w:firstLine="480"/>
        <w:rPr>
          <w:rFonts w:ascii="仿宋" w:hAnsi="仿宋" w:eastAsia="仿宋" w:cs="仿宋_GB2312"/>
          <w:color w:val="auto"/>
          <w:sz w:val="24"/>
        </w:rPr>
      </w:pPr>
      <w:r>
        <w:rPr>
          <w:rFonts w:hint="eastAsia" w:ascii="仿宋" w:hAnsi="仿宋" w:eastAsia="仿宋" w:cs="仿宋_GB2312"/>
          <w:color w:val="auto"/>
          <w:sz w:val="24"/>
        </w:rPr>
        <w:t>（2）卖方在发出通知后5天内，向买方正式递交索赔通知。索赔通知应详细说明索赔理由以及要求追加的付款金额和（或）延期天数，并附必要的记录和证明材料；</w:t>
      </w:r>
    </w:p>
    <w:p w14:paraId="7A1C1CC3">
      <w:pPr>
        <w:ind w:firstLine="480"/>
        <w:rPr>
          <w:rFonts w:ascii="仿宋" w:hAnsi="仿宋" w:eastAsia="仿宋" w:cs="仿宋_GB2312"/>
          <w:color w:val="auto"/>
          <w:sz w:val="24"/>
        </w:rPr>
      </w:pPr>
      <w:r>
        <w:rPr>
          <w:rFonts w:hint="eastAsia" w:ascii="仿宋" w:hAnsi="仿宋" w:eastAsia="仿宋" w:cs="仿宋_GB2312"/>
          <w:color w:val="auto"/>
          <w:sz w:val="24"/>
        </w:rPr>
        <w:t>（3）买方收到卖方提交的索赔通知书后，应及时审查索赔通知书的内容、查验卖方的记录和证明材料；在收到索赔通知书后30天内，将索赔处理结果答复卖方；卖方接收索赔处理结果的，买方在做出索赔处理结果答复后的10天内完成赔付。卖方不接受索赔处理结果的，按第22条的约定办理。</w:t>
      </w:r>
    </w:p>
    <w:p w14:paraId="23885D2D">
      <w:pPr>
        <w:ind w:firstLine="480"/>
        <w:rPr>
          <w:rFonts w:ascii="仿宋" w:hAnsi="仿宋" w:eastAsia="仿宋" w:cs="仿宋_GB2312"/>
          <w:color w:val="auto"/>
          <w:sz w:val="24"/>
        </w:rPr>
      </w:pPr>
      <w:r>
        <w:rPr>
          <w:rFonts w:hint="eastAsia" w:ascii="仿宋" w:hAnsi="仿宋" w:eastAsia="仿宋" w:cs="仿宋_GB2312"/>
          <w:color w:val="auto"/>
          <w:sz w:val="24"/>
        </w:rPr>
        <w:t>19.2买方的索赔</w:t>
      </w:r>
    </w:p>
    <w:p w14:paraId="416B5666">
      <w:pPr>
        <w:ind w:firstLine="480"/>
        <w:rPr>
          <w:rFonts w:ascii="仿宋" w:hAnsi="仿宋" w:eastAsia="仿宋" w:cs="仿宋_GB2312"/>
          <w:color w:val="auto"/>
          <w:sz w:val="24"/>
        </w:rPr>
      </w:pPr>
      <w:r>
        <w:rPr>
          <w:rFonts w:hint="eastAsia" w:ascii="仿宋" w:hAnsi="仿宋" w:eastAsia="仿宋" w:cs="仿宋_GB2312"/>
          <w:color w:val="auto"/>
          <w:sz w:val="24"/>
        </w:rPr>
        <w:t>19.2.1因卖方责任造成违约，买方有权根据买方按检验标准自己检验的结果或当地质检部门出具的质检证书向卖方提出索赔。</w:t>
      </w:r>
    </w:p>
    <w:p w14:paraId="4DDE52BB">
      <w:pPr>
        <w:ind w:firstLine="480"/>
        <w:rPr>
          <w:rFonts w:ascii="仿宋" w:hAnsi="仿宋" w:eastAsia="仿宋" w:cs="仿宋_GB2312"/>
          <w:color w:val="auto"/>
          <w:sz w:val="24"/>
        </w:rPr>
      </w:pPr>
      <w:r>
        <w:rPr>
          <w:rFonts w:hint="eastAsia" w:ascii="仿宋" w:hAnsi="仿宋" w:eastAsia="仿宋" w:cs="仿宋_GB2312"/>
          <w:color w:val="auto"/>
          <w:sz w:val="24"/>
        </w:rPr>
        <w:t>19.2.2如果货物的数量、质量、技术性能、标准、型号、规格等方面不符合合同规定，并且买方已在检验、安装、调试、验收和本合同第11条规定的保证期内提出了索赔，卖方应根据买方要求的下列一种或几种方式处理索赔事宜：</w:t>
      </w:r>
    </w:p>
    <w:p w14:paraId="6518BB4E">
      <w:pPr>
        <w:ind w:firstLine="480"/>
        <w:rPr>
          <w:rFonts w:ascii="仿宋" w:hAnsi="仿宋" w:eastAsia="仿宋" w:cs="仿宋_GB2312"/>
          <w:color w:val="auto"/>
          <w:sz w:val="24"/>
        </w:rPr>
      </w:pPr>
      <w:r>
        <w:rPr>
          <w:rFonts w:hint="eastAsia" w:ascii="仿宋" w:hAnsi="仿宋" w:eastAsia="仿宋" w:cs="仿宋_GB2312"/>
          <w:color w:val="auto"/>
          <w:sz w:val="24"/>
        </w:rPr>
        <w:t>（1）卖方同意买方退货并向买方退还货物价格相等的款额，同时承担由此发生的一切损失和费用，包括利息、银行手续费、运费、保险费、检验费、仓储费、装卸费以及为保护退回货物所需的其它必要费用；</w:t>
      </w:r>
    </w:p>
    <w:p w14:paraId="00D68458">
      <w:pPr>
        <w:ind w:firstLine="480"/>
        <w:rPr>
          <w:rFonts w:ascii="仿宋" w:hAnsi="仿宋" w:eastAsia="仿宋" w:cs="仿宋_GB2312"/>
          <w:color w:val="auto"/>
          <w:sz w:val="24"/>
        </w:rPr>
      </w:pPr>
      <w:r>
        <w:rPr>
          <w:rFonts w:hint="eastAsia" w:ascii="仿宋" w:hAnsi="仿宋" w:eastAsia="仿宋" w:cs="仿宋_GB2312"/>
          <w:color w:val="auto"/>
          <w:sz w:val="24"/>
        </w:rPr>
        <w:t>（2）根据货物的质量状况以及买方所遭受损失的金额，由双方协商对货物进行降价处理；</w:t>
      </w:r>
    </w:p>
    <w:p w14:paraId="409FD1C0">
      <w:pPr>
        <w:ind w:firstLine="480"/>
        <w:rPr>
          <w:rFonts w:ascii="仿宋" w:hAnsi="仿宋" w:eastAsia="仿宋" w:cs="仿宋_GB2312"/>
          <w:color w:val="auto"/>
          <w:sz w:val="24"/>
        </w:rPr>
      </w:pPr>
      <w:r>
        <w:rPr>
          <w:rFonts w:hint="eastAsia" w:ascii="仿宋" w:hAnsi="仿宋" w:eastAsia="仿宋" w:cs="仿宋_GB2312"/>
          <w:color w:val="auto"/>
          <w:sz w:val="24"/>
        </w:rPr>
        <w:t>（3）用符合合同规定的规格、质量和性能要求的新零件、部件或设备更换有缺陷的部分或修补缺陷部分，卖方应承担一切费用和风险，并负担买方为此付出的全部直接损失费用。同时，卖方应对所更换货物给予相当于本合同第11条规定的保证期。</w:t>
      </w:r>
    </w:p>
    <w:p w14:paraId="4E3E8BEA">
      <w:pPr>
        <w:ind w:firstLine="480"/>
        <w:rPr>
          <w:rFonts w:ascii="仿宋" w:hAnsi="仿宋" w:eastAsia="仿宋" w:cs="仿宋_GB2312"/>
          <w:color w:val="auto"/>
          <w:sz w:val="24"/>
        </w:rPr>
      </w:pPr>
      <w:r>
        <w:rPr>
          <w:rFonts w:hint="eastAsia" w:ascii="仿宋" w:hAnsi="仿宋" w:eastAsia="仿宋" w:cs="仿宋_GB2312"/>
          <w:color w:val="auto"/>
          <w:sz w:val="24"/>
        </w:rPr>
        <w:t>19.2.3卖方在接到买方的索赔通知后十(10)天内未作答复，视同卖方已接受上述索赔要求。如果在接受买方要求后十(10)天内或买方同意的延长期限内，卖方未能按照上述买方要求的任一方式处理索赔，则买方将从支付合同款项或履约保证金中扣款。如果这些金额不足以补偿索赔金额，买方有权向卖方提出不足部分的补偿。</w:t>
      </w:r>
    </w:p>
    <w:p w14:paraId="508A7B28">
      <w:pPr>
        <w:pStyle w:val="4"/>
        <w:keepNext w:val="0"/>
        <w:keepLines w:val="0"/>
        <w:spacing w:before="0" w:after="0" w:line="360" w:lineRule="auto"/>
        <w:ind w:firstLine="480"/>
        <w:rPr>
          <w:rFonts w:ascii="仿宋" w:hAnsi="仿宋" w:eastAsia="仿宋" w:cs="仿宋_GB2312"/>
          <w:b w:val="0"/>
          <w:color w:val="auto"/>
          <w:sz w:val="24"/>
          <w:szCs w:val="24"/>
        </w:rPr>
      </w:pPr>
      <w:bookmarkStart w:id="159" w:name="_Toc133426335"/>
      <w:bookmarkStart w:id="160" w:name="_Toc133603569"/>
      <w:bookmarkStart w:id="161" w:name="_Toc172122922"/>
      <w:bookmarkStart w:id="162" w:name="_Toc119623156"/>
      <w:bookmarkStart w:id="163" w:name="_Toc181712917"/>
      <w:r>
        <w:rPr>
          <w:rFonts w:hint="eastAsia" w:ascii="仿宋" w:hAnsi="仿宋" w:eastAsia="仿宋" w:cs="仿宋_GB2312"/>
          <w:b w:val="0"/>
          <w:color w:val="auto"/>
          <w:sz w:val="24"/>
          <w:szCs w:val="24"/>
        </w:rPr>
        <w:t>20．终止合同</w:t>
      </w:r>
      <w:bookmarkEnd w:id="159"/>
      <w:bookmarkEnd w:id="160"/>
      <w:bookmarkEnd w:id="161"/>
      <w:bookmarkEnd w:id="162"/>
      <w:bookmarkEnd w:id="163"/>
    </w:p>
    <w:p w14:paraId="6BA37DA1">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20.1卖方违约终止合同</w:t>
      </w:r>
    </w:p>
    <w:p w14:paraId="7A1769FE">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发生下列情形时，买方可向卖方发出书面违约的通知书，提出终止部分或全部合同。卖方应承担购买类似货物所超出的那部分费用。同时，卖方应继续执行合同中未终止的部分。</w:t>
      </w:r>
    </w:p>
    <w:p w14:paraId="6F4A33AD">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（1）如果卖方未能在合同规定的时间内或未能在买方同意延长的时间内提供部分或全部货物及服务。</w:t>
      </w:r>
    </w:p>
    <w:p w14:paraId="0CAD5E2D">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（2）卖方未能履行合同项下的其他任何义务。</w:t>
      </w:r>
    </w:p>
    <w:p w14:paraId="72028E3B">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（3）如果买方认为卖方在本合的竞争或实施中有欺诈行为。</w:t>
      </w:r>
    </w:p>
    <w:p w14:paraId="67175BE0">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20.2因卖方破产而终止合同</w:t>
      </w:r>
    </w:p>
    <w:p w14:paraId="062C96B1">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如果卖方破产或无清偿债务的能力，导致合同不能履行时，买方可在任何时候以书面形式通知卖方终止合同而不对卖方进行任何补偿。该终止合同将不损害或影响买方已经采取或将要采取的任何行动或补救措施的权利。</w:t>
      </w:r>
    </w:p>
    <w:p w14:paraId="779DB081">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20.3为买方方便而终止合同</w:t>
      </w:r>
    </w:p>
    <w:p w14:paraId="77894B82">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(1)买方可在任何时候出于自身的便利向卖方发出书面通知全部或部分终止合同，终止通知应明确该终止合同是出于买方的便利，合同终止的程度，以及终止的生效日期。</w:t>
      </w:r>
    </w:p>
    <w:p w14:paraId="6922A3CC">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(2)对在卖方接到终止合同通知时已完成的货物和服务，买方应按合同规定的条件和价格买下，其余部分买方可进行选择：</w:t>
      </w:r>
    </w:p>
    <w:p w14:paraId="70F2C6C3">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1)选择任一部分并按合同条件和价格执行和交货；</w:t>
      </w:r>
    </w:p>
    <w:p w14:paraId="2CC01822">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2)取消该剩下的货物，并按双方商定的金额向卖方支付部分完成的货物和服务以及卖方以前已采购的材料和部件的费用。</w:t>
      </w:r>
    </w:p>
    <w:p w14:paraId="606A9C67">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3)对于卖方在收到终止通知后继续执行合同的行为，买方不承担任何责任。</w:t>
      </w:r>
    </w:p>
    <w:p w14:paraId="74FF0344">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20.4终止合同的处理</w:t>
      </w:r>
    </w:p>
    <w:p w14:paraId="762D3E76">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（1）卖方应将一切与合同有关的并已付款的文件、资料交付给买方。</w:t>
      </w:r>
    </w:p>
    <w:p w14:paraId="40C23153">
      <w:pPr>
        <w:ind w:firstLine="477" w:firstLineChars="199"/>
        <w:rPr>
          <w:rFonts w:ascii="仿宋" w:hAnsi="仿宋" w:eastAsia="仿宋" w:cs="仿宋_GB2312"/>
          <w:color w:val="auto"/>
          <w:sz w:val="24"/>
        </w:rPr>
      </w:pPr>
      <w:r>
        <w:rPr>
          <w:rFonts w:hint="eastAsia" w:ascii="仿宋" w:hAnsi="仿宋" w:eastAsia="仿宋" w:cs="仿宋_GB2312"/>
          <w:color w:val="auto"/>
          <w:sz w:val="24"/>
        </w:rPr>
        <w:t>（2）买方不承担任何由于终止合同而由第三方向卖方提出的各项索赔，不论直接的或间接的。</w:t>
      </w:r>
    </w:p>
    <w:p w14:paraId="74EB0BC0">
      <w:pPr>
        <w:ind w:firstLine="477" w:firstLineChars="199"/>
        <w:rPr>
          <w:rFonts w:ascii="仿宋" w:hAnsi="仿宋" w:eastAsia="仿宋" w:cs="仿宋_GB2312"/>
          <w:color w:val="auto"/>
          <w:sz w:val="24"/>
        </w:rPr>
      </w:pPr>
      <w:r>
        <w:rPr>
          <w:rFonts w:hint="eastAsia" w:ascii="仿宋" w:hAnsi="仿宋" w:eastAsia="仿宋" w:cs="仿宋_GB2312"/>
          <w:color w:val="auto"/>
          <w:sz w:val="24"/>
        </w:rPr>
        <w:t>（3）如只是合同的一部分被终止，其他部分仍应继续执行。</w:t>
      </w:r>
    </w:p>
    <w:p w14:paraId="782EB357">
      <w:pPr>
        <w:ind w:firstLine="477" w:firstLineChars="199"/>
        <w:rPr>
          <w:rFonts w:ascii="仿宋" w:hAnsi="仿宋" w:eastAsia="仿宋" w:cs="仿宋_GB2312"/>
          <w:color w:val="auto"/>
          <w:sz w:val="24"/>
        </w:rPr>
      </w:pPr>
      <w:r>
        <w:rPr>
          <w:rFonts w:hint="eastAsia" w:ascii="仿宋" w:hAnsi="仿宋" w:eastAsia="仿宋" w:cs="仿宋_GB2312"/>
          <w:color w:val="auto"/>
          <w:sz w:val="24"/>
        </w:rPr>
        <w:t>20.5本合同终止时双方未了的债权和债务不受合同终止的影响，债务人应继续偿还未了的债务。</w:t>
      </w:r>
    </w:p>
    <w:p w14:paraId="32A314B5">
      <w:pPr>
        <w:ind w:firstLine="477" w:firstLineChars="199"/>
        <w:rPr>
          <w:rFonts w:ascii="仿宋" w:hAnsi="仿宋" w:eastAsia="仿宋" w:cs="仿宋_GB2312"/>
          <w:color w:val="auto"/>
          <w:sz w:val="24"/>
        </w:rPr>
      </w:pPr>
      <w:r>
        <w:rPr>
          <w:rFonts w:hint="eastAsia" w:ascii="仿宋" w:hAnsi="仿宋" w:eastAsia="仿宋" w:cs="仿宋_GB2312"/>
          <w:color w:val="auto"/>
          <w:sz w:val="24"/>
        </w:rPr>
        <w:t>20.6不可抗力终止合同：如果第21条所述的不可抗力事故发生时间超过六十(60)天，买方有权终止合同。</w:t>
      </w:r>
    </w:p>
    <w:p w14:paraId="355E2039">
      <w:pPr>
        <w:pStyle w:val="4"/>
        <w:keepNext w:val="0"/>
        <w:keepLines w:val="0"/>
        <w:spacing w:before="0" w:after="0" w:line="360" w:lineRule="auto"/>
        <w:ind w:firstLine="480"/>
        <w:rPr>
          <w:rFonts w:ascii="仿宋" w:hAnsi="仿宋" w:eastAsia="仿宋" w:cs="仿宋_GB2312"/>
          <w:b w:val="0"/>
          <w:bCs w:val="0"/>
          <w:color w:val="auto"/>
          <w:sz w:val="24"/>
          <w:szCs w:val="24"/>
        </w:rPr>
      </w:pPr>
      <w:bookmarkStart w:id="164" w:name="_Toc119623157"/>
      <w:bookmarkStart w:id="165" w:name="_Toc133426336"/>
      <w:bookmarkStart w:id="166" w:name="_Toc181712918"/>
      <w:bookmarkStart w:id="167" w:name="_Toc133603570"/>
      <w:bookmarkStart w:id="168" w:name="_Toc172122923"/>
      <w:r>
        <w:rPr>
          <w:rFonts w:hint="eastAsia" w:ascii="仿宋" w:hAnsi="仿宋" w:eastAsia="仿宋" w:cs="仿宋_GB2312"/>
          <w:b w:val="0"/>
          <w:color w:val="auto"/>
          <w:sz w:val="24"/>
          <w:szCs w:val="24"/>
        </w:rPr>
        <w:t>21．不可抗力</w:t>
      </w:r>
      <w:bookmarkEnd w:id="164"/>
      <w:bookmarkEnd w:id="165"/>
      <w:bookmarkEnd w:id="166"/>
      <w:bookmarkEnd w:id="167"/>
      <w:bookmarkEnd w:id="168"/>
    </w:p>
    <w:p w14:paraId="7706F495">
      <w:pPr>
        <w:ind w:firstLine="480"/>
        <w:rPr>
          <w:rFonts w:ascii="仿宋" w:hAnsi="仿宋" w:eastAsia="仿宋" w:cs="仿宋_GB2312"/>
          <w:color w:val="auto"/>
          <w:sz w:val="24"/>
        </w:rPr>
      </w:pPr>
      <w:r>
        <w:rPr>
          <w:rFonts w:hint="eastAsia" w:ascii="仿宋" w:hAnsi="仿宋" w:eastAsia="仿宋" w:cs="仿宋_GB2312"/>
          <w:color w:val="auto"/>
          <w:sz w:val="24"/>
        </w:rPr>
        <w:t>21.1如果买卖双方因不可抗力而导致合同实施延误或不能履行其它合同义务时，双方由此产生的损失不得向对方提出索赔要求，也不承担误期赔偿或终止合同的责任。</w:t>
      </w:r>
    </w:p>
    <w:p w14:paraId="60E1FC13">
      <w:pPr>
        <w:pStyle w:val="22"/>
        <w:tabs>
          <w:tab w:val="left" w:pos="0"/>
        </w:tabs>
        <w:ind w:firstLine="480"/>
        <w:rPr>
          <w:rFonts w:ascii="仿宋" w:hAnsi="仿宋" w:eastAsia="仿宋" w:cs="仿宋_GB2312"/>
          <w:color w:val="auto"/>
          <w:sz w:val="24"/>
          <w:szCs w:val="24"/>
        </w:rPr>
      </w:pPr>
      <w:r>
        <w:rPr>
          <w:rFonts w:hint="eastAsia" w:ascii="仿宋" w:hAnsi="仿宋" w:eastAsia="仿宋" w:cs="仿宋_GB2312"/>
          <w:color w:val="auto"/>
          <w:sz w:val="24"/>
          <w:szCs w:val="24"/>
        </w:rPr>
        <w:t>21.2本条款所述的“不可抗力”系指不能预见、不能避免并不能克服的客观情况，包括因战争、敌对行动（无论是否宣战）、入侵、外敌行为、军事政变、恐怖主义、动乱、空中飞行物坠落或其他非买方卖方责任或原因造成的罢工、停工、爆炸、火灾等，以及：</w:t>
      </w:r>
    </w:p>
    <w:p w14:paraId="58906029">
      <w:pPr>
        <w:pStyle w:val="22"/>
        <w:widowControl/>
        <w:tabs>
          <w:tab w:val="left" w:pos="0"/>
        </w:tabs>
        <w:ind w:firstLine="480"/>
        <w:rPr>
          <w:rFonts w:ascii="仿宋" w:hAnsi="仿宋" w:eastAsia="仿宋" w:cs="仿宋_GB2312"/>
          <w:color w:val="auto"/>
          <w:sz w:val="24"/>
          <w:szCs w:val="24"/>
        </w:rPr>
      </w:pPr>
      <w:r>
        <w:rPr>
          <w:rFonts w:hint="eastAsia" w:ascii="仿宋" w:hAnsi="仿宋" w:eastAsia="仿宋" w:cs="仿宋_GB2312"/>
          <w:color w:val="auto"/>
          <w:sz w:val="24"/>
          <w:szCs w:val="24"/>
        </w:rPr>
        <w:t>（1）当地气象部门规定的灾害情形；</w:t>
      </w:r>
    </w:p>
    <w:p w14:paraId="35C5D704">
      <w:pPr>
        <w:pStyle w:val="22"/>
        <w:widowControl/>
        <w:tabs>
          <w:tab w:val="left" w:pos="0"/>
        </w:tabs>
        <w:ind w:firstLine="480"/>
        <w:rPr>
          <w:rFonts w:ascii="仿宋" w:hAnsi="仿宋" w:eastAsia="仿宋" w:cs="仿宋_GB2312"/>
          <w:color w:val="auto"/>
          <w:sz w:val="24"/>
          <w:szCs w:val="24"/>
        </w:rPr>
      </w:pPr>
      <w:r>
        <w:rPr>
          <w:rFonts w:hint="eastAsia" w:ascii="仿宋" w:hAnsi="仿宋" w:eastAsia="仿宋" w:cs="仿宋_GB2312"/>
          <w:color w:val="auto"/>
          <w:sz w:val="24"/>
          <w:szCs w:val="24"/>
        </w:rPr>
        <w:t>（2）当地地震部门规定的灾害情形；</w:t>
      </w:r>
    </w:p>
    <w:p w14:paraId="01D6914B">
      <w:pPr>
        <w:pStyle w:val="22"/>
        <w:widowControl/>
        <w:tabs>
          <w:tab w:val="left" w:pos="0"/>
        </w:tabs>
        <w:ind w:firstLine="480"/>
        <w:rPr>
          <w:rFonts w:ascii="仿宋" w:hAnsi="仿宋" w:eastAsia="仿宋" w:cs="仿宋_GB2312"/>
          <w:color w:val="auto"/>
          <w:sz w:val="24"/>
          <w:szCs w:val="24"/>
        </w:rPr>
      </w:pPr>
      <w:r>
        <w:rPr>
          <w:rFonts w:hint="eastAsia" w:ascii="仿宋" w:hAnsi="仿宋" w:eastAsia="仿宋" w:cs="仿宋_GB2312"/>
          <w:color w:val="auto"/>
          <w:sz w:val="24"/>
          <w:szCs w:val="24"/>
        </w:rPr>
        <w:t>（3）当地卫生部门规定的灾害情形；</w:t>
      </w:r>
    </w:p>
    <w:p w14:paraId="1F909FBF">
      <w:pPr>
        <w:pStyle w:val="22"/>
        <w:widowControl/>
        <w:tabs>
          <w:tab w:val="left" w:pos="0"/>
        </w:tabs>
        <w:ind w:firstLine="480"/>
        <w:rPr>
          <w:rFonts w:ascii="仿宋" w:hAnsi="仿宋" w:eastAsia="仿宋" w:cs="仿宋_GB2312"/>
          <w:color w:val="auto"/>
          <w:sz w:val="24"/>
          <w:szCs w:val="24"/>
        </w:rPr>
      </w:pPr>
      <w:r>
        <w:rPr>
          <w:rFonts w:hint="eastAsia" w:ascii="仿宋" w:hAnsi="仿宋" w:eastAsia="仿宋" w:cs="仿宋_GB2312"/>
          <w:color w:val="auto"/>
          <w:sz w:val="24"/>
          <w:szCs w:val="24"/>
        </w:rPr>
        <w:t>（4）专用条款约定的其他情形。</w:t>
      </w:r>
    </w:p>
    <w:p w14:paraId="0A4D3065">
      <w:pPr>
        <w:pStyle w:val="22"/>
        <w:widowControl/>
        <w:tabs>
          <w:tab w:val="left" w:pos="0"/>
        </w:tabs>
        <w:ind w:firstLine="480"/>
        <w:rPr>
          <w:rFonts w:ascii="仿宋" w:hAnsi="仿宋" w:eastAsia="仿宋" w:cs="仿宋_GB2312"/>
          <w:color w:val="auto"/>
          <w:sz w:val="24"/>
          <w:szCs w:val="24"/>
        </w:rPr>
      </w:pPr>
      <w:r>
        <w:rPr>
          <w:rFonts w:hint="eastAsia" w:ascii="仿宋" w:hAnsi="仿宋" w:eastAsia="仿宋" w:cs="仿宋_GB2312"/>
          <w:color w:val="auto"/>
          <w:sz w:val="24"/>
          <w:szCs w:val="24"/>
        </w:rPr>
        <w:t>21.3在不可抗力事件发生时，受不可抗力影响的一方应在七(7)天以内以书面形式将不可抗力的情况和原因通知对方，并于事件发生后十四(14)天内将有关单位出具的证明文件用特快专递寄给对方确认。并积极采取措施减少不可抗力对合同履行的影响。双方应尽实际可能继续履行合同义务，以及寻求采取合理的方案履行不受不可抗力影响的其它事项。如果不可抗力事件影响延续超过六十(60)天，双方应通过友好协商在合理的时间内就进一步实施合同达成协议。</w:t>
      </w:r>
    </w:p>
    <w:p w14:paraId="4E463A2E">
      <w:pPr>
        <w:pStyle w:val="22"/>
        <w:widowControl/>
        <w:tabs>
          <w:tab w:val="left" w:pos="0"/>
        </w:tabs>
        <w:ind w:firstLine="480"/>
        <w:rPr>
          <w:rFonts w:ascii="仿宋" w:hAnsi="仿宋" w:eastAsia="仿宋" w:cs="仿宋_GB2312"/>
          <w:color w:val="auto"/>
          <w:sz w:val="24"/>
          <w:szCs w:val="24"/>
        </w:rPr>
      </w:pPr>
      <w:r>
        <w:rPr>
          <w:rFonts w:hint="eastAsia" w:ascii="仿宋" w:hAnsi="仿宋" w:eastAsia="仿宋" w:cs="仿宋_GB2312"/>
          <w:color w:val="auto"/>
          <w:sz w:val="24"/>
          <w:szCs w:val="24"/>
        </w:rPr>
        <w:t>21.4因不可抗力造成合同双方或任何一方无法继续履行合同时，经双方协商后可解除合同。协商不能达成一致，则按本合同条款第22条的规定处理。</w:t>
      </w:r>
    </w:p>
    <w:p w14:paraId="7732C5FB">
      <w:pPr>
        <w:pStyle w:val="4"/>
        <w:keepNext w:val="0"/>
        <w:keepLines w:val="0"/>
        <w:spacing w:before="0" w:after="0" w:line="360" w:lineRule="auto"/>
        <w:ind w:firstLine="480"/>
        <w:rPr>
          <w:rFonts w:ascii="仿宋" w:hAnsi="仿宋" w:eastAsia="仿宋" w:cs="仿宋_GB2312"/>
          <w:b w:val="0"/>
          <w:bCs w:val="0"/>
          <w:color w:val="auto"/>
          <w:sz w:val="24"/>
          <w:szCs w:val="24"/>
        </w:rPr>
      </w:pPr>
      <w:bookmarkStart w:id="169" w:name="_Toc181712919"/>
      <w:bookmarkStart w:id="170" w:name="_Toc133426337"/>
      <w:bookmarkStart w:id="171" w:name="_Toc172122924"/>
      <w:bookmarkStart w:id="172" w:name="_Toc133603571"/>
      <w:bookmarkStart w:id="173" w:name="_Toc119623158"/>
      <w:r>
        <w:rPr>
          <w:rFonts w:hint="eastAsia" w:ascii="仿宋" w:hAnsi="仿宋" w:eastAsia="仿宋" w:cs="仿宋_GB2312"/>
          <w:b w:val="0"/>
          <w:color w:val="auto"/>
          <w:sz w:val="24"/>
          <w:szCs w:val="24"/>
        </w:rPr>
        <w:t>22．争端的解决</w:t>
      </w:r>
      <w:bookmarkEnd w:id="169"/>
      <w:bookmarkEnd w:id="170"/>
      <w:bookmarkEnd w:id="171"/>
      <w:bookmarkEnd w:id="172"/>
      <w:bookmarkEnd w:id="173"/>
    </w:p>
    <w:p w14:paraId="71E23520">
      <w:pPr>
        <w:pStyle w:val="22"/>
        <w:widowControl/>
        <w:tabs>
          <w:tab w:val="left" w:pos="0"/>
        </w:tabs>
        <w:ind w:firstLine="480"/>
        <w:rPr>
          <w:rFonts w:ascii="仿宋" w:hAnsi="仿宋" w:eastAsia="仿宋" w:cs="仿宋_GB2312"/>
          <w:color w:val="auto"/>
          <w:sz w:val="24"/>
          <w:szCs w:val="24"/>
          <w:lang w:val="en-GB"/>
        </w:rPr>
      </w:pPr>
      <w:r>
        <w:rPr>
          <w:rFonts w:hint="eastAsia" w:ascii="仿宋" w:hAnsi="仿宋" w:eastAsia="仿宋" w:cs="仿宋_GB2312"/>
          <w:color w:val="auto"/>
          <w:sz w:val="24"/>
          <w:szCs w:val="24"/>
        </w:rPr>
        <w:t>22.1在执行本合同中发生的或与本合同有关的一切争端，双方应通过友好协商解决，如从协商开始二十（20）天内仍不能达成协议时，可按专用条款约定的下列一种方式解决争议：</w:t>
      </w:r>
    </w:p>
    <w:p w14:paraId="0E1D1213">
      <w:pPr>
        <w:pStyle w:val="22"/>
        <w:widowControl/>
        <w:ind w:firstLine="480"/>
        <w:rPr>
          <w:rFonts w:ascii="仿宋" w:hAnsi="仿宋" w:eastAsia="仿宋" w:cs="仿宋_GB2312"/>
          <w:color w:val="auto"/>
          <w:sz w:val="24"/>
          <w:szCs w:val="24"/>
        </w:rPr>
      </w:pPr>
      <w:r>
        <w:rPr>
          <w:rFonts w:hint="eastAsia" w:ascii="仿宋" w:hAnsi="仿宋" w:eastAsia="仿宋" w:cs="仿宋_GB2312"/>
          <w:color w:val="auto"/>
          <w:sz w:val="24"/>
          <w:szCs w:val="24"/>
        </w:rPr>
        <w:t>（1）向约定的仲裁委员会申请仲裁；</w:t>
      </w:r>
    </w:p>
    <w:p w14:paraId="0C4B29B7">
      <w:pPr>
        <w:pStyle w:val="22"/>
        <w:widowControl/>
        <w:ind w:firstLine="480"/>
        <w:rPr>
          <w:rFonts w:ascii="仿宋" w:hAnsi="仿宋" w:eastAsia="仿宋" w:cs="仿宋_GB2312"/>
          <w:color w:val="auto"/>
          <w:sz w:val="24"/>
          <w:szCs w:val="24"/>
        </w:rPr>
      </w:pPr>
      <w:r>
        <w:rPr>
          <w:rFonts w:hint="eastAsia" w:ascii="仿宋" w:hAnsi="仿宋" w:eastAsia="仿宋" w:cs="仿宋_GB2312"/>
          <w:color w:val="auto"/>
          <w:sz w:val="24"/>
          <w:szCs w:val="24"/>
        </w:rPr>
        <w:t>（2）向有管辖权的人民法院提起诉讼。</w:t>
      </w:r>
    </w:p>
    <w:p w14:paraId="3A8BF78B">
      <w:pPr>
        <w:pStyle w:val="22"/>
        <w:widowControl/>
        <w:ind w:firstLine="480"/>
        <w:rPr>
          <w:rFonts w:ascii="仿宋" w:hAnsi="仿宋" w:eastAsia="仿宋" w:cs="仿宋_GB2312"/>
          <w:color w:val="auto"/>
          <w:sz w:val="24"/>
          <w:szCs w:val="24"/>
        </w:rPr>
      </w:pPr>
      <w:r>
        <w:rPr>
          <w:rFonts w:hint="eastAsia" w:ascii="仿宋" w:hAnsi="仿宋" w:eastAsia="仿宋" w:cs="仿宋_GB2312"/>
          <w:color w:val="auto"/>
          <w:sz w:val="24"/>
          <w:szCs w:val="24"/>
        </w:rPr>
        <w:t>22.2仲裁或诉讼费用除另有裁决外，应由败诉方负担。</w:t>
      </w:r>
    </w:p>
    <w:p w14:paraId="26A473D4">
      <w:pPr>
        <w:pStyle w:val="22"/>
        <w:widowControl/>
        <w:ind w:firstLine="480"/>
        <w:rPr>
          <w:rFonts w:ascii="仿宋" w:hAnsi="仿宋" w:eastAsia="仿宋" w:cs="仿宋_GB2312"/>
          <w:color w:val="auto"/>
          <w:sz w:val="24"/>
          <w:szCs w:val="24"/>
        </w:rPr>
      </w:pPr>
      <w:r>
        <w:rPr>
          <w:rFonts w:hint="eastAsia" w:ascii="仿宋" w:hAnsi="仿宋" w:eastAsia="仿宋" w:cs="仿宋_GB2312"/>
          <w:color w:val="auto"/>
          <w:sz w:val="24"/>
          <w:szCs w:val="24"/>
        </w:rPr>
        <w:t>22.3在仲裁或诉讼期间，除正在进行仲裁的部分外，本合同其它部分应继续履行。</w:t>
      </w:r>
    </w:p>
    <w:p w14:paraId="0DFC47D0">
      <w:pPr>
        <w:pStyle w:val="22"/>
        <w:ind w:left="120" w:hanging="120" w:hangingChars="50"/>
        <w:rPr>
          <w:rFonts w:ascii="仿宋" w:hAnsi="仿宋" w:eastAsia="仿宋" w:cs="仿宋_GB2312"/>
          <w:bCs/>
          <w:color w:val="auto"/>
          <w:sz w:val="24"/>
          <w:szCs w:val="24"/>
        </w:rPr>
      </w:pPr>
      <w:r>
        <w:rPr>
          <w:rFonts w:hint="eastAsia" w:ascii="仿宋" w:hAnsi="仿宋" w:eastAsia="仿宋" w:cs="仿宋_GB2312"/>
          <w:bCs/>
          <w:color w:val="auto"/>
          <w:sz w:val="24"/>
          <w:szCs w:val="24"/>
        </w:rPr>
        <w:t>23.履约保证金</w:t>
      </w:r>
    </w:p>
    <w:p w14:paraId="225BA818">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23.1如果买方提出本合同规定应提交履约保证金的，卖方应予提交；具体金额、提交时间及方式见合同专用条款。</w:t>
      </w:r>
    </w:p>
    <w:p w14:paraId="314C56AB">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23.2在卖方完成其合同义务包括任何保证义务后三十（30）天内，买方将把履约保证金退还卖方。</w:t>
      </w:r>
    </w:p>
    <w:p w14:paraId="58A5AF91">
      <w:pPr>
        <w:pStyle w:val="22"/>
        <w:ind w:left="720" w:hanging="720" w:hangingChars="300"/>
        <w:rPr>
          <w:rFonts w:ascii="仿宋" w:hAnsi="仿宋" w:eastAsia="仿宋" w:cs="仿宋_GB2312"/>
          <w:color w:val="auto"/>
          <w:sz w:val="24"/>
          <w:szCs w:val="24"/>
        </w:rPr>
      </w:pPr>
      <w:r>
        <w:rPr>
          <w:rFonts w:hint="eastAsia" w:ascii="仿宋" w:hAnsi="仿宋" w:eastAsia="仿宋" w:cs="仿宋_GB2312"/>
          <w:color w:val="auto"/>
          <w:sz w:val="24"/>
          <w:szCs w:val="24"/>
        </w:rPr>
        <w:t>23.3 如果卖方未能履行本合同规定的任何义务，则买方有权从履约保证金中得到补偿。</w:t>
      </w:r>
    </w:p>
    <w:p w14:paraId="674D3885">
      <w:pPr>
        <w:ind w:firstLine="480"/>
        <w:rPr>
          <w:rFonts w:ascii="仿宋" w:hAnsi="仿宋" w:eastAsia="仿宋" w:cs="仿宋_GB2312"/>
          <w:color w:val="auto"/>
          <w:sz w:val="24"/>
        </w:rPr>
      </w:pPr>
      <w:r>
        <w:rPr>
          <w:rFonts w:hint="eastAsia" w:ascii="仿宋" w:hAnsi="仿宋" w:eastAsia="仿宋" w:cs="仿宋_GB2312"/>
          <w:color w:val="auto"/>
          <w:sz w:val="24"/>
        </w:rPr>
        <w:t>24．适用法律</w:t>
      </w:r>
    </w:p>
    <w:p w14:paraId="187E4745">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24.1本合同应按照中华人民共和国的现行法律进行解释。</w:t>
      </w:r>
    </w:p>
    <w:p w14:paraId="3F80ECB2">
      <w:pPr>
        <w:ind w:firstLine="480"/>
        <w:rPr>
          <w:rFonts w:ascii="仿宋" w:hAnsi="仿宋" w:eastAsia="仿宋" w:cs="仿宋_GB2312"/>
          <w:color w:val="auto"/>
          <w:sz w:val="24"/>
        </w:rPr>
      </w:pPr>
      <w:r>
        <w:rPr>
          <w:rFonts w:hint="eastAsia" w:ascii="仿宋" w:hAnsi="仿宋" w:eastAsia="仿宋" w:cs="仿宋_GB2312"/>
          <w:color w:val="auto"/>
          <w:sz w:val="24"/>
        </w:rPr>
        <w:t>25．通知</w:t>
      </w:r>
    </w:p>
    <w:p w14:paraId="50053F35">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25.1本合同任何一方给另一方的通知，都应以书面或电传／传真／快递的形式发送，而另一方应以书面形式确认并发送到对方明确的地址。</w:t>
      </w:r>
    </w:p>
    <w:p w14:paraId="7456A639">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25.2通知以送到之日或通知书中规定的生效之日起生效，两者中以较迟之日为准。</w:t>
      </w:r>
    </w:p>
    <w:p w14:paraId="3B33CDF8">
      <w:pPr>
        <w:ind w:firstLine="480"/>
        <w:rPr>
          <w:rFonts w:ascii="仿宋" w:hAnsi="仿宋" w:eastAsia="仿宋" w:cs="仿宋_GB2312"/>
          <w:color w:val="auto"/>
          <w:sz w:val="24"/>
        </w:rPr>
      </w:pPr>
      <w:r>
        <w:rPr>
          <w:rFonts w:hint="eastAsia" w:ascii="仿宋" w:hAnsi="仿宋" w:eastAsia="仿宋" w:cs="仿宋_GB2312"/>
          <w:color w:val="auto"/>
          <w:sz w:val="24"/>
        </w:rPr>
        <w:t>26．合同生效及其它</w:t>
      </w:r>
    </w:p>
    <w:p w14:paraId="4D718746">
      <w:pPr>
        <w:ind w:firstLine="480"/>
        <w:rPr>
          <w:rFonts w:ascii="仿宋" w:hAnsi="仿宋" w:eastAsia="仿宋" w:cs="仿宋_GB2312"/>
          <w:color w:val="auto"/>
          <w:sz w:val="24"/>
        </w:rPr>
      </w:pPr>
      <w:r>
        <w:rPr>
          <w:rFonts w:hint="eastAsia" w:ascii="仿宋" w:hAnsi="仿宋" w:eastAsia="仿宋" w:cs="仿宋_GB2312"/>
          <w:color w:val="auto"/>
          <w:sz w:val="24"/>
        </w:rPr>
        <w:t>26.1本合同应在双方委托代理人签字并加盖双方公章和买方收到卖方提交的履约保证金后(如果需要的话)生效。</w:t>
      </w:r>
    </w:p>
    <w:p w14:paraId="175F5CA7">
      <w:pPr>
        <w:ind w:firstLine="480"/>
        <w:rPr>
          <w:rFonts w:ascii="仿宋" w:hAnsi="仿宋" w:eastAsia="仿宋" w:cs="仿宋_GB2312"/>
          <w:color w:val="auto"/>
          <w:sz w:val="24"/>
        </w:rPr>
      </w:pPr>
      <w:r>
        <w:rPr>
          <w:rFonts w:hint="eastAsia" w:ascii="仿宋" w:hAnsi="仿宋" w:eastAsia="仿宋" w:cs="仿宋_GB2312"/>
          <w:color w:val="auto"/>
          <w:sz w:val="24"/>
        </w:rPr>
        <w:t>26.2如需修改或补充合同内容，经协商，双方应签署书面修改或补充协议，该协议将作为合同的一个组成部分。</w:t>
      </w:r>
    </w:p>
    <w:p w14:paraId="40722C70">
      <w:pPr>
        <w:ind w:firstLine="480"/>
        <w:rPr>
          <w:rFonts w:ascii="仿宋" w:hAnsi="仿宋" w:eastAsia="仿宋" w:cs="仿宋_GB2312"/>
          <w:color w:val="auto"/>
          <w:sz w:val="24"/>
        </w:rPr>
      </w:pPr>
      <w:r>
        <w:rPr>
          <w:rFonts w:hint="eastAsia" w:ascii="仿宋" w:hAnsi="仿宋" w:eastAsia="仿宋" w:cs="仿宋_GB2312"/>
          <w:color w:val="auto"/>
          <w:sz w:val="24"/>
        </w:rPr>
        <w:t>26.3合同终止期到质量保证期为止。</w:t>
      </w:r>
    </w:p>
    <w:p w14:paraId="771FA03F">
      <w:pPr>
        <w:ind w:firstLine="480"/>
        <w:rPr>
          <w:rFonts w:ascii="仿宋" w:hAnsi="仿宋" w:eastAsia="仿宋" w:cs="仿宋_GB2312"/>
          <w:color w:val="auto"/>
          <w:sz w:val="24"/>
        </w:rPr>
      </w:pPr>
      <w:r>
        <w:rPr>
          <w:rFonts w:hint="eastAsia" w:ascii="仿宋" w:hAnsi="仿宋" w:eastAsia="仿宋" w:cs="仿宋_GB2312"/>
          <w:color w:val="auto"/>
          <w:sz w:val="24"/>
        </w:rPr>
        <w:t>26.4下列文件属合同的依据和附件：</w:t>
      </w:r>
    </w:p>
    <w:p w14:paraId="13538FBE">
      <w:pPr>
        <w:ind w:firstLine="480"/>
        <w:rPr>
          <w:rFonts w:ascii="仿宋" w:hAnsi="仿宋" w:eastAsia="仿宋" w:cs="仿宋_GB2312"/>
          <w:color w:val="auto"/>
          <w:sz w:val="24"/>
        </w:rPr>
      </w:pPr>
      <w:r>
        <w:rPr>
          <w:rFonts w:hint="eastAsia" w:ascii="仿宋" w:hAnsi="仿宋" w:eastAsia="仿宋" w:cs="仿宋_GB2312"/>
          <w:color w:val="auto"/>
          <w:sz w:val="24"/>
        </w:rPr>
        <w:t>本合同货物的技术附件（《供货技术规格书》）为合同附件，双方委托代理人签字，具有与本合同同等法律效力。</w:t>
      </w:r>
    </w:p>
    <w:p w14:paraId="07BE336F">
      <w:pPr>
        <w:ind w:firstLine="480"/>
        <w:rPr>
          <w:rFonts w:ascii="仿宋" w:hAnsi="仿宋" w:eastAsia="仿宋" w:cs="仿宋_GB2312"/>
          <w:color w:val="auto"/>
          <w:sz w:val="24"/>
        </w:rPr>
      </w:pPr>
      <w:r>
        <w:rPr>
          <w:rFonts w:hint="eastAsia" w:ascii="仿宋" w:hAnsi="仿宋" w:eastAsia="仿宋" w:cs="仿宋_GB2312"/>
          <w:color w:val="auto"/>
          <w:sz w:val="24"/>
        </w:rPr>
        <w:t>27.补充条款</w:t>
      </w:r>
    </w:p>
    <w:p w14:paraId="26C7E0C6">
      <w:pPr>
        <w:ind w:firstLine="480"/>
        <w:rPr>
          <w:rFonts w:ascii="仿宋" w:hAnsi="仿宋" w:eastAsia="仿宋" w:cs="仿宋_GB2312"/>
          <w:color w:val="auto"/>
          <w:sz w:val="24"/>
        </w:rPr>
      </w:pPr>
      <w:r>
        <w:rPr>
          <w:rFonts w:hint="eastAsia" w:ascii="仿宋" w:hAnsi="仿宋" w:eastAsia="仿宋" w:cs="仿宋_GB2312"/>
          <w:color w:val="auto"/>
          <w:sz w:val="24"/>
        </w:rPr>
        <w:t>买方卖方根据实际需要，在合同专用条款中约定其他内容或合同通用条款中没有的内容。</w:t>
      </w:r>
    </w:p>
    <w:p w14:paraId="5D06CF4A">
      <w:pPr>
        <w:spacing w:before="156" w:beforeLines="50" w:after="156" w:afterLines="50" w:line="240" w:lineRule="auto"/>
        <w:ind w:firstLine="0" w:firstLineChars="0"/>
        <w:jc w:val="center"/>
        <w:outlineLvl w:val="0"/>
        <w:rPr>
          <w:rFonts w:ascii="仿宋" w:hAnsi="仿宋" w:eastAsia="仿宋" w:cs="仿宋_GB2312"/>
          <w:color w:val="auto"/>
          <w:sz w:val="24"/>
        </w:rPr>
      </w:pPr>
      <w:r>
        <w:rPr>
          <w:rFonts w:hint="eastAsia" w:ascii="仿宋" w:hAnsi="仿宋" w:eastAsia="仿宋" w:cs="仿宋_GB2312"/>
          <w:color w:val="auto"/>
        </w:rPr>
        <w:br w:type="page"/>
      </w:r>
      <w:bookmarkStart w:id="174" w:name="_Toc119623159"/>
      <w:bookmarkStart w:id="175" w:name="_Toc172122925"/>
      <w:bookmarkStart w:id="176" w:name="_Toc181712920"/>
      <w:r>
        <w:rPr>
          <w:rFonts w:hint="eastAsia" w:ascii="仿宋" w:hAnsi="仿宋" w:eastAsia="仿宋" w:cs="仿宋_GB2312"/>
          <w:bCs/>
          <w:color w:val="auto"/>
          <w:sz w:val="28"/>
          <w:szCs w:val="20"/>
        </w:rPr>
        <w:t>二、合同专用条款</w:t>
      </w:r>
      <w:bookmarkEnd w:id="174"/>
      <w:bookmarkEnd w:id="175"/>
      <w:bookmarkEnd w:id="176"/>
    </w:p>
    <w:p w14:paraId="694B2F09">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合同专用条款是通用合同条款的补充和修改，如果两者之间有抵触，应以专用条款为准。投标文件应对合同专用条款逐条响应，若有偏离，应以偏离表表示。</w:t>
      </w:r>
    </w:p>
    <w:p w14:paraId="04584E5B">
      <w:pPr>
        <w:pStyle w:val="22"/>
        <w:ind w:firstLine="480"/>
        <w:rPr>
          <w:rFonts w:ascii="仿宋" w:hAnsi="仿宋" w:eastAsia="仿宋" w:cs="仿宋_GB2312"/>
          <w:color w:val="auto"/>
          <w:sz w:val="24"/>
          <w:szCs w:val="24"/>
        </w:rPr>
      </w:pPr>
    </w:p>
    <w:p w14:paraId="4AC2A39E">
      <w:pPr>
        <w:pStyle w:val="22"/>
        <w:ind w:firstLine="480"/>
        <w:rPr>
          <w:rFonts w:ascii="仿宋" w:hAnsi="仿宋" w:eastAsia="仿宋" w:cs="仿宋_GB2312"/>
          <w:color w:val="auto"/>
          <w:sz w:val="24"/>
          <w:szCs w:val="24"/>
          <w:u w:val="single"/>
        </w:rPr>
      </w:pPr>
      <w:r>
        <w:rPr>
          <w:rFonts w:hint="eastAsia" w:ascii="仿宋" w:hAnsi="仿宋" w:eastAsia="仿宋" w:cs="仿宋_GB2312"/>
          <w:color w:val="auto"/>
          <w:sz w:val="24"/>
          <w:szCs w:val="24"/>
        </w:rPr>
        <w:t>1.1买方：</w:t>
      </w:r>
      <w:r>
        <w:rPr>
          <w:rFonts w:hint="eastAsia" w:ascii="仿宋" w:hAnsi="仿宋" w:eastAsia="仿宋" w:cs="仿宋_GB2312"/>
          <w:color w:val="auto"/>
          <w:sz w:val="24"/>
          <w:szCs w:val="24"/>
          <w:u w:val="single"/>
        </w:rPr>
        <w:t>华中科技大学同济医学院附属同济医院</w:t>
      </w:r>
    </w:p>
    <w:p w14:paraId="280BC4D5">
      <w:pPr>
        <w:pStyle w:val="22"/>
        <w:ind w:firstLine="480"/>
        <w:rPr>
          <w:rFonts w:ascii="仿宋" w:hAnsi="仿宋" w:eastAsia="仿宋" w:cs="仿宋_GB2312"/>
          <w:color w:val="auto"/>
          <w:sz w:val="24"/>
          <w:szCs w:val="24"/>
          <w:u w:val="single"/>
        </w:rPr>
      </w:pPr>
      <w:r>
        <w:rPr>
          <w:rFonts w:hint="eastAsia" w:ascii="仿宋" w:hAnsi="仿宋" w:eastAsia="仿宋" w:cs="仿宋_GB2312"/>
          <w:color w:val="auto"/>
          <w:sz w:val="24"/>
          <w:szCs w:val="24"/>
        </w:rPr>
        <w:t>卖方：</w:t>
      </w:r>
      <w:r>
        <w:rPr>
          <w:rFonts w:hint="eastAsia" w:ascii="仿宋" w:hAnsi="仿宋" w:eastAsia="仿宋" w:cs="仿宋_GB2312"/>
          <w:color w:val="auto"/>
          <w:sz w:val="24"/>
          <w:szCs w:val="24"/>
          <w:u w:val="single"/>
        </w:rPr>
        <w:t xml:space="preserve">                                     </w:t>
      </w:r>
    </w:p>
    <w:p w14:paraId="668AF073">
      <w:pPr>
        <w:pStyle w:val="22"/>
        <w:ind w:firstLine="480"/>
        <w:rPr>
          <w:rFonts w:ascii="仿宋" w:hAnsi="仿宋" w:eastAsia="仿宋" w:cs="仿宋_GB2312"/>
          <w:color w:val="auto"/>
          <w:sz w:val="24"/>
          <w:szCs w:val="24"/>
          <w:u w:val="single"/>
        </w:rPr>
      </w:pPr>
      <w:r>
        <w:rPr>
          <w:rFonts w:hint="eastAsia" w:ascii="仿宋" w:hAnsi="仿宋" w:eastAsia="仿宋" w:cs="仿宋_GB2312"/>
          <w:color w:val="auto"/>
          <w:sz w:val="24"/>
          <w:szCs w:val="24"/>
        </w:rPr>
        <w:t>6.1供货安装时间：</w:t>
      </w:r>
      <w:r>
        <w:rPr>
          <w:rFonts w:hint="eastAsia" w:ascii="仿宋" w:hAnsi="仿宋" w:eastAsia="仿宋" w:cs="仿宋_GB2312"/>
          <w:color w:val="auto"/>
          <w:sz w:val="24"/>
          <w:szCs w:val="24"/>
          <w:u w:val="single"/>
        </w:rPr>
        <w:t xml:space="preserve"> </w:t>
      </w:r>
      <w:r>
        <w:rPr>
          <w:rFonts w:ascii="仿宋" w:hAnsi="仿宋" w:eastAsia="仿宋" w:cs="仿宋_GB2312"/>
          <w:color w:val="auto"/>
          <w:sz w:val="24"/>
          <w:szCs w:val="24"/>
          <w:u w:val="single"/>
        </w:rPr>
        <w:t xml:space="preserve">                       </w:t>
      </w:r>
      <w:r>
        <w:rPr>
          <w:rFonts w:hint="eastAsia" w:ascii="仿宋" w:hAnsi="仿宋" w:eastAsia="仿宋" w:cs="仿宋_GB2312"/>
          <w:color w:val="auto"/>
          <w:sz w:val="24"/>
          <w:szCs w:val="24"/>
          <w:u w:val="single"/>
        </w:rPr>
        <w:t>。</w:t>
      </w:r>
    </w:p>
    <w:p w14:paraId="7B375A25">
      <w:pPr>
        <w:pStyle w:val="22"/>
        <w:ind w:firstLine="480"/>
        <w:rPr>
          <w:rFonts w:ascii="仿宋" w:hAnsi="仿宋" w:eastAsia="仿宋" w:cs="仿宋_GB2312"/>
          <w:color w:val="auto"/>
          <w:sz w:val="24"/>
          <w:szCs w:val="24"/>
          <w:u w:val="single"/>
        </w:rPr>
      </w:pPr>
      <w:r>
        <w:rPr>
          <w:rFonts w:hint="eastAsia" w:ascii="仿宋" w:hAnsi="仿宋" w:eastAsia="仿宋" w:cs="仿宋_GB2312"/>
          <w:color w:val="auto"/>
          <w:sz w:val="24"/>
          <w:szCs w:val="24"/>
        </w:rPr>
        <w:t>交货、安装地点：</w:t>
      </w:r>
      <w:r>
        <w:rPr>
          <w:rFonts w:hint="eastAsia" w:ascii="仿宋" w:hAnsi="仿宋" w:eastAsia="仿宋" w:cs="仿宋_GB2312"/>
          <w:color w:val="auto"/>
          <w:sz w:val="24"/>
          <w:szCs w:val="24"/>
          <w:u w:val="single"/>
        </w:rPr>
        <w:t>同济医院院方指定地点。</w:t>
      </w:r>
    </w:p>
    <w:p w14:paraId="158A2CA3">
      <w:pPr>
        <w:pStyle w:val="22"/>
        <w:ind w:firstLine="480"/>
        <w:rPr>
          <w:rFonts w:ascii="仿宋" w:hAnsi="仿宋" w:eastAsia="仿宋" w:cs="仿宋_GB2312"/>
          <w:color w:val="auto"/>
          <w:sz w:val="24"/>
          <w:szCs w:val="24"/>
          <w:u w:val="single"/>
        </w:rPr>
      </w:pPr>
      <w:r>
        <w:rPr>
          <w:rFonts w:hint="eastAsia" w:ascii="仿宋" w:hAnsi="仿宋" w:eastAsia="仿宋" w:cs="仿宋_GB2312"/>
          <w:color w:val="auto"/>
          <w:sz w:val="24"/>
          <w:szCs w:val="24"/>
        </w:rPr>
        <w:t>7.2包装和标记要求：</w:t>
      </w:r>
      <w:r>
        <w:rPr>
          <w:rFonts w:hint="eastAsia" w:ascii="仿宋" w:hAnsi="仿宋" w:eastAsia="仿宋" w:cs="仿宋_GB2312"/>
          <w:color w:val="auto"/>
          <w:sz w:val="24"/>
          <w:szCs w:val="24"/>
          <w:u w:val="single"/>
        </w:rPr>
        <w:t>详见第五章“通用合同条款”第7条及招标文件</w:t>
      </w:r>
    </w:p>
    <w:p w14:paraId="70DF31F8">
      <w:pPr>
        <w:pStyle w:val="22"/>
        <w:ind w:firstLine="480"/>
        <w:rPr>
          <w:rFonts w:ascii="仿宋" w:hAnsi="仿宋" w:eastAsia="仿宋" w:cs="仿宋_GB2312"/>
          <w:color w:val="auto"/>
          <w:sz w:val="24"/>
          <w:szCs w:val="24"/>
          <w:u w:val="single"/>
        </w:rPr>
      </w:pPr>
      <w:r>
        <w:rPr>
          <w:rFonts w:hint="eastAsia" w:ascii="仿宋" w:hAnsi="仿宋" w:eastAsia="仿宋" w:cs="仿宋_GB2312"/>
          <w:color w:val="auto"/>
          <w:sz w:val="24"/>
          <w:szCs w:val="24"/>
        </w:rPr>
        <w:t>8.2运输和保险：</w:t>
      </w:r>
      <w:r>
        <w:rPr>
          <w:rFonts w:hint="eastAsia" w:ascii="仿宋" w:hAnsi="仿宋" w:eastAsia="仿宋" w:cs="仿宋_GB2312"/>
          <w:color w:val="auto"/>
          <w:sz w:val="24"/>
          <w:szCs w:val="24"/>
          <w:u w:val="single"/>
        </w:rPr>
        <w:t>详见第五章“通用合同条款”第8条及招标文件</w:t>
      </w:r>
    </w:p>
    <w:p w14:paraId="3D8CDF3F">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10.1卖方提供的服务：</w:t>
      </w:r>
      <w:r>
        <w:rPr>
          <w:rFonts w:hint="eastAsia" w:ascii="仿宋" w:hAnsi="仿宋" w:eastAsia="仿宋" w:cs="仿宋_GB2312"/>
          <w:color w:val="auto"/>
          <w:sz w:val="24"/>
          <w:szCs w:val="24"/>
          <w:u w:val="single"/>
        </w:rPr>
        <w:t>详见招标文件第三章</w:t>
      </w:r>
    </w:p>
    <w:p w14:paraId="605D39F1">
      <w:pPr>
        <w:pStyle w:val="22"/>
        <w:ind w:firstLine="480"/>
        <w:rPr>
          <w:rFonts w:ascii="仿宋" w:hAnsi="仿宋" w:eastAsia="仿宋" w:cs="仿宋_GB2312"/>
          <w:color w:val="auto"/>
          <w:sz w:val="24"/>
          <w:szCs w:val="24"/>
          <w:u w:val="single"/>
        </w:rPr>
      </w:pPr>
      <w:r>
        <w:rPr>
          <w:rFonts w:hint="eastAsia" w:ascii="仿宋" w:hAnsi="仿宋" w:eastAsia="仿宋" w:cs="仿宋_GB2312"/>
          <w:color w:val="auto"/>
          <w:sz w:val="24"/>
          <w:szCs w:val="24"/>
        </w:rPr>
        <w:t>11.2质量保证期：</w:t>
      </w:r>
      <w:r>
        <w:rPr>
          <w:rFonts w:hint="eastAsia" w:ascii="仿宋" w:hAnsi="仿宋" w:eastAsia="仿宋" w:cs="仿宋_GB2312"/>
          <w:color w:val="auto"/>
          <w:sz w:val="24"/>
          <w:szCs w:val="24"/>
          <w:u w:val="single"/>
        </w:rPr>
        <w:t xml:space="preserve"> </w:t>
      </w:r>
      <w:r>
        <w:rPr>
          <w:rFonts w:ascii="仿宋" w:hAnsi="仿宋" w:eastAsia="仿宋" w:cs="仿宋_GB2312"/>
          <w:color w:val="auto"/>
          <w:sz w:val="24"/>
          <w:szCs w:val="24"/>
          <w:u w:val="single"/>
        </w:rPr>
        <w:t xml:space="preserve">                       </w:t>
      </w:r>
      <w:r>
        <w:rPr>
          <w:rFonts w:hint="eastAsia" w:ascii="仿宋" w:hAnsi="仿宋" w:eastAsia="仿宋" w:cs="仿宋_GB2312"/>
          <w:color w:val="auto"/>
          <w:sz w:val="24"/>
          <w:szCs w:val="24"/>
          <w:u w:val="single"/>
        </w:rPr>
        <w:t>。</w:t>
      </w:r>
    </w:p>
    <w:p w14:paraId="7384CC62">
      <w:pPr>
        <w:pStyle w:val="22"/>
        <w:ind w:firstLine="480"/>
        <w:rPr>
          <w:rFonts w:ascii="仿宋" w:hAnsi="仿宋" w:eastAsia="仿宋" w:cs="仿宋_GB2312"/>
          <w:color w:val="auto"/>
          <w:sz w:val="24"/>
          <w:szCs w:val="24"/>
          <w:u w:val="single"/>
        </w:rPr>
      </w:pPr>
      <w:r>
        <w:rPr>
          <w:rFonts w:hint="eastAsia" w:ascii="仿宋" w:hAnsi="仿宋" w:eastAsia="仿宋" w:cs="仿宋_GB2312"/>
          <w:color w:val="auto"/>
          <w:sz w:val="24"/>
          <w:szCs w:val="24"/>
        </w:rPr>
        <w:t>11.4质量保证期的延长：</w:t>
      </w:r>
      <w:r>
        <w:rPr>
          <w:rFonts w:hint="eastAsia" w:ascii="仿宋" w:hAnsi="仿宋" w:eastAsia="仿宋" w:cs="仿宋_GB2312"/>
          <w:color w:val="auto"/>
          <w:sz w:val="24"/>
          <w:szCs w:val="24"/>
          <w:u w:val="single"/>
        </w:rPr>
        <w:t>详见第五章“通用合同条款”第11条及招标文件</w:t>
      </w:r>
    </w:p>
    <w:p w14:paraId="48A1B2C7">
      <w:pPr>
        <w:pStyle w:val="22"/>
        <w:ind w:firstLine="480"/>
        <w:rPr>
          <w:rFonts w:ascii="仿宋" w:hAnsi="仿宋" w:eastAsia="仿宋" w:cs="仿宋_GB2312"/>
          <w:color w:val="auto"/>
          <w:sz w:val="24"/>
          <w:szCs w:val="24"/>
          <w:u w:val="single"/>
        </w:rPr>
      </w:pPr>
      <w:r>
        <w:rPr>
          <w:rFonts w:hint="eastAsia" w:ascii="仿宋" w:hAnsi="仿宋" w:eastAsia="仿宋" w:cs="仿宋_GB2312"/>
          <w:color w:val="auto"/>
          <w:sz w:val="24"/>
          <w:szCs w:val="24"/>
        </w:rPr>
        <w:t>12.2货物的验收方式：</w:t>
      </w:r>
      <w:r>
        <w:rPr>
          <w:rFonts w:hint="eastAsia" w:ascii="仿宋" w:hAnsi="仿宋" w:eastAsia="仿宋" w:cs="仿宋_GB2312"/>
          <w:color w:val="auto"/>
          <w:sz w:val="24"/>
          <w:szCs w:val="24"/>
          <w:u w:val="single"/>
        </w:rPr>
        <w:t>详见第五章“通用合同条款”第12条及招标文件</w:t>
      </w:r>
    </w:p>
    <w:p w14:paraId="7E545AC6">
      <w:pPr>
        <w:pStyle w:val="22"/>
        <w:ind w:firstLine="480"/>
        <w:rPr>
          <w:rFonts w:ascii="仿宋" w:hAnsi="仿宋" w:eastAsia="仿宋" w:cs="仿宋_GB2312"/>
          <w:color w:val="auto"/>
          <w:sz w:val="24"/>
          <w:szCs w:val="24"/>
          <w:u w:val="single"/>
        </w:rPr>
      </w:pPr>
      <w:r>
        <w:rPr>
          <w:rFonts w:hint="eastAsia" w:ascii="仿宋" w:hAnsi="仿宋" w:eastAsia="仿宋" w:cs="仿宋_GB2312"/>
          <w:color w:val="auto"/>
          <w:sz w:val="24"/>
          <w:szCs w:val="24"/>
        </w:rPr>
        <w:t>14合同价款的支付：</w:t>
      </w:r>
      <w:r>
        <w:rPr>
          <w:rFonts w:hint="eastAsia" w:ascii="仿宋" w:hAnsi="仿宋" w:eastAsia="仿宋" w:cs="仿宋_GB2312"/>
          <w:color w:val="auto"/>
          <w:sz w:val="24"/>
          <w:szCs w:val="24"/>
          <w:u w:val="single"/>
        </w:rPr>
        <w:t xml:space="preserve"> </w:t>
      </w:r>
      <w:r>
        <w:rPr>
          <w:rFonts w:ascii="仿宋" w:hAnsi="仿宋" w:eastAsia="仿宋" w:cs="仿宋_GB2312"/>
          <w:color w:val="auto"/>
          <w:sz w:val="24"/>
          <w:szCs w:val="24"/>
          <w:u w:val="single"/>
        </w:rPr>
        <w:t xml:space="preserve">                            </w:t>
      </w:r>
      <w:r>
        <w:rPr>
          <w:rFonts w:hint="eastAsia" w:ascii="仿宋" w:hAnsi="仿宋" w:eastAsia="仿宋" w:cs="仿宋_GB2312"/>
          <w:color w:val="auto"/>
          <w:sz w:val="24"/>
          <w:szCs w:val="24"/>
          <w:u w:val="single"/>
        </w:rPr>
        <w:t>。</w:t>
      </w:r>
    </w:p>
    <w:p w14:paraId="052B6002">
      <w:pPr>
        <w:pStyle w:val="22"/>
        <w:ind w:firstLine="480"/>
        <w:rPr>
          <w:rFonts w:ascii="仿宋" w:hAnsi="仿宋" w:eastAsia="仿宋" w:cs="仿宋_GB2312"/>
          <w:color w:val="auto"/>
          <w:sz w:val="24"/>
          <w:szCs w:val="24"/>
          <w:u w:val="single"/>
        </w:rPr>
      </w:pPr>
      <w:r>
        <w:rPr>
          <w:rFonts w:hint="eastAsia" w:ascii="仿宋" w:hAnsi="仿宋" w:eastAsia="仿宋" w:cs="仿宋_GB2312"/>
          <w:color w:val="auto"/>
          <w:sz w:val="24"/>
          <w:szCs w:val="24"/>
        </w:rPr>
        <w:t>21.2不可抗力的其他情形：</w:t>
      </w:r>
      <w:r>
        <w:rPr>
          <w:rFonts w:hint="eastAsia" w:ascii="仿宋" w:hAnsi="仿宋" w:eastAsia="仿宋" w:cs="仿宋_GB2312"/>
          <w:color w:val="auto"/>
          <w:sz w:val="24"/>
          <w:szCs w:val="24"/>
          <w:u w:val="single"/>
        </w:rPr>
        <w:t>/</w:t>
      </w:r>
    </w:p>
    <w:p w14:paraId="6C0EECCA">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22.1双方同意选择下列(2)方式解决争议：</w:t>
      </w:r>
    </w:p>
    <w:p w14:paraId="139EE6D7">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（1）向</w:t>
      </w:r>
      <w:r>
        <w:rPr>
          <w:rFonts w:hint="eastAsia" w:ascii="仿宋" w:hAnsi="仿宋" w:eastAsia="仿宋" w:cs="仿宋_GB2312"/>
          <w:color w:val="auto"/>
          <w:sz w:val="24"/>
          <w:szCs w:val="24"/>
          <w:u w:val="single"/>
        </w:rPr>
        <w:t xml:space="preserve">   武汉   </w:t>
      </w:r>
      <w:r>
        <w:rPr>
          <w:rFonts w:hint="eastAsia" w:ascii="仿宋" w:hAnsi="仿宋" w:eastAsia="仿宋" w:cs="仿宋_GB2312"/>
          <w:color w:val="auto"/>
          <w:sz w:val="24"/>
          <w:szCs w:val="24"/>
        </w:rPr>
        <w:t>仲裁委员会申请仲裁；</w:t>
      </w:r>
    </w:p>
    <w:p w14:paraId="520A777C">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（2）向</w:t>
      </w:r>
      <w:r>
        <w:rPr>
          <w:rFonts w:hint="eastAsia" w:ascii="仿宋" w:hAnsi="仿宋" w:eastAsia="仿宋" w:cs="仿宋_GB2312"/>
          <w:color w:val="auto"/>
          <w:sz w:val="24"/>
          <w:szCs w:val="24"/>
          <w:u w:val="single"/>
        </w:rPr>
        <w:t>甲方所在地</w:t>
      </w:r>
      <w:r>
        <w:rPr>
          <w:rFonts w:hint="eastAsia" w:ascii="仿宋" w:hAnsi="仿宋" w:eastAsia="仿宋" w:cs="仿宋_GB2312"/>
          <w:color w:val="auto"/>
          <w:sz w:val="24"/>
          <w:szCs w:val="24"/>
        </w:rPr>
        <w:t>的人民法院提起诉讼。</w:t>
      </w:r>
    </w:p>
    <w:p w14:paraId="76969E6B">
      <w:pPr>
        <w:pStyle w:val="22"/>
        <w:ind w:firstLine="480"/>
        <w:rPr>
          <w:rFonts w:ascii="仿宋" w:hAnsi="仿宋" w:eastAsia="仿宋" w:cs="仿宋_GB2312"/>
          <w:color w:val="auto"/>
          <w:sz w:val="24"/>
          <w:szCs w:val="24"/>
        </w:rPr>
      </w:pPr>
      <w:r>
        <w:rPr>
          <w:rFonts w:hint="eastAsia" w:ascii="仿宋" w:hAnsi="仿宋" w:eastAsia="仿宋" w:cs="仿宋_GB2312"/>
          <w:color w:val="auto"/>
          <w:sz w:val="24"/>
          <w:szCs w:val="24"/>
        </w:rPr>
        <w:t>23补充条款</w:t>
      </w:r>
    </w:p>
    <w:p w14:paraId="0B486EED">
      <w:pPr>
        <w:pStyle w:val="22"/>
        <w:ind w:firstLine="480"/>
        <w:rPr>
          <w:rFonts w:ascii="仿宋" w:hAnsi="仿宋" w:eastAsia="仿宋" w:cs="仿宋_GB2312"/>
          <w:color w:val="auto"/>
          <w:sz w:val="24"/>
          <w:szCs w:val="24"/>
          <w:u w:val="single"/>
        </w:rPr>
      </w:pPr>
      <w:r>
        <w:rPr>
          <w:rFonts w:hint="eastAsia" w:ascii="仿宋" w:hAnsi="仿宋" w:eastAsia="仿宋" w:cs="仿宋_GB2312"/>
          <w:color w:val="auto"/>
          <w:sz w:val="24"/>
          <w:szCs w:val="24"/>
          <w:u w:val="single"/>
        </w:rPr>
        <w:t>无。</w:t>
      </w:r>
    </w:p>
    <w:p w14:paraId="013B5C18">
      <w:pPr>
        <w:spacing w:before="156" w:beforeLines="50" w:after="156" w:afterLines="50" w:line="240" w:lineRule="auto"/>
        <w:ind w:firstLine="0" w:firstLineChars="0"/>
        <w:jc w:val="center"/>
        <w:outlineLvl w:val="0"/>
        <w:rPr>
          <w:rFonts w:ascii="仿宋" w:hAnsi="仿宋" w:eastAsia="仿宋"/>
          <w:bCs/>
          <w:color w:val="auto"/>
          <w:sz w:val="36"/>
          <w:szCs w:val="36"/>
        </w:rPr>
      </w:pPr>
      <w:r>
        <w:rPr>
          <w:rFonts w:hint="eastAsia" w:ascii="仿宋" w:hAnsi="仿宋" w:eastAsia="仿宋"/>
          <w:color w:val="auto"/>
          <w:sz w:val="36"/>
          <w:szCs w:val="36"/>
        </w:rPr>
        <w:br w:type="page"/>
      </w:r>
      <w:bookmarkStart w:id="177" w:name="_Toc181712921"/>
      <w:r>
        <w:rPr>
          <w:rFonts w:hint="eastAsia" w:ascii="仿宋" w:hAnsi="仿宋" w:eastAsia="仿宋"/>
          <w:bCs/>
          <w:color w:val="auto"/>
          <w:sz w:val="36"/>
          <w:szCs w:val="36"/>
        </w:rPr>
        <w:t>第六章 投标文件格式</w:t>
      </w:r>
      <w:bookmarkEnd w:id="69"/>
      <w:bookmarkEnd w:id="70"/>
      <w:bookmarkEnd w:id="177"/>
    </w:p>
    <w:p w14:paraId="5D48B74B">
      <w:pPr>
        <w:autoSpaceDE w:val="0"/>
        <w:autoSpaceDN w:val="0"/>
        <w:adjustRightInd w:val="0"/>
        <w:ind w:firstLine="0" w:firstLineChars="0"/>
        <w:jc w:val="right"/>
        <w:rPr>
          <w:rFonts w:ascii="仿宋" w:hAnsi="仿宋" w:eastAsia="仿宋"/>
          <w:color w:val="auto"/>
          <w:sz w:val="28"/>
        </w:rPr>
      </w:pPr>
      <w:r>
        <w:rPr>
          <w:rFonts w:hint="eastAsia" w:ascii="仿宋" w:hAnsi="仿宋" w:eastAsia="仿宋"/>
          <w:color w:val="auto"/>
          <w:sz w:val="28"/>
        </w:rPr>
        <w:t>[正本]/[副本]</w:t>
      </w:r>
    </w:p>
    <w:p w14:paraId="49ACA964">
      <w:pPr>
        <w:autoSpaceDE w:val="0"/>
        <w:autoSpaceDN w:val="0"/>
        <w:adjustRightInd w:val="0"/>
        <w:ind w:firstLine="0" w:firstLineChars="0"/>
        <w:jc w:val="center"/>
        <w:rPr>
          <w:rFonts w:ascii="仿宋" w:hAnsi="仿宋" w:eastAsia="仿宋"/>
          <w:color w:val="auto"/>
          <w:sz w:val="28"/>
        </w:rPr>
      </w:pPr>
      <w:r>
        <w:rPr>
          <w:rFonts w:hint="eastAsia" w:ascii="仿宋" w:hAnsi="仿宋" w:eastAsia="仿宋"/>
          <w:color w:val="auto"/>
          <w:sz w:val="28"/>
        </w:rPr>
        <w:t>政府采购项目</w:t>
      </w:r>
    </w:p>
    <w:p w14:paraId="7FEB2AE7">
      <w:pPr>
        <w:autoSpaceDE w:val="0"/>
        <w:autoSpaceDN w:val="0"/>
        <w:adjustRightInd w:val="0"/>
        <w:ind w:firstLine="0" w:firstLineChars="0"/>
        <w:jc w:val="center"/>
        <w:rPr>
          <w:rFonts w:ascii="仿宋" w:hAnsi="仿宋" w:eastAsia="仿宋"/>
          <w:bCs/>
          <w:color w:val="auto"/>
          <w:sz w:val="84"/>
          <w:szCs w:val="84"/>
        </w:rPr>
      </w:pPr>
      <w:r>
        <w:rPr>
          <w:rFonts w:hint="eastAsia" w:ascii="仿宋" w:hAnsi="仿宋" w:eastAsia="仿宋"/>
          <w:bCs/>
          <w:color w:val="auto"/>
          <w:sz w:val="84"/>
          <w:szCs w:val="84"/>
        </w:rPr>
        <w:t>投标文件</w:t>
      </w:r>
    </w:p>
    <w:p w14:paraId="7BD9EE5A">
      <w:pPr>
        <w:autoSpaceDE w:val="0"/>
        <w:autoSpaceDN w:val="0"/>
        <w:adjustRightInd w:val="0"/>
        <w:ind w:firstLine="0" w:firstLineChars="0"/>
        <w:jc w:val="center"/>
        <w:rPr>
          <w:rFonts w:ascii="仿宋" w:hAnsi="仿宋" w:eastAsia="仿宋"/>
          <w:color w:val="auto"/>
          <w:sz w:val="28"/>
          <w:szCs w:val="21"/>
        </w:rPr>
      </w:pPr>
    </w:p>
    <w:p w14:paraId="7299FE6F">
      <w:pPr>
        <w:autoSpaceDE w:val="0"/>
        <w:autoSpaceDN w:val="0"/>
        <w:adjustRightInd w:val="0"/>
        <w:ind w:firstLine="0" w:firstLineChars="0"/>
        <w:rPr>
          <w:rFonts w:ascii="仿宋" w:hAnsi="仿宋" w:eastAsia="仿宋"/>
          <w:color w:val="auto"/>
          <w:sz w:val="28"/>
          <w:szCs w:val="21"/>
        </w:rPr>
      </w:pPr>
    </w:p>
    <w:tbl>
      <w:tblPr>
        <w:tblStyle w:val="44"/>
        <w:tblW w:w="0" w:type="auto"/>
        <w:jc w:val="center"/>
        <w:tblLayout w:type="fixed"/>
        <w:tblCellMar>
          <w:top w:w="57" w:type="dxa"/>
          <w:left w:w="57" w:type="dxa"/>
          <w:bottom w:w="57" w:type="dxa"/>
          <w:right w:w="57" w:type="dxa"/>
        </w:tblCellMar>
      </w:tblPr>
      <w:tblGrid>
        <w:gridCol w:w="2171"/>
        <w:gridCol w:w="4632"/>
      </w:tblGrid>
      <w:tr w14:paraId="3EB63315">
        <w:tblPrEx>
          <w:tblCellMar>
            <w:top w:w="57" w:type="dxa"/>
            <w:left w:w="57" w:type="dxa"/>
            <w:bottom w:w="57" w:type="dxa"/>
            <w:right w:w="57" w:type="dxa"/>
          </w:tblCellMar>
        </w:tblPrEx>
        <w:trPr>
          <w:jc w:val="center"/>
        </w:trPr>
        <w:tc>
          <w:tcPr>
            <w:tcW w:w="2171" w:type="dxa"/>
          </w:tcPr>
          <w:p w14:paraId="18C2DF63">
            <w:pPr>
              <w:autoSpaceDE w:val="0"/>
              <w:autoSpaceDN w:val="0"/>
              <w:adjustRightInd w:val="0"/>
              <w:spacing w:line="240" w:lineRule="auto"/>
              <w:ind w:firstLine="0" w:firstLineChars="0"/>
              <w:jc w:val="distribute"/>
              <w:rPr>
                <w:rFonts w:ascii="仿宋" w:hAnsi="仿宋" w:eastAsia="仿宋"/>
                <w:color w:val="auto"/>
                <w:sz w:val="28"/>
                <w:szCs w:val="21"/>
              </w:rPr>
            </w:pPr>
            <w:r>
              <w:rPr>
                <w:rFonts w:hint="eastAsia" w:ascii="仿宋" w:hAnsi="仿宋" w:eastAsia="仿宋"/>
                <w:bCs/>
                <w:color w:val="auto"/>
                <w:sz w:val="30"/>
                <w:szCs w:val="30"/>
              </w:rPr>
              <w:t>项目名称：</w:t>
            </w:r>
          </w:p>
        </w:tc>
        <w:tc>
          <w:tcPr>
            <w:tcW w:w="4632" w:type="dxa"/>
          </w:tcPr>
          <w:p w14:paraId="0700A492">
            <w:pPr>
              <w:autoSpaceDE w:val="0"/>
              <w:autoSpaceDN w:val="0"/>
              <w:adjustRightInd w:val="0"/>
              <w:spacing w:line="240" w:lineRule="auto"/>
              <w:ind w:firstLine="0" w:firstLineChars="0"/>
              <w:rPr>
                <w:rFonts w:ascii="仿宋" w:hAnsi="仿宋" w:eastAsia="仿宋"/>
                <w:color w:val="auto"/>
                <w:sz w:val="28"/>
                <w:szCs w:val="21"/>
              </w:rPr>
            </w:pPr>
          </w:p>
        </w:tc>
      </w:tr>
      <w:tr w14:paraId="453752EB">
        <w:tblPrEx>
          <w:tblCellMar>
            <w:top w:w="57" w:type="dxa"/>
            <w:left w:w="57" w:type="dxa"/>
            <w:bottom w:w="57" w:type="dxa"/>
            <w:right w:w="57" w:type="dxa"/>
          </w:tblCellMar>
        </w:tblPrEx>
        <w:trPr>
          <w:jc w:val="center"/>
        </w:trPr>
        <w:tc>
          <w:tcPr>
            <w:tcW w:w="2171" w:type="dxa"/>
          </w:tcPr>
          <w:p w14:paraId="6ED26F63">
            <w:pPr>
              <w:autoSpaceDE w:val="0"/>
              <w:autoSpaceDN w:val="0"/>
              <w:adjustRightInd w:val="0"/>
              <w:spacing w:line="240" w:lineRule="auto"/>
              <w:ind w:firstLine="0" w:firstLineChars="0"/>
              <w:jc w:val="distribute"/>
              <w:rPr>
                <w:rFonts w:ascii="仿宋" w:hAnsi="仿宋" w:eastAsia="仿宋"/>
                <w:color w:val="auto"/>
                <w:sz w:val="28"/>
                <w:szCs w:val="21"/>
              </w:rPr>
            </w:pPr>
            <w:r>
              <w:rPr>
                <w:rFonts w:hint="eastAsia" w:ascii="仿宋" w:hAnsi="仿宋" w:eastAsia="仿宋"/>
                <w:bCs/>
                <w:color w:val="auto"/>
                <w:sz w:val="30"/>
                <w:szCs w:val="30"/>
              </w:rPr>
              <w:t>项目编号：</w:t>
            </w:r>
          </w:p>
        </w:tc>
        <w:tc>
          <w:tcPr>
            <w:tcW w:w="4632" w:type="dxa"/>
          </w:tcPr>
          <w:p w14:paraId="1A08231A">
            <w:pPr>
              <w:autoSpaceDE w:val="0"/>
              <w:autoSpaceDN w:val="0"/>
              <w:adjustRightInd w:val="0"/>
              <w:spacing w:line="240" w:lineRule="auto"/>
              <w:ind w:firstLine="0" w:firstLineChars="0"/>
              <w:rPr>
                <w:rFonts w:ascii="仿宋" w:hAnsi="仿宋" w:eastAsia="仿宋"/>
                <w:color w:val="auto"/>
                <w:sz w:val="28"/>
                <w:szCs w:val="21"/>
              </w:rPr>
            </w:pPr>
          </w:p>
        </w:tc>
      </w:tr>
      <w:tr w14:paraId="5A22B365">
        <w:tblPrEx>
          <w:tblCellMar>
            <w:top w:w="57" w:type="dxa"/>
            <w:left w:w="57" w:type="dxa"/>
            <w:bottom w:w="57" w:type="dxa"/>
            <w:right w:w="57" w:type="dxa"/>
          </w:tblCellMar>
        </w:tblPrEx>
        <w:trPr>
          <w:jc w:val="center"/>
        </w:trPr>
        <w:tc>
          <w:tcPr>
            <w:tcW w:w="2171" w:type="dxa"/>
          </w:tcPr>
          <w:p w14:paraId="7674DD3B">
            <w:pPr>
              <w:autoSpaceDE w:val="0"/>
              <w:autoSpaceDN w:val="0"/>
              <w:adjustRightInd w:val="0"/>
              <w:spacing w:line="240" w:lineRule="auto"/>
              <w:ind w:firstLine="0" w:firstLineChars="0"/>
              <w:jc w:val="distribute"/>
              <w:rPr>
                <w:rFonts w:ascii="仿宋" w:hAnsi="仿宋" w:eastAsia="仿宋"/>
                <w:color w:val="auto"/>
                <w:sz w:val="28"/>
                <w:szCs w:val="21"/>
              </w:rPr>
            </w:pPr>
            <w:r>
              <w:rPr>
                <w:rFonts w:hint="eastAsia" w:ascii="仿宋" w:hAnsi="仿宋" w:eastAsia="仿宋"/>
                <w:bCs/>
                <w:color w:val="auto"/>
                <w:sz w:val="30"/>
                <w:szCs w:val="30"/>
              </w:rPr>
              <w:t>所投包号：</w:t>
            </w:r>
          </w:p>
        </w:tc>
        <w:tc>
          <w:tcPr>
            <w:tcW w:w="4632" w:type="dxa"/>
          </w:tcPr>
          <w:p w14:paraId="7C5814CB">
            <w:pPr>
              <w:autoSpaceDE w:val="0"/>
              <w:autoSpaceDN w:val="0"/>
              <w:adjustRightInd w:val="0"/>
              <w:spacing w:line="240" w:lineRule="auto"/>
              <w:ind w:firstLine="0" w:firstLineChars="0"/>
              <w:rPr>
                <w:rFonts w:ascii="仿宋" w:hAnsi="仿宋" w:eastAsia="仿宋"/>
                <w:color w:val="auto"/>
                <w:sz w:val="28"/>
                <w:szCs w:val="21"/>
              </w:rPr>
            </w:pPr>
          </w:p>
        </w:tc>
      </w:tr>
      <w:tr w14:paraId="21965691">
        <w:tblPrEx>
          <w:tblCellMar>
            <w:top w:w="57" w:type="dxa"/>
            <w:left w:w="57" w:type="dxa"/>
            <w:bottom w:w="57" w:type="dxa"/>
            <w:right w:w="57" w:type="dxa"/>
          </w:tblCellMar>
        </w:tblPrEx>
        <w:trPr>
          <w:jc w:val="center"/>
        </w:trPr>
        <w:tc>
          <w:tcPr>
            <w:tcW w:w="2171" w:type="dxa"/>
          </w:tcPr>
          <w:p w14:paraId="00490914">
            <w:pPr>
              <w:autoSpaceDE w:val="0"/>
              <w:autoSpaceDN w:val="0"/>
              <w:adjustRightInd w:val="0"/>
              <w:spacing w:line="240" w:lineRule="auto"/>
              <w:ind w:firstLine="0" w:firstLineChars="0"/>
              <w:jc w:val="distribute"/>
              <w:rPr>
                <w:rFonts w:ascii="仿宋" w:hAnsi="仿宋" w:eastAsia="仿宋"/>
                <w:color w:val="auto"/>
                <w:sz w:val="28"/>
                <w:szCs w:val="21"/>
              </w:rPr>
            </w:pPr>
            <w:r>
              <w:rPr>
                <w:rFonts w:hint="eastAsia" w:ascii="仿宋" w:hAnsi="仿宋" w:eastAsia="仿宋"/>
                <w:bCs/>
                <w:color w:val="auto"/>
                <w:sz w:val="30"/>
                <w:szCs w:val="30"/>
              </w:rPr>
              <w:t>投标内容：</w:t>
            </w:r>
          </w:p>
        </w:tc>
        <w:tc>
          <w:tcPr>
            <w:tcW w:w="4632" w:type="dxa"/>
          </w:tcPr>
          <w:p w14:paraId="0CEE0083">
            <w:pPr>
              <w:autoSpaceDE w:val="0"/>
              <w:autoSpaceDN w:val="0"/>
              <w:adjustRightInd w:val="0"/>
              <w:spacing w:line="240" w:lineRule="auto"/>
              <w:ind w:firstLine="0" w:firstLineChars="0"/>
              <w:rPr>
                <w:rFonts w:ascii="仿宋" w:hAnsi="仿宋" w:eastAsia="仿宋"/>
                <w:color w:val="auto"/>
                <w:sz w:val="28"/>
                <w:szCs w:val="21"/>
              </w:rPr>
            </w:pPr>
          </w:p>
        </w:tc>
      </w:tr>
    </w:tbl>
    <w:p w14:paraId="1F83CAA4">
      <w:pPr>
        <w:autoSpaceDE w:val="0"/>
        <w:autoSpaceDN w:val="0"/>
        <w:adjustRightInd w:val="0"/>
        <w:ind w:firstLine="0" w:firstLineChars="0"/>
        <w:rPr>
          <w:rFonts w:ascii="仿宋" w:hAnsi="仿宋" w:eastAsia="仿宋"/>
          <w:color w:val="auto"/>
          <w:sz w:val="28"/>
          <w:szCs w:val="21"/>
        </w:rPr>
      </w:pPr>
    </w:p>
    <w:p w14:paraId="1E01B53B">
      <w:pPr>
        <w:autoSpaceDE w:val="0"/>
        <w:autoSpaceDN w:val="0"/>
        <w:adjustRightInd w:val="0"/>
        <w:ind w:firstLine="0" w:firstLineChars="0"/>
        <w:rPr>
          <w:rFonts w:ascii="仿宋" w:hAnsi="仿宋" w:eastAsia="仿宋"/>
          <w:color w:val="auto"/>
          <w:sz w:val="28"/>
          <w:szCs w:val="21"/>
        </w:rPr>
      </w:pPr>
    </w:p>
    <w:p w14:paraId="42926ABE">
      <w:pPr>
        <w:autoSpaceDE w:val="0"/>
        <w:autoSpaceDN w:val="0"/>
        <w:adjustRightInd w:val="0"/>
        <w:ind w:firstLine="0" w:firstLineChars="0"/>
        <w:rPr>
          <w:rFonts w:ascii="仿宋" w:hAnsi="仿宋" w:eastAsia="仿宋"/>
          <w:color w:val="auto"/>
          <w:sz w:val="28"/>
          <w:szCs w:val="21"/>
        </w:rPr>
      </w:pPr>
    </w:p>
    <w:p w14:paraId="0615D61A">
      <w:pPr>
        <w:autoSpaceDE w:val="0"/>
        <w:autoSpaceDN w:val="0"/>
        <w:adjustRightInd w:val="0"/>
        <w:ind w:firstLine="0" w:firstLineChars="0"/>
        <w:rPr>
          <w:rFonts w:ascii="仿宋" w:hAnsi="仿宋" w:eastAsia="仿宋"/>
          <w:color w:val="auto"/>
          <w:sz w:val="28"/>
          <w:szCs w:val="21"/>
        </w:rPr>
      </w:pPr>
    </w:p>
    <w:p w14:paraId="0EC361CA">
      <w:pPr>
        <w:autoSpaceDE w:val="0"/>
        <w:autoSpaceDN w:val="0"/>
        <w:adjustRightInd w:val="0"/>
        <w:ind w:firstLine="0" w:firstLineChars="0"/>
        <w:rPr>
          <w:rFonts w:ascii="仿宋" w:hAnsi="仿宋" w:eastAsia="仿宋"/>
          <w:color w:val="auto"/>
          <w:sz w:val="28"/>
          <w:szCs w:val="21"/>
        </w:rPr>
      </w:pPr>
    </w:p>
    <w:tbl>
      <w:tblPr>
        <w:tblStyle w:val="44"/>
        <w:tblW w:w="0" w:type="auto"/>
        <w:jc w:val="center"/>
        <w:tblLayout w:type="fixed"/>
        <w:tblCellMar>
          <w:top w:w="57" w:type="dxa"/>
          <w:left w:w="57" w:type="dxa"/>
          <w:bottom w:w="57" w:type="dxa"/>
          <w:right w:w="57" w:type="dxa"/>
        </w:tblCellMar>
      </w:tblPr>
      <w:tblGrid>
        <w:gridCol w:w="5669"/>
      </w:tblGrid>
      <w:tr w14:paraId="10560252">
        <w:tblPrEx>
          <w:tblCellMar>
            <w:top w:w="57" w:type="dxa"/>
            <w:left w:w="57" w:type="dxa"/>
            <w:bottom w:w="57" w:type="dxa"/>
            <w:right w:w="57" w:type="dxa"/>
          </w:tblCellMar>
        </w:tblPrEx>
        <w:trPr>
          <w:jc w:val="center"/>
        </w:trPr>
        <w:tc>
          <w:tcPr>
            <w:tcW w:w="5669" w:type="dxa"/>
          </w:tcPr>
          <w:p w14:paraId="788B3AA7">
            <w:pPr>
              <w:autoSpaceDE w:val="0"/>
              <w:autoSpaceDN w:val="0"/>
              <w:adjustRightInd w:val="0"/>
              <w:spacing w:line="240" w:lineRule="auto"/>
              <w:ind w:firstLine="0" w:firstLineChars="0"/>
              <w:rPr>
                <w:rFonts w:ascii="仿宋" w:hAnsi="仿宋" w:eastAsia="仿宋"/>
                <w:color w:val="auto"/>
                <w:sz w:val="28"/>
                <w:szCs w:val="21"/>
              </w:rPr>
            </w:pPr>
            <w:r>
              <w:rPr>
                <w:rFonts w:hint="eastAsia" w:ascii="仿宋" w:hAnsi="仿宋" w:eastAsia="仿宋"/>
                <w:color w:val="auto"/>
                <w:sz w:val="28"/>
                <w:szCs w:val="28"/>
              </w:rPr>
              <w:t>投标人名称：</w:t>
            </w:r>
          </w:p>
        </w:tc>
      </w:tr>
      <w:tr w14:paraId="7A66F59D">
        <w:tblPrEx>
          <w:tblCellMar>
            <w:top w:w="57" w:type="dxa"/>
            <w:left w:w="57" w:type="dxa"/>
            <w:bottom w:w="57" w:type="dxa"/>
            <w:right w:w="57" w:type="dxa"/>
          </w:tblCellMar>
        </w:tblPrEx>
        <w:trPr>
          <w:jc w:val="center"/>
        </w:trPr>
        <w:tc>
          <w:tcPr>
            <w:tcW w:w="5669" w:type="dxa"/>
          </w:tcPr>
          <w:p w14:paraId="4EA3BBC3">
            <w:pPr>
              <w:autoSpaceDE w:val="0"/>
              <w:autoSpaceDN w:val="0"/>
              <w:adjustRightInd w:val="0"/>
              <w:spacing w:line="240" w:lineRule="auto"/>
              <w:ind w:firstLine="0" w:firstLineChars="0"/>
              <w:rPr>
                <w:rFonts w:ascii="仿宋" w:hAnsi="仿宋" w:eastAsia="仿宋"/>
                <w:color w:val="auto"/>
                <w:sz w:val="28"/>
                <w:szCs w:val="21"/>
              </w:rPr>
            </w:pPr>
            <w:r>
              <w:rPr>
                <w:rFonts w:hint="eastAsia" w:ascii="仿宋" w:hAnsi="仿宋" w:eastAsia="仿宋"/>
                <w:color w:val="auto"/>
                <w:sz w:val="28"/>
                <w:szCs w:val="28"/>
              </w:rPr>
              <w:t>日期： 年 月 日</w:t>
            </w:r>
          </w:p>
        </w:tc>
      </w:tr>
    </w:tbl>
    <w:p w14:paraId="5AE976B4">
      <w:pPr>
        <w:autoSpaceDE w:val="0"/>
        <w:autoSpaceDN w:val="0"/>
        <w:adjustRightInd w:val="0"/>
        <w:ind w:firstLine="0" w:firstLineChars="0"/>
        <w:rPr>
          <w:rFonts w:ascii="仿宋" w:hAnsi="仿宋" w:eastAsia="仿宋"/>
          <w:color w:val="auto"/>
          <w:sz w:val="28"/>
          <w:szCs w:val="21"/>
        </w:rPr>
      </w:pPr>
    </w:p>
    <w:p w14:paraId="497BBC2B">
      <w:pPr>
        <w:autoSpaceDE w:val="0"/>
        <w:autoSpaceDN w:val="0"/>
        <w:spacing w:before="156" w:beforeLines="50" w:after="156" w:afterLines="50" w:line="240" w:lineRule="auto"/>
        <w:ind w:firstLine="0" w:firstLineChars="0"/>
        <w:jc w:val="center"/>
        <w:outlineLvl w:val="1"/>
        <w:rPr>
          <w:rFonts w:ascii="仿宋" w:hAnsi="仿宋" w:eastAsia="仿宋"/>
          <w:color w:val="auto"/>
          <w:sz w:val="28"/>
          <w:szCs w:val="28"/>
        </w:rPr>
      </w:pPr>
      <w:r>
        <w:rPr>
          <w:rFonts w:hint="eastAsia" w:ascii="仿宋" w:hAnsi="仿宋" w:eastAsia="仿宋"/>
          <w:color w:val="auto"/>
          <w:sz w:val="44"/>
          <w:szCs w:val="44"/>
        </w:rPr>
        <w:br w:type="page"/>
      </w:r>
      <w:bookmarkStart w:id="178" w:name="_Toc481591972"/>
      <w:bookmarkStart w:id="179" w:name="_Toc2071999"/>
      <w:bookmarkStart w:id="180" w:name="_Toc181712922"/>
      <w:bookmarkStart w:id="181" w:name="_Toc19483"/>
      <w:bookmarkStart w:id="182" w:name="_Toc494528984"/>
      <w:bookmarkStart w:id="183" w:name="_Toc211783342"/>
      <w:bookmarkStart w:id="184" w:name="_Toc11320441"/>
      <w:bookmarkStart w:id="185" w:name="_Toc533330957"/>
      <w:bookmarkStart w:id="186" w:name="_Toc533331084"/>
      <w:r>
        <w:rPr>
          <w:rFonts w:hint="eastAsia" w:ascii="仿宋" w:hAnsi="仿宋" w:eastAsia="仿宋"/>
          <w:bCs/>
          <w:color w:val="auto"/>
          <w:sz w:val="28"/>
          <w:szCs w:val="28"/>
        </w:rPr>
        <w:t>投标文件目录</w:t>
      </w:r>
      <w:bookmarkEnd w:id="178"/>
      <w:bookmarkEnd w:id="179"/>
      <w:bookmarkEnd w:id="180"/>
      <w:bookmarkEnd w:id="181"/>
      <w:bookmarkEnd w:id="182"/>
    </w:p>
    <w:p w14:paraId="2AEEA33A">
      <w:pPr>
        <w:tabs>
          <w:tab w:val="left" w:pos="360"/>
        </w:tabs>
        <w:autoSpaceDE w:val="0"/>
        <w:autoSpaceDN w:val="0"/>
        <w:ind w:firstLine="480"/>
        <w:rPr>
          <w:rFonts w:ascii="仿宋" w:hAnsi="仿宋" w:eastAsia="仿宋" w:cs="宋体"/>
          <w:snapToGrid w:val="0"/>
          <w:color w:val="auto"/>
          <w:kern w:val="0"/>
          <w:sz w:val="24"/>
        </w:rPr>
      </w:pPr>
      <w:r>
        <w:rPr>
          <w:rFonts w:hint="eastAsia" w:ascii="仿宋" w:hAnsi="仿宋" w:eastAsia="仿宋" w:cs="宋体"/>
          <w:snapToGrid w:val="0"/>
          <w:color w:val="auto"/>
          <w:kern w:val="0"/>
          <w:sz w:val="24"/>
          <w:lang w:val="zh-CN"/>
        </w:rPr>
        <w:t>根据招标文件第六章提供的格式编写目录，目录须标注页码，同时为方便评审，须在目录前填写投标文件导读表，目录和导读表便于评委在评审时有效查找投标文件的响应情况，请各投标人认真编写填报。</w:t>
      </w:r>
    </w:p>
    <w:p w14:paraId="1FF8A73D">
      <w:pPr>
        <w:tabs>
          <w:tab w:val="left" w:pos="360"/>
        </w:tabs>
        <w:autoSpaceDE w:val="0"/>
        <w:autoSpaceDN w:val="0"/>
        <w:adjustRightInd w:val="0"/>
        <w:ind w:firstLine="0" w:firstLineChars="0"/>
        <w:jc w:val="left"/>
        <w:rPr>
          <w:rFonts w:ascii="仿宋" w:hAnsi="仿宋" w:eastAsia="仿宋" w:cs="宋体"/>
          <w:snapToGrid w:val="0"/>
          <w:color w:val="auto"/>
          <w:kern w:val="0"/>
          <w:szCs w:val="21"/>
          <w:lang w:val="zh-CN"/>
        </w:rPr>
      </w:pPr>
      <w:r>
        <w:rPr>
          <w:rFonts w:hint="eastAsia" w:ascii="仿宋" w:hAnsi="仿宋" w:eastAsia="仿宋" w:cs="宋体"/>
          <w:snapToGrid w:val="0"/>
          <w:color w:val="auto"/>
          <w:kern w:val="0"/>
          <w:szCs w:val="21"/>
          <w:lang w:val="zh-CN"/>
        </w:rPr>
        <w:br w:type="page"/>
      </w:r>
    </w:p>
    <w:p w14:paraId="2134875C">
      <w:pPr>
        <w:autoSpaceDE w:val="0"/>
        <w:autoSpaceDN w:val="0"/>
        <w:spacing w:before="156" w:beforeLines="50" w:after="156" w:afterLines="50" w:line="240" w:lineRule="auto"/>
        <w:ind w:firstLine="0" w:firstLineChars="0"/>
        <w:jc w:val="center"/>
        <w:outlineLvl w:val="1"/>
        <w:rPr>
          <w:rFonts w:ascii="仿宋" w:hAnsi="仿宋" w:eastAsia="仿宋"/>
          <w:bCs/>
          <w:color w:val="auto"/>
          <w:sz w:val="28"/>
          <w:szCs w:val="28"/>
        </w:rPr>
      </w:pPr>
      <w:bookmarkStart w:id="187" w:name="_Toc2072000"/>
      <w:bookmarkStart w:id="188" w:name="_Toc494528985"/>
      <w:bookmarkStart w:id="189" w:name="_Toc181712923"/>
      <w:r>
        <w:rPr>
          <w:rFonts w:hint="eastAsia" w:ascii="仿宋" w:hAnsi="仿宋" w:eastAsia="仿宋"/>
          <w:bCs/>
          <w:color w:val="auto"/>
          <w:sz w:val="28"/>
          <w:szCs w:val="28"/>
        </w:rPr>
        <w:t>投标文件导读表</w:t>
      </w:r>
      <w:bookmarkEnd w:id="187"/>
      <w:bookmarkEnd w:id="188"/>
      <w:bookmarkEnd w:id="189"/>
    </w:p>
    <w:tbl>
      <w:tblPr>
        <w:tblStyle w:val="44"/>
        <w:tblW w:w="907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57" w:type="dxa"/>
          <w:left w:w="57" w:type="dxa"/>
          <w:bottom w:w="57" w:type="dxa"/>
          <w:right w:w="57" w:type="dxa"/>
        </w:tblCellMar>
      </w:tblPr>
      <w:tblGrid>
        <w:gridCol w:w="1970"/>
        <w:gridCol w:w="2410"/>
        <w:gridCol w:w="2126"/>
        <w:gridCol w:w="2565"/>
      </w:tblGrid>
      <w:tr w14:paraId="29DFF0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22" w:hRule="atLeast"/>
          <w:jc w:val="center"/>
        </w:trPr>
        <w:tc>
          <w:tcPr>
            <w:tcW w:w="1970" w:type="dxa"/>
            <w:vAlign w:val="center"/>
          </w:tcPr>
          <w:p w14:paraId="773990BC">
            <w:pPr>
              <w:tabs>
                <w:tab w:val="left" w:pos="360"/>
              </w:tabs>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招标文件要求</w:t>
            </w:r>
          </w:p>
        </w:tc>
        <w:tc>
          <w:tcPr>
            <w:tcW w:w="2410" w:type="dxa"/>
            <w:vAlign w:val="center"/>
          </w:tcPr>
          <w:p w14:paraId="767284F7">
            <w:pPr>
              <w:tabs>
                <w:tab w:val="left" w:pos="360"/>
              </w:tabs>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投标文件响应</w:t>
            </w:r>
          </w:p>
        </w:tc>
        <w:tc>
          <w:tcPr>
            <w:tcW w:w="2126" w:type="dxa"/>
            <w:vAlign w:val="center"/>
          </w:tcPr>
          <w:p w14:paraId="2263DD8F">
            <w:pPr>
              <w:tabs>
                <w:tab w:val="left" w:pos="360"/>
              </w:tabs>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响应情况</w:t>
            </w:r>
          </w:p>
        </w:tc>
        <w:tc>
          <w:tcPr>
            <w:tcW w:w="2565" w:type="dxa"/>
            <w:vAlign w:val="center"/>
          </w:tcPr>
          <w:p w14:paraId="6C378B17">
            <w:pPr>
              <w:tabs>
                <w:tab w:val="left" w:pos="360"/>
              </w:tabs>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对应页码</w:t>
            </w:r>
          </w:p>
        </w:tc>
      </w:tr>
      <w:tr w14:paraId="303CCF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19" w:hRule="atLeast"/>
          <w:jc w:val="center"/>
        </w:trPr>
        <w:tc>
          <w:tcPr>
            <w:tcW w:w="9071" w:type="dxa"/>
            <w:gridSpan w:val="4"/>
            <w:vAlign w:val="center"/>
          </w:tcPr>
          <w:p w14:paraId="0F28EDF0">
            <w:pPr>
              <w:tabs>
                <w:tab w:val="left" w:pos="360"/>
              </w:tabs>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资格要求</w:t>
            </w:r>
          </w:p>
        </w:tc>
      </w:tr>
      <w:tr w14:paraId="65F68B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781" w:hRule="atLeast"/>
          <w:jc w:val="center"/>
        </w:trPr>
        <w:tc>
          <w:tcPr>
            <w:tcW w:w="1970" w:type="dxa"/>
            <w:vAlign w:val="center"/>
          </w:tcPr>
          <w:p w14:paraId="27FFAD5A">
            <w:pPr>
              <w:tabs>
                <w:tab w:val="left" w:pos="360"/>
              </w:tabs>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对照招标文件第一章第二款投标人资格要求填写招标文件要求</w:t>
            </w:r>
          </w:p>
        </w:tc>
        <w:tc>
          <w:tcPr>
            <w:tcW w:w="2410" w:type="dxa"/>
            <w:vAlign w:val="center"/>
          </w:tcPr>
          <w:p w14:paraId="16AA1B88">
            <w:pPr>
              <w:tabs>
                <w:tab w:val="left" w:pos="360"/>
              </w:tabs>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填写投标文件中响应内容所在章节</w:t>
            </w:r>
          </w:p>
        </w:tc>
        <w:tc>
          <w:tcPr>
            <w:tcW w:w="2126" w:type="dxa"/>
            <w:vAlign w:val="center"/>
          </w:tcPr>
          <w:p w14:paraId="16EEEEF9">
            <w:pPr>
              <w:tabs>
                <w:tab w:val="left" w:pos="360"/>
              </w:tabs>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填写具体响应情况</w:t>
            </w:r>
          </w:p>
        </w:tc>
        <w:tc>
          <w:tcPr>
            <w:tcW w:w="2565" w:type="dxa"/>
            <w:vAlign w:val="center"/>
          </w:tcPr>
          <w:p w14:paraId="675293A2">
            <w:pPr>
              <w:tabs>
                <w:tab w:val="left" w:pos="360"/>
              </w:tabs>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填写证明投标文件响应招标文件要求的证明材料所在页码</w:t>
            </w:r>
          </w:p>
        </w:tc>
      </w:tr>
      <w:tr w14:paraId="6948CA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19" w:hRule="atLeast"/>
          <w:jc w:val="center"/>
        </w:trPr>
        <w:tc>
          <w:tcPr>
            <w:tcW w:w="9071" w:type="dxa"/>
            <w:gridSpan w:val="4"/>
            <w:vAlign w:val="center"/>
          </w:tcPr>
          <w:p w14:paraId="3E449D06">
            <w:pPr>
              <w:tabs>
                <w:tab w:val="left" w:pos="360"/>
              </w:tabs>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采购需求</w:t>
            </w:r>
          </w:p>
        </w:tc>
      </w:tr>
      <w:tr w14:paraId="7BEB95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19" w:hRule="atLeast"/>
          <w:jc w:val="center"/>
        </w:trPr>
        <w:tc>
          <w:tcPr>
            <w:tcW w:w="6506" w:type="dxa"/>
            <w:gridSpan w:val="3"/>
            <w:vAlign w:val="center"/>
          </w:tcPr>
          <w:p w14:paraId="28999363">
            <w:pPr>
              <w:tabs>
                <w:tab w:val="left" w:pos="360"/>
              </w:tabs>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按招标文件第六章采购需求响应偏离表填写具体内容</w:t>
            </w:r>
          </w:p>
        </w:tc>
        <w:tc>
          <w:tcPr>
            <w:tcW w:w="2565" w:type="dxa"/>
            <w:vAlign w:val="center"/>
          </w:tcPr>
          <w:p w14:paraId="26B8002D">
            <w:pPr>
              <w:tabs>
                <w:tab w:val="left" w:pos="360"/>
              </w:tabs>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填写所在页码</w:t>
            </w:r>
          </w:p>
        </w:tc>
      </w:tr>
      <w:tr w14:paraId="795A00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jc w:val="center"/>
        </w:trPr>
        <w:tc>
          <w:tcPr>
            <w:tcW w:w="9071" w:type="dxa"/>
            <w:gridSpan w:val="4"/>
            <w:vAlign w:val="center"/>
          </w:tcPr>
          <w:p w14:paraId="17D59FA3">
            <w:pPr>
              <w:tabs>
                <w:tab w:val="left" w:pos="360"/>
              </w:tabs>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评分响应</w:t>
            </w:r>
          </w:p>
        </w:tc>
      </w:tr>
      <w:tr w14:paraId="0C14B8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176" w:hRule="atLeast"/>
          <w:jc w:val="center"/>
        </w:trPr>
        <w:tc>
          <w:tcPr>
            <w:tcW w:w="1970" w:type="dxa"/>
            <w:vAlign w:val="center"/>
          </w:tcPr>
          <w:p w14:paraId="0CD09D51">
            <w:pPr>
              <w:tabs>
                <w:tab w:val="left" w:pos="360"/>
              </w:tabs>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按照招标文件第四章评分细则填写评分因素</w:t>
            </w:r>
          </w:p>
        </w:tc>
        <w:tc>
          <w:tcPr>
            <w:tcW w:w="2410" w:type="dxa"/>
            <w:vAlign w:val="center"/>
          </w:tcPr>
          <w:p w14:paraId="3A2FD603">
            <w:pPr>
              <w:tabs>
                <w:tab w:val="left" w:pos="360"/>
              </w:tabs>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填写投标文件中响应内容所在章节</w:t>
            </w:r>
          </w:p>
        </w:tc>
        <w:tc>
          <w:tcPr>
            <w:tcW w:w="2126" w:type="dxa"/>
            <w:vAlign w:val="center"/>
          </w:tcPr>
          <w:p w14:paraId="583203A9">
            <w:pPr>
              <w:tabs>
                <w:tab w:val="left" w:pos="360"/>
              </w:tabs>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填写具体响应情况</w:t>
            </w:r>
          </w:p>
        </w:tc>
        <w:tc>
          <w:tcPr>
            <w:tcW w:w="2565" w:type="dxa"/>
            <w:vAlign w:val="center"/>
          </w:tcPr>
          <w:p w14:paraId="11C34AAE">
            <w:pPr>
              <w:tabs>
                <w:tab w:val="left" w:pos="360"/>
              </w:tabs>
              <w:autoSpaceDE w:val="0"/>
              <w:autoSpaceDN w:val="0"/>
              <w:adjustRightInd w:val="0"/>
              <w:snapToGrid w:val="0"/>
              <w:spacing w:line="400" w:lineRule="exact"/>
              <w:ind w:firstLine="0" w:firstLineChars="0"/>
              <w:jc w:val="center"/>
              <w:rPr>
                <w:rFonts w:ascii="仿宋" w:hAnsi="仿宋" w:eastAsia="仿宋" w:cs="宋体"/>
                <w:snapToGrid w:val="0"/>
                <w:color w:val="auto"/>
                <w:kern w:val="0"/>
                <w:sz w:val="24"/>
                <w:lang w:val="zh-CN"/>
              </w:rPr>
            </w:pPr>
            <w:r>
              <w:rPr>
                <w:rFonts w:hint="eastAsia" w:ascii="仿宋" w:hAnsi="仿宋" w:eastAsia="仿宋" w:cs="宋体"/>
                <w:snapToGrid w:val="0"/>
                <w:color w:val="auto"/>
                <w:kern w:val="0"/>
                <w:sz w:val="24"/>
                <w:lang w:val="zh-CN"/>
              </w:rPr>
              <w:t>填写证明投标文件响应招标文件要求的证明材料所在页码</w:t>
            </w:r>
          </w:p>
        </w:tc>
      </w:tr>
    </w:tbl>
    <w:p w14:paraId="11F0FE95">
      <w:pPr>
        <w:tabs>
          <w:tab w:val="left" w:pos="360"/>
        </w:tabs>
        <w:autoSpaceDE w:val="0"/>
        <w:autoSpaceDN w:val="0"/>
        <w:adjustRightInd w:val="0"/>
        <w:ind w:firstLine="0" w:firstLineChars="0"/>
        <w:jc w:val="left"/>
        <w:rPr>
          <w:rFonts w:ascii="仿宋" w:hAnsi="仿宋" w:eastAsia="仿宋" w:cs="宋体"/>
          <w:snapToGrid w:val="0"/>
          <w:color w:val="auto"/>
          <w:kern w:val="0"/>
          <w:szCs w:val="21"/>
          <w:lang w:val="zh-CN"/>
        </w:rPr>
      </w:pPr>
    </w:p>
    <w:p w14:paraId="65636235">
      <w:pPr>
        <w:autoSpaceDE w:val="0"/>
        <w:autoSpaceDN w:val="0"/>
        <w:adjustRightInd w:val="0"/>
        <w:ind w:firstLine="0" w:firstLineChars="0"/>
        <w:rPr>
          <w:rFonts w:ascii="仿宋" w:hAnsi="仿宋" w:eastAsia="仿宋"/>
          <w:color w:val="auto"/>
          <w:sz w:val="24"/>
        </w:rPr>
      </w:pPr>
    </w:p>
    <w:p w14:paraId="30BB816B">
      <w:pPr>
        <w:autoSpaceDE w:val="0"/>
        <w:autoSpaceDN w:val="0"/>
        <w:adjustRightInd w:val="0"/>
        <w:ind w:firstLine="0" w:firstLineChars="0"/>
        <w:rPr>
          <w:rFonts w:ascii="仿宋" w:hAnsi="仿宋" w:eastAsia="仿宋"/>
          <w:color w:val="auto"/>
          <w:sz w:val="24"/>
        </w:rPr>
      </w:pPr>
    </w:p>
    <w:p w14:paraId="2460AA82">
      <w:pPr>
        <w:numPr>
          <w:ilvl w:val="0"/>
          <w:numId w:val="2"/>
        </w:numPr>
        <w:autoSpaceDE w:val="0"/>
        <w:autoSpaceDN w:val="0"/>
        <w:adjustRightInd w:val="0"/>
        <w:snapToGrid w:val="0"/>
        <w:spacing w:before="156" w:beforeLines="50" w:after="156" w:afterLines="50" w:line="240" w:lineRule="auto"/>
        <w:ind w:left="0" w:firstLine="0" w:firstLineChars="0"/>
        <w:jc w:val="center"/>
        <w:outlineLvl w:val="1"/>
        <w:rPr>
          <w:rFonts w:ascii="仿宋" w:hAnsi="仿宋" w:eastAsia="仿宋"/>
          <w:color w:val="auto"/>
          <w:sz w:val="28"/>
          <w:szCs w:val="28"/>
        </w:rPr>
      </w:pPr>
      <w:r>
        <w:rPr>
          <w:rFonts w:hint="eastAsia" w:ascii="仿宋" w:hAnsi="仿宋" w:eastAsia="仿宋"/>
          <w:color w:val="auto"/>
          <w:szCs w:val="21"/>
        </w:rPr>
        <w:br w:type="page"/>
      </w:r>
      <w:bookmarkStart w:id="190" w:name="_Toc494528986"/>
      <w:bookmarkStart w:id="191" w:name="_Toc2072001"/>
      <w:bookmarkStart w:id="192" w:name="_Toc177738085"/>
      <w:bookmarkStart w:id="193" w:name="_Toc181712924"/>
      <w:r>
        <w:rPr>
          <w:rFonts w:hint="eastAsia" w:ascii="仿宋" w:hAnsi="仿宋" w:eastAsia="仿宋"/>
          <w:color w:val="auto"/>
          <w:sz w:val="28"/>
          <w:szCs w:val="28"/>
        </w:rPr>
        <w:t>投标函</w:t>
      </w:r>
      <w:bookmarkEnd w:id="190"/>
      <w:bookmarkEnd w:id="191"/>
      <w:bookmarkEnd w:id="192"/>
      <w:bookmarkEnd w:id="193"/>
    </w:p>
    <w:p w14:paraId="2B79FF64">
      <w:pPr>
        <w:autoSpaceDE w:val="0"/>
        <w:autoSpaceDN w:val="0"/>
        <w:ind w:firstLine="0" w:firstLineChars="0"/>
        <w:rPr>
          <w:rFonts w:ascii="仿宋" w:hAnsi="仿宋" w:eastAsia="仿宋"/>
          <w:b/>
          <w:color w:val="auto"/>
          <w:kern w:val="0"/>
          <w:sz w:val="24"/>
        </w:rPr>
      </w:pPr>
      <w:r>
        <w:rPr>
          <w:rFonts w:hint="eastAsia" w:ascii="仿宋" w:hAnsi="仿宋" w:eastAsia="仿宋" w:cs="宋体"/>
          <w:b/>
          <w:snapToGrid w:val="0"/>
          <w:color w:val="auto"/>
          <w:kern w:val="0"/>
          <w:sz w:val="24"/>
          <w:u w:val="single"/>
          <w:lang w:val="zh-CN"/>
        </w:rPr>
        <w:t>（采购代理机构）</w:t>
      </w:r>
      <w:r>
        <w:rPr>
          <w:rFonts w:hint="eastAsia" w:ascii="仿宋" w:hAnsi="仿宋" w:eastAsia="仿宋"/>
          <w:b/>
          <w:color w:val="auto"/>
          <w:kern w:val="0"/>
          <w:sz w:val="24"/>
        </w:rPr>
        <w:t>：</w:t>
      </w:r>
    </w:p>
    <w:p w14:paraId="024761B8">
      <w:pPr>
        <w:autoSpaceDE w:val="0"/>
        <w:autoSpaceDN w:val="0"/>
        <w:ind w:firstLine="480"/>
        <w:rPr>
          <w:rFonts w:ascii="仿宋" w:hAnsi="仿宋" w:eastAsia="仿宋"/>
          <w:color w:val="auto"/>
          <w:kern w:val="0"/>
          <w:sz w:val="24"/>
        </w:rPr>
      </w:pPr>
      <w:r>
        <w:rPr>
          <w:rFonts w:hint="eastAsia" w:ascii="仿宋" w:hAnsi="仿宋" w:eastAsia="仿宋"/>
          <w:color w:val="auto"/>
          <w:kern w:val="0"/>
          <w:sz w:val="24"/>
        </w:rPr>
        <w:t>依据贵方</w:t>
      </w:r>
      <w:r>
        <w:rPr>
          <w:rFonts w:hint="eastAsia" w:ascii="仿宋" w:hAnsi="仿宋" w:eastAsia="仿宋"/>
          <w:b/>
          <w:color w:val="auto"/>
          <w:kern w:val="0"/>
          <w:sz w:val="24"/>
          <w:u w:val="single"/>
        </w:rPr>
        <w:t>（采购项目名称）（项目编号）</w:t>
      </w:r>
      <w:r>
        <w:rPr>
          <w:rFonts w:hint="eastAsia" w:ascii="仿宋" w:hAnsi="仿宋" w:eastAsia="仿宋"/>
          <w:color w:val="auto"/>
          <w:kern w:val="0"/>
          <w:sz w:val="24"/>
        </w:rPr>
        <w:t>项目招标采购的投标邀请，我方代表</w:t>
      </w:r>
      <w:r>
        <w:rPr>
          <w:rFonts w:hint="eastAsia" w:ascii="仿宋" w:hAnsi="仿宋" w:eastAsia="仿宋"/>
          <w:b/>
          <w:color w:val="auto"/>
          <w:kern w:val="0"/>
          <w:sz w:val="24"/>
          <w:u w:val="single"/>
        </w:rPr>
        <w:t>（姓名、职务）</w:t>
      </w:r>
      <w:r>
        <w:rPr>
          <w:rFonts w:hint="eastAsia" w:ascii="仿宋" w:hAnsi="仿宋" w:eastAsia="仿宋"/>
          <w:color w:val="auto"/>
          <w:kern w:val="0"/>
          <w:sz w:val="24"/>
        </w:rPr>
        <w:t>经正式授权并代表投标人</w:t>
      </w:r>
      <w:r>
        <w:rPr>
          <w:rFonts w:hint="eastAsia" w:ascii="仿宋" w:hAnsi="仿宋" w:eastAsia="仿宋"/>
          <w:b/>
          <w:color w:val="auto"/>
          <w:kern w:val="0"/>
          <w:sz w:val="24"/>
          <w:u w:val="single"/>
        </w:rPr>
        <w:t>（投标人单位全称）</w:t>
      </w:r>
      <w:r>
        <w:rPr>
          <w:rFonts w:hint="eastAsia" w:ascii="仿宋" w:hAnsi="仿宋" w:eastAsia="仿宋"/>
          <w:color w:val="auto"/>
          <w:kern w:val="0"/>
          <w:sz w:val="24"/>
        </w:rPr>
        <w:t>提交下述文件</w:t>
      </w:r>
      <w:r>
        <w:rPr>
          <w:rFonts w:hint="eastAsia" w:ascii="仿宋" w:hAnsi="仿宋" w:eastAsia="仿宋"/>
          <w:b/>
          <w:color w:val="auto"/>
          <w:kern w:val="0"/>
          <w:sz w:val="24"/>
        </w:rPr>
        <w:t>正本一份，副本</w:t>
      </w:r>
      <w:r>
        <w:rPr>
          <w:rFonts w:hint="eastAsia" w:ascii="仿宋" w:hAnsi="仿宋" w:eastAsia="仿宋"/>
          <w:b/>
          <w:color w:val="auto"/>
          <w:kern w:val="0"/>
          <w:sz w:val="24"/>
          <w:u w:val="single"/>
        </w:rPr>
        <w:t xml:space="preserve">    </w:t>
      </w:r>
      <w:r>
        <w:rPr>
          <w:rFonts w:hint="eastAsia" w:ascii="仿宋" w:hAnsi="仿宋" w:eastAsia="仿宋"/>
          <w:b/>
          <w:color w:val="auto"/>
          <w:kern w:val="0"/>
          <w:sz w:val="24"/>
        </w:rPr>
        <w:t>份</w:t>
      </w:r>
      <w:r>
        <w:rPr>
          <w:rFonts w:hint="eastAsia" w:ascii="仿宋" w:hAnsi="仿宋" w:eastAsia="仿宋"/>
          <w:color w:val="auto"/>
          <w:kern w:val="0"/>
          <w:sz w:val="24"/>
        </w:rPr>
        <w:t>。</w:t>
      </w:r>
    </w:p>
    <w:p w14:paraId="077C80C7">
      <w:pPr>
        <w:tabs>
          <w:tab w:val="left" w:pos="840"/>
        </w:tabs>
        <w:autoSpaceDE w:val="0"/>
        <w:autoSpaceDN w:val="0"/>
        <w:ind w:left="480" w:firstLine="0" w:firstLineChars="0"/>
        <w:rPr>
          <w:rFonts w:ascii="仿宋" w:hAnsi="仿宋" w:eastAsia="仿宋"/>
          <w:color w:val="auto"/>
          <w:kern w:val="0"/>
          <w:sz w:val="24"/>
        </w:rPr>
      </w:pPr>
      <w:r>
        <w:rPr>
          <w:rFonts w:hint="eastAsia" w:ascii="仿宋" w:hAnsi="仿宋" w:eastAsia="仿宋"/>
          <w:color w:val="auto"/>
          <w:kern w:val="0"/>
          <w:sz w:val="24"/>
        </w:rPr>
        <w:t>1</w:t>
      </w:r>
      <w:r>
        <w:rPr>
          <w:rFonts w:ascii="仿宋" w:hAnsi="仿宋" w:eastAsia="仿宋"/>
          <w:color w:val="auto"/>
          <w:kern w:val="0"/>
          <w:sz w:val="24"/>
        </w:rPr>
        <w:t>.</w:t>
      </w:r>
      <w:r>
        <w:rPr>
          <w:rFonts w:hint="eastAsia" w:ascii="仿宋" w:hAnsi="仿宋" w:eastAsia="仿宋"/>
          <w:color w:val="auto"/>
          <w:kern w:val="0"/>
          <w:sz w:val="24"/>
        </w:rPr>
        <w:t>投标文件；</w:t>
      </w:r>
    </w:p>
    <w:p w14:paraId="4E64F6DC">
      <w:pPr>
        <w:tabs>
          <w:tab w:val="left" w:pos="840"/>
        </w:tabs>
        <w:autoSpaceDE w:val="0"/>
        <w:autoSpaceDN w:val="0"/>
        <w:ind w:left="480" w:firstLine="0" w:firstLineChars="0"/>
        <w:rPr>
          <w:rFonts w:ascii="仿宋" w:hAnsi="仿宋" w:eastAsia="仿宋"/>
          <w:color w:val="auto"/>
          <w:kern w:val="0"/>
          <w:sz w:val="24"/>
        </w:rPr>
      </w:pPr>
      <w:r>
        <w:rPr>
          <w:rFonts w:hint="eastAsia" w:ascii="仿宋" w:hAnsi="仿宋" w:eastAsia="仿宋"/>
          <w:color w:val="auto"/>
          <w:kern w:val="0"/>
          <w:sz w:val="24"/>
        </w:rPr>
        <w:t>2</w:t>
      </w:r>
      <w:r>
        <w:rPr>
          <w:rFonts w:ascii="仿宋" w:hAnsi="仿宋" w:eastAsia="仿宋"/>
          <w:color w:val="auto"/>
          <w:kern w:val="0"/>
          <w:sz w:val="24"/>
        </w:rPr>
        <w:t>.</w:t>
      </w:r>
      <w:r>
        <w:rPr>
          <w:rFonts w:hint="eastAsia" w:ascii="仿宋" w:hAnsi="仿宋" w:eastAsia="仿宋"/>
          <w:color w:val="auto"/>
          <w:kern w:val="0"/>
          <w:sz w:val="24"/>
        </w:rPr>
        <w:t>样品/原件（如有）；</w:t>
      </w:r>
    </w:p>
    <w:p w14:paraId="125F38F9">
      <w:pPr>
        <w:tabs>
          <w:tab w:val="left" w:pos="840"/>
        </w:tabs>
        <w:autoSpaceDE w:val="0"/>
        <w:autoSpaceDN w:val="0"/>
        <w:ind w:left="480" w:firstLine="0" w:firstLineChars="0"/>
        <w:rPr>
          <w:rFonts w:ascii="仿宋" w:hAnsi="仿宋" w:eastAsia="仿宋"/>
          <w:color w:val="auto"/>
          <w:kern w:val="0"/>
          <w:sz w:val="24"/>
        </w:rPr>
      </w:pPr>
      <w:r>
        <w:rPr>
          <w:rFonts w:hint="eastAsia" w:ascii="仿宋" w:hAnsi="仿宋" w:eastAsia="仿宋"/>
          <w:color w:val="auto"/>
          <w:kern w:val="0"/>
          <w:sz w:val="24"/>
        </w:rPr>
        <w:t>3</w:t>
      </w:r>
      <w:r>
        <w:rPr>
          <w:rFonts w:ascii="仿宋" w:hAnsi="仿宋" w:eastAsia="仿宋"/>
          <w:color w:val="auto"/>
          <w:kern w:val="0"/>
          <w:sz w:val="24"/>
        </w:rPr>
        <w:t>.</w:t>
      </w:r>
      <w:r>
        <w:rPr>
          <w:rFonts w:hint="eastAsia" w:ascii="仿宋" w:hAnsi="仿宋" w:eastAsia="仿宋"/>
          <w:color w:val="auto"/>
          <w:kern w:val="0"/>
          <w:sz w:val="24"/>
        </w:rPr>
        <w:t>按招标文件的规定递交符合招标文件规定的投标保证金。</w:t>
      </w:r>
    </w:p>
    <w:p w14:paraId="6A195197">
      <w:pPr>
        <w:autoSpaceDE w:val="0"/>
        <w:autoSpaceDN w:val="0"/>
        <w:ind w:firstLine="480"/>
        <w:rPr>
          <w:rFonts w:ascii="仿宋" w:hAnsi="仿宋" w:eastAsia="仿宋"/>
          <w:color w:val="auto"/>
          <w:kern w:val="0"/>
          <w:sz w:val="24"/>
        </w:rPr>
      </w:pPr>
      <w:r>
        <w:rPr>
          <w:rFonts w:hint="eastAsia" w:ascii="仿宋" w:hAnsi="仿宋" w:eastAsia="仿宋"/>
          <w:color w:val="auto"/>
          <w:kern w:val="0"/>
          <w:sz w:val="24"/>
        </w:rPr>
        <w:t>在此，我方宣布同意如下：</w:t>
      </w:r>
    </w:p>
    <w:p w14:paraId="685C0357">
      <w:pPr>
        <w:tabs>
          <w:tab w:val="left" w:pos="840"/>
          <w:tab w:val="left" w:pos="2940"/>
        </w:tabs>
        <w:autoSpaceDE w:val="0"/>
        <w:autoSpaceDN w:val="0"/>
        <w:ind w:firstLine="480"/>
        <w:rPr>
          <w:rFonts w:ascii="仿宋" w:hAnsi="仿宋" w:eastAsia="仿宋"/>
          <w:color w:val="auto"/>
          <w:kern w:val="0"/>
          <w:sz w:val="24"/>
        </w:rPr>
      </w:pPr>
      <w:r>
        <w:rPr>
          <w:rFonts w:hint="eastAsia" w:ascii="仿宋" w:hAnsi="仿宋" w:eastAsia="仿宋"/>
          <w:color w:val="auto"/>
          <w:kern w:val="0"/>
          <w:sz w:val="24"/>
        </w:rPr>
        <w:t>1</w:t>
      </w:r>
      <w:r>
        <w:rPr>
          <w:rFonts w:ascii="仿宋" w:hAnsi="仿宋" w:eastAsia="仿宋"/>
          <w:color w:val="auto"/>
          <w:kern w:val="0"/>
          <w:sz w:val="24"/>
        </w:rPr>
        <w:t>.</w:t>
      </w:r>
      <w:r>
        <w:rPr>
          <w:rFonts w:hint="eastAsia" w:ascii="仿宋" w:hAnsi="仿宋" w:eastAsia="仿宋"/>
          <w:color w:val="auto"/>
          <w:kern w:val="0"/>
          <w:sz w:val="24"/>
        </w:rPr>
        <w:t>所附《开标一览表》中规定的应提交和交付的货物/服务投标总价为</w:t>
      </w:r>
      <w:r>
        <w:rPr>
          <w:rFonts w:hint="eastAsia" w:ascii="仿宋" w:hAnsi="仿宋" w:eastAsia="仿宋"/>
          <w:b/>
          <w:color w:val="auto"/>
          <w:kern w:val="0"/>
          <w:sz w:val="24"/>
          <w:u w:val="single"/>
        </w:rPr>
        <w:t>（注明币种，并用大写和小写表示的投标总价）</w:t>
      </w:r>
      <w:r>
        <w:rPr>
          <w:rFonts w:hint="eastAsia" w:ascii="仿宋" w:hAnsi="仿宋" w:eastAsia="仿宋"/>
          <w:color w:val="auto"/>
          <w:kern w:val="0"/>
          <w:sz w:val="24"/>
        </w:rPr>
        <w:t>。</w:t>
      </w:r>
    </w:p>
    <w:p w14:paraId="2CF9199E">
      <w:pPr>
        <w:tabs>
          <w:tab w:val="left" w:pos="840"/>
          <w:tab w:val="left" w:pos="2940"/>
        </w:tabs>
        <w:autoSpaceDE w:val="0"/>
        <w:autoSpaceDN w:val="0"/>
        <w:ind w:firstLine="480"/>
        <w:rPr>
          <w:rFonts w:ascii="仿宋" w:hAnsi="仿宋" w:eastAsia="仿宋"/>
          <w:color w:val="auto"/>
          <w:kern w:val="0"/>
          <w:sz w:val="24"/>
        </w:rPr>
      </w:pPr>
      <w:r>
        <w:rPr>
          <w:rFonts w:hint="eastAsia" w:ascii="仿宋" w:hAnsi="仿宋" w:eastAsia="仿宋"/>
          <w:color w:val="auto"/>
          <w:kern w:val="0"/>
          <w:sz w:val="24"/>
        </w:rPr>
        <w:t>2</w:t>
      </w:r>
      <w:r>
        <w:rPr>
          <w:rFonts w:ascii="仿宋" w:hAnsi="仿宋" w:eastAsia="仿宋"/>
          <w:color w:val="auto"/>
          <w:kern w:val="0"/>
          <w:sz w:val="24"/>
        </w:rPr>
        <w:t>.</w:t>
      </w:r>
      <w:r>
        <w:rPr>
          <w:rFonts w:hint="eastAsia" w:ascii="仿宋" w:hAnsi="仿宋" w:eastAsia="仿宋"/>
          <w:color w:val="auto"/>
          <w:kern w:val="0"/>
          <w:sz w:val="24"/>
        </w:rPr>
        <w:t>将按招标文件的约定履行合同责任和义务。</w:t>
      </w:r>
    </w:p>
    <w:p w14:paraId="6B588349">
      <w:pPr>
        <w:tabs>
          <w:tab w:val="left" w:pos="840"/>
          <w:tab w:val="left" w:pos="2940"/>
        </w:tabs>
        <w:autoSpaceDE w:val="0"/>
        <w:autoSpaceDN w:val="0"/>
        <w:ind w:firstLine="480"/>
        <w:rPr>
          <w:rFonts w:ascii="仿宋" w:hAnsi="仿宋" w:eastAsia="仿宋"/>
          <w:color w:val="auto"/>
          <w:kern w:val="0"/>
          <w:sz w:val="24"/>
        </w:rPr>
      </w:pPr>
      <w:r>
        <w:rPr>
          <w:rFonts w:hint="eastAsia" w:ascii="仿宋" w:hAnsi="仿宋" w:eastAsia="仿宋"/>
          <w:color w:val="auto"/>
          <w:kern w:val="0"/>
          <w:sz w:val="24"/>
        </w:rPr>
        <w:t>3</w:t>
      </w:r>
      <w:r>
        <w:rPr>
          <w:rFonts w:ascii="仿宋" w:hAnsi="仿宋" w:eastAsia="仿宋"/>
          <w:color w:val="auto"/>
          <w:kern w:val="0"/>
          <w:sz w:val="24"/>
        </w:rPr>
        <w:t>.</w:t>
      </w:r>
      <w:r>
        <w:rPr>
          <w:rFonts w:hint="eastAsia" w:ascii="仿宋" w:hAnsi="仿宋" w:eastAsia="仿宋"/>
          <w:color w:val="auto"/>
          <w:kern w:val="0"/>
          <w:sz w:val="24"/>
        </w:rPr>
        <w:t>已详细审查全部招标文件及澄清修改文件（如果有的话），我们完全理解并对此无异议。</w:t>
      </w:r>
    </w:p>
    <w:p w14:paraId="3DB16CE6">
      <w:pPr>
        <w:tabs>
          <w:tab w:val="left" w:pos="840"/>
          <w:tab w:val="left" w:pos="2940"/>
        </w:tabs>
        <w:autoSpaceDE w:val="0"/>
        <w:autoSpaceDN w:val="0"/>
        <w:ind w:firstLine="480"/>
        <w:rPr>
          <w:rFonts w:ascii="仿宋" w:hAnsi="仿宋" w:eastAsia="仿宋"/>
          <w:color w:val="auto"/>
          <w:kern w:val="0"/>
          <w:sz w:val="24"/>
        </w:rPr>
      </w:pPr>
      <w:r>
        <w:rPr>
          <w:rFonts w:hint="eastAsia" w:ascii="仿宋" w:hAnsi="仿宋" w:eastAsia="仿宋"/>
          <w:color w:val="auto"/>
          <w:kern w:val="0"/>
          <w:sz w:val="24"/>
        </w:rPr>
        <w:t>4</w:t>
      </w:r>
      <w:r>
        <w:rPr>
          <w:rFonts w:ascii="仿宋" w:hAnsi="仿宋" w:eastAsia="仿宋"/>
          <w:color w:val="auto"/>
          <w:kern w:val="0"/>
          <w:sz w:val="24"/>
        </w:rPr>
        <w:t>.</w:t>
      </w:r>
      <w:r>
        <w:rPr>
          <w:rFonts w:hint="eastAsia" w:ascii="仿宋" w:hAnsi="仿宋" w:eastAsia="仿宋"/>
          <w:color w:val="auto"/>
          <w:kern w:val="0"/>
          <w:sz w:val="24"/>
        </w:rPr>
        <w:t>本投标文件的有效期自开标之日起共</w:t>
      </w:r>
      <w:r>
        <w:rPr>
          <w:rFonts w:hint="eastAsia" w:ascii="仿宋" w:hAnsi="仿宋" w:eastAsia="仿宋"/>
          <w:color w:val="auto"/>
          <w:kern w:val="0"/>
          <w:sz w:val="24"/>
          <w:u w:val="single"/>
        </w:rPr>
        <w:t xml:space="preserve"> 90 </w:t>
      </w:r>
      <w:r>
        <w:rPr>
          <w:rFonts w:hint="eastAsia" w:ascii="仿宋" w:hAnsi="仿宋" w:eastAsia="仿宋"/>
          <w:color w:val="auto"/>
          <w:kern w:val="0"/>
          <w:sz w:val="24"/>
        </w:rPr>
        <w:t>个日历日。</w:t>
      </w:r>
    </w:p>
    <w:p w14:paraId="5AAB8440">
      <w:pPr>
        <w:tabs>
          <w:tab w:val="left" w:pos="840"/>
          <w:tab w:val="left" w:pos="2940"/>
        </w:tabs>
        <w:autoSpaceDE w:val="0"/>
        <w:autoSpaceDN w:val="0"/>
        <w:ind w:firstLine="480"/>
        <w:rPr>
          <w:rFonts w:ascii="仿宋" w:hAnsi="仿宋" w:eastAsia="仿宋"/>
          <w:color w:val="auto"/>
          <w:kern w:val="0"/>
          <w:sz w:val="24"/>
        </w:rPr>
      </w:pPr>
      <w:r>
        <w:rPr>
          <w:rFonts w:hint="eastAsia" w:ascii="仿宋" w:hAnsi="仿宋" w:eastAsia="仿宋"/>
          <w:color w:val="auto"/>
          <w:kern w:val="0"/>
          <w:sz w:val="24"/>
        </w:rPr>
        <w:t>5</w:t>
      </w:r>
      <w:r>
        <w:rPr>
          <w:rFonts w:ascii="仿宋" w:hAnsi="仿宋" w:eastAsia="仿宋"/>
          <w:color w:val="auto"/>
          <w:kern w:val="0"/>
          <w:sz w:val="24"/>
        </w:rPr>
        <w:t>.</w:t>
      </w:r>
      <w:r>
        <w:rPr>
          <w:rFonts w:hint="eastAsia" w:ascii="仿宋" w:hAnsi="仿宋" w:eastAsia="仿宋"/>
          <w:color w:val="auto"/>
          <w:kern w:val="0"/>
          <w:sz w:val="24"/>
        </w:rPr>
        <w:t>接受招标文件所列第二章投标人须知中关于</w:t>
      </w:r>
      <w:r>
        <w:rPr>
          <w:rFonts w:hint="eastAsia" w:ascii="仿宋" w:hAnsi="仿宋" w:eastAsia="仿宋" w:cs="宋体"/>
          <w:snapToGrid w:val="0"/>
          <w:color w:val="auto"/>
          <w:kern w:val="0"/>
          <w:sz w:val="24"/>
          <w:lang w:val="zh-CN"/>
        </w:rPr>
        <w:t>不予退还</w:t>
      </w:r>
      <w:r>
        <w:rPr>
          <w:rFonts w:hint="eastAsia" w:ascii="仿宋" w:hAnsi="仿宋" w:eastAsia="仿宋"/>
          <w:color w:val="auto"/>
          <w:kern w:val="0"/>
          <w:sz w:val="24"/>
        </w:rPr>
        <w:t>投标保证金的约定。</w:t>
      </w:r>
    </w:p>
    <w:p w14:paraId="00FD7D25">
      <w:pPr>
        <w:tabs>
          <w:tab w:val="left" w:pos="840"/>
          <w:tab w:val="left" w:pos="2940"/>
        </w:tabs>
        <w:autoSpaceDE w:val="0"/>
        <w:autoSpaceDN w:val="0"/>
        <w:ind w:firstLine="480"/>
        <w:rPr>
          <w:rFonts w:ascii="仿宋" w:hAnsi="仿宋" w:eastAsia="仿宋"/>
          <w:color w:val="auto"/>
          <w:kern w:val="0"/>
          <w:sz w:val="24"/>
        </w:rPr>
      </w:pPr>
      <w:r>
        <w:rPr>
          <w:rFonts w:hint="eastAsia" w:ascii="仿宋" w:hAnsi="仿宋" w:eastAsia="仿宋"/>
          <w:color w:val="auto"/>
          <w:kern w:val="0"/>
          <w:sz w:val="24"/>
        </w:rPr>
        <w:t>6</w:t>
      </w:r>
      <w:r>
        <w:rPr>
          <w:rFonts w:ascii="仿宋" w:hAnsi="仿宋" w:eastAsia="仿宋"/>
          <w:color w:val="auto"/>
          <w:kern w:val="0"/>
          <w:sz w:val="24"/>
        </w:rPr>
        <w:t>.</w:t>
      </w:r>
      <w:r>
        <w:rPr>
          <w:rFonts w:hint="eastAsia" w:ascii="仿宋" w:hAnsi="仿宋" w:eastAsia="仿宋"/>
          <w:color w:val="auto"/>
          <w:kern w:val="0"/>
          <w:sz w:val="24"/>
        </w:rPr>
        <w:t>同意提供按照贵方可能要求的与其投标有关的一切数据或资料。</w:t>
      </w:r>
    </w:p>
    <w:p w14:paraId="17B6AB84">
      <w:pPr>
        <w:tabs>
          <w:tab w:val="left" w:pos="840"/>
          <w:tab w:val="left" w:pos="2940"/>
        </w:tabs>
        <w:autoSpaceDE w:val="0"/>
        <w:autoSpaceDN w:val="0"/>
        <w:ind w:firstLine="480"/>
        <w:rPr>
          <w:rFonts w:ascii="仿宋" w:hAnsi="仿宋" w:eastAsia="仿宋"/>
          <w:color w:val="auto"/>
          <w:kern w:val="0"/>
          <w:sz w:val="24"/>
        </w:rPr>
      </w:pPr>
      <w:r>
        <w:rPr>
          <w:rFonts w:hint="eastAsia" w:ascii="仿宋" w:hAnsi="仿宋" w:eastAsia="仿宋"/>
          <w:color w:val="auto"/>
          <w:kern w:val="0"/>
          <w:sz w:val="24"/>
        </w:rPr>
        <w:t>7</w:t>
      </w:r>
      <w:r>
        <w:rPr>
          <w:rFonts w:ascii="仿宋" w:hAnsi="仿宋" w:eastAsia="仿宋"/>
          <w:color w:val="auto"/>
          <w:kern w:val="0"/>
          <w:sz w:val="24"/>
        </w:rPr>
        <w:t>.</w:t>
      </w:r>
      <w:r>
        <w:rPr>
          <w:rFonts w:hint="eastAsia" w:ascii="仿宋" w:hAnsi="仿宋" w:eastAsia="仿宋"/>
          <w:color w:val="auto"/>
          <w:kern w:val="0"/>
          <w:sz w:val="24"/>
        </w:rPr>
        <w:t>与本投标有关的一切正式往来信函请按如下地址邮寄或邮件：</w:t>
      </w:r>
    </w:p>
    <w:p w14:paraId="55DEADD6">
      <w:pPr>
        <w:autoSpaceDE w:val="0"/>
        <w:autoSpaceDN w:val="0"/>
        <w:ind w:firstLine="480"/>
        <w:rPr>
          <w:rFonts w:ascii="仿宋" w:hAnsi="仿宋" w:eastAsia="仿宋"/>
          <w:color w:val="auto"/>
          <w:kern w:val="0"/>
          <w:sz w:val="24"/>
        </w:rPr>
      </w:pPr>
    </w:p>
    <w:p w14:paraId="5ABFC9A3">
      <w:pPr>
        <w:autoSpaceDE w:val="0"/>
        <w:autoSpaceDN w:val="0"/>
        <w:ind w:firstLine="480"/>
        <w:rPr>
          <w:rFonts w:ascii="仿宋" w:hAnsi="仿宋" w:eastAsia="仿宋"/>
          <w:color w:val="auto"/>
          <w:kern w:val="0"/>
          <w:sz w:val="24"/>
        </w:rPr>
      </w:pPr>
      <w:r>
        <w:rPr>
          <w:rFonts w:hint="eastAsia" w:ascii="仿宋" w:hAnsi="仿宋" w:eastAsia="仿宋"/>
          <w:color w:val="auto"/>
          <w:kern w:val="0"/>
          <w:sz w:val="24"/>
        </w:rPr>
        <w:t>通讯地址：</w:t>
      </w:r>
    </w:p>
    <w:p w14:paraId="0AA7611D">
      <w:pPr>
        <w:autoSpaceDE w:val="0"/>
        <w:autoSpaceDN w:val="0"/>
        <w:ind w:firstLine="480"/>
        <w:rPr>
          <w:rFonts w:ascii="仿宋" w:hAnsi="仿宋" w:eastAsia="仿宋"/>
          <w:color w:val="auto"/>
          <w:kern w:val="0"/>
          <w:sz w:val="24"/>
        </w:rPr>
      </w:pPr>
      <w:r>
        <w:rPr>
          <w:rFonts w:hint="eastAsia" w:ascii="仿宋" w:hAnsi="仿宋" w:eastAsia="仿宋"/>
          <w:color w:val="auto"/>
          <w:kern w:val="0"/>
          <w:sz w:val="24"/>
        </w:rPr>
        <w:t>电    话：</w:t>
      </w:r>
    </w:p>
    <w:p w14:paraId="5245426B">
      <w:pPr>
        <w:autoSpaceDE w:val="0"/>
        <w:autoSpaceDN w:val="0"/>
        <w:ind w:firstLine="480"/>
        <w:rPr>
          <w:rFonts w:ascii="仿宋" w:hAnsi="仿宋" w:eastAsia="仿宋"/>
          <w:color w:val="auto"/>
          <w:kern w:val="0"/>
          <w:sz w:val="24"/>
        </w:rPr>
      </w:pPr>
      <w:r>
        <w:rPr>
          <w:rFonts w:hint="eastAsia" w:ascii="仿宋" w:hAnsi="仿宋" w:eastAsia="仿宋"/>
          <w:color w:val="auto"/>
          <w:kern w:val="0"/>
          <w:sz w:val="24"/>
        </w:rPr>
        <w:t>电子邮件：</w:t>
      </w:r>
    </w:p>
    <w:p w14:paraId="4611D524">
      <w:pPr>
        <w:autoSpaceDE w:val="0"/>
        <w:autoSpaceDN w:val="0"/>
        <w:ind w:firstLine="482"/>
        <w:rPr>
          <w:rFonts w:ascii="仿宋" w:hAnsi="仿宋" w:eastAsia="仿宋"/>
          <w:b/>
          <w:color w:val="auto"/>
          <w:kern w:val="0"/>
          <w:sz w:val="24"/>
        </w:rPr>
      </w:pPr>
      <w:r>
        <w:rPr>
          <w:rFonts w:hint="eastAsia" w:ascii="仿宋" w:hAnsi="仿宋" w:eastAsia="仿宋"/>
          <w:b/>
          <w:color w:val="auto"/>
          <w:kern w:val="0"/>
          <w:sz w:val="24"/>
        </w:rPr>
        <w:t>法定代表人或委托代理人签字：</w:t>
      </w:r>
    </w:p>
    <w:p w14:paraId="352AB0DA">
      <w:pPr>
        <w:autoSpaceDE w:val="0"/>
        <w:autoSpaceDN w:val="0"/>
        <w:ind w:firstLine="482"/>
        <w:rPr>
          <w:rFonts w:ascii="仿宋" w:hAnsi="仿宋" w:eastAsia="仿宋"/>
          <w:b/>
          <w:color w:val="auto"/>
          <w:kern w:val="0"/>
          <w:sz w:val="24"/>
        </w:rPr>
      </w:pPr>
      <w:r>
        <w:rPr>
          <w:rFonts w:hint="eastAsia" w:ascii="仿宋" w:hAnsi="仿宋" w:eastAsia="仿宋"/>
          <w:b/>
          <w:color w:val="auto"/>
          <w:kern w:val="0"/>
          <w:sz w:val="24"/>
        </w:rPr>
        <w:t>投标人名称（公章）：</w:t>
      </w:r>
    </w:p>
    <w:p w14:paraId="41CF6ED1">
      <w:pPr>
        <w:autoSpaceDE w:val="0"/>
        <w:autoSpaceDN w:val="0"/>
        <w:ind w:firstLine="480"/>
        <w:rPr>
          <w:rFonts w:ascii="仿宋" w:hAnsi="仿宋" w:eastAsia="仿宋"/>
          <w:color w:val="auto"/>
          <w:kern w:val="0"/>
          <w:sz w:val="24"/>
        </w:rPr>
      </w:pPr>
      <w:r>
        <w:rPr>
          <w:rFonts w:hint="eastAsia" w:ascii="仿宋" w:hAnsi="仿宋" w:eastAsia="仿宋"/>
          <w:color w:val="auto"/>
          <w:kern w:val="0"/>
          <w:sz w:val="24"/>
        </w:rPr>
        <w:t>日    期：</w:t>
      </w:r>
    </w:p>
    <w:p w14:paraId="4DDB16AD">
      <w:pPr>
        <w:autoSpaceDE w:val="0"/>
        <w:autoSpaceDN w:val="0"/>
        <w:ind w:firstLine="480"/>
        <w:rPr>
          <w:rFonts w:ascii="仿宋" w:hAnsi="仿宋" w:eastAsia="仿宋"/>
          <w:color w:val="auto"/>
          <w:kern w:val="0"/>
          <w:sz w:val="24"/>
        </w:rPr>
      </w:pPr>
      <w:r>
        <w:rPr>
          <w:rFonts w:hint="eastAsia" w:ascii="仿宋" w:hAnsi="仿宋" w:eastAsia="仿宋"/>
          <w:color w:val="auto"/>
          <w:kern w:val="0"/>
          <w:sz w:val="24"/>
        </w:rPr>
        <w:t>开户银行：</w:t>
      </w:r>
    </w:p>
    <w:p w14:paraId="6901C103">
      <w:pPr>
        <w:autoSpaceDE w:val="0"/>
        <w:autoSpaceDN w:val="0"/>
        <w:ind w:firstLine="480"/>
        <w:rPr>
          <w:rFonts w:ascii="仿宋" w:hAnsi="仿宋" w:eastAsia="仿宋"/>
          <w:color w:val="auto"/>
          <w:kern w:val="0"/>
          <w:sz w:val="24"/>
        </w:rPr>
      </w:pPr>
      <w:r>
        <w:rPr>
          <w:rFonts w:hint="eastAsia" w:ascii="仿宋" w:hAnsi="仿宋" w:eastAsia="仿宋"/>
          <w:color w:val="auto"/>
          <w:kern w:val="0"/>
          <w:sz w:val="24"/>
        </w:rPr>
        <w:t>账号/行号：</w:t>
      </w:r>
    </w:p>
    <w:p w14:paraId="03568BF3">
      <w:pPr>
        <w:numPr>
          <w:ilvl w:val="0"/>
          <w:numId w:val="2"/>
        </w:numPr>
        <w:autoSpaceDE w:val="0"/>
        <w:autoSpaceDN w:val="0"/>
        <w:adjustRightInd w:val="0"/>
        <w:snapToGrid w:val="0"/>
        <w:spacing w:before="156" w:beforeLines="50" w:after="156" w:afterLines="50" w:line="240" w:lineRule="auto"/>
        <w:ind w:left="0" w:firstLine="0" w:firstLineChars="0"/>
        <w:jc w:val="center"/>
        <w:outlineLvl w:val="1"/>
        <w:rPr>
          <w:rFonts w:ascii="仿宋" w:hAnsi="仿宋" w:eastAsia="仿宋"/>
          <w:color w:val="auto"/>
          <w:sz w:val="24"/>
        </w:rPr>
      </w:pPr>
      <w:r>
        <w:rPr>
          <w:rFonts w:hint="eastAsia" w:ascii="仿宋" w:hAnsi="仿宋" w:eastAsia="仿宋"/>
          <w:color w:val="auto"/>
          <w:szCs w:val="21"/>
        </w:rPr>
        <w:br w:type="page"/>
      </w:r>
      <w:bookmarkStart w:id="194" w:name="_Toc177738086"/>
      <w:bookmarkStart w:id="195" w:name="_Toc2072002"/>
      <w:bookmarkStart w:id="196" w:name="_Toc264644274"/>
      <w:bookmarkStart w:id="197" w:name="_Toc181712925"/>
      <w:bookmarkStart w:id="198" w:name="_Toc494528987"/>
      <w:r>
        <w:rPr>
          <w:rFonts w:hint="eastAsia" w:ascii="仿宋" w:hAnsi="仿宋" w:eastAsia="仿宋"/>
          <w:color w:val="auto"/>
          <w:sz w:val="28"/>
          <w:szCs w:val="28"/>
        </w:rPr>
        <w:t>开标一览表</w:t>
      </w:r>
      <w:bookmarkEnd w:id="194"/>
      <w:bookmarkEnd w:id="195"/>
      <w:bookmarkEnd w:id="196"/>
      <w:bookmarkEnd w:id="197"/>
      <w:bookmarkEnd w:id="198"/>
    </w:p>
    <w:tbl>
      <w:tblPr>
        <w:tblStyle w:val="44"/>
        <w:tblW w:w="8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3271"/>
        <w:gridCol w:w="5423"/>
      </w:tblGrid>
      <w:tr w14:paraId="3A1F7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14" w:hRule="atLeast"/>
          <w:jc w:val="center"/>
        </w:trPr>
        <w:tc>
          <w:tcPr>
            <w:tcW w:w="3271" w:type="dxa"/>
            <w:vAlign w:val="center"/>
          </w:tcPr>
          <w:p w14:paraId="2A43A66C">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所投包号</w:t>
            </w:r>
          </w:p>
        </w:tc>
        <w:tc>
          <w:tcPr>
            <w:tcW w:w="5423" w:type="dxa"/>
            <w:vAlign w:val="center"/>
          </w:tcPr>
          <w:p w14:paraId="0054391B">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第</w:t>
            </w:r>
            <w:r>
              <w:rPr>
                <w:rFonts w:hint="eastAsia" w:ascii="仿宋" w:hAnsi="仿宋" w:eastAsia="仿宋"/>
                <w:color w:val="auto"/>
                <w:sz w:val="24"/>
                <w:u w:val="single"/>
              </w:rPr>
              <w:t xml:space="preserve">   </w:t>
            </w:r>
            <w:r>
              <w:rPr>
                <w:rFonts w:hint="eastAsia" w:ascii="仿宋" w:hAnsi="仿宋" w:eastAsia="仿宋"/>
                <w:color w:val="auto"/>
                <w:sz w:val="24"/>
              </w:rPr>
              <w:t>包</w:t>
            </w:r>
          </w:p>
        </w:tc>
      </w:tr>
      <w:tr w14:paraId="2EEF6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14" w:hRule="atLeast"/>
          <w:jc w:val="center"/>
        </w:trPr>
        <w:tc>
          <w:tcPr>
            <w:tcW w:w="3271" w:type="dxa"/>
            <w:vAlign w:val="center"/>
          </w:tcPr>
          <w:p w14:paraId="647D7D87">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投标人名称</w:t>
            </w:r>
          </w:p>
        </w:tc>
        <w:tc>
          <w:tcPr>
            <w:tcW w:w="5423" w:type="dxa"/>
            <w:vAlign w:val="center"/>
          </w:tcPr>
          <w:p w14:paraId="3D458440">
            <w:pPr>
              <w:adjustRightInd w:val="0"/>
              <w:snapToGrid w:val="0"/>
              <w:spacing w:line="400" w:lineRule="exact"/>
              <w:ind w:firstLine="0" w:firstLineChars="0"/>
              <w:jc w:val="center"/>
              <w:rPr>
                <w:rFonts w:ascii="仿宋" w:hAnsi="仿宋" w:eastAsia="仿宋"/>
                <w:color w:val="auto"/>
                <w:sz w:val="24"/>
              </w:rPr>
            </w:pPr>
          </w:p>
        </w:tc>
      </w:tr>
      <w:tr w14:paraId="1AB3A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14" w:hRule="atLeast"/>
          <w:jc w:val="center"/>
        </w:trPr>
        <w:tc>
          <w:tcPr>
            <w:tcW w:w="3271" w:type="dxa"/>
            <w:vAlign w:val="center"/>
          </w:tcPr>
          <w:p w14:paraId="32536607">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所投货物∕服务名称</w:t>
            </w:r>
          </w:p>
          <w:p w14:paraId="447DE240">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（所投货物如为医疗器械，此处名称应与医疗器械产品注册证一致）</w:t>
            </w:r>
          </w:p>
        </w:tc>
        <w:tc>
          <w:tcPr>
            <w:tcW w:w="5423" w:type="dxa"/>
            <w:vAlign w:val="center"/>
          </w:tcPr>
          <w:p w14:paraId="2C5D8492">
            <w:pPr>
              <w:adjustRightInd w:val="0"/>
              <w:snapToGrid w:val="0"/>
              <w:spacing w:line="400" w:lineRule="exact"/>
              <w:ind w:firstLine="0" w:firstLineChars="0"/>
              <w:jc w:val="center"/>
              <w:rPr>
                <w:rFonts w:ascii="仿宋" w:hAnsi="仿宋" w:eastAsia="仿宋"/>
                <w:color w:val="auto"/>
                <w:sz w:val="24"/>
              </w:rPr>
            </w:pPr>
          </w:p>
        </w:tc>
      </w:tr>
      <w:tr w14:paraId="67FEC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14" w:hRule="atLeast"/>
          <w:jc w:val="center"/>
        </w:trPr>
        <w:tc>
          <w:tcPr>
            <w:tcW w:w="3271" w:type="dxa"/>
            <w:vAlign w:val="center"/>
          </w:tcPr>
          <w:p w14:paraId="7A31C071">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制造商名称</w:t>
            </w:r>
          </w:p>
          <w:p w14:paraId="61B0A968">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/品牌</w:t>
            </w:r>
          </w:p>
        </w:tc>
        <w:tc>
          <w:tcPr>
            <w:tcW w:w="5423" w:type="dxa"/>
            <w:vAlign w:val="center"/>
          </w:tcPr>
          <w:p w14:paraId="515FEC72">
            <w:pPr>
              <w:adjustRightInd w:val="0"/>
              <w:snapToGrid w:val="0"/>
              <w:spacing w:line="400" w:lineRule="exact"/>
              <w:ind w:firstLine="0" w:firstLineChars="0"/>
              <w:jc w:val="center"/>
              <w:rPr>
                <w:rFonts w:ascii="仿宋" w:hAnsi="仿宋" w:eastAsia="仿宋"/>
                <w:color w:val="auto"/>
                <w:sz w:val="24"/>
              </w:rPr>
            </w:pPr>
          </w:p>
        </w:tc>
      </w:tr>
      <w:tr w14:paraId="25486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14" w:hRule="atLeast"/>
          <w:jc w:val="center"/>
        </w:trPr>
        <w:tc>
          <w:tcPr>
            <w:tcW w:w="3271" w:type="dxa"/>
            <w:vAlign w:val="center"/>
          </w:tcPr>
          <w:p w14:paraId="332469F2">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规格型号</w:t>
            </w:r>
          </w:p>
        </w:tc>
        <w:tc>
          <w:tcPr>
            <w:tcW w:w="5423" w:type="dxa"/>
            <w:vAlign w:val="center"/>
          </w:tcPr>
          <w:p w14:paraId="17013B30">
            <w:pPr>
              <w:adjustRightInd w:val="0"/>
              <w:snapToGrid w:val="0"/>
              <w:spacing w:line="400" w:lineRule="exact"/>
              <w:ind w:firstLine="0" w:firstLineChars="0"/>
              <w:jc w:val="center"/>
              <w:rPr>
                <w:rFonts w:ascii="仿宋" w:hAnsi="仿宋" w:eastAsia="仿宋"/>
                <w:color w:val="auto"/>
                <w:sz w:val="24"/>
              </w:rPr>
            </w:pPr>
          </w:p>
        </w:tc>
      </w:tr>
      <w:tr w14:paraId="1D627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14" w:hRule="atLeast"/>
          <w:jc w:val="center"/>
        </w:trPr>
        <w:tc>
          <w:tcPr>
            <w:tcW w:w="3271" w:type="dxa"/>
            <w:vAlign w:val="center"/>
          </w:tcPr>
          <w:p w14:paraId="6551AC73">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数量</w:t>
            </w:r>
          </w:p>
        </w:tc>
        <w:tc>
          <w:tcPr>
            <w:tcW w:w="5423" w:type="dxa"/>
            <w:vAlign w:val="center"/>
          </w:tcPr>
          <w:p w14:paraId="0951ACE5">
            <w:pPr>
              <w:adjustRightInd w:val="0"/>
              <w:snapToGrid w:val="0"/>
              <w:spacing w:line="400" w:lineRule="exact"/>
              <w:ind w:firstLine="0" w:firstLineChars="0"/>
              <w:jc w:val="center"/>
              <w:rPr>
                <w:rFonts w:ascii="仿宋" w:hAnsi="仿宋" w:eastAsia="仿宋"/>
                <w:color w:val="auto"/>
                <w:sz w:val="24"/>
              </w:rPr>
            </w:pPr>
          </w:p>
        </w:tc>
      </w:tr>
      <w:tr w14:paraId="4CF4F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14" w:hRule="atLeast"/>
          <w:jc w:val="center"/>
        </w:trPr>
        <w:tc>
          <w:tcPr>
            <w:tcW w:w="3271" w:type="dxa"/>
            <w:vAlign w:val="center"/>
          </w:tcPr>
          <w:p w14:paraId="66621821">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投标报价</w:t>
            </w:r>
          </w:p>
        </w:tc>
        <w:tc>
          <w:tcPr>
            <w:tcW w:w="5423" w:type="dxa"/>
            <w:vAlign w:val="center"/>
          </w:tcPr>
          <w:p w14:paraId="5C448D7E">
            <w:pPr>
              <w:adjustRightInd w:val="0"/>
              <w:snapToGrid w:val="0"/>
              <w:spacing w:line="400" w:lineRule="exact"/>
              <w:ind w:firstLine="0" w:firstLineChars="0"/>
              <w:jc w:val="center"/>
              <w:rPr>
                <w:rFonts w:ascii="仿宋" w:hAnsi="仿宋" w:eastAsia="仿宋"/>
                <w:color w:val="auto"/>
                <w:sz w:val="24"/>
              </w:rPr>
            </w:pPr>
          </w:p>
        </w:tc>
      </w:tr>
      <w:tr w14:paraId="20DAC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14" w:hRule="atLeast"/>
          <w:jc w:val="center"/>
        </w:trPr>
        <w:tc>
          <w:tcPr>
            <w:tcW w:w="3271" w:type="dxa"/>
            <w:vAlign w:val="center"/>
          </w:tcPr>
          <w:p w14:paraId="6D9AEE38">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交货验收期</w:t>
            </w:r>
          </w:p>
        </w:tc>
        <w:tc>
          <w:tcPr>
            <w:tcW w:w="5423" w:type="dxa"/>
            <w:vAlign w:val="center"/>
          </w:tcPr>
          <w:p w14:paraId="6BB1D8E5">
            <w:pPr>
              <w:adjustRightInd w:val="0"/>
              <w:snapToGrid w:val="0"/>
              <w:spacing w:line="400" w:lineRule="exact"/>
              <w:ind w:firstLine="0" w:firstLineChars="0"/>
              <w:jc w:val="center"/>
              <w:rPr>
                <w:rFonts w:ascii="仿宋" w:hAnsi="仿宋" w:eastAsia="仿宋"/>
                <w:color w:val="auto"/>
                <w:sz w:val="24"/>
              </w:rPr>
            </w:pPr>
          </w:p>
        </w:tc>
      </w:tr>
      <w:tr w14:paraId="32B64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14" w:hRule="atLeast"/>
          <w:jc w:val="center"/>
        </w:trPr>
        <w:tc>
          <w:tcPr>
            <w:tcW w:w="3271" w:type="dxa"/>
            <w:vAlign w:val="center"/>
          </w:tcPr>
          <w:p w14:paraId="033C4727">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质保期</w:t>
            </w:r>
          </w:p>
        </w:tc>
        <w:tc>
          <w:tcPr>
            <w:tcW w:w="5423" w:type="dxa"/>
            <w:vAlign w:val="center"/>
          </w:tcPr>
          <w:p w14:paraId="3A8245A3">
            <w:pPr>
              <w:adjustRightInd w:val="0"/>
              <w:snapToGrid w:val="0"/>
              <w:spacing w:line="400" w:lineRule="exact"/>
              <w:ind w:firstLine="0" w:firstLineChars="0"/>
              <w:jc w:val="center"/>
              <w:rPr>
                <w:rFonts w:ascii="仿宋" w:hAnsi="仿宋" w:eastAsia="仿宋"/>
                <w:color w:val="auto"/>
                <w:sz w:val="24"/>
              </w:rPr>
            </w:pPr>
          </w:p>
        </w:tc>
      </w:tr>
      <w:tr w14:paraId="528B7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14" w:hRule="atLeast"/>
          <w:jc w:val="center"/>
        </w:trPr>
        <w:tc>
          <w:tcPr>
            <w:tcW w:w="3271" w:type="dxa"/>
            <w:vAlign w:val="center"/>
          </w:tcPr>
          <w:p w14:paraId="15CD9740">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优惠声明（如有）</w:t>
            </w:r>
          </w:p>
        </w:tc>
        <w:tc>
          <w:tcPr>
            <w:tcW w:w="5423" w:type="dxa"/>
            <w:vAlign w:val="center"/>
          </w:tcPr>
          <w:p w14:paraId="0B302F18">
            <w:pPr>
              <w:adjustRightInd w:val="0"/>
              <w:snapToGrid w:val="0"/>
              <w:spacing w:line="400" w:lineRule="exact"/>
              <w:ind w:firstLine="0" w:firstLineChars="0"/>
              <w:jc w:val="center"/>
              <w:rPr>
                <w:rFonts w:ascii="仿宋" w:hAnsi="仿宋" w:eastAsia="仿宋"/>
                <w:color w:val="auto"/>
                <w:sz w:val="24"/>
              </w:rPr>
            </w:pPr>
          </w:p>
        </w:tc>
      </w:tr>
      <w:tr w14:paraId="629A1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15" w:hRule="atLeast"/>
          <w:jc w:val="center"/>
        </w:trPr>
        <w:tc>
          <w:tcPr>
            <w:tcW w:w="3271" w:type="dxa"/>
            <w:vAlign w:val="center"/>
          </w:tcPr>
          <w:p w14:paraId="4AA4323F">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备注</w:t>
            </w:r>
          </w:p>
        </w:tc>
        <w:tc>
          <w:tcPr>
            <w:tcW w:w="5423" w:type="dxa"/>
            <w:vAlign w:val="center"/>
          </w:tcPr>
          <w:p w14:paraId="18287195">
            <w:pPr>
              <w:adjustRightInd w:val="0"/>
              <w:snapToGrid w:val="0"/>
              <w:spacing w:line="400" w:lineRule="exact"/>
              <w:ind w:firstLine="0" w:firstLineChars="0"/>
              <w:jc w:val="center"/>
              <w:rPr>
                <w:rFonts w:ascii="仿宋" w:hAnsi="仿宋" w:eastAsia="仿宋"/>
                <w:color w:val="auto"/>
                <w:sz w:val="24"/>
              </w:rPr>
            </w:pPr>
          </w:p>
        </w:tc>
      </w:tr>
    </w:tbl>
    <w:p w14:paraId="4CFE2581">
      <w:pPr>
        <w:ind w:firstLine="480"/>
        <w:rPr>
          <w:rFonts w:ascii="仿宋" w:hAnsi="仿宋" w:eastAsia="仿宋"/>
          <w:color w:val="auto"/>
          <w:sz w:val="24"/>
        </w:rPr>
      </w:pPr>
      <w:r>
        <w:rPr>
          <w:rFonts w:hint="eastAsia" w:ascii="仿宋" w:hAnsi="仿宋" w:eastAsia="仿宋"/>
          <w:color w:val="auto"/>
          <w:sz w:val="24"/>
        </w:rPr>
        <w:t>说明：</w:t>
      </w:r>
    </w:p>
    <w:p w14:paraId="4CF1AAB7">
      <w:pPr>
        <w:ind w:firstLine="480"/>
        <w:rPr>
          <w:rFonts w:ascii="仿宋" w:hAnsi="仿宋" w:eastAsia="仿宋"/>
          <w:color w:val="auto"/>
          <w:sz w:val="24"/>
        </w:rPr>
      </w:pPr>
      <w:r>
        <w:rPr>
          <w:rFonts w:hint="eastAsia" w:ascii="仿宋" w:hAnsi="仿宋" w:eastAsia="仿宋"/>
          <w:color w:val="auto"/>
          <w:sz w:val="24"/>
        </w:rPr>
        <w:t>1</w:t>
      </w:r>
      <w:r>
        <w:rPr>
          <w:rFonts w:ascii="仿宋" w:hAnsi="仿宋" w:eastAsia="仿宋"/>
          <w:color w:val="auto"/>
          <w:sz w:val="24"/>
        </w:rPr>
        <w:t>.</w:t>
      </w:r>
      <w:r>
        <w:rPr>
          <w:rFonts w:hint="eastAsia" w:ascii="仿宋" w:hAnsi="仿宋" w:eastAsia="仿宋"/>
          <w:color w:val="auto"/>
          <w:sz w:val="24"/>
        </w:rPr>
        <w:t>所有价格均系用人民币表示。</w:t>
      </w:r>
    </w:p>
    <w:p w14:paraId="6E2F1B0D">
      <w:pPr>
        <w:ind w:firstLine="480"/>
        <w:rPr>
          <w:rFonts w:ascii="仿宋" w:hAnsi="仿宋" w:eastAsia="仿宋"/>
          <w:color w:val="auto"/>
          <w:sz w:val="24"/>
        </w:rPr>
      </w:pPr>
      <w:r>
        <w:rPr>
          <w:rFonts w:hint="eastAsia" w:ascii="仿宋" w:hAnsi="仿宋" w:eastAsia="仿宋"/>
          <w:color w:val="auto"/>
          <w:sz w:val="24"/>
        </w:rPr>
        <w:t>2</w:t>
      </w:r>
      <w:r>
        <w:rPr>
          <w:rFonts w:ascii="仿宋" w:hAnsi="仿宋" w:eastAsia="仿宋"/>
          <w:color w:val="auto"/>
          <w:sz w:val="24"/>
        </w:rPr>
        <w:t>.</w:t>
      </w:r>
      <w:r>
        <w:rPr>
          <w:rFonts w:hint="eastAsia" w:ascii="仿宋" w:hAnsi="仿宋" w:eastAsia="仿宋"/>
          <w:color w:val="auto"/>
          <w:sz w:val="24"/>
        </w:rPr>
        <w:t>价格应按照</w:t>
      </w:r>
      <w:r>
        <w:rPr>
          <w:rFonts w:hint="eastAsia" w:ascii="仿宋" w:hAnsi="仿宋" w:eastAsia="仿宋"/>
          <w:color w:val="auto"/>
          <w:kern w:val="0"/>
          <w:sz w:val="24"/>
        </w:rPr>
        <w:t>招标文件规定的报价要求进行报价</w:t>
      </w:r>
      <w:r>
        <w:rPr>
          <w:rFonts w:hint="eastAsia" w:ascii="仿宋" w:hAnsi="仿宋" w:eastAsia="仿宋"/>
          <w:color w:val="auto"/>
          <w:sz w:val="24"/>
        </w:rPr>
        <w:t>。</w:t>
      </w:r>
    </w:p>
    <w:p w14:paraId="202DA322">
      <w:pPr>
        <w:ind w:firstLine="482"/>
        <w:rPr>
          <w:rFonts w:ascii="仿宋" w:hAnsi="仿宋" w:eastAsia="仿宋"/>
          <w:color w:val="auto"/>
          <w:sz w:val="24"/>
        </w:rPr>
      </w:pPr>
      <w:r>
        <w:rPr>
          <w:rFonts w:ascii="仿宋" w:hAnsi="仿宋" w:eastAsia="仿宋"/>
          <w:b/>
          <w:color w:val="auto"/>
          <w:sz w:val="24"/>
        </w:rPr>
        <w:t>3.</w:t>
      </w:r>
      <w:r>
        <w:rPr>
          <w:rFonts w:hint="eastAsia" w:ascii="仿宋" w:hAnsi="仿宋" w:eastAsia="仿宋"/>
          <w:b/>
          <w:color w:val="auto"/>
          <w:sz w:val="24"/>
        </w:rPr>
        <w:t>此表除保留在投标文件中外，另复制一份与投标函（原件）、法定代表人授权书（原件，或法定代表人身份证明书原件）、投标保证金缴纳证明（复印件）一起另外密封装在开标一览表信封中，作为唱标之用。</w:t>
      </w:r>
    </w:p>
    <w:p w14:paraId="11D807ED">
      <w:pPr>
        <w:ind w:firstLine="480"/>
        <w:rPr>
          <w:rFonts w:ascii="仿宋" w:hAnsi="仿宋" w:eastAsia="仿宋"/>
          <w:color w:val="auto"/>
          <w:sz w:val="24"/>
        </w:rPr>
      </w:pPr>
    </w:p>
    <w:p w14:paraId="27B4C7E5">
      <w:pPr>
        <w:ind w:firstLine="482"/>
        <w:rPr>
          <w:rFonts w:ascii="仿宋" w:hAnsi="仿宋" w:eastAsia="仿宋"/>
          <w:b/>
          <w:color w:val="auto"/>
          <w:sz w:val="24"/>
        </w:rPr>
      </w:pPr>
      <w:r>
        <w:rPr>
          <w:rFonts w:hint="eastAsia" w:ascii="仿宋" w:hAnsi="仿宋" w:eastAsia="仿宋"/>
          <w:b/>
          <w:color w:val="auto"/>
          <w:sz w:val="24"/>
        </w:rPr>
        <w:t>投标人法定代表人或委托代理人签字：</w:t>
      </w:r>
      <w:r>
        <w:rPr>
          <w:rFonts w:hint="eastAsia" w:ascii="仿宋" w:hAnsi="仿宋" w:eastAsia="仿宋"/>
          <w:b/>
          <w:color w:val="auto"/>
          <w:sz w:val="24"/>
          <w:u w:val="single"/>
        </w:rPr>
        <w:t xml:space="preserve">         </w:t>
      </w:r>
    </w:p>
    <w:p w14:paraId="5D6569E4">
      <w:pPr>
        <w:ind w:firstLine="482"/>
        <w:rPr>
          <w:rFonts w:ascii="仿宋" w:hAnsi="仿宋" w:eastAsia="仿宋"/>
          <w:b/>
          <w:color w:val="auto"/>
          <w:sz w:val="24"/>
        </w:rPr>
      </w:pPr>
      <w:r>
        <w:rPr>
          <w:rFonts w:hint="eastAsia" w:ascii="仿宋" w:hAnsi="仿宋" w:eastAsia="仿宋"/>
          <w:b/>
          <w:color w:val="auto"/>
          <w:sz w:val="24"/>
        </w:rPr>
        <w:t>投标人名称（签章）：</w:t>
      </w:r>
      <w:r>
        <w:rPr>
          <w:rFonts w:hint="eastAsia" w:ascii="仿宋" w:hAnsi="仿宋" w:eastAsia="仿宋"/>
          <w:b/>
          <w:color w:val="auto"/>
          <w:sz w:val="24"/>
          <w:u w:val="single"/>
        </w:rPr>
        <w:t xml:space="preserve">                       </w:t>
      </w:r>
    </w:p>
    <w:p w14:paraId="169C3788">
      <w:pPr>
        <w:ind w:firstLine="480"/>
        <w:rPr>
          <w:rFonts w:ascii="仿宋" w:hAnsi="仿宋" w:eastAsia="仿宋"/>
          <w:bCs/>
          <w:color w:val="auto"/>
          <w:sz w:val="24"/>
        </w:rPr>
      </w:pPr>
      <w:r>
        <w:rPr>
          <w:rFonts w:hint="eastAsia" w:ascii="仿宋" w:hAnsi="仿宋" w:eastAsia="仿宋"/>
          <w:color w:val="auto"/>
          <w:sz w:val="24"/>
        </w:rPr>
        <w:t>时间：</w:t>
      </w:r>
      <w:r>
        <w:rPr>
          <w:rFonts w:hint="eastAsia" w:ascii="仿宋" w:hAnsi="仿宋" w:eastAsia="仿宋"/>
          <w:color w:val="auto"/>
          <w:sz w:val="24"/>
          <w:u w:val="single"/>
        </w:rPr>
        <w:t xml:space="preserve">   </w:t>
      </w:r>
      <w:r>
        <w:rPr>
          <w:rFonts w:ascii="仿宋" w:hAnsi="仿宋" w:eastAsia="仿宋"/>
          <w:color w:val="auto"/>
          <w:sz w:val="24"/>
          <w:u w:val="single"/>
        </w:rPr>
        <w:t xml:space="preserve"> </w:t>
      </w:r>
      <w:r>
        <w:rPr>
          <w:rFonts w:hint="eastAsia" w:ascii="仿宋" w:hAnsi="仿宋" w:eastAsia="仿宋"/>
          <w:color w:val="auto"/>
          <w:sz w:val="24"/>
          <w:u w:val="single"/>
        </w:rPr>
        <w:t xml:space="preserve">       </w:t>
      </w:r>
      <w:r>
        <w:rPr>
          <w:rFonts w:hint="eastAsia" w:ascii="仿宋" w:hAnsi="仿宋" w:eastAsia="仿宋"/>
          <w:color w:val="auto"/>
          <w:sz w:val="24"/>
        </w:rPr>
        <w:t>年</w:t>
      </w:r>
      <w:r>
        <w:rPr>
          <w:rFonts w:hint="eastAsia" w:ascii="仿宋" w:hAnsi="仿宋" w:eastAsia="仿宋"/>
          <w:color w:val="auto"/>
          <w:sz w:val="24"/>
          <w:u w:val="single"/>
        </w:rPr>
        <w:t xml:space="preserve">     </w:t>
      </w:r>
      <w:r>
        <w:rPr>
          <w:rFonts w:ascii="仿宋" w:hAnsi="仿宋" w:eastAsia="仿宋"/>
          <w:color w:val="auto"/>
          <w:sz w:val="24"/>
          <w:u w:val="single"/>
        </w:rPr>
        <w:t xml:space="preserve"> </w:t>
      </w:r>
      <w:r>
        <w:rPr>
          <w:rFonts w:hint="eastAsia" w:ascii="仿宋" w:hAnsi="仿宋" w:eastAsia="仿宋"/>
          <w:color w:val="auto"/>
          <w:sz w:val="24"/>
          <w:u w:val="single"/>
        </w:rPr>
        <w:t xml:space="preserve">     </w:t>
      </w:r>
      <w:r>
        <w:rPr>
          <w:rFonts w:hint="eastAsia" w:ascii="仿宋" w:hAnsi="仿宋" w:eastAsia="仿宋"/>
          <w:color w:val="auto"/>
          <w:sz w:val="24"/>
        </w:rPr>
        <w:t>月</w:t>
      </w:r>
      <w:r>
        <w:rPr>
          <w:rFonts w:hint="eastAsia" w:ascii="仿宋" w:hAnsi="仿宋" w:eastAsia="仿宋"/>
          <w:color w:val="auto"/>
          <w:sz w:val="24"/>
          <w:u w:val="single"/>
        </w:rPr>
        <w:t xml:space="preserve">          </w:t>
      </w:r>
      <w:r>
        <w:rPr>
          <w:rFonts w:hint="eastAsia" w:ascii="仿宋" w:hAnsi="仿宋" w:eastAsia="仿宋"/>
          <w:color w:val="auto"/>
          <w:sz w:val="24"/>
        </w:rPr>
        <w:t>日</w:t>
      </w:r>
    </w:p>
    <w:p w14:paraId="020B1EDF">
      <w:pPr>
        <w:ind w:firstLine="480"/>
        <w:rPr>
          <w:rFonts w:ascii="仿宋" w:hAnsi="仿宋" w:eastAsia="仿宋"/>
          <w:bCs/>
          <w:color w:val="auto"/>
          <w:sz w:val="24"/>
        </w:rPr>
      </w:pPr>
    </w:p>
    <w:p w14:paraId="7FAC08E8">
      <w:pPr>
        <w:numPr>
          <w:ilvl w:val="0"/>
          <w:numId w:val="2"/>
        </w:numPr>
        <w:autoSpaceDE w:val="0"/>
        <w:autoSpaceDN w:val="0"/>
        <w:adjustRightInd w:val="0"/>
        <w:snapToGrid w:val="0"/>
        <w:spacing w:before="156" w:beforeLines="50" w:after="156" w:afterLines="50" w:line="240" w:lineRule="auto"/>
        <w:ind w:left="0" w:firstLine="0" w:firstLineChars="0"/>
        <w:jc w:val="center"/>
        <w:outlineLvl w:val="1"/>
        <w:rPr>
          <w:rFonts w:ascii="仿宋" w:hAnsi="仿宋" w:eastAsia="仿宋"/>
          <w:color w:val="auto"/>
          <w:sz w:val="24"/>
        </w:rPr>
      </w:pPr>
      <w:r>
        <w:rPr>
          <w:rFonts w:hint="eastAsia" w:ascii="仿宋" w:hAnsi="仿宋" w:eastAsia="仿宋"/>
          <w:color w:val="auto"/>
          <w:sz w:val="24"/>
        </w:rPr>
        <w:br w:type="page"/>
      </w:r>
      <w:bookmarkStart w:id="199" w:name="_Toc494528988"/>
      <w:bookmarkStart w:id="200" w:name="_Toc181712926"/>
      <w:bookmarkStart w:id="201" w:name="_Toc264644276"/>
      <w:bookmarkStart w:id="202" w:name="_Toc2072003"/>
      <w:bookmarkStart w:id="203" w:name="_Toc177738087"/>
      <w:r>
        <w:rPr>
          <w:rFonts w:hint="eastAsia" w:ascii="仿宋" w:hAnsi="仿宋" w:eastAsia="仿宋"/>
          <w:color w:val="auto"/>
          <w:sz w:val="28"/>
          <w:szCs w:val="28"/>
        </w:rPr>
        <w:t>分项报价表</w:t>
      </w:r>
      <w:bookmarkEnd w:id="199"/>
      <w:bookmarkEnd w:id="200"/>
      <w:bookmarkEnd w:id="201"/>
      <w:bookmarkEnd w:id="202"/>
      <w:bookmarkEnd w:id="203"/>
    </w:p>
    <w:p w14:paraId="05DE9975">
      <w:pPr>
        <w:adjustRightInd w:val="0"/>
        <w:snapToGrid w:val="0"/>
        <w:ind w:firstLine="0" w:firstLineChars="0"/>
        <w:rPr>
          <w:rFonts w:ascii="仿宋" w:hAnsi="仿宋" w:eastAsia="仿宋"/>
          <w:color w:val="auto"/>
          <w:szCs w:val="21"/>
        </w:rPr>
      </w:pPr>
    </w:p>
    <w:tbl>
      <w:tblPr>
        <w:tblStyle w:val="44"/>
        <w:tblW w:w="937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57" w:type="dxa"/>
          <w:left w:w="57" w:type="dxa"/>
          <w:bottom w:w="57" w:type="dxa"/>
          <w:right w:w="57" w:type="dxa"/>
        </w:tblCellMar>
      </w:tblPr>
      <w:tblGrid>
        <w:gridCol w:w="724"/>
        <w:gridCol w:w="1701"/>
        <w:gridCol w:w="1134"/>
        <w:gridCol w:w="993"/>
        <w:gridCol w:w="1134"/>
        <w:gridCol w:w="749"/>
        <w:gridCol w:w="1106"/>
        <w:gridCol w:w="1105"/>
        <w:gridCol w:w="725"/>
      </w:tblGrid>
      <w:tr w14:paraId="4BF5A4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724" w:type="dxa"/>
            <w:vAlign w:val="center"/>
          </w:tcPr>
          <w:p w14:paraId="47B1DA92">
            <w:pPr>
              <w:ind w:firstLine="0" w:firstLineChars="0"/>
              <w:jc w:val="center"/>
              <w:rPr>
                <w:rFonts w:ascii="仿宋" w:hAnsi="仿宋" w:eastAsia="仿宋"/>
                <w:color w:val="auto"/>
                <w:sz w:val="24"/>
              </w:rPr>
            </w:pPr>
            <w:r>
              <w:rPr>
                <w:rFonts w:hint="eastAsia" w:ascii="仿宋" w:hAnsi="仿宋" w:eastAsia="仿宋"/>
                <w:color w:val="auto"/>
                <w:sz w:val="24"/>
              </w:rPr>
              <w:t>序号</w:t>
            </w:r>
          </w:p>
        </w:tc>
        <w:tc>
          <w:tcPr>
            <w:tcW w:w="1701" w:type="dxa"/>
            <w:vAlign w:val="center"/>
          </w:tcPr>
          <w:p w14:paraId="0D1AEE4E">
            <w:pPr>
              <w:ind w:firstLine="0" w:firstLineChars="0"/>
              <w:jc w:val="center"/>
              <w:rPr>
                <w:rFonts w:ascii="仿宋" w:hAnsi="仿宋" w:eastAsia="仿宋"/>
                <w:color w:val="auto"/>
                <w:sz w:val="24"/>
              </w:rPr>
            </w:pPr>
            <w:r>
              <w:rPr>
                <w:rFonts w:hint="eastAsia" w:ascii="仿宋" w:hAnsi="仿宋" w:eastAsia="仿宋"/>
                <w:color w:val="auto"/>
                <w:sz w:val="24"/>
              </w:rPr>
              <w:t>名称</w:t>
            </w:r>
          </w:p>
        </w:tc>
        <w:tc>
          <w:tcPr>
            <w:tcW w:w="1134" w:type="dxa"/>
            <w:vAlign w:val="center"/>
          </w:tcPr>
          <w:p w14:paraId="5D34E2F4">
            <w:pPr>
              <w:ind w:firstLine="0" w:firstLineChars="0"/>
              <w:jc w:val="center"/>
              <w:rPr>
                <w:rFonts w:ascii="仿宋" w:hAnsi="仿宋" w:eastAsia="仿宋"/>
                <w:color w:val="auto"/>
                <w:sz w:val="24"/>
              </w:rPr>
            </w:pPr>
            <w:r>
              <w:rPr>
                <w:rFonts w:hint="eastAsia" w:ascii="仿宋" w:hAnsi="仿宋" w:eastAsia="仿宋"/>
                <w:color w:val="auto"/>
                <w:sz w:val="24"/>
              </w:rPr>
              <w:t>品牌</w:t>
            </w:r>
          </w:p>
        </w:tc>
        <w:tc>
          <w:tcPr>
            <w:tcW w:w="993" w:type="dxa"/>
            <w:vAlign w:val="center"/>
          </w:tcPr>
          <w:p w14:paraId="50F38275">
            <w:pPr>
              <w:ind w:firstLine="0" w:firstLineChars="0"/>
              <w:jc w:val="center"/>
              <w:rPr>
                <w:rFonts w:ascii="仿宋" w:hAnsi="仿宋" w:eastAsia="仿宋"/>
                <w:color w:val="auto"/>
                <w:sz w:val="24"/>
              </w:rPr>
            </w:pPr>
            <w:r>
              <w:rPr>
                <w:rFonts w:hint="eastAsia" w:ascii="仿宋" w:hAnsi="仿宋" w:eastAsia="仿宋"/>
                <w:color w:val="auto"/>
                <w:sz w:val="24"/>
              </w:rPr>
              <w:t>制造商</w:t>
            </w:r>
          </w:p>
        </w:tc>
        <w:tc>
          <w:tcPr>
            <w:tcW w:w="1134" w:type="dxa"/>
          </w:tcPr>
          <w:p w14:paraId="28E097D9">
            <w:pPr>
              <w:ind w:firstLine="0" w:firstLineChars="0"/>
              <w:jc w:val="center"/>
              <w:rPr>
                <w:rFonts w:ascii="仿宋" w:hAnsi="仿宋" w:eastAsia="仿宋"/>
                <w:color w:val="auto"/>
                <w:sz w:val="24"/>
              </w:rPr>
            </w:pPr>
            <w:r>
              <w:rPr>
                <w:rFonts w:hint="eastAsia" w:ascii="仿宋" w:hAnsi="仿宋" w:eastAsia="仿宋"/>
                <w:color w:val="auto"/>
                <w:sz w:val="24"/>
              </w:rPr>
              <w:t>规格型号</w:t>
            </w:r>
          </w:p>
        </w:tc>
        <w:tc>
          <w:tcPr>
            <w:tcW w:w="749" w:type="dxa"/>
            <w:vAlign w:val="center"/>
          </w:tcPr>
          <w:p w14:paraId="4B2E3566">
            <w:pPr>
              <w:ind w:firstLine="0" w:firstLineChars="0"/>
              <w:jc w:val="center"/>
              <w:rPr>
                <w:rFonts w:ascii="仿宋" w:hAnsi="仿宋" w:eastAsia="仿宋"/>
                <w:color w:val="auto"/>
                <w:sz w:val="24"/>
              </w:rPr>
            </w:pPr>
            <w:r>
              <w:rPr>
                <w:rFonts w:hint="eastAsia" w:ascii="仿宋" w:hAnsi="仿宋" w:eastAsia="仿宋"/>
                <w:color w:val="auto"/>
                <w:sz w:val="24"/>
              </w:rPr>
              <w:t>数量</w:t>
            </w:r>
          </w:p>
        </w:tc>
        <w:tc>
          <w:tcPr>
            <w:tcW w:w="1106" w:type="dxa"/>
            <w:vAlign w:val="center"/>
          </w:tcPr>
          <w:p w14:paraId="46C37487">
            <w:pPr>
              <w:ind w:firstLine="0" w:firstLineChars="0"/>
              <w:jc w:val="center"/>
              <w:rPr>
                <w:rFonts w:ascii="仿宋" w:hAnsi="仿宋" w:eastAsia="仿宋"/>
                <w:color w:val="auto"/>
                <w:sz w:val="24"/>
              </w:rPr>
            </w:pPr>
            <w:r>
              <w:rPr>
                <w:rFonts w:hint="eastAsia" w:ascii="仿宋" w:hAnsi="仿宋" w:eastAsia="仿宋"/>
                <w:color w:val="auto"/>
                <w:sz w:val="24"/>
              </w:rPr>
              <w:t>单价</w:t>
            </w:r>
          </w:p>
        </w:tc>
        <w:tc>
          <w:tcPr>
            <w:tcW w:w="1105" w:type="dxa"/>
            <w:vAlign w:val="center"/>
          </w:tcPr>
          <w:p w14:paraId="535A3D27">
            <w:pPr>
              <w:ind w:firstLine="0" w:firstLineChars="0"/>
              <w:jc w:val="center"/>
              <w:rPr>
                <w:rFonts w:ascii="仿宋" w:hAnsi="仿宋" w:eastAsia="仿宋"/>
                <w:color w:val="auto"/>
                <w:sz w:val="24"/>
              </w:rPr>
            </w:pPr>
            <w:r>
              <w:rPr>
                <w:rFonts w:hint="eastAsia" w:ascii="仿宋" w:hAnsi="仿宋" w:eastAsia="仿宋"/>
                <w:color w:val="auto"/>
                <w:sz w:val="24"/>
              </w:rPr>
              <w:t>总价</w:t>
            </w:r>
          </w:p>
        </w:tc>
        <w:tc>
          <w:tcPr>
            <w:tcW w:w="725" w:type="dxa"/>
            <w:vAlign w:val="center"/>
          </w:tcPr>
          <w:p w14:paraId="47E8E067">
            <w:pPr>
              <w:ind w:firstLine="0" w:firstLineChars="0"/>
              <w:jc w:val="center"/>
              <w:rPr>
                <w:rFonts w:ascii="仿宋" w:hAnsi="仿宋" w:eastAsia="仿宋"/>
                <w:color w:val="auto"/>
                <w:sz w:val="24"/>
              </w:rPr>
            </w:pPr>
            <w:r>
              <w:rPr>
                <w:rFonts w:hint="eastAsia" w:ascii="仿宋" w:hAnsi="仿宋" w:eastAsia="仿宋"/>
                <w:color w:val="auto"/>
                <w:sz w:val="24"/>
              </w:rPr>
              <w:t>备注</w:t>
            </w:r>
          </w:p>
        </w:tc>
      </w:tr>
      <w:tr w14:paraId="6134E5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724" w:type="dxa"/>
            <w:vAlign w:val="center"/>
          </w:tcPr>
          <w:p w14:paraId="29A4C393">
            <w:pPr>
              <w:ind w:firstLine="0" w:firstLineChars="0"/>
              <w:jc w:val="center"/>
              <w:rPr>
                <w:rFonts w:ascii="仿宋" w:hAnsi="仿宋" w:eastAsia="仿宋"/>
                <w:color w:val="auto"/>
                <w:sz w:val="24"/>
              </w:rPr>
            </w:pPr>
            <w:r>
              <w:rPr>
                <w:rFonts w:hint="eastAsia" w:ascii="仿宋" w:hAnsi="仿宋" w:eastAsia="仿宋"/>
                <w:color w:val="auto"/>
                <w:sz w:val="24"/>
              </w:rPr>
              <w:t>1</w:t>
            </w:r>
          </w:p>
        </w:tc>
        <w:tc>
          <w:tcPr>
            <w:tcW w:w="1701" w:type="dxa"/>
            <w:vAlign w:val="center"/>
          </w:tcPr>
          <w:p w14:paraId="30EFA13D">
            <w:pPr>
              <w:ind w:firstLine="480"/>
              <w:jc w:val="center"/>
              <w:rPr>
                <w:rFonts w:ascii="仿宋" w:hAnsi="仿宋" w:eastAsia="仿宋"/>
                <w:color w:val="auto"/>
                <w:sz w:val="24"/>
              </w:rPr>
            </w:pPr>
          </w:p>
        </w:tc>
        <w:tc>
          <w:tcPr>
            <w:tcW w:w="1134" w:type="dxa"/>
            <w:vAlign w:val="center"/>
          </w:tcPr>
          <w:p w14:paraId="74097BE5">
            <w:pPr>
              <w:ind w:firstLine="480"/>
              <w:jc w:val="center"/>
              <w:rPr>
                <w:rFonts w:ascii="仿宋" w:hAnsi="仿宋" w:eastAsia="仿宋"/>
                <w:color w:val="auto"/>
                <w:sz w:val="24"/>
              </w:rPr>
            </w:pPr>
          </w:p>
        </w:tc>
        <w:tc>
          <w:tcPr>
            <w:tcW w:w="993" w:type="dxa"/>
            <w:vAlign w:val="center"/>
          </w:tcPr>
          <w:p w14:paraId="2AE2FF1F">
            <w:pPr>
              <w:ind w:firstLine="480"/>
              <w:jc w:val="center"/>
              <w:rPr>
                <w:rFonts w:ascii="仿宋" w:hAnsi="仿宋" w:eastAsia="仿宋"/>
                <w:color w:val="auto"/>
                <w:sz w:val="24"/>
              </w:rPr>
            </w:pPr>
          </w:p>
        </w:tc>
        <w:tc>
          <w:tcPr>
            <w:tcW w:w="1134" w:type="dxa"/>
            <w:vAlign w:val="center"/>
          </w:tcPr>
          <w:p w14:paraId="616216B6">
            <w:pPr>
              <w:ind w:firstLine="480"/>
              <w:jc w:val="center"/>
              <w:rPr>
                <w:rFonts w:ascii="仿宋" w:hAnsi="仿宋" w:eastAsia="仿宋"/>
                <w:color w:val="auto"/>
                <w:sz w:val="24"/>
              </w:rPr>
            </w:pPr>
          </w:p>
        </w:tc>
        <w:tc>
          <w:tcPr>
            <w:tcW w:w="749" w:type="dxa"/>
            <w:vAlign w:val="center"/>
          </w:tcPr>
          <w:p w14:paraId="0B0E24C7">
            <w:pPr>
              <w:ind w:firstLine="480"/>
              <w:jc w:val="center"/>
              <w:rPr>
                <w:rFonts w:ascii="仿宋" w:hAnsi="仿宋" w:eastAsia="仿宋"/>
                <w:color w:val="auto"/>
                <w:sz w:val="24"/>
              </w:rPr>
            </w:pPr>
          </w:p>
        </w:tc>
        <w:tc>
          <w:tcPr>
            <w:tcW w:w="1106" w:type="dxa"/>
            <w:vAlign w:val="center"/>
          </w:tcPr>
          <w:p w14:paraId="38A5A5E8">
            <w:pPr>
              <w:ind w:firstLine="480"/>
              <w:jc w:val="center"/>
              <w:rPr>
                <w:rFonts w:ascii="仿宋" w:hAnsi="仿宋" w:eastAsia="仿宋"/>
                <w:color w:val="auto"/>
                <w:sz w:val="24"/>
              </w:rPr>
            </w:pPr>
          </w:p>
        </w:tc>
        <w:tc>
          <w:tcPr>
            <w:tcW w:w="1105" w:type="dxa"/>
            <w:vAlign w:val="center"/>
          </w:tcPr>
          <w:p w14:paraId="45DA974A">
            <w:pPr>
              <w:ind w:firstLine="480"/>
              <w:jc w:val="center"/>
              <w:rPr>
                <w:rFonts w:ascii="仿宋" w:hAnsi="仿宋" w:eastAsia="仿宋"/>
                <w:color w:val="auto"/>
                <w:sz w:val="24"/>
              </w:rPr>
            </w:pPr>
          </w:p>
        </w:tc>
        <w:tc>
          <w:tcPr>
            <w:tcW w:w="725" w:type="dxa"/>
            <w:vAlign w:val="center"/>
          </w:tcPr>
          <w:p w14:paraId="6DEABBD6">
            <w:pPr>
              <w:ind w:firstLine="480"/>
              <w:jc w:val="center"/>
              <w:rPr>
                <w:rFonts w:ascii="仿宋" w:hAnsi="仿宋" w:eastAsia="仿宋"/>
                <w:color w:val="auto"/>
                <w:sz w:val="24"/>
              </w:rPr>
            </w:pPr>
          </w:p>
        </w:tc>
      </w:tr>
      <w:tr w14:paraId="5FAAB1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724" w:type="dxa"/>
            <w:vAlign w:val="center"/>
          </w:tcPr>
          <w:p w14:paraId="454D6575">
            <w:pPr>
              <w:ind w:firstLine="0" w:firstLineChars="0"/>
              <w:jc w:val="center"/>
              <w:rPr>
                <w:rFonts w:ascii="仿宋" w:hAnsi="仿宋" w:eastAsia="仿宋"/>
                <w:color w:val="auto"/>
                <w:sz w:val="24"/>
              </w:rPr>
            </w:pPr>
            <w:r>
              <w:rPr>
                <w:rFonts w:hint="eastAsia" w:ascii="仿宋" w:hAnsi="仿宋" w:eastAsia="仿宋"/>
                <w:color w:val="auto"/>
                <w:sz w:val="24"/>
              </w:rPr>
              <w:t>2</w:t>
            </w:r>
          </w:p>
        </w:tc>
        <w:tc>
          <w:tcPr>
            <w:tcW w:w="1701" w:type="dxa"/>
            <w:vAlign w:val="center"/>
          </w:tcPr>
          <w:p w14:paraId="453A12F8">
            <w:pPr>
              <w:ind w:firstLine="480"/>
              <w:jc w:val="center"/>
              <w:rPr>
                <w:rFonts w:ascii="仿宋" w:hAnsi="仿宋" w:eastAsia="仿宋"/>
                <w:color w:val="auto"/>
                <w:sz w:val="24"/>
              </w:rPr>
            </w:pPr>
          </w:p>
        </w:tc>
        <w:tc>
          <w:tcPr>
            <w:tcW w:w="1134" w:type="dxa"/>
            <w:vAlign w:val="center"/>
          </w:tcPr>
          <w:p w14:paraId="5FF68949">
            <w:pPr>
              <w:ind w:firstLine="480"/>
              <w:jc w:val="center"/>
              <w:rPr>
                <w:rFonts w:ascii="仿宋" w:hAnsi="仿宋" w:eastAsia="仿宋"/>
                <w:color w:val="auto"/>
                <w:sz w:val="24"/>
              </w:rPr>
            </w:pPr>
          </w:p>
        </w:tc>
        <w:tc>
          <w:tcPr>
            <w:tcW w:w="993" w:type="dxa"/>
            <w:vAlign w:val="center"/>
          </w:tcPr>
          <w:p w14:paraId="0FFDA384">
            <w:pPr>
              <w:ind w:firstLine="480"/>
              <w:jc w:val="center"/>
              <w:rPr>
                <w:rFonts w:ascii="仿宋" w:hAnsi="仿宋" w:eastAsia="仿宋"/>
                <w:color w:val="auto"/>
                <w:sz w:val="24"/>
              </w:rPr>
            </w:pPr>
          </w:p>
        </w:tc>
        <w:tc>
          <w:tcPr>
            <w:tcW w:w="1134" w:type="dxa"/>
            <w:vAlign w:val="center"/>
          </w:tcPr>
          <w:p w14:paraId="1076CB4F">
            <w:pPr>
              <w:ind w:firstLine="480"/>
              <w:jc w:val="center"/>
              <w:rPr>
                <w:rFonts w:ascii="仿宋" w:hAnsi="仿宋" w:eastAsia="仿宋"/>
                <w:color w:val="auto"/>
                <w:sz w:val="24"/>
              </w:rPr>
            </w:pPr>
          </w:p>
        </w:tc>
        <w:tc>
          <w:tcPr>
            <w:tcW w:w="749" w:type="dxa"/>
            <w:vAlign w:val="center"/>
          </w:tcPr>
          <w:p w14:paraId="38624CB3">
            <w:pPr>
              <w:ind w:firstLine="480"/>
              <w:jc w:val="center"/>
              <w:rPr>
                <w:rFonts w:ascii="仿宋" w:hAnsi="仿宋" w:eastAsia="仿宋"/>
                <w:color w:val="auto"/>
                <w:sz w:val="24"/>
              </w:rPr>
            </w:pPr>
          </w:p>
        </w:tc>
        <w:tc>
          <w:tcPr>
            <w:tcW w:w="1106" w:type="dxa"/>
            <w:vAlign w:val="center"/>
          </w:tcPr>
          <w:p w14:paraId="2E252EF1">
            <w:pPr>
              <w:ind w:firstLine="480"/>
              <w:jc w:val="center"/>
              <w:rPr>
                <w:rFonts w:ascii="仿宋" w:hAnsi="仿宋" w:eastAsia="仿宋"/>
                <w:color w:val="auto"/>
                <w:sz w:val="24"/>
              </w:rPr>
            </w:pPr>
          </w:p>
        </w:tc>
        <w:tc>
          <w:tcPr>
            <w:tcW w:w="1105" w:type="dxa"/>
            <w:vAlign w:val="center"/>
          </w:tcPr>
          <w:p w14:paraId="6386AB11">
            <w:pPr>
              <w:ind w:firstLine="480"/>
              <w:jc w:val="center"/>
              <w:rPr>
                <w:rFonts w:ascii="仿宋" w:hAnsi="仿宋" w:eastAsia="仿宋"/>
                <w:color w:val="auto"/>
                <w:sz w:val="24"/>
              </w:rPr>
            </w:pPr>
          </w:p>
        </w:tc>
        <w:tc>
          <w:tcPr>
            <w:tcW w:w="725" w:type="dxa"/>
            <w:vAlign w:val="center"/>
          </w:tcPr>
          <w:p w14:paraId="405D8B02">
            <w:pPr>
              <w:ind w:firstLine="480"/>
              <w:jc w:val="center"/>
              <w:rPr>
                <w:rFonts w:ascii="仿宋" w:hAnsi="仿宋" w:eastAsia="仿宋"/>
                <w:color w:val="auto"/>
                <w:sz w:val="24"/>
              </w:rPr>
            </w:pPr>
          </w:p>
        </w:tc>
      </w:tr>
      <w:tr w14:paraId="5235BE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724" w:type="dxa"/>
            <w:vAlign w:val="center"/>
          </w:tcPr>
          <w:p w14:paraId="32730845">
            <w:pPr>
              <w:ind w:firstLine="0" w:firstLineChars="0"/>
              <w:jc w:val="center"/>
              <w:rPr>
                <w:rFonts w:ascii="仿宋" w:hAnsi="仿宋" w:eastAsia="仿宋"/>
                <w:color w:val="auto"/>
                <w:sz w:val="24"/>
              </w:rPr>
            </w:pPr>
            <w:r>
              <w:rPr>
                <w:rFonts w:hint="eastAsia" w:ascii="仿宋" w:hAnsi="仿宋" w:eastAsia="仿宋"/>
                <w:color w:val="auto"/>
                <w:sz w:val="24"/>
              </w:rPr>
              <w:t>3</w:t>
            </w:r>
          </w:p>
        </w:tc>
        <w:tc>
          <w:tcPr>
            <w:tcW w:w="1701" w:type="dxa"/>
            <w:vAlign w:val="center"/>
          </w:tcPr>
          <w:p w14:paraId="021104E7">
            <w:pPr>
              <w:ind w:firstLine="480"/>
              <w:jc w:val="center"/>
              <w:rPr>
                <w:rFonts w:ascii="仿宋" w:hAnsi="仿宋" w:eastAsia="仿宋"/>
                <w:color w:val="auto"/>
                <w:sz w:val="24"/>
              </w:rPr>
            </w:pPr>
          </w:p>
        </w:tc>
        <w:tc>
          <w:tcPr>
            <w:tcW w:w="1134" w:type="dxa"/>
            <w:vAlign w:val="center"/>
          </w:tcPr>
          <w:p w14:paraId="61F5D07B">
            <w:pPr>
              <w:ind w:firstLine="480"/>
              <w:jc w:val="center"/>
              <w:rPr>
                <w:rFonts w:ascii="仿宋" w:hAnsi="仿宋" w:eastAsia="仿宋"/>
                <w:color w:val="auto"/>
                <w:sz w:val="24"/>
              </w:rPr>
            </w:pPr>
          </w:p>
        </w:tc>
        <w:tc>
          <w:tcPr>
            <w:tcW w:w="993" w:type="dxa"/>
            <w:vAlign w:val="center"/>
          </w:tcPr>
          <w:p w14:paraId="2E4BF23A">
            <w:pPr>
              <w:ind w:firstLine="480"/>
              <w:jc w:val="center"/>
              <w:rPr>
                <w:rFonts w:ascii="仿宋" w:hAnsi="仿宋" w:eastAsia="仿宋"/>
                <w:color w:val="auto"/>
                <w:sz w:val="24"/>
              </w:rPr>
            </w:pPr>
          </w:p>
        </w:tc>
        <w:tc>
          <w:tcPr>
            <w:tcW w:w="1134" w:type="dxa"/>
            <w:vAlign w:val="center"/>
          </w:tcPr>
          <w:p w14:paraId="329868FF">
            <w:pPr>
              <w:ind w:firstLine="480"/>
              <w:jc w:val="center"/>
              <w:rPr>
                <w:rFonts w:ascii="仿宋" w:hAnsi="仿宋" w:eastAsia="仿宋"/>
                <w:color w:val="auto"/>
                <w:sz w:val="24"/>
              </w:rPr>
            </w:pPr>
          </w:p>
        </w:tc>
        <w:tc>
          <w:tcPr>
            <w:tcW w:w="749" w:type="dxa"/>
            <w:vAlign w:val="center"/>
          </w:tcPr>
          <w:p w14:paraId="1C00D4E2">
            <w:pPr>
              <w:ind w:firstLine="480"/>
              <w:jc w:val="center"/>
              <w:rPr>
                <w:rFonts w:ascii="仿宋" w:hAnsi="仿宋" w:eastAsia="仿宋"/>
                <w:color w:val="auto"/>
                <w:sz w:val="24"/>
              </w:rPr>
            </w:pPr>
          </w:p>
        </w:tc>
        <w:tc>
          <w:tcPr>
            <w:tcW w:w="1106" w:type="dxa"/>
            <w:vAlign w:val="center"/>
          </w:tcPr>
          <w:p w14:paraId="66F39833">
            <w:pPr>
              <w:ind w:firstLine="480"/>
              <w:jc w:val="center"/>
              <w:rPr>
                <w:rFonts w:ascii="仿宋" w:hAnsi="仿宋" w:eastAsia="仿宋"/>
                <w:color w:val="auto"/>
                <w:sz w:val="24"/>
              </w:rPr>
            </w:pPr>
          </w:p>
        </w:tc>
        <w:tc>
          <w:tcPr>
            <w:tcW w:w="1105" w:type="dxa"/>
            <w:vAlign w:val="center"/>
          </w:tcPr>
          <w:p w14:paraId="2A22BBEA">
            <w:pPr>
              <w:ind w:firstLine="480"/>
              <w:jc w:val="center"/>
              <w:rPr>
                <w:rFonts w:ascii="仿宋" w:hAnsi="仿宋" w:eastAsia="仿宋"/>
                <w:color w:val="auto"/>
                <w:sz w:val="24"/>
              </w:rPr>
            </w:pPr>
          </w:p>
        </w:tc>
        <w:tc>
          <w:tcPr>
            <w:tcW w:w="725" w:type="dxa"/>
            <w:vAlign w:val="center"/>
          </w:tcPr>
          <w:p w14:paraId="118FBC41">
            <w:pPr>
              <w:ind w:firstLine="480"/>
              <w:jc w:val="center"/>
              <w:rPr>
                <w:rFonts w:ascii="仿宋" w:hAnsi="仿宋" w:eastAsia="仿宋"/>
                <w:color w:val="auto"/>
                <w:sz w:val="24"/>
              </w:rPr>
            </w:pPr>
          </w:p>
        </w:tc>
      </w:tr>
      <w:tr w14:paraId="28E54F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724" w:type="dxa"/>
            <w:vAlign w:val="center"/>
          </w:tcPr>
          <w:p w14:paraId="72DD6A70">
            <w:pPr>
              <w:ind w:firstLine="0" w:firstLineChars="0"/>
              <w:jc w:val="center"/>
              <w:rPr>
                <w:rFonts w:ascii="仿宋" w:hAnsi="仿宋" w:eastAsia="仿宋"/>
                <w:color w:val="auto"/>
                <w:sz w:val="24"/>
              </w:rPr>
            </w:pPr>
            <w:r>
              <w:rPr>
                <w:rFonts w:hint="eastAsia" w:ascii="仿宋" w:hAnsi="仿宋" w:eastAsia="仿宋"/>
                <w:color w:val="auto"/>
                <w:sz w:val="24"/>
              </w:rPr>
              <w:t>4</w:t>
            </w:r>
          </w:p>
        </w:tc>
        <w:tc>
          <w:tcPr>
            <w:tcW w:w="1701" w:type="dxa"/>
            <w:vAlign w:val="center"/>
          </w:tcPr>
          <w:p w14:paraId="334944BF">
            <w:pPr>
              <w:ind w:firstLine="480"/>
              <w:jc w:val="center"/>
              <w:rPr>
                <w:rFonts w:ascii="仿宋" w:hAnsi="仿宋" w:eastAsia="仿宋"/>
                <w:color w:val="auto"/>
                <w:sz w:val="24"/>
              </w:rPr>
            </w:pPr>
          </w:p>
        </w:tc>
        <w:tc>
          <w:tcPr>
            <w:tcW w:w="1134" w:type="dxa"/>
            <w:vAlign w:val="center"/>
          </w:tcPr>
          <w:p w14:paraId="1CDF292F">
            <w:pPr>
              <w:ind w:firstLine="480"/>
              <w:jc w:val="center"/>
              <w:rPr>
                <w:rFonts w:ascii="仿宋" w:hAnsi="仿宋" w:eastAsia="仿宋"/>
                <w:color w:val="auto"/>
                <w:sz w:val="24"/>
              </w:rPr>
            </w:pPr>
          </w:p>
        </w:tc>
        <w:tc>
          <w:tcPr>
            <w:tcW w:w="993" w:type="dxa"/>
            <w:vAlign w:val="center"/>
          </w:tcPr>
          <w:p w14:paraId="383BA2BA">
            <w:pPr>
              <w:ind w:firstLine="480"/>
              <w:jc w:val="center"/>
              <w:rPr>
                <w:rFonts w:ascii="仿宋" w:hAnsi="仿宋" w:eastAsia="仿宋"/>
                <w:color w:val="auto"/>
                <w:sz w:val="24"/>
              </w:rPr>
            </w:pPr>
          </w:p>
        </w:tc>
        <w:tc>
          <w:tcPr>
            <w:tcW w:w="1134" w:type="dxa"/>
            <w:vAlign w:val="center"/>
          </w:tcPr>
          <w:p w14:paraId="62DE8B51">
            <w:pPr>
              <w:ind w:firstLine="480"/>
              <w:jc w:val="center"/>
              <w:rPr>
                <w:rFonts w:ascii="仿宋" w:hAnsi="仿宋" w:eastAsia="仿宋"/>
                <w:color w:val="auto"/>
                <w:sz w:val="24"/>
              </w:rPr>
            </w:pPr>
          </w:p>
        </w:tc>
        <w:tc>
          <w:tcPr>
            <w:tcW w:w="749" w:type="dxa"/>
            <w:vAlign w:val="center"/>
          </w:tcPr>
          <w:p w14:paraId="0E9382C9">
            <w:pPr>
              <w:ind w:firstLine="480"/>
              <w:jc w:val="center"/>
              <w:rPr>
                <w:rFonts w:ascii="仿宋" w:hAnsi="仿宋" w:eastAsia="仿宋"/>
                <w:color w:val="auto"/>
                <w:sz w:val="24"/>
              </w:rPr>
            </w:pPr>
          </w:p>
        </w:tc>
        <w:tc>
          <w:tcPr>
            <w:tcW w:w="1106" w:type="dxa"/>
            <w:vAlign w:val="center"/>
          </w:tcPr>
          <w:p w14:paraId="4C0D2320">
            <w:pPr>
              <w:ind w:firstLine="480"/>
              <w:jc w:val="center"/>
              <w:rPr>
                <w:rFonts w:ascii="仿宋" w:hAnsi="仿宋" w:eastAsia="仿宋"/>
                <w:color w:val="auto"/>
                <w:sz w:val="24"/>
              </w:rPr>
            </w:pPr>
          </w:p>
        </w:tc>
        <w:tc>
          <w:tcPr>
            <w:tcW w:w="1105" w:type="dxa"/>
            <w:vAlign w:val="center"/>
          </w:tcPr>
          <w:p w14:paraId="2F094EC1">
            <w:pPr>
              <w:ind w:firstLine="480"/>
              <w:jc w:val="center"/>
              <w:rPr>
                <w:rFonts w:ascii="仿宋" w:hAnsi="仿宋" w:eastAsia="仿宋"/>
                <w:color w:val="auto"/>
                <w:sz w:val="24"/>
              </w:rPr>
            </w:pPr>
          </w:p>
        </w:tc>
        <w:tc>
          <w:tcPr>
            <w:tcW w:w="725" w:type="dxa"/>
            <w:vAlign w:val="center"/>
          </w:tcPr>
          <w:p w14:paraId="131F0A92">
            <w:pPr>
              <w:ind w:firstLine="480"/>
              <w:jc w:val="center"/>
              <w:rPr>
                <w:rFonts w:ascii="仿宋" w:hAnsi="仿宋" w:eastAsia="仿宋"/>
                <w:color w:val="auto"/>
                <w:sz w:val="24"/>
              </w:rPr>
            </w:pPr>
          </w:p>
        </w:tc>
      </w:tr>
      <w:tr w14:paraId="0C70FB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724" w:type="dxa"/>
            <w:vAlign w:val="center"/>
          </w:tcPr>
          <w:p w14:paraId="0020ACD3">
            <w:pPr>
              <w:ind w:firstLine="0" w:firstLineChars="0"/>
              <w:jc w:val="center"/>
              <w:rPr>
                <w:rFonts w:ascii="仿宋" w:hAnsi="仿宋" w:eastAsia="仿宋"/>
                <w:color w:val="auto"/>
                <w:sz w:val="24"/>
              </w:rPr>
            </w:pPr>
            <w:r>
              <w:rPr>
                <w:rFonts w:hint="eastAsia" w:ascii="仿宋" w:hAnsi="仿宋" w:eastAsia="仿宋"/>
                <w:color w:val="auto"/>
                <w:sz w:val="24"/>
              </w:rPr>
              <w:t>5</w:t>
            </w:r>
          </w:p>
        </w:tc>
        <w:tc>
          <w:tcPr>
            <w:tcW w:w="1701" w:type="dxa"/>
            <w:vAlign w:val="center"/>
          </w:tcPr>
          <w:p w14:paraId="0092B854">
            <w:pPr>
              <w:ind w:firstLine="480"/>
              <w:jc w:val="center"/>
              <w:rPr>
                <w:rFonts w:ascii="仿宋" w:hAnsi="仿宋" w:eastAsia="仿宋"/>
                <w:color w:val="auto"/>
                <w:sz w:val="24"/>
              </w:rPr>
            </w:pPr>
          </w:p>
        </w:tc>
        <w:tc>
          <w:tcPr>
            <w:tcW w:w="1134" w:type="dxa"/>
            <w:vAlign w:val="center"/>
          </w:tcPr>
          <w:p w14:paraId="17B61F4C">
            <w:pPr>
              <w:ind w:firstLine="480"/>
              <w:jc w:val="center"/>
              <w:rPr>
                <w:rFonts w:ascii="仿宋" w:hAnsi="仿宋" w:eastAsia="仿宋"/>
                <w:color w:val="auto"/>
                <w:sz w:val="24"/>
              </w:rPr>
            </w:pPr>
          </w:p>
        </w:tc>
        <w:tc>
          <w:tcPr>
            <w:tcW w:w="993" w:type="dxa"/>
            <w:vAlign w:val="center"/>
          </w:tcPr>
          <w:p w14:paraId="40DB71FA">
            <w:pPr>
              <w:ind w:firstLine="480"/>
              <w:jc w:val="center"/>
              <w:rPr>
                <w:rFonts w:ascii="仿宋" w:hAnsi="仿宋" w:eastAsia="仿宋"/>
                <w:color w:val="auto"/>
                <w:sz w:val="24"/>
              </w:rPr>
            </w:pPr>
          </w:p>
        </w:tc>
        <w:tc>
          <w:tcPr>
            <w:tcW w:w="1134" w:type="dxa"/>
            <w:vAlign w:val="center"/>
          </w:tcPr>
          <w:p w14:paraId="3DB047EE">
            <w:pPr>
              <w:ind w:firstLine="480"/>
              <w:jc w:val="center"/>
              <w:rPr>
                <w:rFonts w:ascii="仿宋" w:hAnsi="仿宋" w:eastAsia="仿宋"/>
                <w:color w:val="auto"/>
                <w:sz w:val="24"/>
              </w:rPr>
            </w:pPr>
          </w:p>
        </w:tc>
        <w:tc>
          <w:tcPr>
            <w:tcW w:w="749" w:type="dxa"/>
            <w:vAlign w:val="center"/>
          </w:tcPr>
          <w:p w14:paraId="2EC45392">
            <w:pPr>
              <w:ind w:firstLine="480"/>
              <w:jc w:val="center"/>
              <w:rPr>
                <w:rFonts w:ascii="仿宋" w:hAnsi="仿宋" w:eastAsia="仿宋"/>
                <w:color w:val="auto"/>
                <w:sz w:val="24"/>
              </w:rPr>
            </w:pPr>
          </w:p>
        </w:tc>
        <w:tc>
          <w:tcPr>
            <w:tcW w:w="1106" w:type="dxa"/>
            <w:vAlign w:val="center"/>
          </w:tcPr>
          <w:p w14:paraId="3CC6E746">
            <w:pPr>
              <w:ind w:firstLine="480"/>
              <w:jc w:val="center"/>
              <w:rPr>
                <w:rFonts w:ascii="仿宋" w:hAnsi="仿宋" w:eastAsia="仿宋"/>
                <w:color w:val="auto"/>
                <w:sz w:val="24"/>
              </w:rPr>
            </w:pPr>
          </w:p>
        </w:tc>
        <w:tc>
          <w:tcPr>
            <w:tcW w:w="1105" w:type="dxa"/>
            <w:vAlign w:val="center"/>
          </w:tcPr>
          <w:p w14:paraId="35A33D1A">
            <w:pPr>
              <w:ind w:firstLine="480"/>
              <w:jc w:val="center"/>
              <w:rPr>
                <w:rFonts w:ascii="仿宋" w:hAnsi="仿宋" w:eastAsia="仿宋"/>
                <w:color w:val="auto"/>
                <w:sz w:val="24"/>
              </w:rPr>
            </w:pPr>
          </w:p>
        </w:tc>
        <w:tc>
          <w:tcPr>
            <w:tcW w:w="725" w:type="dxa"/>
            <w:vAlign w:val="center"/>
          </w:tcPr>
          <w:p w14:paraId="526BCBA9">
            <w:pPr>
              <w:ind w:firstLine="480"/>
              <w:jc w:val="center"/>
              <w:rPr>
                <w:rFonts w:ascii="仿宋" w:hAnsi="仿宋" w:eastAsia="仿宋"/>
                <w:color w:val="auto"/>
                <w:sz w:val="24"/>
              </w:rPr>
            </w:pPr>
          </w:p>
        </w:tc>
      </w:tr>
      <w:tr w14:paraId="32EF69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724" w:type="dxa"/>
            <w:vAlign w:val="center"/>
          </w:tcPr>
          <w:p w14:paraId="6570D0F4">
            <w:pPr>
              <w:ind w:firstLine="0" w:firstLineChars="0"/>
              <w:jc w:val="center"/>
              <w:rPr>
                <w:rFonts w:ascii="仿宋" w:hAnsi="仿宋" w:eastAsia="仿宋"/>
                <w:color w:val="auto"/>
                <w:sz w:val="24"/>
              </w:rPr>
            </w:pPr>
            <w:r>
              <w:rPr>
                <w:rFonts w:hint="eastAsia" w:ascii="仿宋" w:hAnsi="仿宋" w:eastAsia="仿宋"/>
                <w:color w:val="auto"/>
                <w:sz w:val="24"/>
              </w:rPr>
              <w:t>6</w:t>
            </w:r>
          </w:p>
        </w:tc>
        <w:tc>
          <w:tcPr>
            <w:tcW w:w="1701" w:type="dxa"/>
            <w:vAlign w:val="center"/>
          </w:tcPr>
          <w:p w14:paraId="340D1F92">
            <w:pPr>
              <w:ind w:firstLine="480"/>
              <w:jc w:val="center"/>
              <w:rPr>
                <w:rFonts w:ascii="仿宋" w:hAnsi="仿宋" w:eastAsia="仿宋"/>
                <w:color w:val="auto"/>
                <w:sz w:val="24"/>
              </w:rPr>
            </w:pPr>
          </w:p>
        </w:tc>
        <w:tc>
          <w:tcPr>
            <w:tcW w:w="1134" w:type="dxa"/>
            <w:vAlign w:val="center"/>
          </w:tcPr>
          <w:p w14:paraId="7680F256">
            <w:pPr>
              <w:ind w:firstLine="480"/>
              <w:jc w:val="center"/>
              <w:rPr>
                <w:rFonts w:ascii="仿宋" w:hAnsi="仿宋" w:eastAsia="仿宋"/>
                <w:color w:val="auto"/>
                <w:sz w:val="24"/>
              </w:rPr>
            </w:pPr>
          </w:p>
        </w:tc>
        <w:tc>
          <w:tcPr>
            <w:tcW w:w="993" w:type="dxa"/>
            <w:vAlign w:val="center"/>
          </w:tcPr>
          <w:p w14:paraId="4BDDC653">
            <w:pPr>
              <w:ind w:firstLine="480"/>
              <w:jc w:val="center"/>
              <w:rPr>
                <w:rFonts w:ascii="仿宋" w:hAnsi="仿宋" w:eastAsia="仿宋"/>
                <w:color w:val="auto"/>
                <w:sz w:val="24"/>
              </w:rPr>
            </w:pPr>
          </w:p>
        </w:tc>
        <w:tc>
          <w:tcPr>
            <w:tcW w:w="1134" w:type="dxa"/>
            <w:vAlign w:val="center"/>
          </w:tcPr>
          <w:p w14:paraId="160E4C60">
            <w:pPr>
              <w:ind w:firstLine="480"/>
              <w:jc w:val="center"/>
              <w:rPr>
                <w:rFonts w:ascii="仿宋" w:hAnsi="仿宋" w:eastAsia="仿宋"/>
                <w:color w:val="auto"/>
                <w:sz w:val="24"/>
              </w:rPr>
            </w:pPr>
          </w:p>
        </w:tc>
        <w:tc>
          <w:tcPr>
            <w:tcW w:w="749" w:type="dxa"/>
            <w:vAlign w:val="center"/>
          </w:tcPr>
          <w:p w14:paraId="3D94B9C5">
            <w:pPr>
              <w:ind w:firstLine="480"/>
              <w:jc w:val="center"/>
              <w:rPr>
                <w:rFonts w:ascii="仿宋" w:hAnsi="仿宋" w:eastAsia="仿宋"/>
                <w:color w:val="auto"/>
                <w:sz w:val="24"/>
              </w:rPr>
            </w:pPr>
          </w:p>
        </w:tc>
        <w:tc>
          <w:tcPr>
            <w:tcW w:w="1106" w:type="dxa"/>
            <w:vAlign w:val="center"/>
          </w:tcPr>
          <w:p w14:paraId="0DA78B91">
            <w:pPr>
              <w:ind w:firstLine="480"/>
              <w:jc w:val="center"/>
              <w:rPr>
                <w:rFonts w:ascii="仿宋" w:hAnsi="仿宋" w:eastAsia="仿宋"/>
                <w:color w:val="auto"/>
                <w:sz w:val="24"/>
              </w:rPr>
            </w:pPr>
          </w:p>
        </w:tc>
        <w:tc>
          <w:tcPr>
            <w:tcW w:w="1105" w:type="dxa"/>
            <w:vAlign w:val="center"/>
          </w:tcPr>
          <w:p w14:paraId="6FA1FAB6">
            <w:pPr>
              <w:ind w:firstLine="480"/>
              <w:jc w:val="center"/>
              <w:rPr>
                <w:rFonts w:ascii="仿宋" w:hAnsi="仿宋" w:eastAsia="仿宋"/>
                <w:color w:val="auto"/>
                <w:sz w:val="24"/>
              </w:rPr>
            </w:pPr>
          </w:p>
        </w:tc>
        <w:tc>
          <w:tcPr>
            <w:tcW w:w="725" w:type="dxa"/>
            <w:vAlign w:val="center"/>
          </w:tcPr>
          <w:p w14:paraId="341C0B6F">
            <w:pPr>
              <w:ind w:firstLine="480"/>
              <w:jc w:val="center"/>
              <w:rPr>
                <w:rFonts w:ascii="仿宋" w:hAnsi="仿宋" w:eastAsia="仿宋"/>
                <w:color w:val="auto"/>
                <w:sz w:val="24"/>
              </w:rPr>
            </w:pPr>
          </w:p>
        </w:tc>
      </w:tr>
      <w:tr w14:paraId="02341D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724" w:type="dxa"/>
            <w:vAlign w:val="center"/>
          </w:tcPr>
          <w:p w14:paraId="25B9E9EF">
            <w:pPr>
              <w:ind w:firstLine="0" w:firstLineChars="0"/>
              <w:jc w:val="center"/>
              <w:rPr>
                <w:rFonts w:ascii="仿宋" w:hAnsi="仿宋" w:eastAsia="仿宋"/>
                <w:color w:val="auto"/>
                <w:sz w:val="24"/>
              </w:rPr>
            </w:pPr>
            <w:r>
              <w:rPr>
                <w:rFonts w:hint="eastAsia" w:ascii="仿宋" w:hAnsi="仿宋" w:eastAsia="仿宋"/>
                <w:color w:val="auto"/>
                <w:sz w:val="24"/>
              </w:rPr>
              <w:t>7</w:t>
            </w:r>
          </w:p>
        </w:tc>
        <w:tc>
          <w:tcPr>
            <w:tcW w:w="1701" w:type="dxa"/>
            <w:vAlign w:val="center"/>
          </w:tcPr>
          <w:p w14:paraId="68504C37">
            <w:pPr>
              <w:ind w:firstLine="480"/>
              <w:jc w:val="center"/>
              <w:rPr>
                <w:rFonts w:ascii="仿宋" w:hAnsi="仿宋" w:eastAsia="仿宋"/>
                <w:color w:val="auto"/>
                <w:sz w:val="24"/>
              </w:rPr>
            </w:pPr>
          </w:p>
        </w:tc>
        <w:tc>
          <w:tcPr>
            <w:tcW w:w="1134" w:type="dxa"/>
            <w:vAlign w:val="center"/>
          </w:tcPr>
          <w:p w14:paraId="6B88C460">
            <w:pPr>
              <w:ind w:firstLine="480"/>
              <w:jc w:val="center"/>
              <w:rPr>
                <w:rFonts w:ascii="仿宋" w:hAnsi="仿宋" w:eastAsia="仿宋"/>
                <w:color w:val="auto"/>
                <w:sz w:val="24"/>
              </w:rPr>
            </w:pPr>
          </w:p>
        </w:tc>
        <w:tc>
          <w:tcPr>
            <w:tcW w:w="993" w:type="dxa"/>
            <w:vAlign w:val="center"/>
          </w:tcPr>
          <w:p w14:paraId="78E29460">
            <w:pPr>
              <w:ind w:firstLine="480"/>
              <w:jc w:val="center"/>
              <w:rPr>
                <w:rFonts w:ascii="仿宋" w:hAnsi="仿宋" w:eastAsia="仿宋"/>
                <w:color w:val="auto"/>
                <w:sz w:val="24"/>
              </w:rPr>
            </w:pPr>
          </w:p>
        </w:tc>
        <w:tc>
          <w:tcPr>
            <w:tcW w:w="1134" w:type="dxa"/>
            <w:vAlign w:val="center"/>
          </w:tcPr>
          <w:p w14:paraId="276330AC">
            <w:pPr>
              <w:ind w:firstLine="480"/>
              <w:jc w:val="center"/>
              <w:rPr>
                <w:rFonts w:ascii="仿宋" w:hAnsi="仿宋" w:eastAsia="仿宋"/>
                <w:color w:val="auto"/>
                <w:sz w:val="24"/>
              </w:rPr>
            </w:pPr>
          </w:p>
        </w:tc>
        <w:tc>
          <w:tcPr>
            <w:tcW w:w="749" w:type="dxa"/>
            <w:vAlign w:val="center"/>
          </w:tcPr>
          <w:p w14:paraId="234EEB76">
            <w:pPr>
              <w:ind w:firstLine="480"/>
              <w:jc w:val="center"/>
              <w:rPr>
                <w:rFonts w:ascii="仿宋" w:hAnsi="仿宋" w:eastAsia="仿宋"/>
                <w:color w:val="auto"/>
                <w:sz w:val="24"/>
              </w:rPr>
            </w:pPr>
          </w:p>
        </w:tc>
        <w:tc>
          <w:tcPr>
            <w:tcW w:w="1106" w:type="dxa"/>
            <w:vAlign w:val="center"/>
          </w:tcPr>
          <w:p w14:paraId="25ABD174">
            <w:pPr>
              <w:ind w:firstLine="480"/>
              <w:jc w:val="center"/>
              <w:rPr>
                <w:rFonts w:ascii="仿宋" w:hAnsi="仿宋" w:eastAsia="仿宋"/>
                <w:color w:val="auto"/>
                <w:sz w:val="24"/>
              </w:rPr>
            </w:pPr>
          </w:p>
        </w:tc>
        <w:tc>
          <w:tcPr>
            <w:tcW w:w="1105" w:type="dxa"/>
            <w:vAlign w:val="center"/>
          </w:tcPr>
          <w:p w14:paraId="4B8F22D6">
            <w:pPr>
              <w:ind w:firstLine="480"/>
              <w:jc w:val="center"/>
              <w:rPr>
                <w:rFonts w:ascii="仿宋" w:hAnsi="仿宋" w:eastAsia="仿宋"/>
                <w:color w:val="auto"/>
                <w:sz w:val="24"/>
              </w:rPr>
            </w:pPr>
          </w:p>
        </w:tc>
        <w:tc>
          <w:tcPr>
            <w:tcW w:w="725" w:type="dxa"/>
            <w:vAlign w:val="center"/>
          </w:tcPr>
          <w:p w14:paraId="4D384176">
            <w:pPr>
              <w:ind w:firstLine="480"/>
              <w:jc w:val="center"/>
              <w:rPr>
                <w:rFonts w:ascii="仿宋" w:hAnsi="仿宋" w:eastAsia="仿宋"/>
                <w:color w:val="auto"/>
                <w:sz w:val="24"/>
              </w:rPr>
            </w:pPr>
          </w:p>
        </w:tc>
      </w:tr>
      <w:tr w14:paraId="1C5167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724" w:type="dxa"/>
            <w:vAlign w:val="center"/>
          </w:tcPr>
          <w:p w14:paraId="246C6FE1">
            <w:pPr>
              <w:ind w:firstLine="0" w:firstLineChars="0"/>
              <w:jc w:val="center"/>
              <w:rPr>
                <w:rFonts w:ascii="仿宋" w:hAnsi="仿宋" w:eastAsia="仿宋"/>
                <w:color w:val="auto"/>
                <w:sz w:val="24"/>
              </w:rPr>
            </w:pPr>
            <w:r>
              <w:rPr>
                <w:rFonts w:ascii="仿宋" w:hAnsi="仿宋" w:eastAsia="仿宋"/>
                <w:color w:val="auto"/>
                <w:sz w:val="24"/>
              </w:rPr>
              <w:t>……</w:t>
            </w:r>
          </w:p>
        </w:tc>
        <w:tc>
          <w:tcPr>
            <w:tcW w:w="1701" w:type="dxa"/>
            <w:vAlign w:val="center"/>
          </w:tcPr>
          <w:p w14:paraId="6F0CC45C">
            <w:pPr>
              <w:ind w:firstLine="480"/>
              <w:jc w:val="center"/>
              <w:rPr>
                <w:rFonts w:ascii="仿宋" w:hAnsi="仿宋" w:eastAsia="仿宋"/>
                <w:color w:val="auto"/>
                <w:sz w:val="24"/>
              </w:rPr>
            </w:pPr>
            <w:r>
              <w:rPr>
                <w:rFonts w:ascii="仿宋" w:hAnsi="仿宋" w:eastAsia="仿宋"/>
                <w:color w:val="auto"/>
                <w:sz w:val="24"/>
              </w:rPr>
              <w:t>……</w:t>
            </w:r>
          </w:p>
        </w:tc>
        <w:tc>
          <w:tcPr>
            <w:tcW w:w="1134" w:type="dxa"/>
            <w:vAlign w:val="center"/>
          </w:tcPr>
          <w:p w14:paraId="57D5E20D">
            <w:pPr>
              <w:ind w:firstLine="480"/>
              <w:jc w:val="center"/>
              <w:rPr>
                <w:rFonts w:ascii="仿宋" w:hAnsi="仿宋" w:eastAsia="仿宋"/>
                <w:color w:val="auto"/>
                <w:sz w:val="24"/>
              </w:rPr>
            </w:pPr>
            <w:r>
              <w:rPr>
                <w:rFonts w:ascii="仿宋" w:hAnsi="仿宋" w:eastAsia="仿宋"/>
                <w:color w:val="auto"/>
                <w:sz w:val="24"/>
              </w:rPr>
              <w:t>……</w:t>
            </w:r>
          </w:p>
        </w:tc>
        <w:tc>
          <w:tcPr>
            <w:tcW w:w="993" w:type="dxa"/>
            <w:vAlign w:val="center"/>
          </w:tcPr>
          <w:p w14:paraId="434DE477">
            <w:pPr>
              <w:ind w:firstLine="0" w:firstLineChars="0"/>
              <w:jc w:val="center"/>
              <w:rPr>
                <w:rFonts w:ascii="仿宋" w:hAnsi="仿宋" w:eastAsia="仿宋"/>
                <w:color w:val="auto"/>
                <w:sz w:val="24"/>
              </w:rPr>
            </w:pPr>
            <w:r>
              <w:rPr>
                <w:rFonts w:ascii="仿宋" w:hAnsi="仿宋" w:eastAsia="仿宋"/>
                <w:color w:val="auto"/>
                <w:sz w:val="24"/>
              </w:rPr>
              <w:t>……</w:t>
            </w:r>
          </w:p>
        </w:tc>
        <w:tc>
          <w:tcPr>
            <w:tcW w:w="1134" w:type="dxa"/>
            <w:vAlign w:val="center"/>
          </w:tcPr>
          <w:p w14:paraId="1E42779C">
            <w:pPr>
              <w:ind w:firstLine="480"/>
              <w:jc w:val="center"/>
              <w:rPr>
                <w:rFonts w:ascii="仿宋" w:hAnsi="仿宋" w:eastAsia="仿宋"/>
                <w:color w:val="auto"/>
                <w:sz w:val="24"/>
              </w:rPr>
            </w:pPr>
            <w:r>
              <w:rPr>
                <w:rFonts w:ascii="仿宋" w:hAnsi="仿宋" w:eastAsia="仿宋"/>
                <w:color w:val="auto"/>
                <w:sz w:val="24"/>
              </w:rPr>
              <w:t>……</w:t>
            </w:r>
          </w:p>
        </w:tc>
        <w:tc>
          <w:tcPr>
            <w:tcW w:w="749" w:type="dxa"/>
            <w:vAlign w:val="center"/>
          </w:tcPr>
          <w:p w14:paraId="76F34EFF">
            <w:pPr>
              <w:ind w:firstLine="0" w:firstLineChars="0"/>
              <w:jc w:val="center"/>
              <w:rPr>
                <w:rFonts w:ascii="仿宋" w:hAnsi="仿宋" w:eastAsia="仿宋"/>
                <w:color w:val="auto"/>
                <w:sz w:val="24"/>
              </w:rPr>
            </w:pPr>
            <w:r>
              <w:rPr>
                <w:rFonts w:ascii="仿宋" w:hAnsi="仿宋" w:eastAsia="仿宋"/>
                <w:color w:val="auto"/>
                <w:sz w:val="24"/>
              </w:rPr>
              <w:t>……</w:t>
            </w:r>
          </w:p>
        </w:tc>
        <w:tc>
          <w:tcPr>
            <w:tcW w:w="1106" w:type="dxa"/>
            <w:vAlign w:val="center"/>
          </w:tcPr>
          <w:p w14:paraId="6F2A76BC">
            <w:pPr>
              <w:ind w:firstLine="199" w:firstLineChars="83"/>
              <w:jc w:val="center"/>
              <w:rPr>
                <w:rFonts w:ascii="仿宋" w:hAnsi="仿宋" w:eastAsia="仿宋"/>
                <w:color w:val="auto"/>
                <w:sz w:val="24"/>
              </w:rPr>
            </w:pPr>
            <w:r>
              <w:rPr>
                <w:rFonts w:ascii="仿宋" w:hAnsi="仿宋" w:eastAsia="仿宋"/>
                <w:color w:val="auto"/>
                <w:sz w:val="24"/>
              </w:rPr>
              <w:t>……</w:t>
            </w:r>
          </w:p>
        </w:tc>
        <w:tc>
          <w:tcPr>
            <w:tcW w:w="1105" w:type="dxa"/>
            <w:vAlign w:val="center"/>
          </w:tcPr>
          <w:p w14:paraId="4B19EBEE">
            <w:pPr>
              <w:ind w:firstLine="480"/>
              <w:jc w:val="center"/>
              <w:rPr>
                <w:rFonts w:ascii="仿宋" w:hAnsi="仿宋" w:eastAsia="仿宋"/>
                <w:color w:val="auto"/>
                <w:sz w:val="24"/>
              </w:rPr>
            </w:pPr>
            <w:r>
              <w:rPr>
                <w:rFonts w:ascii="仿宋" w:hAnsi="仿宋" w:eastAsia="仿宋"/>
                <w:color w:val="auto"/>
                <w:sz w:val="24"/>
              </w:rPr>
              <w:t>……</w:t>
            </w:r>
          </w:p>
        </w:tc>
        <w:tc>
          <w:tcPr>
            <w:tcW w:w="725" w:type="dxa"/>
            <w:vAlign w:val="center"/>
          </w:tcPr>
          <w:p w14:paraId="3C7CD703">
            <w:pPr>
              <w:ind w:firstLine="480"/>
              <w:jc w:val="center"/>
              <w:rPr>
                <w:rFonts w:ascii="仿宋" w:hAnsi="仿宋" w:eastAsia="仿宋"/>
                <w:color w:val="auto"/>
                <w:sz w:val="24"/>
              </w:rPr>
            </w:pPr>
          </w:p>
        </w:tc>
      </w:tr>
      <w:tr w14:paraId="2E0F38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5686" w:type="dxa"/>
            <w:gridSpan w:val="5"/>
            <w:vAlign w:val="center"/>
          </w:tcPr>
          <w:p w14:paraId="7A0A0742">
            <w:pPr>
              <w:ind w:firstLine="480"/>
              <w:jc w:val="center"/>
              <w:rPr>
                <w:rFonts w:ascii="仿宋" w:hAnsi="仿宋" w:eastAsia="仿宋"/>
                <w:color w:val="auto"/>
                <w:sz w:val="24"/>
              </w:rPr>
            </w:pPr>
            <w:r>
              <w:rPr>
                <w:rFonts w:hint="eastAsia" w:ascii="仿宋" w:hAnsi="仿宋" w:eastAsia="仿宋"/>
                <w:color w:val="auto"/>
                <w:sz w:val="24"/>
              </w:rPr>
              <w:t>合计</w:t>
            </w:r>
          </w:p>
        </w:tc>
        <w:tc>
          <w:tcPr>
            <w:tcW w:w="749" w:type="dxa"/>
            <w:vAlign w:val="center"/>
          </w:tcPr>
          <w:p w14:paraId="6DC572D9">
            <w:pPr>
              <w:ind w:firstLine="0" w:firstLineChars="0"/>
              <w:jc w:val="center"/>
              <w:rPr>
                <w:rFonts w:ascii="仿宋" w:hAnsi="仿宋" w:eastAsia="仿宋"/>
                <w:color w:val="auto"/>
                <w:sz w:val="24"/>
              </w:rPr>
            </w:pPr>
            <w:r>
              <w:rPr>
                <w:rFonts w:ascii="仿宋" w:hAnsi="仿宋" w:eastAsia="仿宋"/>
                <w:color w:val="auto"/>
                <w:sz w:val="24"/>
              </w:rPr>
              <w:t>……</w:t>
            </w:r>
          </w:p>
        </w:tc>
        <w:tc>
          <w:tcPr>
            <w:tcW w:w="1106" w:type="dxa"/>
            <w:vAlign w:val="center"/>
          </w:tcPr>
          <w:p w14:paraId="4AD3E30C">
            <w:pPr>
              <w:ind w:firstLine="480"/>
              <w:jc w:val="center"/>
              <w:rPr>
                <w:rFonts w:ascii="仿宋" w:hAnsi="仿宋" w:eastAsia="仿宋"/>
                <w:color w:val="auto"/>
                <w:sz w:val="24"/>
              </w:rPr>
            </w:pPr>
            <w:r>
              <w:rPr>
                <w:rFonts w:ascii="仿宋" w:hAnsi="仿宋" w:eastAsia="仿宋"/>
                <w:color w:val="auto"/>
                <w:sz w:val="24"/>
              </w:rPr>
              <w:t>……</w:t>
            </w:r>
          </w:p>
        </w:tc>
        <w:tc>
          <w:tcPr>
            <w:tcW w:w="1105" w:type="dxa"/>
            <w:vAlign w:val="center"/>
          </w:tcPr>
          <w:p w14:paraId="3DBA12B5">
            <w:pPr>
              <w:ind w:firstLine="480"/>
              <w:jc w:val="center"/>
              <w:rPr>
                <w:rFonts w:ascii="仿宋" w:hAnsi="仿宋" w:eastAsia="仿宋"/>
                <w:color w:val="auto"/>
                <w:sz w:val="24"/>
              </w:rPr>
            </w:pPr>
            <w:r>
              <w:rPr>
                <w:rFonts w:ascii="仿宋" w:hAnsi="仿宋" w:eastAsia="仿宋"/>
                <w:color w:val="auto"/>
                <w:sz w:val="24"/>
              </w:rPr>
              <w:t>……</w:t>
            </w:r>
          </w:p>
        </w:tc>
        <w:tc>
          <w:tcPr>
            <w:tcW w:w="725" w:type="dxa"/>
            <w:vAlign w:val="center"/>
          </w:tcPr>
          <w:p w14:paraId="266C914F">
            <w:pPr>
              <w:ind w:firstLine="480"/>
              <w:jc w:val="center"/>
              <w:rPr>
                <w:rFonts w:ascii="仿宋" w:hAnsi="仿宋" w:eastAsia="仿宋"/>
                <w:color w:val="auto"/>
                <w:sz w:val="24"/>
              </w:rPr>
            </w:pPr>
          </w:p>
        </w:tc>
      </w:tr>
    </w:tbl>
    <w:p w14:paraId="18ECC936">
      <w:pPr>
        <w:ind w:firstLine="480"/>
        <w:rPr>
          <w:rFonts w:ascii="仿宋" w:hAnsi="仿宋" w:eastAsia="仿宋"/>
          <w:color w:val="auto"/>
          <w:sz w:val="24"/>
        </w:rPr>
      </w:pPr>
    </w:p>
    <w:p w14:paraId="4EEFE2AD">
      <w:pPr>
        <w:ind w:firstLine="480"/>
        <w:rPr>
          <w:rFonts w:ascii="仿宋" w:hAnsi="仿宋" w:eastAsia="仿宋"/>
          <w:color w:val="auto"/>
          <w:sz w:val="24"/>
        </w:rPr>
      </w:pPr>
      <w:r>
        <w:rPr>
          <w:rFonts w:hint="eastAsia" w:ascii="仿宋" w:hAnsi="仿宋" w:eastAsia="仿宋"/>
          <w:color w:val="auto"/>
          <w:sz w:val="24"/>
        </w:rPr>
        <w:t>说明：</w:t>
      </w:r>
    </w:p>
    <w:p w14:paraId="63D7DA51">
      <w:pPr>
        <w:ind w:firstLine="480"/>
        <w:rPr>
          <w:rFonts w:ascii="仿宋" w:hAnsi="仿宋" w:eastAsia="仿宋"/>
          <w:color w:val="auto"/>
          <w:sz w:val="24"/>
        </w:rPr>
      </w:pPr>
      <w:r>
        <w:rPr>
          <w:rFonts w:ascii="仿宋" w:hAnsi="仿宋" w:eastAsia="仿宋"/>
          <w:color w:val="auto"/>
          <w:sz w:val="24"/>
        </w:rPr>
        <w:t>所有价格均用人民币表示，单位为元。</w:t>
      </w:r>
    </w:p>
    <w:p w14:paraId="6ADF3C9A">
      <w:pPr>
        <w:ind w:firstLine="480"/>
        <w:rPr>
          <w:rFonts w:ascii="仿宋" w:hAnsi="仿宋" w:eastAsia="仿宋"/>
          <w:color w:val="auto"/>
          <w:sz w:val="24"/>
        </w:rPr>
      </w:pPr>
      <w:r>
        <w:rPr>
          <w:rFonts w:hint="eastAsia" w:ascii="仿宋" w:hAnsi="仿宋" w:eastAsia="仿宋"/>
          <w:color w:val="auto"/>
          <w:sz w:val="24"/>
        </w:rPr>
        <w:t>分项报价总计价格必须与《开标一览表》报价一致。</w:t>
      </w:r>
    </w:p>
    <w:p w14:paraId="1124BE5C">
      <w:pPr>
        <w:ind w:firstLine="480"/>
        <w:rPr>
          <w:rFonts w:ascii="仿宋" w:hAnsi="仿宋" w:eastAsia="仿宋"/>
          <w:color w:val="auto"/>
          <w:sz w:val="24"/>
        </w:rPr>
      </w:pPr>
      <w:r>
        <w:rPr>
          <w:rFonts w:hint="eastAsia" w:ascii="仿宋" w:hAnsi="仿宋" w:eastAsia="仿宋"/>
          <w:color w:val="auto"/>
          <w:sz w:val="24"/>
        </w:rPr>
        <w:t>投标人必须按此表格式中的对应栏目内容填写，若需增加栏目，请在栏目“备注”中填写，并作详细说明。</w:t>
      </w:r>
    </w:p>
    <w:p w14:paraId="49A77DCD">
      <w:pPr>
        <w:ind w:firstLine="480"/>
        <w:rPr>
          <w:rFonts w:ascii="仿宋" w:hAnsi="仿宋" w:eastAsia="仿宋"/>
          <w:color w:val="auto"/>
          <w:sz w:val="24"/>
        </w:rPr>
      </w:pPr>
    </w:p>
    <w:p w14:paraId="39920C05">
      <w:pPr>
        <w:ind w:firstLine="482"/>
        <w:rPr>
          <w:rFonts w:ascii="仿宋" w:hAnsi="仿宋" w:eastAsia="仿宋"/>
          <w:b/>
          <w:color w:val="auto"/>
          <w:sz w:val="24"/>
        </w:rPr>
      </w:pPr>
      <w:r>
        <w:rPr>
          <w:rFonts w:hint="eastAsia" w:ascii="仿宋" w:hAnsi="仿宋" w:eastAsia="仿宋"/>
          <w:b/>
          <w:color w:val="auto"/>
          <w:sz w:val="24"/>
        </w:rPr>
        <w:t>投标人法定代表人或委托代理人签字：</w:t>
      </w:r>
      <w:r>
        <w:rPr>
          <w:rFonts w:hint="eastAsia" w:ascii="仿宋" w:hAnsi="仿宋" w:eastAsia="仿宋"/>
          <w:b/>
          <w:color w:val="auto"/>
          <w:sz w:val="24"/>
          <w:u w:val="single"/>
        </w:rPr>
        <w:t xml:space="preserve">         </w:t>
      </w:r>
    </w:p>
    <w:p w14:paraId="32E400E5">
      <w:pPr>
        <w:ind w:firstLine="482"/>
        <w:rPr>
          <w:rFonts w:ascii="仿宋" w:hAnsi="仿宋" w:eastAsia="仿宋"/>
          <w:b/>
          <w:color w:val="auto"/>
          <w:sz w:val="24"/>
        </w:rPr>
      </w:pPr>
      <w:r>
        <w:rPr>
          <w:rFonts w:hint="eastAsia" w:ascii="仿宋" w:hAnsi="仿宋" w:eastAsia="仿宋"/>
          <w:b/>
          <w:color w:val="auto"/>
          <w:sz w:val="24"/>
        </w:rPr>
        <w:t>投标人名称（签章）：</w:t>
      </w:r>
      <w:r>
        <w:rPr>
          <w:rFonts w:hint="eastAsia" w:ascii="仿宋" w:hAnsi="仿宋" w:eastAsia="仿宋"/>
          <w:b/>
          <w:color w:val="auto"/>
          <w:sz w:val="24"/>
          <w:u w:val="single"/>
        </w:rPr>
        <w:t xml:space="preserve">                       </w:t>
      </w:r>
    </w:p>
    <w:p w14:paraId="70032C4D">
      <w:pPr>
        <w:ind w:firstLine="480"/>
        <w:rPr>
          <w:rFonts w:ascii="仿宋" w:hAnsi="仿宋" w:eastAsia="仿宋"/>
          <w:bCs/>
          <w:color w:val="auto"/>
          <w:sz w:val="24"/>
        </w:rPr>
      </w:pPr>
      <w:r>
        <w:rPr>
          <w:rFonts w:hint="eastAsia" w:ascii="仿宋" w:hAnsi="仿宋" w:eastAsia="仿宋"/>
          <w:color w:val="auto"/>
          <w:sz w:val="24"/>
        </w:rPr>
        <w:t>时间：</w:t>
      </w:r>
      <w:r>
        <w:rPr>
          <w:rFonts w:hint="eastAsia" w:ascii="仿宋" w:hAnsi="仿宋" w:eastAsia="仿宋"/>
          <w:color w:val="auto"/>
          <w:sz w:val="24"/>
          <w:u w:val="single"/>
        </w:rPr>
        <w:t xml:space="preserve">   </w:t>
      </w:r>
      <w:r>
        <w:rPr>
          <w:rFonts w:ascii="仿宋" w:hAnsi="仿宋" w:eastAsia="仿宋"/>
          <w:color w:val="auto"/>
          <w:sz w:val="24"/>
          <w:u w:val="single"/>
        </w:rPr>
        <w:t xml:space="preserve"> </w:t>
      </w:r>
      <w:r>
        <w:rPr>
          <w:rFonts w:hint="eastAsia" w:ascii="仿宋" w:hAnsi="仿宋" w:eastAsia="仿宋"/>
          <w:color w:val="auto"/>
          <w:sz w:val="24"/>
          <w:u w:val="single"/>
        </w:rPr>
        <w:t xml:space="preserve">       </w:t>
      </w:r>
      <w:r>
        <w:rPr>
          <w:rFonts w:hint="eastAsia" w:ascii="仿宋" w:hAnsi="仿宋" w:eastAsia="仿宋"/>
          <w:color w:val="auto"/>
          <w:sz w:val="24"/>
        </w:rPr>
        <w:t>年</w:t>
      </w:r>
      <w:r>
        <w:rPr>
          <w:rFonts w:hint="eastAsia" w:ascii="仿宋" w:hAnsi="仿宋" w:eastAsia="仿宋"/>
          <w:color w:val="auto"/>
          <w:sz w:val="24"/>
          <w:u w:val="single"/>
        </w:rPr>
        <w:t xml:space="preserve">     </w:t>
      </w:r>
      <w:r>
        <w:rPr>
          <w:rFonts w:ascii="仿宋" w:hAnsi="仿宋" w:eastAsia="仿宋"/>
          <w:color w:val="auto"/>
          <w:sz w:val="24"/>
          <w:u w:val="single"/>
        </w:rPr>
        <w:t xml:space="preserve"> </w:t>
      </w:r>
      <w:r>
        <w:rPr>
          <w:rFonts w:hint="eastAsia" w:ascii="仿宋" w:hAnsi="仿宋" w:eastAsia="仿宋"/>
          <w:color w:val="auto"/>
          <w:sz w:val="24"/>
          <w:u w:val="single"/>
        </w:rPr>
        <w:t xml:space="preserve">     </w:t>
      </w:r>
      <w:r>
        <w:rPr>
          <w:rFonts w:hint="eastAsia" w:ascii="仿宋" w:hAnsi="仿宋" w:eastAsia="仿宋"/>
          <w:color w:val="auto"/>
          <w:sz w:val="24"/>
        </w:rPr>
        <w:t>月</w:t>
      </w:r>
      <w:r>
        <w:rPr>
          <w:rFonts w:hint="eastAsia" w:ascii="仿宋" w:hAnsi="仿宋" w:eastAsia="仿宋"/>
          <w:color w:val="auto"/>
          <w:sz w:val="24"/>
          <w:u w:val="single"/>
        </w:rPr>
        <w:t xml:space="preserve">          </w:t>
      </w:r>
      <w:r>
        <w:rPr>
          <w:rFonts w:hint="eastAsia" w:ascii="仿宋" w:hAnsi="仿宋" w:eastAsia="仿宋"/>
          <w:color w:val="auto"/>
          <w:sz w:val="24"/>
        </w:rPr>
        <w:t>日</w:t>
      </w:r>
    </w:p>
    <w:p w14:paraId="44C78161">
      <w:pPr>
        <w:adjustRightInd w:val="0"/>
        <w:snapToGrid w:val="0"/>
        <w:ind w:firstLine="0" w:firstLineChars="0"/>
        <w:rPr>
          <w:rFonts w:ascii="仿宋" w:hAnsi="仿宋" w:eastAsia="仿宋"/>
          <w:color w:val="auto"/>
          <w:szCs w:val="21"/>
        </w:rPr>
      </w:pPr>
      <w:r>
        <w:rPr>
          <w:rFonts w:hint="eastAsia" w:ascii="仿宋" w:hAnsi="仿宋" w:eastAsia="仿宋"/>
          <w:color w:val="auto"/>
          <w:szCs w:val="21"/>
        </w:rPr>
        <w:br w:type="page"/>
      </w:r>
    </w:p>
    <w:p w14:paraId="34BB465F">
      <w:pPr>
        <w:numPr>
          <w:ilvl w:val="0"/>
          <w:numId w:val="2"/>
        </w:numPr>
        <w:autoSpaceDE w:val="0"/>
        <w:autoSpaceDN w:val="0"/>
        <w:adjustRightInd w:val="0"/>
        <w:snapToGrid w:val="0"/>
        <w:spacing w:before="156" w:beforeLines="50" w:after="156" w:afterLines="50" w:line="240" w:lineRule="auto"/>
        <w:ind w:left="0" w:firstLine="0" w:firstLineChars="0"/>
        <w:jc w:val="center"/>
        <w:outlineLvl w:val="1"/>
        <w:rPr>
          <w:rFonts w:ascii="仿宋" w:hAnsi="仿宋" w:eastAsia="仿宋"/>
          <w:color w:val="auto"/>
          <w:sz w:val="28"/>
          <w:szCs w:val="28"/>
        </w:rPr>
      </w:pPr>
      <w:bookmarkStart w:id="204" w:name="_Toc177738088"/>
      <w:bookmarkStart w:id="205" w:name="_Toc264644275"/>
      <w:bookmarkStart w:id="206" w:name="_Toc494528990"/>
      <w:bookmarkStart w:id="207" w:name="_Toc2072005"/>
      <w:bookmarkStart w:id="208" w:name="_Toc181712927"/>
      <w:r>
        <w:rPr>
          <w:rFonts w:hint="eastAsia" w:ascii="仿宋" w:hAnsi="仿宋" w:eastAsia="仿宋"/>
          <w:color w:val="auto"/>
          <w:sz w:val="28"/>
          <w:szCs w:val="28"/>
        </w:rPr>
        <w:t>交纳投标保证金的凭证</w:t>
      </w:r>
      <w:bookmarkEnd w:id="204"/>
      <w:bookmarkEnd w:id="205"/>
      <w:bookmarkEnd w:id="206"/>
      <w:bookmarkEnd w:id="207"/>
      <w:bookmarkEnd w:id="208"/>
    </w:p>
    <w:p w14:paraId="0F878614">
      <w:pPr>
        <w:ind w:firstLine="0" w:firstLineChars="0"/>
        <w:rPr>
          <w:rFonts w:ascii="仿宋" w:hAnsi="仿宋" w:eastAsia="仿宋"/>
          <w:bCs/>
          <w:color w:val="auto"/>
          <w:sz w:val="24"/>
        </w:rPr>
      </w:pPr>
      <w:r>
        <w:rPr>
          <w:rFonts w:hint="eastAsia" w:ascii="仿宋" w:hAnsi="仿宋" w:eastAsia="仿宋" w:cs="宋体"/>
          <w:snapToGrid w:val="0"/>
          <w:color w:val="auto"/>
          <w:kern w:val="0"/>
          <w:sz w:val="24"/>
          <w:u w:val="single"/>
          <w:lang w:val="zh-CN"/>
        </w:rPr>
        <w:t>（采购代理机构）</w:t>
      </w:r>
      <w:r>
        <w:rPr>
          <w:rFonts w:hint="eastAsia" w:ascii="仿宋" w:hAnsi="仿宋" w:eastAsia="仿宋"/>
          <w:bCs/>
          <w:color w:val="auto"/>
          <w:sz w:val="24"/>
        </w:rPr>
        <w:t>：</w:t>
      </w:r>
    </w:p>
    <w:p w14:paraId="5D2F5F64">
      <w:pPr>
        <w:ind w:firstLine="480"/>
        <w:rPr>
          <w:rFonts w:ascii="仿宋" w:hAnsi="仿宋" w:eastAsia="仿宋"/>
          <w:bCs/>
          <w:color w:val="auto"/>
          <w:sz w:val="24"/>
        </w:rPr>
      </w:pPr>
      <w:r>
        <w:rPr>
          <w:rFonts w:hint="eastAsia" w:ascii="仿宋" w:hAnsi="仿宋" w:eastAsia="仿宋"/>
          <w:bCs/>
          <w:color w:val="auto"/>
          <w:sz w:val="24"/>
          <w:u w:val="single"/>
        </w:rPr>
        <w:t xml:space="preserve">          (投标人全称)</w:t>
      </w:r>
      <w:r>
        <w:rPr>
          <w:rFonts w:hint="eastAsia" w:ascii="仿宋" w:hAnsi="仿宋" w:eastAsia="仿宋"/>
          <w:bCs/>
          <w:color w:val="auto"/>
          <w:sz w:val="24"/>
        </w:rPr>
        <w:t>参加贵方组织的，项目编号为</w:t>
      </w:r>
      <w:r>
        <w:rPr>
          <w:rFonts w:hint="eastAsia" w:ascii="仿宋" w:hAnsi="仿宋" w:eastAsia="仿宋"/>
          <w:bCs/>
          <w:color w:val="auto"/>
          <w:sz w:val="24"/>
          <w:u w:val="single"/>
        </w:rPr>
        <w:t xml:space="preserve">          </w:t>
      </w:r>
      <w:r>
        <w:rPr>
          <w:rFonts w:hint="eastAsia" w:ascii="仿宋" w:hAnsi="仿宋" w:eastAsia="仿宋"/>
          <w:bCs/>
          <w:color w:val="auto"/>
          <w:sz w:val="24"/>
        </w:rPr>
        <w:t>的采购活动。</w:t>
      </w:r>
      <w:r>
        <w:rPr>
          <w:rFonts w:hint="eastAsia" w:ascii="仿宋" w:hAnsi="仿宋" w:eastAsia="仿宋"/>
          <w:color w:val="auto"/>
          <w:sz w:val="24"/>
        </w:rPr>
        <w:t>按招标文件的规定，已递交人民币</w:t>
      </w:r>
      <w:r>
        <w:rPr>
          <w:rFonts w:hint="eastAsia" w:ascii="仿宋" w:hAnsi="仿宋" w:eastAsia="仿宋"/>
          <w:color w:val="auto"/>
          <w:sz w:val="24"/>
          <w:u w:val="single"/>
        </w:rPr>
        <w:t>（大写）</w:t>
      </w:r>
      <w:r>
        <w:rPr>
          <w:rFonts w:hint="eastAsia" w:ascii="仿宋" w:hAnsi="仿宋" w:eastAsia="仿宋"/>
          <w:bCs/>
          <w:color w:val="auto"/>
          <w:sz w:val="24"/>
          <w:u w:val="single"/>
        </w:rPr>
        <w:t xml:space="preserve">          </w:t>
      </w:r>
      <w:r>
        <w:rPr>
          <w:rFonts w:hint="eastAsia" w:ascii="仿宋" w:hAnsi="仿宋" w:eastAsia="仿宋"/>
          <w:color w:val="auto"/>
          <w:sz w:val="24"/>
        </w:rPr>
        <w:t>元的投标保证金。</w:t>
      </w:r>
    </w:p>
    <w:p w14:paraId="7D6B6D05">
      <w:pPr>
        <w:ind w:firstLine="480"/>
        <w:rPr>
          <w:rFonts w:ascii="仿宋" w:hAnsi="仿宋" w:eastAsia="仿宋"/>
          <w:color w:val="auto"/>
          <w:sz w:val="24"/>
        </w:rPr>
      </w:pPr>
      <w:r>
        <w:rPr>
          <w:rFonts w:hint="eastAsia" w:ascii="仿宋" w:hAnsi="仿宋" w:eastAsia="仿宋"/>
          <w:color w:val="auto"/>
          <w:sz w:val="24"/>
        </w:rPr>
        <w:t>投 标 人</w:t>
      </w:r>
      <w:r>
        <w:rPr>
          <w:rFonts w:hint="eastAsia" w:ascii="仿宋" w:hAnsi="仿宋" w:eastAsia="仿宋"/>
          <w:bCs/>
          <w:color w:val="auto"/>
          <w:sz w:val="24"/>
        </w:rPr>
        <w:t xml:space="preserve"> </w:t>
      </w:r>
      <w:r>
        <w:rPr>
          <w:rFonts w:hint="eastAsia" w:ascii="仿宋" w:hAnsi="仿宋" w:eastAsia="仿宋"/>
          <w:color w:val="auto"/>
          <w:sz w:val="24"/>
        </w:rPr>
        <w:t>名 称：</w:t>
      </w:r>
      <w:r>
        <w:rPr>
          <w:rFonts w:hint="eastAsia" w:ascii="仿宋" w:hAnsi="仿宋" w:eastAsia="仿宋"/>
          <w:color w:val="auto"/>
          <w:sz w:val="24"/>
          <w:u w:val="single"/>
        </w:rPr>
        <w:t xml:space="preserve">                              </w:t>
      </w:r>
    </w:p>
    <w:p w14:paraId="1D425606">
      <w:pPr>
        <w:ind w:firstLine="480"/>
        <w:rPr>
          <w:rFonts w:ascii="仿宋" w:hAnsi="仿宋" w:eastAsia="仿宋"/>
          <w:color w:val="auto"/>
          <w:sz w:val="24"/>
        </w:rPr>
      </w:pPr>
      <w:r>
        <w:rPr>
          <w:rFonts w:hint="eastAsia" w:ascii="仿宋" w:hAnsi="仿宋" w:eastAsia="仿宋"/>
          <w:color w:val="auto"/>
          <w:sz w:val="24"/>
        </w:rPr>
        <w:t>投标人开户银行：</w:t>
      </w:r>
      <w:r>
        <w:rPr>
          <w:rFonts w:hint="eastAsia" w:ascii="仿宋" w:hAnsi="仿宋" w:eastAsia="仿宋"/>
          <w:color w:val="auto"/>
          <w:sz w:val="24"/>
          <w:u w:val="single"/>
        </w:rPr>
        <w:t xml:space="preserve">                              </w:t>
      </w:r>
    </w:p>
    <w:p w14:paraId="14EAEBBD">
      <w:pPr>
        <w:ind w:firstLine="480"/>
        <w:rPr>
          <w:rFonts w:ascii="仿宋" w:hAnsi="仿宋" w:eastAsia="仿宋"/>
          <w:color w:val="auto"/>
          <w:sz w:val="24"/>
        </w:rPr>
      </w:pPr>
      <w:r>
        <w:rPr>
          <w:rFonts w:hint="eastAsia" w:ascii="仿宋" w:hAnsi="仿宋" w:eastAsia="仿宋"/>
          <w:color w:val="auto"/>
          <w:sz w:val="24"/>
        </w:rPr>
        <w:t>投标人银行账号：</w:t>
      </w:r>
      <w:r>
        <w:rPr>
          <w:rFonts w:hint="eastAsia" w:ascii="仿宋" w:hAnsi="仿宋" w:eastAsia="仿宋"/>
          <w:color w:val="auto"/>
          <w:sz w:val="24"/>
          <w:u w:val="single"/>
        </w:rPr>
        <w:t xml:space="preserve">                              </w:t>
      </w:r>
    </w:p>
    <w:p w14:paraId="1362770C">
      <w:pPr>
        <w:ind w:firstLine="480"/>
        <w:rPr>
          <w:rFonts w:ascii="仿宋" w:hAnsi="仿宋" w:eastAsia="仿宋"/>
          <w:color w:val="auto"/>
          <w:sz w:val="24"/>
        </w:rPr>
      </w:pPr>
    </w:p>
    <w:p w14:paraId="437DC27A">
      <w:pPr>
        <w:ind w:firstLine="482"/>
        <w:rPr>
          <w:rFonts w:ascii="仿宋" w:hAnsi="仿宋" w:eastAsia="仿宋"/>
          <w:b/>
          <w:color w:val="auto"/>
          <w:sz w:val="24"/>
        </w:rPr>
      </w:pPr>
      <w:r>
        <w:rPr>
          <w:rFonts w:hint="eastAsia" w:ascii="仿宋" w:hAnsi="仿宋" w:eastAsia="仿宋"/>
          <w:b/>
          <w:color w:val="auto"/>
          <w:sz w:val="24"/>
        </w:rPr>
        <w:t>投标人法定代表人或委托代理人签字：</w:t>
      </w:r>
      <w:r>
        <w:rPr>
          <w:rFonts w:hint="eastAsia" w:ascii="仿宋" w:hAnsi="仿宋" w:eastAsia="仿宋"/>
          <w:b/>
          <w:color w:val="auto"/>
          <w:sz w:val="24"/>
          <w:u w:val="single"/>
        </w:rPr>
        <w:t xml:space="preserve">              </w:t>
      </w:r>
    </w:p>
    <w:p w14:paraId="4A9AA839">
      <w:pPr>
        <w:ind w:firstLine="482"/>
        <w:rPr>
          <w:rFonts w:ascii="仿宋" w:hAnsi="仿宋" w:eastAsia="仿宋"/>
          <w:b/>
          <w:color w:val="auto"/>
          <w:sz w:val="24"/>
        </w:rPr>
      </w:pPr>
      <w:r>
        <w:rPr>
          <w:rFonts w:hint="eastAsia" w:ascii="仿宋" w:hAnsi="仿宋" w:eastAsia="仿宋"/>
          <w:b/>
          <w:color w:val="auto"/>
          <w:sz w:val="24"/>
        </w:rPr>
        <w:t>投标人名称（签章）：</w:t>
      </w:r>
      <w:r>
        <w:rPr>
          <w:rFonts w:hint="eastAsia" w:ascii="仿宋" w:hAnsi="仿宋" w:eastAsia="仿宋"/>
          <w:b/>
          <w:color w:val="auto"/>
          <w:sz w:val="24"/>
          <w:u w:val="single"/>
        </w:rPr>
        <w:t xml:space="preserve">                            </w:t>
      </w:r>
    </w:p>
    <w:p w14:paraId="2A346DBF">
      <w:pPr>
        <w:ind w:firstLine="480"/>
        <w:rPr>
          <w:rFonts w:ascii="仿宋" w:hAnsi="仿宋" w:eastAsia="仿宋"/>
          <w:bCs/>
          <w:color w:val="auto"/>
          <w:sz w:val="24"/>
        </w:rPr>
      </w:pPr>
      <w:r>
        <w:rPr>
          <w:rFonts w:hint="eastAsia" w:ascii="仿宋" w:hAnsi="仿宋" w:eastAsia="仿宋"/>
          <w:color w:val="auto"/>
          <w:sz w:val="24"/>
        </w:rPr>
        <w:t>时间：</w:t>
      </w:r>
      <w:r>
        <w:rPr>
          <w:rFonts w:hint="eastAsia" w:ascii="仿宋" w:hAnsi="仿宋" w:eastAsia="仿宋"/>
          <w:color w:val="auto"/>
          <w:sz w:val="24"/>
          <w:u w:val="single"/>
        </w:rPr>
        <w:t xml:space="preserve">            </w:t>
      </w:r>
      <w:r>
        <w:rPr>
          <w:rFonts w:hint="eastAsia" w:ascii="仿宋" w:hAnsi="仿宋" w:eastAsia="仿宋"/>
          <w:color w:val="auto"/>
          <w:sz w:val="24"/>
        </w:rPr>
        <w:t>年</w:t>
      </w:r>
      <w:r>
        <w:rPr>
          <w:rFonts w:hint="eastAsia" w:ascii="仿宋" w:hAnsi="仿宋" w:eastAsia="仿宋"/>
          <w:color w:val="auto"/>
          <w:sz w:val="24"/>
          <w:u w:val="single"/>
        </w:rPr>
        <w:t xml:space="preserve">            </w:t>
      </w:r>
      <w:r>
        <w:rPr>
          <w:rFonts w:hint="eastAsia" w:ascii="仿宋" w:hAnsi="仿宋" w:eastAsia="仿宋"/>
          <w:color w:val="auto"/>
          <w:sz w:val="24"/>
        </w:rPr>
        <w:t>月</w:t>
      </w:r>
      <w:r>
        <w:rPr>
          <w:rFonts w:hint="eastAsia" w:ascii="仿宋" w:hAnsi="仿宋" w:eastAsia="仿宋"/>
          <w:color w:val="auto"/>
          <w:sz w:val="24"/>
          <w:u w:val="single"/>
        </w:rPr>
        <w:t xml:space="preserve">            </w:t>
      </w:r>
      <w:r>
        <w:rPr>
          <w:rFonts w:hint="eastAsia" w:ascii="仿宋" w:hAnsi="仿宋" w:eastAsia="仿宋"/>
          <w:color w:val="auto"/>
          <w:sz w:val="24"/>
        </w:rPr>
        <w:t>日</w:t>
      </w:r>
    </w:p>
    <w:p w14:paraId="38630676">
      <w:pPr>
        <w:ind w:firstLine="480"/>
        <w:rPr>
          <w:rFonts w:ascii="仿宋" w:hAnsi="仿宋" w:eastAsia="仿宋"/>
          <w:bCs/>
          <w:color w:val="auto"/>
          <w:sz w:val="24"/>
        </w:rPr>
      </w:pPr>
    </w:p>
    <w:tbl>
      <w:tblPr>
        <w:tblStyle w:val="44"/>
        <w:tblW w:w="831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57" w:type="dxa"/>
          <w:left w:w="57" w:type="dxa"/>
          <w:bottom w:w="57" w:type="dxa"/>
          <w:right w:w="57" w:type="dxa"/>
        </w:tblCellMar>
      </w:tblPr>
      <w:tblGrid>
        <w:gridCol w:w="8316"/>
      </w:tblGrid>
      <w:tr w14:paraId="698244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4484" w:hRule="atLeast"/>
          <w:jc w:val="center"/>
        </w:trPr>
        <w:tc>
          <w:tcPr>
            <w:tcW w:w="8316" w:type="dxa"/>
          </w:tcPr>
          <w:p w14:paraId="49FBC10C">
            <w:pPr>
              <w:adjustRightInd w:val="0"/>
              <w:snapToGrid w:val="0"/>
              <w:spacing w:line="400" w:lineRule="exact"/>
              <w:ind w:firstLine="199" w:firstLineChars="83"/>
              <w:rPr>
                <w:rFonts w:ascii="仿宋" w:hAnsi="仿宋" w:eastAsia="仿宋"/>
                <w:bCs/>
                <w:color w:val="auto"/>
                <w:sz w:val="24"/>
              </w:rPr>
            </w:pPr>
            <w:r>
              <w:rPr>
                <w:rFonts w:hint="eastAsia" w:ascii="仿宋" w:hAnsi="仿宋" w:eastAsia="仿宋"/>
                <w:bCs/>
                <w:color w:val="auto"/>
                <w:sz w:val="24"/>
              </w:rPr>
              <w:t>粘贴转账或电汇银行凭证（复印件）</w:t>
            </w:r>
          </w:p>
          <w:p w14:paraId="5A29BD94">
            <w:pPr>
              <w:adjustRightInd w:val="0"/>
              <w:snapToGrid w:val="0"/>
              <w:spacing w:line="400" w:lineRule="exact"/>
              <w:ind w:firstLine="480"/>
              <w:rPr>
                <w:rFonts w:ascii="仿宋" w:hAnsi="仿宋" w:eastAsia="仿宋"/>
                <w:bCs/>
                <w:color w:val="auto"/>
                <w:sz w:val="24"/>
              </w:rPr>
            </w:pPr>
          </w:p>
          <w:p w14:paraId="0E5AB6E7">
            <w:pPr>
              <w:adjustRightInd w:val="0"/>
              <w:snapToGrid w:val="0"/>
              <w:spacing w:line="400" w:lineRule="exact"/>
              <w:ind w:firstLine="480"/>
              <w:rPr>
                <w:rFonts w:ascii="仿宋" w:hAnsi="仿宋" w:eastAsia="仿宋"/>
                <w:bCs/>
                <w:color w:val="auto"/>
                <w:sz w:val="24"/>
              </w:rPr>
            </w:pPr>
          </w:p>
          <w:p w14:paraId="4927711E">
            <w:pPr>
              <w:adjustRightInd w:val="0"/>
              <w:snapToGrid w:val="0"/>
              <w:spacing w:line="400" w:lineRule="exact"/>
              <w:ind w:firstLine="480"/>
              <w:rPr>
                <w:rFonts w:ascii="仿宋" w:hAnsi="仿宋" w:eastAsia="仿宋"/>
                <w:bCs/>
                <w:color w:val="auto"/>
                <w:sz w:val="24"/>
              </w:rPr>
            </w:pPr>
          </w:p>
          <w:p w14:paraId="092B6464">
            <w:pPr>
              <w:adjustRightInd w:val="0"/>
              <w:snapToGrid w:val="0"/>
              <w:spacing w:line="400" w:lineRule="exact"/>
              <w:ind w:firstLine="480"/>
              <w:rPr>
                <w:rFonts w:ascii="仿宋" w:hAnsi="仿宋" w:eastAsia="仿宋"/>
                <w:bCs/>
                <w:color w:val="auto"/>
                <w:sz w:val="24"/>
              </w:rPr>
            </w:pPr>
          </w:p>
          <w:p w14:paraId="60B717A8">
            <w:pPr>
              <w:adjustRightInd w:val="0"/>
              <w:snapToGrid w:val="0"/>
              <w:spacing w:line="400" w:lineRule="exact"/>
              <w:ind w:firstLine="480"/>
              <w:rPr>
                <w:rFonts w:ascii="仿宋" w:hAnsi="仿宋" w:eastAsia="仿宋"/>
                <w:bCs/>
                <w:color w:val="auto"/>
                <w:sz w:val="24"/>
              </w:rPr>
            </w:pPr>
          </w:p>
          <w:p w14:paraId="6B13853C">
            <w:pPr>
              <w:adjustRightInd w:val="0"/>
              <w:snapToGrid w:val="0"/>
              <w:spacing w:line="400" w:lineRule="exact"/>
              <w:ind w:firstLine="480"/>
              <w:rPr>
                <w:rFonts w:ascii="仿宋" w:hAnsi="仿宋" w:eastAsia="仿宋"/>
                <w:bCs/>
                <w:color w:val="auto"/>
                <w:sz w:val="24"/>
              </w:rPr>
            </w:pPr>
          </w:p>
          <w:p w14:paraId="66EB3CA4">
            <w:pPr>
              <w:adjustRightInd w:val="0"/>
              <w:snapToGrid w:val="0"/>
              <w:spacing w:line="400" w:lineRule="exact"/>
              <w:ind w:firstLine="480"/>
              <w:rPr>
                <w:rFonts w:ascii="仿宋" w:hAnsi="仿宋" w:eastAsia="仿宋"/>
                <w:bCs/>
                <w:color w:val="auto"/>
                <w:sz w:val="24"/>
              </w:rPr>
            </w:pPr>
          </w:p>
        </w:tc>
      </w:tr>
    </w:tbl>
    <w:p w14:paraId="458AFC67">
      <w:pPr>
        <w:ind w:firstLine="480"/>
        <w:rPr>
          <w:rFonts w:ascii="仿宋" w:hAnsi="仿宋" w:eastAsia="仿宋"/>
          <w:bCs/>
          <w:color w:val="auto"/>
          <w:sz w:val="24"/>
        </w:rPr>
      </w:pPr>
      <w:r>
        <w:rPr>
          <w:rFonts w:hint="eastAsia" w:ascii="仿宋" w:hAnsi="仿宋" w:eastAsia="仿宋"/>
          <w:bCs/>
          <w:color w:val="auto"/>
          <w:sz w:val="24"/>
        </w:rPr>
        <w:t>注：请投标人认真填写银行信息，并要求与粘贴转账或电汇银行凭证的相关信息一致，采购代理机构将依据此凭证信息退还投标保证金。</w:t>
      </w:r>
    </w:p>
    <w:p w14:paraId="0001D8B5">
      <w:pPr>
        <w:numPr>
          <w:ilvl w:val="0"/>
          <w:numId w:val="2"/>
        </w:numPr>
        <w:autoSpaceDE w:val="0"/>
        <w:autoSpaceDN w:val="0"/>
        <w:adjustRightInd w:val="0"/>
        <w:snapToGrid w:val="0"/>
        <w:spacing w:before="156" w:beforeLines="50" w:after="156" w:afterLines="50" w:line="240" w:lineRule="auto"/>
        <w:ind w:left="0" w:firstLine="0" w:firstLineChars="0"/>
        <w:jc w:val="center"/>
        <w:outlineLvl w:val="1"/>
        <w:rPr>
          <w:rFonts w:ascii="仿宋" w:hAnsi="仿宋" w:eastAsia="仿宋"/>
          <w:color w:val="auto"/>
          <w:sz w:val="24"/>
        </w:rPr>
      </w:pPr>
      <w:r>
        <w:rPr>
          <w:rFonts w:hint="eastAsia" w:ascii="仿宋" w:hAnsi="仿宋" w:eastAsia="仿宋"/>
          <w:color w:val="auto"/>
          <w:sz w:val="24"/>
        </w:rPr>
        <w:br w:type="page"/>
      </w:r>
      <w:bookmarkStart w:id="209" w:name="_Toc264644280"/>
      <w:bookmarkStart w:id="210" w:name="_Toc2072007"/>
      <w:bookmarkStart w:id="211" w:name="_Toc181712928"/>
      <w:bookmarkStart w:id="212" w:name="_Toc494528992"/>
      <w:bookmarkStart w:id="213" w:name="_Toc177738089"/>
      <w:r>
        <w:rPr>
          <w:rFonts w:hint="eastAsia" w:ascii="仿宋" w:hAnsi="仿宋" w:eastAsia="仿宋"/>
          <w:color w:val="auto"/>
          <w:sz w:val="28"/>
          <w:szCs w:val="28"/>
        </w:rPr>
        <w:t>法定代表人授权书</w:t>
      </w:r>
      <w:bookmarkEnd w:id="209"/>
      <w:r>
        <w:rPr>
          <w:rFonts w:hint="eastAsia" w:ascii="仿宋" w:hAnsi="仿宋" w:eastAsia="仿宋"/>
          <w:color w:val="auto"/>
          <w:sz w:val="28"/>
          <w:szCs w:val="28"/>
        </w:rPr>
        <w:t>（委托授权代表投标时提供）</w:t>
      </w:r>
      <w:bookmarkEnd w:id="210"/>
      <w:bookmarkEnd w:id="211"/>
      <w:bookmarkEnd w:id="212"/>
      <w:bookmarkEnd w:id="213"/>
    </w:p>
    <w:p w14:paraId="61E350B3">
      <w:pPr>
        <w:ind w:firstLine="480"/>
        <w:rPr>
          <w:rFonts w:ascii="仿宋" w:hAnsi="仿宋" w:eastAsia="仿宋"/>
          <w:color w:val="auto"/>
          <w:kern w:val="0"/>
          <w:sz w:val="24"/>
        </w:rPr>
      </w:pPr>
      <w:r>
        <w:rPr>
          <w:rFonts w:hint="eastAsia" w:ascii="仿宋" w:hAnsi="仿宋" w:eastAsia="仿宋"/>
          <w:color w:val="auto"/>
          <w:kern w:val="0"/>
          <w:sz w:val="24"/>
        </w:rPr>
        <w:t>本授权委托书声明：我</w:t>
      </w:r>
      <w:r>
        <w:rPr>
          <w:rFonts w:hint="eastAsia" w:ascii="仿宋" w:hAnsi="仿宋" w:eastAsia="仿宋"/>
          <w:color w:val="auto"/>
          <w:kern w:val="0"/>
          <w:sz w:val="24"/>
          <w:u w:val="single"/>
        </w:rPr>
        <w:t xml:space="preserve">        </w:t>
      </w:r>
      <w:r>
        <w:rPr>
          <w:rFonts w:hint="eastAsia" w:ascii="仿宋" w:hAnsi="仿宋" w:eastAsia="仿宋"/>
          <w:color w:val="auto"/>
          <w:kern w:val="0"/>
          <w:sz w:val="24"/>
        </w:rPr>
        <w:t>（姓名）系</w:t>
      </w:r>
      <w:r>
        <w:rPr>
          <w:rFonts w:hint="eastAsia" w:ascii="仿宋" w:hAnsi="仿宋" w:eastAsia="仿宋"/>
          <w:color w:val="auto"/>
          <w:kern w:val="0"/>
          <w:sz w:val="24"/>
          <w:u w:val="single"/>
        </w:rPr>
        <w:t xml:space="preserve">                  </w:t>
      </w:r>
      <w:r>
        <w:rPr>
          <w:rFonts w:hint="eastAsia" w:ascii="仿宋" w:hAnsi="仿宋" w:eastAsia="仿宋"/>
          <w:color w:val="auto"/>
          <w:kern w:val="0"/>
          <w:sz w:val="24"/>
        </w:rPr>
        <w:t>（投标人）的法定代表人，现授权委托</w:t>
      </w:r>
      <w:r>
        <w:rPr>
          <w:rFonts w:hint="eastAsia" w:ascii="仿宋" w:hAnsi="仿宋" w:eastAsia="仿宋"/>
          <w:color w:val="auto"/>
          <w:kern w:val="0"/>
          <w:sz w:val="24"/>
          <w:u w:val="single"/>
        </w:rPr>
        <w:t xml:space="preserve">           </w:t>
      </w:r>
      <w:r>
        <w:rPr>
          <w:rFonts w:hint="eastAsia" w:ascii="仿宋" w:hAnsi="仿宋" w:eastAsia="仿宋"/>
          <w:color w:val="auto"/>
          <w:kern w:val="0"/>
          <w:sz w:val="24"/>
        </w:rPr>
        <w:t>（姓名）为我的代理人，以本单位的名义参加</w:t>
      </w:r>
      <w:r>
        <w:rPr>
          <w:rFonts w:hint="eastAsia" w:ascii="仿宋" w:hAnsi="仿宋" w:eastAsia="仿宋"/>
          <w:color w:val="auto"/>
          <w:kern w:val="0"/>
          <w:sz w:val="24"/>
          <w:u w:val="single"/>
        </w:rPr>
        <w:t xml:space="preserve">        </w:t>
      </w:r>
      <w:r>
        <w:rPr>
          <w:rFonts w:hint="eastAsia" w:ascii="仿宋" w:hAnsi="仿宋" w:eastAsia="仿宋"/>
          <w:color w:val="auto"/>
          <w:kern w:val="0"/>
          <w:sz w:val="24"/>
        </w:rPr>
        <w:t>（采购人）的</w:t>
      </w:r>
      <w:r>
        <w:rPr>
          <w:rFonts w:hint="eastAsia" w:ascii="仿宋" w:hAnsi="仿宋" w:eastAsia="仿宋"/>
          <w:color w:val="auto"/>
          <w:kern w:val="0"/>
          <w:sz w:val="24"/>
          <w:u w:val="single"/>
        </w:rPr>
        <w:t xml:space="preserve">         (项目名称)               </w:t>
      </w:r>
      <w:r>
        <w:rPr>
          <w:rFonts w:hint="eastAsia" w:ascii="仿宋" w:hAnsi="仿宋" w:eastAsia="仿宋"/>
          <w:color w:val="auto"/>
          <w:kern w:val="0"/>
          <w:sz w:val="24"/>
        </w:rPr>
        <w:t>的投标。授权委托人在开标、评标、合同谈判过程中所签署的一切文件和处理与之有关的一切事务，我均予以承认。</w:t>
      </w:r>
    </w:p>
    <w:p w14:paraId="689BBEAA">
      <w:pPr>
        <w:ind w:firstLine="480"/>
        <w:rPr>
          <w:rFonts w:ascii="仿宋" w:hAnsi="仿宋" w:eastAsia="仿宋"/>
          <w:color w:val="auto"/>
          <w:kern w:val="0"/>
          <w:sz w:val="24"/>
        </w:rPr>
      </w:pPr>
    </w:p>
    <w:p w14:paraId="39EE6D14">
      <w:pPr>
        <w:ind w:firstLine="480"/>
        <w:rPr>
          <w:rFonts w:ascii="仿宋" w:hAnsi="仿宋" w:eastAsia="仿宋"/>
          <w:color w:val="auto"/>
          <w:kern w:val="0"/>
          <w:sz w:val="24"/>
        </w:rPr>
      </w:pPr>
      <w:r>
        <w:rPr>
          <w:rFonts w:hint="eastAsia" w:ascii="仿宋" w:hAnsi="仿宋" w:eastAsia="仿宋"/>
          <w:color w:val="auto"/>
          <w:kern w:val="0"/>
          <w:sz w:val="24"/>
        </w:rPr>
        <w:t>代理人无转委托权，特此委托。</w:t>
      </w:r>
    </w:p>
    <w:p w14:paraId="0ADB72A2">
      <w:pPr>
        <w:ind w:firstLine="720" w:firstLineChars="300"/>
        <w:rPr>
          <w:rFonts w:ascii="仿宋" w:hAnsi="仿宋" w:eastAsia="仿宋"/>
          <w:color w:val="auto"/>
          <w:kern w:val="0"/>
          <w:sz w:val="24"/>
        </w:rPr>
      </w:pPr>
    </w:p>
    <w:p w14:paraId="1FC96694">
      <w:pPr>
        <w:ind w:firstLine="482"/>
        <w:rPr>
          <w:rFonts w:ascii="仿宋" w:hAnsi="仿宋" w:eastAsia="仿宋"/>
          <w:b/>
          <w:color w:val="auto"/>
          <w:kern w:val="0"/>
          <w:sz w:val="24"/>
        </w:rPr>
      </w:pPr>
      <w:r>
        <w:rPr>
          <w:rFonts w:hint="eastAsia" w:ascii="仿宋" w:hAnsi="仿宋" w:eastAsia="仿宋"/>
          <w:b/>
          <w:color w:val="auto"/>
          <w:kern w:val="0"/>
          <w:sz w:val="24"/>
        </w:rPr>
        <w:t>投标人（盖章）：</w:t>
      </w:r>
      <w:r>
        <w:rPr>
          <w:rFonts w:hint="eastAsia" w:ascii="仿宋" w:hAnsi="仿宋" w:eastAsia="仿宋"/>
          <w:b/>
          <w:color w:val="auto"/>
          <w:kern w:val="0"/>
          <w:sz w:val="24"/>
          <w:u w:val="single"/>
        </w:rPr>
        <w:t xml:space="preserve">                            </w:t>
      </w:r>
    </w:p>
    <w:p w14:paraId="0C70F850">
      <w:pPr>
        <w:ind w:firstLine="482"/>
        <w:rPr>
          <w:rFonts w:ascii="仿宋" w:hAnsi="仿宋" w:eastAsia="仿宋"/>
          <w:b/>
          <w:color w:val="auto"/>
          <w:kern w:val="0"/>
          <w:sz w:val="24"/>
        </w:rPr>
      </w:pPr>
      <w:r>
        <w:rPr>
          <w:rFonts w:hint="eastAsia" w:ascii="仿宋" w:hAnsi="仿宋" w:eastAsia="仿宋"/>
          <w:b/>
          <w:color w:val="auto"/>
          <w:kern w:val="0"/>
          <w:sz w:val="24"/>
        </w:rPr>
        <w:t>法定代表人（签章）：</w:t>
      </w:r>
      <w:r>
        <w:rPr>
          <w:rFonts w:hint="eastAsia" w:ascii="仿宋" w:hAnsi="仿宋" w:eastAsia="仿宋"/>
          <w:b/>
          <w:color w:val="auto"/>
          <w:kern w:val="0"/>
          <w:sz w:val="24"/>
          <w:u w:val="single"/>
        </w:rPr>
        <w:t xml:space="preserve">                        </w:t>
      </w:r>
    </w:p>
    <w:p w14:paraId="64F2BF8B">
      <w:pPr>
        <w:ind w:firstLine="480"/>
        <w:rPr>
          <w:rFonts w:ascii="仿宋" w:hAnsi="仿宋" w:eastAsia="仿宋"/>
          <w:color w:val="auto"/>
          <w:kern w:val="0"/>
          <w:sz w:val="24"/>
        </w:rPr>
      </w:pPr>
      <w:r>
        <w:rPr>
          <w:rFonts w:hint="eastAsia" w:ascii="仿宋" w:hAnsi="仿宋" w:eastAsia="仿宋"/>
          <w:color w:val="auto"/>
          <w:kern w:val="0"/>
          <w:sz w:val="24"/>
        </w:rPr>
        <w:t>代理人：</w:t>
      </w:r>
      <w:r>
        <w:rPr>
          <w:rFonts w:hint="eastAsia" w:ascii="仿宋" w:hAnsi="仿宋" w:eastAsia="仿宋"/>
          <w:color w:val="auto"/>
          <w:kern w:val="0"/>
          <w:sz w:val="24"/>
          <w:u w:val="single"/>
        </w:rPr>
        <w:t xml:space="preserve">          </w:t>
      </w:r>
      <w:r>
        <w:rPr>
          <w:rFonts w:hint="eastAsia" w:ascii="仿宋" w:hAnsi="仿宋" w:eastAsia="仿宋"/>
          <w:color w:val="auto"/>
          <w:kern w:val="0"/>
          <w:sz w:val="24"/>
        </w:rPr>
        <w:t>性别：</w:t>
      </w:r>
      <w:r>
        <w:rPr>
          <w:rFonts w:hint="eastAsia" w:ascii="仿宋" w:hAnsi="仿宋" w:eastAsia="仿宋"/>
          <w:color w:val="auto"/>
          <w:kern w:val="0"/>
          <w:sz w:val="24"/>
          <w:u w:val="single"/>
        </w:rPr>
        <w:t xml:space="preserve">      </w:t>
      </w:r>
      <w:r>
        <w:rPr>
          <w:rFonts w:hint="eastAsia" w:ascii="仿宋" w:hAnsi="仿宋" w:eastAsia="仿宋"/>
          <w:color w:val="auto"/>
          <w:kern w:val="0"/>
          <w:sz w:val="24"/>
        </w:rPr>
        <w:t>年龄：</w:t>
      </w:r>
      <w:r>
        <w:rPr>
          <w:rFonts w:hint="eastAsia" w:ascii="仿宋" w:hAnsi="仿宋" w:eastAsia="仿宋"/>
          <w:color w:val="auto"/>
          <w:kern w:val="0"/>
          <w:sz w:val="24"/>
          <w:u w:val="single"/>
        </w:rPr>
        <w:t xml:space="preserve">        </w:t>
      </w:r>
    </w:p>
    <w:p w14:paraId="4FAB3753">
      <w:pPr>
        <w:ind w:firstLine="480"/>
        <w:rPr>
          <w:rFonts w:ascii="仿宋" w:hAnsi="仿宋" w:eastAsia="仿宋"/>
          <w:color w:val="auto"/>
          <w:kern w:val="0"/>
          <w:sz w:val="24"/>
        </w:rPr>
      </w:pPr>
      <w:r>
        <w:rPr>
          <w:rFonts w:hint="eastAsia" w:ascii="仿宋" w:hAnsi="仿宋" w:eastAsia="仿宋"/>
          <w:color w:val="auto"/>
          <w:kern w:val="0"/>
          <w:sz w:val="24"/>
        </w:rPr>
        <w:t>身份证号码：</w:t>
      </w:r>
      <w:r>
        <w:rPr>
          <w:rFonts w:hint="eastAsia" w:ascii="仿宋" w:hAnsi="仿宋" w:eastAsia="仿宋"/>
          <w:color w:val="auto"/>
          <w:kern w:val="0"/>
          <w:sz w:val="24"/>
          <w:u w:val="single"/>
        </w:rPr>
        <w:t xml:space="preserve">                  </w:t>
      </w:r>
      <w:r>
        <w:rPr>
          <w:rFonts w:hint="eastAsia" w:ascii="仿宋" w:hAnsi="仿宋" w:eastAsia="仿宋"/>
          <w:color w:val="auto"/>
          <w:kern w:val="0"/>
          <w:sz w:val="24"/>
        </w:rPr>
        <w:t>职务：</w:t>
      </w:r>
      <w:r>
        <w:rPr>
          <w:rFonts w:hint="eastAsia" w:ascii="仿宋" w:hAnsi="仿宋" w:eastAsia="仿宋"/>
          <w:color w:val="auto"/>
          <w:kern w:val="0"/>
          <w:sz w:val="24"/>
          <w:u w:val="single"/>
        </w:rPr>
        <w:t xml:space="preserve">        </w:t>
      </w:r>
    </w:p>
    <w:p w14:paraId="76764058">
      <w:pPr>
        <w:ind w:firstLine="480"/>
        <w:rPr>
          <w:rFonts w:ascii="仿宋" w:hAnsi="仿宋" w:eastAsia="仿宋"/>
          <w:color w:val="auto"/>
          <w:kern w:val="0"/>
          <w:sz w:val="24"/>
        </w:rPr>
      </w:pPr>
      <w:r>
        <w:rPr>
          <w:rFonts w:hint="eastAsia" w:ascii="仿宋" w:hAnsi="仿宋" w:eastAsia="仿宋"/>
          <w:color w:val="auto"/>
          <w:kern w:val="0"/>
          <w:sz w:val="24"/>
        </w:rPr>
        <w:t>授权委托日期：</w:t>
      </w:r>
      <w:r>
        <w:rPr>
          <w:rFonts w:hint="eastAsia" w:ascii="仿宋" w:hAnsi="仿宋" w:eastAsia="仿宋"/>
          <w:color w:val="auto"/>
          <w:kern w:val="0"/>
          <w:sz w:val="24"/>
          <w:u w:val="single"/>
        </w:rPr>
        <w:t xml:space="preserve">        </w:t>
      </w:r>
      <w:r>
        <w:rPr>
          <w:rFonts w:hint="eastAsia" w:ascii="仿宋" w:hAnsi="仿宋" w:eastAsia="仿宋"/>
          <w:color w:val="auto"/>
          <w:kern w:val="0"/>
          <w:sz w:val="24"/>
        </w:rPr>
        <w:t>年</w:t>
      </w:r>
      <w:r>
        <w:rPr>
          <w:rFonts w:hint="eastAsia" w:ascii="仿宋" w:hAnsi="仿宋" w:eastAsia="仿宋"/>
          <w:color w:val="auto"/>
          <w:kern w:val="0"/>
          <w:sz w:val="24"/>
          <w:u w:val="single"/>
        </w:rPr>
        <w:t xml:space="preserve">        </w:t>
      </w:r>
      <w:r>
        <w:rPr>
          <w:rFonts w:hint="eastAsia" w:ascii="仿宋" w:hAnsi="仿宋" w:eastAsia="仿宋"/>
          <w:color w:val="auto"/>
          <w:kern w:val="0"/>
          <w:sz w:val="24"/>
        </w:rPr>
        <w:t>月</w:t>
      </w:r>
      <w:r>
        <w:rPr>
          <w:rFonts w:hint="eastAsia" w:ascii="仿宋" w:hAnsi="仿宋" w:eastAsia="仿宋"/>
          <w:color w:val="auto"/>
          <w:kern w:val="0"/>
          <w:sz w:val="24"/>
          <w:u w:val="single"/>
        </w:rPr>
        <w:t xml:space="preserve">        </w:t>
      </w:r>
      <w:r>
        <w:rPr>
          <w:rFonts w:hint="eastAsia" w:ascii="仿宋" w:hAnsi="仿宋" w:eastAsia="仿宋"/>
          <w:color w:val="auto"/>
          <w:kern w:val="0"/>
          <w:sz w:val="24"/>
        </w:rPr>
        <w:t>日</w:t>
      </w:r>
    </w:p>
    <w:p w14:paraId="318F5DF7">
      <w:pPr>
        <w:autoSpaceDE w:val="0"/>
        <w:autoSpaceDN w:val="0"/>
        <w:ind w:firstLineChars="0"/>
        <w:rPr>
          <w:rFonts w:ascii="仿宋" w:hAnsi="仿宋" w:eastAsia="仿宋"/>
          <w:color w:val="auto"/>
          <w:kern w:val="0"/>
          <w:sz w:val="24"/>
        </w:rPr>
      </w:pPr>
    </w:p>
    <w:tbl>
      <w:tblPr>
        <w:tblStyle w:val="44"/>
        <w:tblW w:w="829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57" w:type="dxa"/>
          <w:left w:w="57" w:type="dxa"/>
          <w:bottom w:w="57" w:type="dxa"/>
          <w:right w:w="57" w:type="dxa"/>
        </w:tblCellMar>
      </w:tblPr>
      <w:tblGrid>
        <w:gridCol w:w="8291"/>
      </w:tblGrid>
      <w:tr w14:paraId="4070AB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4025" w:hRule="atLeast"/>
          <w:jc w:val="center"/>
        </w:trPr>
        <w:tc>
          <w:tcPr>
            <w:tcW w:w="8291" w:type="dxa"/>
          </w:tcPr>
          <w:p w14:paraId="64149915">
            <w:pPr>
              <w:adjustRightInd w:val="0"/>
              <w:snapToGrid w:val="0"/>
              <w:spacing w:line="400" w:lineRule="exact"/>
              <w:ind w:firstLine="0" w:firstLineChars="0"/>
              <w:rPr>
                <w:rFonts w:ascii="仿宋" w:hAnsi="仿宋" w:eastAsia="仿宋"/>
                <w:color w:val="auto"/>
                <w:kern w:val="0"/>
                <w:sz w:val="24"/>
              </w:rPr>
            </w:pPr>
            <w:r>
              <w:rPr>
                <w:rFonts w:hint="eastAsia" w:ascii="仿宋" w:hAnsi="仿宋" w:eastAsia="仿宋"/>
                <w:color w:val="auto"/>
                <w:kern w:val="0"/>
                <w:sz w:val="24"/>
              </w:rPr>
              <w:t>被授权人身份证（双面复印件）：</w:t>
            </w:r>
          </w:p>
          <w:p w14:paraId="054197FE">
            <w:pPr>
              <w:adjustRightInd w:val="0"/>
              <w:snapToGrid w:val="0"/>
              <w:spacing w:line="400" w:lineRule="exact"/>
              <w:ind w:firstLine="0" w:firstLineChars="0"/>
              <w:rPr>
                <w:rFonts w:ascii="仿宋" w:hAnsi="仿宋" w:eastAsia="仿宋"/>
                <w:color w:val="auto"/>
                <w:kern w:val="0"/>
                <w:szCs w:val="21"/>
              </w:rPr>
            </w:pPr>
          </w:p>
        </w:tc>
      </w:tr>
    </w:tbl>
    <w:p w14:paraId="3D6427F4">
      <w:pPr>
        <w:autoSpaceDE w:val="0"/>
        <w:autoSpaceDN w:val="0"/>
        <w:adjustRightInd w:val="0"/>
        <w:ind w:firstLine="0" w:firstLineChars="0"/>
        <w:jc w:val="left"/>
        <w:rPr>
          <w:rFonts w:ascii="仿宋" w:hAnsi="仿宋" w:eastAsia="仿宋"/>
          <w:color w:val="auto"/>
          <w:kern w:val="0"/>
          <w:szCs w:val="21"/>
        </w:rPr>
      </w:pPr>
    </w:p>
    <w:p w14:paraId="465D9B79">
      <w:pPr>
        <w:numPr>
          <w:ilvl w:val="0"/>
          <w:numId w:val="2"/>
        </w:numPr>
        <w:autoSpaceDE w:val="0"/>
        <w:autoSpaceDN w:val="0"/>
        <w:adjustRightInd w:val="0"/>
        <w:snapToGrid w:val="0"/>
        <w:spacing w:before="156" w:beforeLines="50" w:after="156" w:afterLines="50" w:line="240" w:lineRule="auto"/>
        <w:ind w:left="0" w:firstLine="0" w:firstLineChars="0"/>
        <w:jc w:val="center"/>
        <w:outlineLvl w:val="1"/>
        <w:rPr>
          <w:rFonts w:ascii="仿宋" w:hAnsi="仿宋" w:eastAsia="仿宋"/>
          <w:color w:val="auto"/>
          <w:sz w:val="24"/>
        </w:rPr>
      </w:pPr>
      <w:r>
        <w:rPr>
          <w:rFonts w:hint="eastAsia" w:ascii="仿宋" w:hAnsi="仿宋" w:eastAsia="仿宋"/>
          <w:color w:val="auto"/>
          <w:sz w:val="24"/>
        </w:rPr>
        <w:br w:type="page"/>
      </w:r>
      <w:bookmarkStart w:id="214" w:name="_Toc177738090"/>
      <w:bookmarkStart w:id="215" w:name="_Toc494528993"/>
      <w:bookmarkStart w:id="216" w:name="_Toc181712929"/>
      <w:bookmarkStart w:id="217" w:name="_Toc2072008"/>
      <w:r>
        <w:rPr>
          <w:rFonts w:hint="eastAsia" w:ascii="仿宋" w:hAnsi="仿宋" w:eastAsia="仿宋"/>
          <w:color w:val="auto"/>
          <w:sz w:val="28"/>
          <w:szCs w:val="28"/>
        </w:rPr>
        <w:t>法定代表人身份证明书（法定代表人投标时提供）</w:t>
      </w:r>
      <w:bookmarkEnd w:id="214"/>
      <w:bookmarkEnd w:id="215"/>
      <w:bookmarkEnd w:id="216"/>
      <w:bookmarkEnd w:id="217"/>
    </w:p>
    <w:p w14:paraId="10225703">
      <w:pPr>
        <w:ind w:firstLine="480"/>
        <w:rPr>
          <w:rFonts w:ascii="仿宋" w:hAnsi="仿宋" w:eastAsia="仿宋"/>
          <w:color w:val="auto"/>
          <w:kern w:val="0"/>
          <w:sz w:val="24"/>
        </w:rPr>
      </w:pPr>
      <w:r>
        <w:rPr>
          <w:rFonts w:hint="eastAsia" w:ascii="仿宋" w:hAnsi="仿宋" w:eastAsia="仿宋"/>
          <w:color w:val="auto"/>
          <w:kern w:val="0"/>
          <w:sz w:val="24"/>
        </w:rPr>
        <w:t>兹证明</w:t>
      </w:r>
      <w:r>
        <w:rPr>
          <w:rFonts w:hint="eastAsia" w:ascii="仿宋" w:hAnsi="仿宋" w:eastAsia="仿宋"/>
          <w:color w:val="auto"/>
          <w:kern w:val="0"/>
          <w:sz w:val="24"/>
          <w:u w:val="single"/>
        </w:rPr>
        <w:t xml:space="preserve">    </w:t>
      </w:r>
      <w:r>
        <w:rPr>
          <w:rFonts w:hint="eastAsia" w:ascii="仿宋" w:hAnsi="仿宋" w:eastAsia="仿宋"/>
          <w:color w:val="auto"/>
          <w:kern w:val="0"/>
          <w:sz w:val="24"/>
        </w:rPr>
        <w:t>（姓名）</w:t>
      </w:r>
      <w:r>
        <w:rPr>
          <w:rFonts w:hint="eastAsia" w:ascii="仿宋" w:hAnsi="仿宋" w:eastAsia="仿宋"/>
          <w:color w:val="auto"/>
          <w:sz w:val="24"/>
        </w:rPr>
        <w:t>在我单位任</w:t>
      </w:r>
      <w:r>
        <w:rPr>
          <w:rFonts w:hint="eastAsia" w:ascii="仿宋" w:hAnsi="仿宋" w:eastAsia="仿宋"/>
          <w:color w:val="auto"/>
          <w:sz w:val="24"/>
          <w:u w:val="single"/>
        </w:rPr>
        <w:t xml:space="preserve">        </w:t>
      </w:r>
      <w:r>
        <w:rPr>
          <w:rFonts w:hint="eastAsia" w:ascii="仿宋" w:hAnsi="仿宋" w:eastAsia="仿宋"/>
          <w:color w:val="auto"/>
          <w:sz w:val="24"/>
        </w:rPr>
        <w:t>职务</w:t>
      </w:r>
      <w:r>
        <w:rPr>
          <w:rFonts w:hint="eastAsia" w:ascii="仿宋" w:hAnsi="仿宋" w:eastAsia="仿宋"/>
          <w:color w:val="auto"/>
          <w:kern w:val="0"/>
          <w:sz w:val="24"/>
        </w:rPr>
        <w:t>，系</w:t>
      </w:r>
      <w:r>
        <w:rPr>
          <w:rFonts w:hint="eastAsia" w:ascii="仿宋" w:hAnsi="仿宋" w:eastAsia="仿宋"/>
          <w:color w:val="auto"/>
          <w:kern w:val="0"/>
          <w:sz w:val="24"/>
          <w:u w:val="single"/>
        </w:rPr>
        <w:t xml:space="preserve">            </w:t>
      </w:r>
      <w:r>
        <w:rPr>
          <w:rFonts w:hint="eastAsia" w:ascii="仿宋" w:hAnsi="仿宋" w:eastAsia="仿宋"/>
          <w:color w:val="auto"/>
          <w:kern w:val="0"/>
          <w:sz w:val="24"/>
        </w:rPr>
        <w:t>（投标人）的法定代表人。</w:t>
      </w:r>
    </w:p>
    <w:p w14:paraId="1070D0B4">
      <w:pPr>
        <w:ind w:firstLine="480"/>
        <w:rPr>
          <w:rFonts w:ascii="仿宋" w:hAnsi="仿宋" w:eastAsia="仿宋"/>
          <w:color w:val="auto"/>
          <w:kern w:val="0"/>
          <w:sz w:val="24"/>
        </w:rPr>
      </w:pPr>
    </w:p>
    <w:p w14:paraId="53034F39">
      <w:pPr>
        <w:ind w:firstLine="482"/>
        <w:rPr>
          <w:rFonts w:ascii="仿宋" w:hAnsi="仿宋" w:eastAsia="仿宋"/>
          <w:b/>
          <w:color w:val="auto"/>
          <w:kern w:val="0"/>
          <w:sz w:val="24"/>
        </w:rPr>
      </w:pPr>
      <w:r>
        <w:rPr>
          <w:rFonts w:hint="eastAsia" w:ascii="仿宋" w:hAnsi="仿宋" w:eastAsia="仿宋"/>
          <w:b/>
          <w:color w:val="auto"/>
          <w:kern w:val="0"/>
          <w:sz w:val="24"/>
        </w:rPr>
        <w:t>投标人（盖章）：</w:t>
      </w:r>
      <w:r>
        <w:rPr>
          <w:rFonts w:hint="eastAsia" w:ascii="仿宋" w:hAnsi="仿宋" w:eastAsia="仿宋"/>
          <w:b/>
          <w:color w:val="auto"/>
          <w:kern w:val="0"/>
          <w:sz w:val="24"/>
          <w:u w:val="single"/>
        </w:rPr>
        <w:t xml:space="preserve">                     </w:t>
      </w:r>
    </w:p>
    <w:p w14:paraId="410322A3">
      <w:pPr>
        <w:ind w:firstLine="482"/>
        <w:rPr>
          <w:rFonts w:ascii="仿宋" w:hAnsi="仿宋" w:eastAsia="仿宋"/>
          <w:b/>
          <w:color w:val="auto"/>
          <w:kern w:val="0"/>
          <w:sz w:val="24"/>
        </w:rPr>
      </w:pPr>
      <w:r>
        <w:rPr>
          <w:rFonts w:hint="eastAsia" w:ascii="仿宋" w:hAnsi="仿宋" w:eastAsia="仿宋"/>
          <w:b/>
          <w:color w:val="auto"/>
          <w:kern w:val="0"/>
          <w:sz w:val="24"/>
        </w:rPr>
        <w:t>法定代表人（签章）：</w:t>
      </w:r>
      <w:r>
        <w:rPr>
          <w:rFonts w:hint="eastAsia" w:ascii="仿宋" w:hAnsi="仿宋" w:eastAsia="仿宋"/>
          <w:b/>
          <w:color w:val="auto"/>
          <w:kern w:val="0"/>
          <w:sz w:val="24"/>
          <w:u w:val="single"/>
        </w:rPr>
        <w:t xml:space="preserve">                 </w:t>
      </w:r>
    </w:p>
    <w:p w14:paraId="30549464">
      <w:pPr>
        <w:ind w:firstLine="480"/>
        <w:rPr>
          <w:rFonts w:ascii="仿宋" w:hAnsi="仿宋" w:eastAsia="仿宋"/>
          <w:color w:val="auto"/>
          <w:kern w:val="0"/>
          <w:sz w:val="24"/>
        </w:rPr>
      </w:pPr>
      <w:r>
        <w:rPr>
          <w:rFonts w:hint="eastAsia" w:ascii="仿宋" w:hAnsi="仿宋" w:eastAsia="仿宋"/>
          <w:color w:val="auto"/>
          <w:kern w:val="0"/>
          <w:sz w:val="24"/>
        </w:rPr>
        <w:t>性别：</w:t>
      </w:r>
      <w:r>
        <w:rPr>
          <w:rFonts w:hint="eastAsia" w:ascii="仿宋" w:hAnsi="仿宋" w:eastAsia="仿宋"/>
          <w:color w:val="auto"/>
          <w:kern w:val="0"/>
          <w:sz w:val="24"/>
          <w:u w:val="single"/>
        </w:rPr>
        <w:t xml:space="preserve">              </w:t>
      </w:r>
      <w:r>
        <w:rPr>
          <w:rFonts w:hint="eastAsia" w:ascii="仿宋" w:hAnsi="仿宋" w:eastAsia="仿宋"/>
          <w:color w:val="auto"/>
          <w:kern w:val="0"/>
          <w:sz w:val="24"/>
        </w:rPr>
        <w:t>年龄：</w:t>
      </w:r>
      <w:r>
        <w:rPr>
          <w:rFonts w:hint="eastAsia" w:ascii="仿宋" w:hAnsi="仿宋" w:eastAsia="仿宋"/>
          <w:color w:val="auto"/>
          <w:kern w:val="0"/>
          <w:sz w:val="24"/>
          <w:u w:val="single"/>
        </w:rPr>
        <w:t xml:space="preserve">           </w:t>
      </w:r>
    </w:p>
    <w:p w14:paraId="37CD9D9D">
      <w:pPr>
        <w:ind w:firstLine="480"/>
        <w:rPr>
          <w:rFonts w:ascii="仿宋" w:hAnsi="仿宋" w:eastAsia="仿宋"/>
          <w:color w:val="auto"/>
          <w:kern w:val="0"/>
          <w:sz w:val="24"/>
        </w:rPr>
      </w:pPr>
      <w:r>
        <w:rPr>
          <w:rFonts w:hint="eastAsia" w:ascii="仿宋" w:hAnsi="仿宋" w:eastAsia="仿宋"/>
          <w:color w:val="auto"/>
          <w:kern w:val="0"/>
          <w:sz w:val="24"/>
        </w:rPr>
        <w:t>身份证号码：</w:t>
      </w:r>
      <w:r>
        <w:rPr>
          <w:rFonts w:hint="eastAsia" w:ascii="仿宋" w:hAnsi="仿宋" w:eastAsia="仿宋"/>
          <w:color w:val="auto"/>
          <w:kern w:val="0"/>
          <w:sz w:val="24"/>
          <w:u w:val="single"/>
        </w:rPr>
        <w:t xml:space="preserve">                         </w:t>
      </w:r>
    </w:p>
    <w:p w14:paraId="66246F58">
      <w:pPr>
        <w:ind w:firstLine="480"/>
        <w:rPr>
          <w:rFonts w:ascii="仿宋" w:hAnsi="仿宋" w:eastAsia="仿宋"/>
          <w:bCs/>
          <w:color w:val="auto"/>
          <w:sz w:val="24"/>
        </w:rPr>
      </w:pPr>
      <w:r>
        <w:rPr>
          <w:rFonts w:hint="eastAsia" w:ascii="仿宋" w:hAnsi="仿宋" w:eastAsia="仿宋"/>
          <w:color w:val="auto"/>
          <w:sz w:val="24"/>
        </w:rPr>
        <w:t>时间：</w:t>
      </w:r>
      <w:r>
        <w:rPr>
          <w:rFonts w:hint="eastAsia" w:ascii="仿宋" w:hAnsi="仿宋" w:eastAsia="仿宋"/>
          <w:color w:val="auto"/>
          <w:sz w:val="24"/>
          <w:u w:val="single"/>
        </w:rPr>
        <w:t xml:space="preserve">_____    </w:t>
      </w:r>
      <w:r>
        <w:rPr>
          <w:rFonts w:hint="eastAsia" w:ascii="仿宋" w:hAnsi="仿宋" w:eastAsia="仿宋"/>
          <w:color w:val="auto"/>
          <w:sz w:val="24"/>
        </w:rPr>
        <w:t>年</w:t>
      </w:r>
      <w:r>
        <w:rPr>
          <w:rFonts w:hint="eastAsia" w:ascii="仿宋" w:hAnsi="仿宋" w:eastAsia="仿宋"/>
          <w:color w:val="auto"/>
          <w:sz w:val="24"/>
          <w:u w:val="single"/>
        </w:rPr>
        <w:t>__   ___</w:t>
      </w:r>
      <w:r>
        <w:rPr>
          <w:rFonts w:hint="eastAsia" w:ascii="仿宋" w:hAnsi="仿宋" w:eastAsia="仿宋"/>
          <w:color w:val="auto"/>
          <w:sz w:val="24"/>
        </w:rPr>
        <w:t>月</w:t>
      </w:r>
      <w:r>
        <w:rPr>
          <w:rFonts w:hint="eastAsia" w:ascii="仿宋" w:hAnsi="仿宋" w:eastAsia="仿宋"/>
          <w:color w:val="auto"/>
          <w:sz w:val="24"/>
          <w:u w:val="single"/>
        </w:rPr>
        <w:t>___   __</w:t>
      </w:r>
      <w:r>
        <w:rPr>
          <w:rFonts w:hint="eastAsia" w:ascii="仿宋" w:hAnsi="仿宋" w:eastAsia="仿宋"/>
          <w:color w:val="auto"/>
          <w:sz w:val="24"/>
        </w:rPr>
        <w:t>日</w:t>
      </w:r>
    </w:p>
    <w:p w14:paraId="1ED05E9C">
      <w:pPr>
        <w:ind w:firstLine="5985" w:firstLineChars="2850"/>
        <w:rPr>
          <w:rFonts w:ascii="仿宋" w:hAnsi="仿宋" w:eastAsia="仿宋"/>
          <w:color w:val="auto"/>
          <w:kern w:val="0"/>
          <w:szCs w:val="21"/>
        </w:rPr>
      </w:pPr>
    </w:p>
    <w:tbl>
      <w:tblPr>
        <w:tblStyle w:val="44"/>
        <w:tblW w:w="833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57" w:type="dxa"/>
          <w:left w:w="57" w:type="dxa"/>
          <w:bottom w:w="57" w:type="dxa"/>
          <w:right w:w="57" w:type="dxa"/>
        </w:tblCellMar>
      </w:tblPr>
      <w:tblGrid>
        <w:gridCol w:w="8334"/>
      </w:tblGrid>
      <w:tr w14:paraId="3A8548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4025" w:hRule="atLeast"/>
          <w:jc w:val="center"/>
        </w:trPr>
        <w:tc>
          <w:tcPr>
            <w:tcW w:w="8334" w:type="dxa"/>
          </w:tcPr>
          <w:p w14:paraId="3ACA3FC5">
            <w:pPr>
              <w:adjustRightInd w:val="0"/>
              <w:snapToGrid w:val="0"/>
              <w:spacing w:line="400" w:lineRule="exact"/>
              <w:ind w:firstLine="0" w:firstLineChars="0"/>
              <w:rPr>
                <w:rFonts w:ascii="仿宋" w:hAnsi="仿宋" w:eastAsia="仿宋"/>
                <w:color w:val="auto"/>
                <w:kern w:val="0"/>
                <w:sz w:val="24"/>
              </w:rPr>
            </w:pPr>
            <w:r>
              <w:rPr>
                <w:rFonts w:hint="eastAsia" w:ascii="仿宋" w:hAnsi="仿宋" w:eastAsia="仿宋"/>
                <w:color w:val="auto"/>
                <w:kern w:val="0"/>
                <w:sz w:val="24"/>
              </w:rPr>
              <w:t>法定代表人身份证（双面复印件）：</w:t>
            </w:r>
          </w:p>
          <w:p w14:paraId="7BFD2BC6">
            <w:pPr>
              <w:adjustRightInd w:val="0"/>
              <w:snapToGrid w:val="0"/>
              <w:spacing w:line="400" w:lineRule="exact"/>
              <w:ind w:firstLine="0" w:firstLineChars="0"/>
              <w:rPr>
                <w:rFonts w:ascii="仿宋" w:hAnsi="仿宋" w:eastAsia="仿宋"/>
                <w:color w:val="auto"/>
                <w:kern w:val="0"/>
                <w:sz w:val="24"/>
              </w:rPr>
            </w:pPr>
          </w:p>
        </w:tc>
      </w:tr>
    </w:tbl>
    <w:p w14:paraId="263B8D8D">
      <w:pPr>
        <w:ind w:firstLine="480"/>
        <w:rPr>
          <w:rFonts w:ascii="仿宋" w:hAnsi="仿宋" w:eastAsia="仿宋"/>
          <w:color w:val="auto"/>
          <w:kern w:val="0"/>
          <w:sz w:val="24"/>
        </w:rPr>
      </w:pPr>
      <w:r>
        <w:rPr>
          <w:rFonts w:hint="eastAsia" w:ascii="仿宋" w:hAnsi="仿宋" w:eastAsia="仿宋"/>
          <w:color w:val="auto"/>
          <w:kern w:val="0"/>
          <w:sz w:val="24"/>
        </w:rPr>
        <w:t>注：</w:t>
      </w:r>
    </w:p>
    <w:p w14:paraId="55B22A65">
      <w:pPr>
        <w:ind w:firstLine="480"/>
        <w:rPr>
          <w:rFonts w:ascii="仿宋" w:hAnsi="仿宋" w:eastAsia="仿宋"/>
          <w:color w:val="auto"/>
          <w:kern w:val="0"/>
          <w:sz w:val="24"/>
        </w:rPr>
      </w:pPr>
      <w:r>
        <w:rPr>
          <w:rFonts w:hint="eastAsia" w:ascii="仿宋" w:hAnsi="仿宋" w:eastAsia="仿宋"/>
          <w:color w:val="auto"/>
          <w:kern w:val="0"/>
          <w:sz w:val="24"/>
        </w:rPr>
        <w:t>1.本表适用于投标人不授权代理人，而由法定代表人直接参加投标并签署投标文件的情况；</w:t>
      </w:r>
    </w:p>
    <w:p w14:paraId="2F114C2B">
      <w:pPr>
        <w:ind w:firstLine="480"/>
        <w:rPr>
          <w:rFonts w:ascii="仿宋" w:hAnsi="仿宋" w:eastAsia="仿宋"/>
          <w:color w:val="auto"/>
          <w:kern w:val="0"/>
          <w:sz w:val="24"/>
        </w:rPr>
      </w:pPr>
      <w:r>
        <w:rPr>
          <w:rFonts w:hint="eastAsia" w:ascii="仿宋" w:hAnsi="仿宋" w:eastAsia="仿宋"/>
          <w:color w:val="auto"/>
          <w:kern w:val="0"/>
          <w:sz w:val="24"/>
        </w:rPr>
        <w:t>2.如投标人具有企业法人代表证书，则还应在本证明书后附上企业法人代表证书复印件。</w:t>
      </w:r>
    </w:p>
    <w:p w14:paraId="45A3E18A">
      <w:pPr>
        <w:numPr>
          <w:ilvl w:val="0"/>
          <w:numId w:val="2"/>
        </w:numPr>
        <w:autoSpaceDE w:val="0"/>
        <w:autoSpaceDN w:val="0"/>
        <w:adjustRightInd w:val="0"/>
        <w:snapToGrid w:val="0"/>
        <w:spacing w:before="156" w:beforeLines="50" w:after="156" w:afterLines="50" w:line="240" w:lineRule="auto"/>
        <w:ind w:left="0" w:firstLine="0" w:firstLineChars="0"/>
        <w:jc w:val="center"/>
        <w:outlineLvl w:val="1"/>
        <w:rPr>
          <w:rFonts w:ascii="仿宋" w:hAnsi="仿宋" w:eastAsia="仿宋"/>
          <w:color w:val="auto"/>
          <w:sz w:val="24"/>
        </w:rPr>
      </w:pPr>
      <w:r>
        <w:rPr>
          <w:rFonts w:hint="eastAsia" w:ascii="仿宋" w:hAnsi="仿宋" w:eastAsia="仿宋"/>
          <w:color w:val="auto"/>
          <w:sz w:val="24"/>
        </w:rPr>
        <w:br w:type="page"/>
      </w:r>
      <w:bookmarkStart w:id="218" w:name="_Toc494528994"/>
      <w:bookmarkStart w:id="219" w:name="_Toc264644281"/>
      <w:bookmarkStart w:id="220" w:name="_Toc181712930"/>
      <w:bookmarkStart w:id="221" w:name="_Toc2072009"/>
      <w:bookmarkStart w:id="222" w:name="_Toc177738091"/>
      <w:r>
        <w:rPr>
          <w:rFonts w:hint="eastAsia" w:ascii="仿宋" w:hAnsi="仿宋" w:eastAsia="仿宋"/>
          <w:color w:val="auto"/>
          <w:sz w:val="28"/>
          <w:szCs w:val="28"/>
        </w:rPr>
        <w:t>投标人的资格声明</w:t>
      </w:r>
      <w:bookmarkEnd w:id="218"/>
      <w:bookmarkEnd w:id="219"/>
      <w:bookmarkEnd w:id="220"/>
      <w:bookmarkEnd w:id="221"/>
      <w:bookmarkEnd w:id="222"/>
    </w:p>
    <w:p w14:paraId="3B1055C2">
      <w:pPr>
        <w:ind w:firstLine="480"/>
        <w:rPr>
          <w:rFonts w:ascii="仿宋" w:hAnsi="仿宋" w:eastAsia="仿宋"/>
          <w:color w:val="auto"/>
          <w:sz w:val="24"/>
        </w:rPr>
      </w:pPr>
      <w:r>
        <w:rPr>
          <w:rFonts w:hint="eastAsia" w:ascii="仿宋" w:hAnsi="仿宋" w:eastAsia="仿宋"/>
          <w:color w:val="auto"/>
          <w:sz w:val="24"/>
        </w:rPr>
        <w:t>名称及基本情况：</w:t>
      </w:r>
    </w:p>
    <w:p w14:paraId="7CB6B928">
      <w:pPr>
        <w:ind w:firstLine="480"/>
        <w:rPr>
          <w:rFonts w:ascii="仿宋" w:hAnsi="仿宋" w:eastAsia="仿宋"/>
          <w:color w:val="auto"/>
          <w:sz w:val="24"/>
        </w:rPr>
      </w:pPr>
      <w:r>
        <w:rPr>
          <w:rFonts w:hint="eastAsia" w:ascii="仿宋" w:hAnsi="仿宋" w:eastAsia="仿宋"/>
          <w:color w:val="auto"/>
          <w:sz w:val="24"/>
        </w:rPr>
        <w:t>（1）单位名称：</w:t>
      </w:r>
      <w:r>
        <w:rPr>
          <w:rFonts w:hint="eastAsia" w:ascii="仿宋" w:hAnsi="仿宋" w:eastAsia="仿宋"/>
          <w:color w:val="auto"/>
          <w:sz w:val="24"/>
          <w:u w:val="single"/>
        </w:rPr>
        <w:t xml:space="preserve">                        </w:t>
      </w:r>
      <w:r>
        <w:rPr>
          <w:rFonts w:hint="eastAsia" w:ascii="仿宋" w:hAnsi="仿宋" w:eastAsia="仿宋"/>
          <w:color w:val="auto"/>
          <w:sz w:val="24"/>
        </w:rPr>
        <w:t xml:space="preserve"> </w:t>
      </w:r>
    </w:p>
    <w:p w14:paraId="08EA30E4">
      <w:pPr>
        <w:ind w:firstLine="480"/>
        <w:rPr>
          <w:rFonts w:ascii="仿宋" w:hAnsi="仿宋" w:eastAsia="仿宋"/>
          <w:color w:val="auto"/>
          <w:sz w:val="24"/>
        </w:rPr>
      </w:pPr>
      <w:r>
        <w:rPr>
          <w:rFonts w:hint="eastAsia" w:ascii="仿宋" w:hAnsi="仿宋" w:eastAsia="仿宋"/>
          <w:color w:val="auto"/>
          <w:sz w:val="24"/>
        </w:rPr>
        <w:t>（2）地址：</w:t>
      </w:r>
      <w:r>
        <w:rPr>
          <w:rFonts w:hint="eastAsia" w:ascii="仿宋" w:hAnsi="仿宋" w:eastAsia="仿宋"/>
          <w:color w:val="auto"/>
          <w:sz w:val="24"/>
          <w:u w:val="single"/>
        </w:rPr>
        <w:t xml:space="preserve">                              </w:t>
      </w:r>
      <w:r>
        <w:rPr>
          <w:rFonts w:hint="eastAsia" w:ascii="仿宋" w:hAnsi="仿宋" w:eastAsia="仿宋"/>
          <w:color w:val="auto"/>
          <w:sz w:val="24"/>
        </w:rPr>
        <w:t xml:space="preserve"> 邮箱：</w:t>
      </w:r>
      <w:r>
        <w:rPr>
          <w:rFonts w:hint="eastAsia" w:ascii="仿宋" w:hAnsi="仿宋" w:eastAsia="仿宋"/>
          <w:color w:val="auto"/>
          <w:sz w:val="24"/>
          <w:u w:val="single"/>
        </w:rPr>
        <w:t xml:space="preserve">                 </w:t>
      </w:r>
    </w:p>
    <w:p w14:paraId="1B6249F6">
      <w:pPr>
        <w:ind w:firstLine="480"/>
        <w:rPr>
          <w:rFonts w:ascii="仿宋" w:hAnsi="仿宋" w:eastAsia="仿宋"/>
          <w:color w:val="auto"/>
          <w:sz w:val="24"/>
        </w:rPr>
      </w:pPr>
      <w:r>
        <w:rPr>
          <w:rFonts w:hint="eastAsia" w:ascii="仿宋" w:hAnsi="仿宋" w:eastAsia="仿宋"/>
          <w:color w:val="auto"/>
          <w:sz w:val="24"/>
        </w:rPr>
        <w:t xml:space="preserve">     电话：</w:t>
      </w:r>
      <w:r>
        <w:rPr>
          <w:rFonts w:hint="eastAsia" w:ascii="仿宋" w:hAnsi="仿宋" w:eastAsia="仿宋"/>
          <w:color w:val="auto"/>
          <w:sz w:val="24"/>
          <w:u w:val="single"/>
        </w:rPr>
        <w:t xml:space="preserve">                              </w:t>
      </w:r>
      <w:r>
        <w:rPr>
          <w:rFonts w:hint="eastAsia" w:ascii="仿宋" w:hAnsi="仿宋" w:eastAsia="仿宋"/>
          <w:color w:val="auto"/>
          <w:sz w:val="24"/>
        </w:rPr>
        <w:t xml:space="preserve"> 传真：</w:t>
      </w:r>
      <w:r>
        <w:rPr>
          <w:rFonts w:hint="eastAsia" w:ascii="仿宋" w:hAnsi="仿宋" w:eastAsia="仿宋"/>
          <w:color w:val="auto"/>
          <w:sz w:val="24"/>
          <w:u w:val="single"/>
        </w:rPr>
        <w:t xml:space="preserve">                 </w:t>
      </w:r>
    </w:p>
    <w:p w14:paraId="24BC1F83">
      <w:pPr>
        <w:ind w:firstLine="480"/>
        <w:rPr>
          <w:rFonts w:ascii="仿宋" w:hAnsi="仿宋" w:eastAsia="仿宋"/>
          <w:color w:val="auto"/>
          <w:sz w:val="24"/>
        </w:rPr>
      </w:pPr>
      <w:r>
        <w:rPr>
          <w:rFonts w:hint="eastAsia" w:ascii="仿宋" w:hAnsi="仿宋" w:eastAsia="仿宋"/>
          <w:color w:val="auto"/>
          <w:sz w:val="24"/>
        </w:rPr>
        <w:t>（3）成立或注册日期：</w:t>
      </w:r>
      <w:r>
        <w:rPr>
          <w:rFonts w:hint="eastAsia" w:ascii="仿宋" w:hAnsi="仿宋" w:eastAsia="仿宋"/>
          <w:color w:val="auto"/>
          <w:sz w:val="24"/>
          <w:u w:val="single"/>
        </w:rPr>
        <w:t xml:space="preserve">                           </w:t>
      </w:r>
    </w:p>
    <w:p w14:paraId="6011A075">
      <w:pPr>
        <w:ind w:firstLine="480"/>
        <w:rPr>
          <w:rFonts w:ascii="仿宋" w:hAnsi="仿宋" w:eastAsia="仿宋"/>
          <w:color w:val="auto"/>
          <w:sz w:val="24"/>
        </w:rPr>
      </w:pPr>
      <w:r>
        <w:rPr>
          <w:rFonts w:hint="eastAsia" w:ascii="仿宋" w:hAnsi="仿宋" w:eastAsia="仿宋"/>
          <w:color w:val="auto"/>
          <w:sz w:val="24"/>
        </w:rPr>
        <w:t>（4）公司性质：</w:t>
      </w:r>
      <w:r>
        <w:rPr>
          <w:rFonts w:hint="eastAsia" w:ascii="仿宋" w:hAnsi="仿宋" w:eastAsia="仿宋"/>
          <w:color w:val="auto"/>
          <w:sz w:val="24"/>
          <w:u w:val="single"/>
        </w:rPr>
        <w:t xml:space="preserve">                                 </w:t>
      </w:r>
    </w:p>
    <w:p w14:paraId="1F45875E">
      <w:pPr>
        <w:ind w:firstLine="480"/>
        <w:rPr>
          <w:rFonts w:ascii="仿宋" w:hAnsi="仿宋" w:eastAsia="仿宋"/>
          <w:color w:val="auto"/>
          <w:sz w:val="24"/>
        </w:rPr>
      </w:pPr>
      <w:r>
        <w:rPr>
          <w:rFonts w:hint="eastAsia" w:ascii="仿宋" w:hAnsi="仿宋" w:eastAsia="仿宋"/>
          <w:color w:val="auto"/>
          <w:sz w:val="24"/>
        </w:rPr>
        <w:t>（5）法定代表人或主要负责人：</w:t>
      </w:r>
      <w:r>
        <w:rPr>
          <w:rFonts w:hint="eastAsia" w:ascii="仿宋" w:hAnsi="仿宋" w:eastAsia="仿宋"/>
          <w:color w:val="auto"/>
          <w:sz w:val="24"/>
          <w:u w:val="single"/>
        </w:rPr>
        <w:t xml:space="preserve">                   </w:t>
      </w:r>
    </w:p>
    <w:p w14:paraId="4966D2FA">
      <w:pPr>
        <w:ind w:firstLine="480"/>
        <w:rPr>
          <w:rFonts w:ascii="仿宋" w:hAnsi="仿宋" w:eastAsia="仿宋"/>
          <w:color w:val="auto"/>
          <w:sz w:val="24"/>
        </w:rPr>
      </w:pPr>
      <w:r>
        <w:rPr>
          <w:rFonts w:hint="eastAsia" w:ascii="仿宋" w:hAnsi="仿宋" w:eastAsia="仿宋"/>
          <w:color w:val="auto"/>
          <w:sz w:val="24"/>
        </w:rPr>
        <w:t>（6）员工人数：</w:t>
      </w:r>
      <w:r>
        <w:rPr>
          <w:rFonts w:hint="eastAsia" w:ascii="仿宋" w:hAnsi="仿宋" w:eastAsia="仿宋"/>
          <w:color w:val="auto"/>
          <w:sz w:val="24"/>
          <w:u w:val="single"/>
        </w:rPr>
        <w:t xml:space="preserve">                                 </w:t>
      </w:r>
    </w:p>
    <w:p w14:paraId="08B892A5">
      <w:pPr>
        <w:ind w:firstLine="480"/>
        <w:rPr>
          <w:rFonts w:ascii="仿宋" w:hAnsi="仿宋" w:eastAsia="仿宋"/>
          <w:color w:val="auto"/>
          <w:sz w:val="24"/>
        </w:rPr>
      </w:pPr>
      <w:r>
        <w:rPr>
          <w:rFonts w:hint="eastAsia" w:ascii="仿宋" w:hAnsi="仿宋" w:eastAsia="仿宋"/>
          <w:color w:val="auto"/>
          <w:sz w:val="24"/>
        </w:rPr>
        <w:t>（7）注册资本：</w:t>
      </w:r>
      <w:r>
        <w:rPr>
          <w:rFonts w:hint="eastAsia" w:ascii="仿宋" w:hAnsi="仿宋" w:eastAsia="仿宋"/>
          <w:color w:val="auto"/>
          <w:sz w:val="24"/>
          <w:u w:val="single"/>
        </w:rPr>
        <w:t xml:space="preserve">                                 </w:t>
      </w:r>
    </w:p>
    <w:p w14:paraId="2BDE84E8">
      <w:pPr>
        <w:ind w:firstLine="480"/>
        <w:rPr>
          <w:rFonts w:ascii="仿宋" w:hAnsi="仿宋" w:eastAsia="仿宋"/>
          <w:color w:val="auto"/>
          <w:sz w:val="24"/>
        </w:rPr>
      </w:pPr>
      <w:r>
        <w:rPr>
          <w:rFonts w:hint="eastAsia" w:ascii="仿宋" w:hAnsi="仿宋" w:eastAsia="仿宋"/>
          <w:color w:val="auto"/>
          <w:sz w:val="24"/>
        </w:rPr>
        <w:t>（8）实收资本：</w:t>
      </w:r>
      <w:r>
        <w:rPr>
          <w:rFonts w:hint="eastAsia" w:ascii="仿宋" w:hAnsi="仿宋" w:eastAsia="仿宋"/>
          <w:color w:val="auto"/>
          <w:sz w:val="24"/>
          <w:u w:val="single"/>
        </w:rPr>
        <w:t xml:space="preserve">                                 </w:t>
      </w:r>
    </w:p>
    <w:p w14:paraId="129D7E44">
      <w:pPr>
        <w:ind w:firstLine="480"/>
        <w:rPr>
          <w:rFonts w:ascii="仿宋" w:hAnsi="仿宋" w:eastAsia="仿宋"/>
          <w:color w:val="auto"/>
          <w:sz w:val="24"/>
        </w:rPr>
      </w:pPr>
      <w:r>
        <w:rPr>
          <w:rFonts w:hint="eastAsia" w:ascii="仿宋" w:hAnsi="仿宋" w:eastAsia="仿宋"/>
          <w:color w:val="auto"/>
          <w:sz w:val="24"/>
        </w:rPr>
        <w:t xml:space="preserve">（9）上年末资产负债表： </w:t>
      </w:r>
    </w:p>
    <w:p w14:paraId="3F01C335">
      <w:pPr>
        <w:ind w:firstLine="480"/>
        <w:rPr>
          <w:rFonts w:ascii="仿宋" w:hAnsi="仿宋" w:eastAsia="仿宋"/>
          <w:color w:val="auto"/>
          <w:sz w:val="24"/>
        </w:rPr>
      </w:pPr>
      <w:r>
        <w:rPr>
          <w:rFonts w:hint="eastAsia" w:ascii="仿宋" w:hAnsi="仿宋" w:eastAsia="仿宋"/>
          <w:color w:val="auto"/>
          <w:sz w:val="24"/>
        </w:rPr>
        <w:t>1）固定资产</w:t>
      </w:r>
    </w:p>
    <w:p w14:paraId="41AA8D30">
      <w:pPr>
        <w:ind w:firstLine="480"/>
        <w:rPr>
          <w:rFonts w:ascii="仿宋" w:hAnsi="仿宋" w:eastAsia="仿宋"/>
          <w:color w:val="auto"/>
          <w:sz w:val="24"/>
        </w:rPr>
      </w:pPr>
      <w:r>
        <w:rPr>
          <w:rFonts w:hint="eastAsia" w:ascii="仿宋" w:hAnsi="仿宋" w:eastAsia="仿宋"/>
          <w:color w:val="auto"/>
          <w:sz w:val="24"/>
        </w:rPr>
        <w:t xml:space="preserve">   原值：</w:t>
      </w:r>
      <w:r>
        <w:rPr>
          <w:rFonts w:hint="eastAsia" w:ascii="仿宋" w:hAnsi="仿宋" w:eastAsia="仿宋"/>
          <w:color w:val="auto"/>
          <w:sz w:val="24"/>
          <w:u w:val="single"/>
        </w:rPr>
        <w:t xml:space="preserve">               </w:t>
      </w:r>
      <w:r>
        <w:rPr>
          <w:rFonts w:hint="eastAsia" w:ascii="仿宋" w:hAnsi="仿宋" w:eastAsia="仿宋"/>
          <w:color w:val="auto"/>
          <w:sz w:val="24"/>
        </w:rPr>
        <w:t xml:space="preserve">   净值：</w:t>
      </w:r>
      <w:r>
        <w:rPr>
          <w:rFonts w:hint="eastAsia" w:ascii="仿宋" w:hAnsi="仿宋" w:eastAsia="仿宋"/>
          <w:color w:val="auto"/>
          <w:sz w:val="24"/>
          <w:u w:val="single"/>
        </w:rPr>
        <w:t xml:space="preserve">               </w:t>
      </w:r>
    </w:p>
    <w:p w14:paraId="46F74879">
      <w:pPr>
        <w:ind w:firstLine="480"/>
        <w:rPr>
          <w:rFonts w:ascii="仿宋" w:hAnsi="仿宋" w:eastAsia="仿宋"/>
          <w:color w:val="auto"/>
          <w:sz w:val="24"/>
        </w:rPr>
      </w:pPr>
      <w:r>
        <w:rPr>
          <w:rFonts w:hint="eastAsia" w:ascii="仿宋" w:hAnsi="仿宋" w:eastAsia="仿宋"/>
          <w:color w:val="auto"/>
          <w:sz w:val="24"/>
        </w:rPr>
        <w:t>2）流动资产：</w:t>
      </w:r>
      <w:r>
        <w:rPr>
          <w:rFonts w:hint="eastAsia" w:ascii="仿宋" w:hAnsi="仿宋" w:eastAsia="仿宋"/>
          <w:color w:val="auto"/>
          <w:sz w:val="24"/>
          <w:u w:val="single"/>
        </w:rPr>
        <w:t xml:space="preserve">                                   </w:t>
      </w:r>
    </w:p>
    <w:p w14:paraId="17A4223A">
      <w:pPr>
        <w:ind w:firstLine="480"/>
        <w:rPr>
          <w:rFonts w:ascii="仿宋" w:hAnsi="仿宋" w:eastAsia="仿宋"/>
          <w:color w:val="auto"/>
          <w:sz w:val="24"/>
        </w:rPr>
      </w:pPr>
      <w:r>
        <w:rPr>
          <w:rFonts w:hint="eastAsia" w:ascii="仿宋" w:hAnsi="仿宋" w:eastAsia="仿宋"/>
          <w:color w:val="auto"/>
          <w:sz w:val="24"/>
        </w:rPr>
        <w:t>3）长期负债：</w:t>
      </w:r>
      <w:r>
        <w:rPr>
          <w:rFonts w:hint="eastAsia" w:ascii="仿宋" w:hAnsi="仿宋" w:eastAsia="仿宋"/>
          <w:color w:val="auto"/>
          <w:sz w:val="24"/>
          <w:u w:val="single"/>
        </w:rPr>
        <w:t xml:space="preserve">                                   </w:t>
      </w:r>
    </w:p>
    <w:p w14:paraId="0EC1BD80">
      <w:pPr>
        <w:ind w:firstLine="480"/>
        <w:rPr>
          <w:rFonts w:ascii="仿宋" w:hAnsi="仿宋" w:eastAsia="仿宋"/>
          <w:color w:val="auto"/>
          <w:sz w:val="24"/>
        </w:rPr>
      </w:pPr>
      <w:r>
        <w:rPr>
          <w:rFonts w:hint="eastAsia" w:ascii="仿宋" w:hAnsi="仿宋" w:eastAsia="仿宋"/>
          <w:color w:val="auto"/>
          <w:sz w:val="24"/>
        </w:rPr>
        <w:t>4）短期负债：</w:t>
      </w:r>
      <w:r>
        <w:rPr>
          <w:rFonts w:hint="eastAsia" w:ascii="仿宋" w:hAnsi="仿宋" w:eastAsia="仿宋"/>
          <w:color w:val="auto"/>
          <w:sz w:val="24"/>
          <w:u w:val="single"/>
        </w:rPr>
        <w:t xml:space="preserve">                                   </w:t>
      </w:r>
    </w:p>
    <w:p w14:paraId="398F9458">
      <w:pPr>
        <w:ind w:firstLine="480"/>
        <w:rPr>
          <w:rFonts w:ascii="仿宋" w:hAnsi="仿宋" w:eastAsia="仿宋"/>
          <w:color w:val="auto"/>
          <w:sz w:val="24"/>
        </w:rPr>
      </w:pPr>
      <w:r>
        <w:rPr>
          <w:rFonts w:hint="eastAsia" w:ascii="仿宋" w:hAnsi="仿宋" w:eastAsia="仿宋"/>
          <w:color w:val="auto"/>
          <w:sz w:val="24"/>
        </w:rPr>
        <w:t>2．与投标服务内容有关的情况：</w:t>
      </w:r>
    </w:p>
    <w:p w14:paraId="543ABA53">
      <w:pPr>
        <w:ind w:firstLine="480"/>
        <w:rPr>
          <w:rFonts w:ascii="仿宋" w:hAnsi="仿宋" w:eastAsia="仿宋"/>
          <w:color w:val="auto"/>
          <w:sz w:val="24"/>
        </w:rPr>
      </w:pPr>
      <w:r>
        <w:rPr>
          <w:rFonts w:hint="eastAsia" w:ascii="仿宋" w:hAnsi="仿宋" w:eastAsia="仿宋"/>
          <w:color w:val="auto"/>
          <w:sz w:val="24"/>
        </w:rPr>
        <w:t>（1）投标人提供此投标服务内容的经验（包括年限、项目业主、额定能力、商业运营的起始日期等）；</w:t>
      </w:r>
    </w:p>
    <w:p w14:paraId="6C0AF17E">
      <w:pPr>
        <w:ind w:firstLine="480"/>
        <w:rPr>
          <w:rFonts w:ascii="仿宋" w:hAnsi="仿宋" w:eastAsia="仿宋"/>
          <w:color w:val="auto"/>
          <w:sz w:val="24"/>
        </w:rPr>
      </w:pPr>
      <w:r>
        <w:rPr>
          <w:rFonts w:hint="eastAsia" w:ascii="仿宋" w:hAnsi="仿宋" w:eastAsia="仿宋"/>
          <w:color w:val="auto"/>
          <w:sz w:val="24"/>
        </w:rPr>
        <w:t>（2）服务网点分布（可另行附表）：</w:t>
      </w:r>
    </w:p>
    <w:tbl>
      <w:tblPr>
        <w:tblStyle w:val="44"/>
        <w:tblW w:w="828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57" w:type="dxa"/>
          <w:left w:w="57" w:type="dxa"/>
          <w:bottom w:w="57" w:type="dxa"/>
          <w:right w:w="57" w:type="dxa"/>
        </w:tblCellMar>
      </w:tblPr>
      <w:tblGrid>
        <w:gridCol w:w="2010"/>
        <w:gridCol w:w="1737"/>
        <w:gridCol w:w="2269"/>
        <w:gridCol w:w="2268"/>
      </w:tblGrid>
      <w:tr w14:paraId="7DD3E3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102" w:hRule="atLeast"/>
          <w:jc w:val="center"/>
        </w:trPr>
        <w:tc>
          <w:tcPr>
            <w:tcW w:w="2010" w:type="dxa"/>
            <w:vAlign w:val="center"/>
          </w:tcPr>
          <w:p w14:paraId="7ADF6BD3">
            <w:pPr>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服务网点名称和地址</w:t>
            </w:r>
          </w:p>
        </w:tc>
        <w:tc>
          <w:tcPr>
            <w:tcW w:w="1737" w:type="dxa"/>
            <w:vAlign w:val="center"/>
          </w:tcPr>
          <w:p w14:paraId="683883FF">
            <w:pPr>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主要服务范围</w:t>
            </w:r>
          </w:p>
        </w:tc>
        <w:tc>
          <w:tcPr>
            <w:tcW w:w="2269" w:type="dxa"/>
            <w:vAlign w:val="center"/>
          </w:tcPr>
          <w:p w14:paraId="5B2CC1B3">
            <w:pPr>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服务人员数</w:t>
            </w:r>
          </w:p>
        </w:tc>
        <w:tc>
          <w:tcPr>
            <w:tcW w:w="2268" w:type="dxa"/>
            <w:vAlign w:val="center"/>
          </w:tcPr>
          <w:p w14:paraId="5F0FD7BA">
            <w:pPr>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内部等级</w:t>
            </w:r>
          </w:p>
        </w:tc>
      </w:tr>
      <w:tr w14:paraId="094F9B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102" w:hRule="atLeast"/>
          <w:jc w:val="center"/>
        </w:trPr>
        <w:tc>
          <w:tcPr>
            <w:tcW w:w="2010" w:type="dxa"/>
            <w:vAlign w:val="center"/>
          </w:tcPr>
          <w:p w14:paraId="44C777F4">
            <w:pPr>
              <w:spacing w:line="400" w:lineRule="exact"/>
              <w:ind w:firstLine="0" w:firstLineChars="0"/>
              <w:jc w:val="center"/>
              <w:rPr>
                <w:rFonts w:ascii="仿宋" w:hAnsi="仿宋" w:eastAsia="仿宋"/>
                <w:color w:val="auto"/>
                <w:sz w:val="24"/>
              </w:rPr>
            </w:pPr>
          </w:p>
        </w:tc>
        <w:tc>
          <w:tcPr>
            <w:tcW w:w="1737" w:type="dxa"/>
            <w:vAlign w:val="center"/>
          </w:tcPr>
          <w:p w14:paraId="33519299">
            <w:pPr>
              <w:spacing w:line="400" w:lineRule="exact"/>
              <w:ind w:firstLine="0" w:firstLineChars="0"/>
              <w:jc w:val="center"/>
              <w:rPr>
                <w:rFonts w:ascii="仿宋" w:hAnsi="仿宋" w:eastAsia="仿宋"/>
                <w:color w:val="auto"/>
                <w:sz w:val="24"/>
              </w:rPr>
            </w:pPr>
          </w:p>
        </w:tc>
        <w:tc>
          <w:tcPr>
            <w:tcW w:w="2269" w:type="dxa"/>
            <w:vAlign w:val="center"/>
          </w:tcPr>
          <w:p w14:paraId="5B71D1F2">
            <w:pPr>
              <w:spacing w:line="400" w:lineRule="exact"/>
              <w:ind w:firstLine="0" w:firstLineChars="0"/>
              <w:jc w:val="center"/>
              <w:rPr>
                <w:rFonts w:ascii="仿宋" w:hAnsi="仿宋" w:eastAsia="仿宋"/>
                <w:color w:val="auto"/>
                <w:sz w:val="24"/>
              </w:rPr>
            </w:pPr>
          </w:p>
        </w:tc>
        <w:tc>
          <w:tcPr>
            <w:tcW w:w="2268" w:type="dxa"/>
            <w:vAlign w:val="center"/>
          </w:tcPr>
          <w:p w14:paraId="38900D00">
            <w:pPr>
              <w:spacing w:line="400" w:lineRule="exact"/>
              <w:ind w:firstLine="0" w:firstLineChars="0"/>
              <w:jc w:val="center"/>
              <w:rPr>
                <w:rFonts w:ascii="仿宋" w:hAnsi="仿宋" w:eastAsia="仿宋"/>
                <w:color w:val="auto"/>
                <w:sz w:val="24"/>
              </w:rPr>
            </w:pPr>
          </w:p>
        </w:tc>
      </w:tr>
      <w:tr w14:paraId="095469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102" w:hRule="atLeast"/>
          <w:jc w:val="center"/>
        </w:trPr>
        <w:tc>
          <w:tcPr>
            <w:tcW w:w="2010" w:type="dxa"/>
            <w:vAlign w:val="center"/>
          </w:tcPr>
          <w:p w14:paraId="4E1CE421">
            <w:pPr>
              <w:spacing w:line="400" w:lineRule="exact"/>
              <w:ind w:firstLine="0" w:firstLineChars="0"/>
              <w:jc w:val="center"/>
              <w:rPr>
                <w:rFonts w:ascii="仿宋" w:hAnsi="仿宋" w:eastAsia="仿宋"/>
                <w:color w:val="auto"/>
                <w:sz w:val="24"/>
              </w:rPr>
            </w:pPr>
          </w:p>
        </w:tc>
        <w:tc>
          <w:tcPr>
            <w:tcW w:w="1737" w:type="dxa"/>
            <w:vAlign w:val="center"/>
          </w:tcPr>
          <w:p w14:paraId="45689F74">
            <w:pPr>
              <w:spacing w:line="400" w:lineRule="exact"/>
              <w:ind w:firstLine="0" w:firstLineChars="0"/>
              <w:jc w:val="center"/>
              <w:rPr>
                <w:rFonts w:ascii="仿宋" w:hAnsi="仿宋" w:eastAsia="仿宋"/>
                <w:color w:val="auto"/>
                <w:sz w:val="24"/>
              </w:rPr>
            </w:pPr>
          </w:p>
        </w:tc>
        <w:tc>
          <w:tcPr>
            <w:tcW w:w="2269" w:type="dxa"/>
            <w:vAlign w:val="center"/>
          </w:tcPr>
          <w:p w14:paraId="59B9FA55">
            <w:pPr>
              <w:spacing w:line="400" w:lineRule="exact"/>
              <w:ind w:firstLine="0" w:firstLineChars="0"/>
              <w:jc w:val="center"/>
              <w:rPr>
                <w:rFonts w:ascii="仿宋" w:hAnsi="仿宋" w:eastAsia="仿宋"/>
                <w:color w:val="auto"/>
                <w:sz w:val="24"/>
              </w:rPr>
            </w:pPr>
          </w:p>
        </w:tc>
        <w:tc>
          <w:tcPr>
            <w:tcW w:w="2268" w:type="dxa"/>
            <w:vAlign w:val="center"/>
          </w:tcPr>
          <w:p w14:paraId="4EC57CE0">
            <w:pPr>
              <w:spacing w:line="400" w:lineRule="exact"/>
              <w:ind w:firstLine="0" w:firstLineChars="0"/>
              <w:jc w:val="center"/>
              <w:rPr>
                <w:rFonts w:ascii="仿宋" w:hAnsi="仿宋" w:eastAsia="仿宋"/>
                <w:color w:val="auto"/>
                <w:sz w:val="24"/>
              </w:rPr>
            </w:pPr>
          </w:p>
        </w:tc>
      </w:tr>
    </w:tbl>
    <w:p w14:paraId="0668E1EF">
      <w:pPr>
        <w:ind w:firstLine="480"/>
        <w:rPr>
          <w:rFonts w:ascii="仿宋" w:hAnsi="仿宋" w:eastAsia="仿宋"/>
          <w:color w:val="auto"/>
          <w:sz w:val="24"/>
        </w:rPr>
      </w:pPr>
      <w:r>
        <w:rPr>
          <w:rFonts w:hint="eastAsia" w:ascii="仿宋" w:hAnsi="仿宋" w:eastAsia="仿宋"/>
          <w:color w:val="auto"/>
          <w:sz w:val="24"/>
        </w:rPr>
        <w:t>3．投标人认为需要声明的其他情况：</w:t>
      </w:r>
    </w:p>
    <w:p w14:paraId="00B04DBE">
      <w:pPr>
        <w:ind w:firstLine="480"/>
        <w:rPr>
          <w:rFonts w:ascii="仿宋" w:hAnsi="仿宋" w:eastAsia="仿宋"/>
          <w:bCs/>
          <w:color w:val="auto"/>
          <w:sz w:val="24"/>
        </w:rPr>
      </w:pPr>
      <w:r>
        <w:rPr>
          <w:rFonts w:hint="eastAsia" w:ascii="仿宋" w:hAnsi="仿宋" w:eastAsia="仿宋"/>
          <w:color w:val="auto"/>
          <w:sz w:val="24"/>
        </w:rPr>
        <w:t>兹证明上述声明是真实的、正确的，并提供了全部能提供的资料和数据，我们同意遵照</w:t>
      </w:r>
      <w:r>
        <w:rPr>
          <w:rFonts w:hint="eastAsia" w:ascii="仿宋" w:hAnsi="仿宋" w:eastAsia="仿宋"/>
          <w:bCs/>
          <w:color w:val="auto"/>
          <w:sz w:val="24"/>
          <w:u w:val="single"/>
        </w:rPr>
        <w:t>（采购代理机构）</w:t>
      </w:r>
      <w:r>
        <w:rPr>
          <w:rFonts w:hint="eastAsia" w:ascii="仿宋" w:hAnsi="仿宋" w:eastAsia="仿宋"/>
          <w:bCs/>
          <w:color w:val="auto"/>
          <w:sz w:val="24"/>
        </w:rPr>
        <w:t>要求出示的有关证明文件。</w:t>
      </w:r>
    </w:p>
    <w:p w14:paraId="06A3232E">
      <w:pPr>
        <w:ind w:firstLine="480"/>
        <w:rPr>
          <w:rFonts w:ascii="仿宋" w:hAnsi="仿宋" w:eastAsia="仿宋"/>
          <w:bCs/>
          <w:color w:val="auto"/>
          <w:sz w:val="24"/>
        </w:rPr>
      </w:pPr>
    </w:p>
    <w:p w14:paraId="3B89552F">
      <w:pPr>
        <w:ind w:firstLine="482"/>
        <w:rPr>
          <w:rFonts w:ascii="仿宋" w:hAnsi="仿宋" w:eastAsia="仿宋"/>
          <w:b/>
          <w:color w:val="auto"/>
          <w:sz w:val="24"/>
        </w:rPr>
      </w:pPr>
      <w:r>
        <w:rPr>
          <w:rFonts w:hint="eastAsia" w:ascii="仿宋" w:hAnsi="仿宋" w:eastAsia="仿宋"/>
          <w:b/>
          <w:color w:val="auto"/>
          <w:sz w:val="24"/>
        </w:rPr>
        <w:t>投标人法定代表人或委托代理人签字：</w:t>
      </w:r>
      <w:r>
        <w:rPr>
          <w:rFonts w:hint="eastAsia" w:ascii="仿宋" w:hAnsi="仿宋" w:eastAsia="仿宋"/>
          <w:b/>
          <w:color w:val="auto"/>
          <w:sz w:val="24"/>
          <w:u w:val="single"/>
        </w:rPr>
        <w:t xml:space="preserve">         </w:t>
      </w:r>
    </w:p>
    <w:p w14:paraId="1E95B743">
      <w:pPr>
        <w:ind w:firstLine="482"/>
        <w:rPr>
          <w:rFonts w:ascii="仿宋" w:hAnsi="仿宋" w:eastAsia="仿宋"/>
          <w:b/>
          <w:color w:val="auto"/>
          <w:sz w:val="24"/>
        </w:rPr>
      </w:pPr>
      <w:r>
        <w:rPr>
          <w:rFonts w:hint="eastAsia" w:ascii="仿宋" w:hAnsi="仿宋" w:eastAsia="仿宋"/>
          <w:b/>
          <w:color w:val="auto"/>
          <w:sz w:val="24"/>
        </w:rPr>
        <w:t>投标人名称（签章）：</w:t>
      </w:r>
      <w:r>
        <w:rPr>
          <w:rFonts w:hint="eastAsia" w:ascii="仿宋" w:hAnsi="仿宋" w:eastAsia="仿宋"/>
          <w:b/>
          <w:color w:val="auto"/>
          <w:sz w:val="24"/>
          <w:u w:val="single"/>
        </w:rPr>
        <w:t xml:space="preserve">                       </w:t>
      </w:r>
    </w:p>
    <w:p w14:paraId="70A44EFE">
      <w:pPr>
        <w:ind w:firstLine="480"/>
        <w:rPr>
          <w:rFonts w:ascii="仿宋" w:hAnsi="仿宋" w:eastAsia="仿宋"/>
          <w:bCs/>
          <w:color w:val="auto"/>
          <w:sz w:val="24"/>
        </w:rPr>
      </w:pPr>
      <w:r>
        <w:rPr>
          <w:rFonts w:hint="eastAsia" w:ascii="仿宋" w:hAnsi="仿宋" w:eastAsia="仿宋"/>
          <w:color w:val="auto"/>
          <w:sz w:val="24"/>
        </w:rPr>
        <w:t>时间：</w:t>
      </w:r>
      <w:r>
        <w:rPr>
          <w:rFonts w:hint="eastAsia" w:ascii="仿宋" w:hAnsi="仿宋" w:eastAsia="仿宋"/>
          <w:color w:val="auto"/>
          <w:sz w:val="24"/>
          <w:u w:val="single"/>
        </w:rPr>
        <w:t xml:space="preserve">   </w:t>
      </w:r>
      <w:r>
        <w:rPr>
          <w:rFonts w:ascii="仿宋" w:hAnsi="仿宋" w:eastAsia="仿宋"/>
          <w:color w:val="auto"/>
          <w:sz w:val="24"/>
          <w:u w:val="single"/>
        </w:rPr>
        <w:t xml:space="preserve"> </w:t>
      </w:r>
      <w:r>
        <w:rPr>
          <w:rFonts w:hint="eastAsia" w:ascii="仿宋" w:hAnsi="仿宋" w:eastAsia="仿宋"/>
          <w:color w:val="auto"/>
          <w:sz w:val="24"/>
          <w:u w:val="single"/>
        </w:rPr>
        <w:t xml:space="preserve">       </w:t>
      </w:r>
      <w:r>
        <w:rPr>
          <w:rFonts w:hint="eastAsia" w:ascii="仿宋" w:hAnsi="仿宋" w:eastAsia="仿宋"/>
          <w:color w:val="auto"/>
          <w:sz w:val="24"/>
        </w:rPr>
        <w:t>年</w:t>
      </w:r>
      <w:r>
        <w:rPr>
          <w:rFonts w:hint="eastAsia" w:ascii="仿宋" w:hAnsi="仿宋" w:eastAsia="仿宋"/>
          <w:color w:val="auto"/>
          <w:sz w:val="24"/>
          <w:u w:val="single"/>
        </w:rPr>
        <w:t xml:space="preserve">     </w:t>
      </w:r>
      <w:r>
        <w:rPr>
          <w:rFonts w:ascii="仿宋" w:hAnsi="仿宋" w:eastAsia="仿宋"/>
          <w:color w:val="auto"/>
          <w:sz w:val="24"/>
          <w:u w:val="single"/>
        </w:rPr>
        <w:t xml:space="preserve"> </w:t>
      </w:r>
      <w:r>
        <w:rPr>
          <w:rFonts w:hint="eastAsia" w:ascii="仿宋" w:hAnsi="仿宋" w:eastAsia="仿宋"/>
          <w:color w:val="auto"/>
          <w:sz w:val="24"/>
          <w:u w:val="single"/>
        </w:rPr>
        <w:t xml:space="preserve">     </w:t>
      </w:r>
      <w:r>
        <w:rPr>
          <w:rFonts w:hint="eastAsia" w:ascii="仿宋" w:hAnsi="仿宋" w:eastAsia="仿宋"/>
          <w:color w:val="auto"/>
          <w:sz w:val="24"/>
        </w:rPr>
        <w:t>月</w:t>
      </w:r>
      <w:r>
        <w:rPr>
          <w:rFonts w:hint="eastAsia" w:ascii="仿宋" w:hAnsi="仿宋" w:eastAsia="仿宋"/>
          <w:color w:val="auto"/>
          <w:sz w:val="24"/>
          <w:u w:val="single"/>
        </w:rPr>
        <w:t xml:space="preserve">          </w:t>
      </w:r>
      <w:r>
        <w:rPr>
          <w:rFonts w:hint="eastAsia" w:ascii="仿宋" w:hAnsi="仿宋" w:eastAsia="仿宋"/>
          <w:color w:val="auto"/>
          <w:sz w:val="24"/>
        </w:rPr>
        <w:t>日</w:t>
      </w:r>
    </w:p>
    <w:p w14:paraId="6A775551">
      <w:pPr>
        <w:ind w:firstLine="0" w:firstLineChars="0"/>
        <w:rPr>
          <w:rFonts w:ascii="仿宋" w:hAnsi="仿宋" w:eastAsia="仿宋"/>
          <w:color w:val="auto"/>
          <w:kern w:val="0"/>
          <w:szCs w:val="21"/>
        </w:rPr>
      </w:pPr>
    </w:p>
    <w:p w14:paraId="7F10E5C1">
      <w:pPr>
        <w:numPr>
          <w:ilvl w:val="0"/>
          <w:numId w:val="2"/>
        </w:numPr>
        <w:autoSpaceDE w:val="0"/>
        <w:autoSpaceDN w:val="0"/>
        <w:adjustRightInd w:val="0"/>
        <w:snapToGrid w:val="0"/>
        <w:spacing w:before="156" w:beforeLines="50" w:after="156" w:afterLines="50" w:line="240" w:lineRule="auto"/>
        <w:ind w:left="0" w:firstLine="0" w:firstLineChars="0"/>
        <w:jc w:val="center"/>
        <w:outlineLvl w:val="1"/>
        <w:rPr>
          <w:rFonts w:ascii="仿宋" w:hAnsi="仿宋" w:eastAsia="仿宋"/>
          <w:color w:val="auto"/>
          <w:sz w:val="24"/>
        </w:rPr>
      </w:pPr>
      <w:r>
        <w:rPr>
          <w:rFonts w:hint="eastAsia" w:ascii="仿宋" w:hAnsi="仿宋" w:eastAsia="仿宋"/>
          <w:color w:val="auto"/>
          <w:sz w:val="24"/>
        </w:rPr>
        <w:br w:type="page"/>
      </w:r>
      <w:bookmarkEnd w:id="183"/>
      <w:bookmarkStart w:id="223" w:name="_Toc181712931"/>
      <w:bookmarkStart w:id="224" w:name="_Toc177738092"/>
      <w:bookmarkStart w:id="225" w:name="_Toc494528995"/>
      <w:bookmarkStart w:id="226" w:name="_Toc2072010"/>
      <w:r>
        <w:rPr>
          <w:rFonts w:hint="eastAsia" w:ascii="仿宋" w:hAnsi="仿宋" w:eastAsia="仿宋"/>
          <w:color w:val="auto"/>
          <w:sz w:val="28"/>
          <w:szCs w:val="28"/>
        </w:rPr>
        <w:t>与本次招标有关的资格证明文件</w:t>
      </w:r>
      <w:bookmarkEnd w:id="223"/>
      <w:bookmarkEnd w:id="224"/>
      <w:bookmarkEnd w:id="225"/>
      <w:bookmarkEnd w:id="226"/>
    </w:p>
    <w:p w14:paraId="464B1B71">
      <w:pPr>
        <w:autoSpaceDE w:val="0"/>
        <w:autoSpaceDN w:val="0"/>
        <w:adjustRightInd w:val="0"/>
        <w:ind w:firstLine="0" w:firstLineChars="0"/>
        <w:jc w:val="left"/>
        <w:rPr>
          <w:rFonts w:ascii="仿宋" w:hAnsi="仿宋" w:eastAsia="仿宋"/>
          <w:color w:val="auto"/>
          <w:szCs w:val="21"/>
        </w:rPr>
      </w:pPr>
    </w:p>
    <w:p w14:paraId="4A68A17B">
      <w:pPr>
        <w:autoSpaceDE w:val="0"/>
        <w:autoSpaceDN w:val="0"/>
        <w:adjustRightInd w:val="0"/>
        <w:ind w:firstLine="0" w:firstLineChars="0"/>
        <w:jc w:val="center"/>
        <w:rPr>
          <w:rFonts w:ascii="仿宋" w:hAnsi="仿宋" w:eastAsia="仿宋"/>
          <w:color w:val="auto"/>
          <w:sz w:val="24"/>
          <w:szCs w:val="21"/>
        </w:rPr>
      </w:pPr>
      <w:r>
        <w:rPr>
          <w:rFonts w:hint="eastAsia" w:ascii="仿宋" w:hAnsi="仿宋" w:eastAsia="仿宋"/>
          <w:color w:val="auto"/>
          <w:sz w:val="24"/>
          <w:szCs w:val="21"/>
        </w:rPr>
        <w:t>应按本招标文件《第二章 投标人须知》第一项投标人须知前附表中第1</w:t>
      </w:r>
      <w:r>
        <w:rPr>
          <w:rFonts w:ascii="仿宋" w:hAnsi="仿宋" w:eastAsia="仿宋"/>
          <w:color w:val="auto"/>
          <w:sz w:val="24"/>
          <w:szCs w:val="21"/>
        </w:rPr>
        <w:t>4</w:t>
      </w:r>
      <w:r>
        <w:rPr>
          <w:rFonts w:hint="eastAsia" w:ascii="仿宋" w:hAnsi="仿宋" w:eastAsia="仿宋"/>
          <w:color w:val="auto"/>
          <w:sz w:val="24"/>
          <w:szCs w:val="21"/>
        </w:rPr>
        <w:t>.</w:t>
      </w:r>
      <w:r>
        <w:rPr>
          <w:rFonts w:ascii="仿宋" w:hAnsi="仿宋" w:eastAsia="仿宋"/>
          <w:color w:val="auto"/>
          <w:sz w:val="24"/>
          <w:szCs w:val="21"/>
        </w:rPr>
        <w:t>1</w:t>
      </w:r>
      <w:r>
        <w:rPr>
          <w:rFonts w:hint="eastAsia" w:ascii="仿宋" w:hAnsi="仿宋" w:eastAsia="仿宋"/>
          <w:color w:val="auto"/>
          <w:sz w:val="24"/>
          <w:szCs w:val="21"/>
        </w:rPr>
        <w:t>条款的要求提供。</w:t>
      </w:r>
    </w:p>
    <w:bookmarkEnd w:id="184"/>
    <w:bookmarkEnd w:id="185"/>
    <w:bookmarkEnd w:id="186"/>
    <w:p w14:paraId="2B07C6F3">
      <w:pPr>
        <w:numPr>
          <w:ilvl w:val="0"/>
          <w:numId w:val="2"/>
        </w:numPr>
        <w:autoSpaceDE w:val="0"/>
        <w:autoSpaceDN w:val="0"/>
        <w:adjustRightInd w:val="0"/>
        <w:snapToGrid w:val="0"/>
        <w:spacing w:before="156" w:beforeLines="50" w:after="156" w:afterLines="50" w:line="240" w:lineRule="auto"/>
        <w:ind w:left="0" w:firstLine="0" w:firstLineChars="0"/>
        <w:jc w:val="center"/>
        <w:outlineLvl w:val="1"/>
        <w:rPr>
          <w:rFonts w:ascii="仿宋" w:hAnsi="仿宋" w:eastAsia="仿宋"/>
          <w:color w:val="auto"/>
          <w:sz w:val="24"/>
        </w:rPr>
      </w:pPr>
      <w:bookmarkStart w:id="227" w:name="_Toc2072011"/>
      <w:bookmarkStart w:id="228" w:name="_Toc494528996"/>
      <w:r>
        <w:rPr>
          <w:rFonts w:hint="eastAsia" w:ascii="仿宋" w:hAnsi="仿宋" w:eastAsia="仿宋"/>
          <w:color w:val="auto"/>
          <w:sz w:val="24"/>
        </w:rPr>
        <w:br w:type="page"/>
      </w:r>
      <w:bookmarkStart w:id="229" w:name="_Toc181712932"/>
      <w:bookmarkStart w:id="230" w:name="_Toc177738093"/>
      <w:r>
        <w:rPr>
          <w:rFonts w:hint="eastAsia" w:ascii="仿宋" w:hAnsi="仿宋" w:eastAsia="仿宋"/>
          <w:color w:val="auto"/>
          <w:sz w:val="28"/>
          <w:szCs w:val="28"/>
        </w:rPr>
        <w:t>招标文件中要求提供的其他资料</w:t>
      </w:r>
      <w:bookmarkEnd w:id="227"/>
      <w:bookmarkEnd w:id="228"/>
      <w:bookmarkEnd w:id="229"/>
      <w:bookmarkEnd w:id="230"/>
    </w:p>
    <w:p w14:paraId="646814E4">
      <w:pPr>
        <w:widowControl/>
        <w:spacing w:line="240" w:lineRule="auto"/>
        <w:ind w:left="425" w:firstLine="0" w:firstLineChars="0"/>
        <w:jc w:val="center"/>
        <w:rPr>
          <w:rFonts w:ascii="仿宋" w:hAnsi="仿宋" w:eastAsia="仿宋"/>
          <w:bCs/>
          <w:color w:val="auto"/>
          <w:sz w:val="24"/>
        </w:rPr>
      </w:pPr>
      <w:bookmarkStart w:id="231" w:name="_Toc134623437"/>
      <w:bookmarkStart w:id="232" w:name="_Toc494528991"/>
      <w:bookmarkStart w:id="233" w:name="_Toc108185466"/>
      <w:bookmarkStart w:id="234" w:name="_Toc264644277"/>
      <w:bookmarkStart w:id="235" w:name="_Toc108170864"/>
      <w:bookmarkStart w:id="236" w:name="_Toc276368925"/>
      <w:bookmarkStart w:id="237" w:name="_Toc294282816"/>
      <w:bookmarkStart w:id="238" w:name="_Toc48068146"/>
      <w:bookmarkStart w:id="239" w:name="_Toc439853872"/>
      <w:bookmarkStart w:id="240" w:name="_Toc434219634"/>
      <w:bookmarkStart w:id="241" w:name="_Toc32059"/>
      <w:bookmarkStart w:id="242" w:name="_Toc515823018"/>
      <w:bookmarkStart w:id="243" w:name="_Toc2072012"/>
      <w:bookmarkStart w:id="244" w:name="_Toc414626841"/>
      <w:r>
        <w:rPr>
          <w:rFonts w:hint="eastAsia" w:ascii="仿宋" w:hAnsi="仿宋" w:eastAsia="仿宋"/>
          <w:bCs/>
          <w:color w:val="auto"/>
          <w:sz w:val="24"/>
        </w:rPr>
        <w:t>包括但不限于如下内容</w:t>
      </w:r>
    </w:p>
    <w:p w14:paraId="07F66D03">
      <w:pPr>
        <w:widowControl/>
        <w:spacing w:line="240" w:lineRule="auto"/>
        <w:ind w:left="425" w:firstLine="0" w:firstLineChars="0"/>
        <w:jc w:val="center"/>
        <w:rPr>
          <w:rFonts w:ascii="仿宋" w:hAnsi="仿宋" w:eastAsia="仿宋"/>
          <w:bCs/>
          <w:color w:val="auto"/>
          <w:sz w:val="24"/>
        </w:rPr>
      </w:pPr>
      <w:r>
        <w:rPr>
          <w:rFonts w:hint="eastAsia" w:ascii="仿宋" w:hAnsi="仿宋" w:eastAsia="仿宋"/>
          <w:bCs/>
          <w:color w:val="auto"/>
          <w:sz w:val="24"/>
        </w:rPr>
        <w:t>（1）投标货物∕服务清单</w:t>
      </w:r>
      <w:bookmarkEnd w:id="231"/>
      <w:bookmarkEnd w:id="232"/>
      <w:bookmarkEnd w:id="233"/>
      <w:bookmarkEnd w:id="234"/>
      <w:bookmarkEnd w:id="235"/>
    </w:p>
    <w:p w14:paraId="13C0BB13">
      <w:pPr>
        <w:widowControl/>
        <w:spacing w:line="240" w:lineRule="auto"/>
        <w:ind w:firstLine="0" w:firstLineChars="0"/>
        <w:jc w:val="left"/>
        <w:rPr>
          <w:rFonts w:ascii="仿宋" w:hAnsi="仿宋" w:eastAsia="仿宋"/>
          <w:bCs/>
          <w:color w:val="auto"/>
          <w:sz w:val="24"/>
        </w:rPr>
      </w:pPr>
    </w:p>
    <w:tbl>
      <w:tblPr>
        <w:tblStyle w:val="44"/>
        <w:tblW w:w="850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57" w:type="dxa"/>
          <w:left w:w="57" w:type="dxa"/>
          <w:bottom w:w="57" w:type="dxa"/>
          <w:right w:w="57" w:type="dxa"/>
        </w:tblCellMar>
      </w:tblPr>
      <w:tblGrid>
        <w:gridCol w:w="708"/>
        <w:gridCol w:w="1985"/>
        <w:gridCol w:w="2275"/>
        <w:gridCol w:w="2261"/>
        <w:gridCol w:w="1276"/>
      </w:tblGrid>
      <w:tr w14:paraId="6EC384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21" w:hRule="atLeast"/>
          <w:jc w:val="center"/>
        </w:trPr>
        <w:tc>
          <w:tcPr>
            <w:tcW w:w="708" w:type="dxa"/>
            <w:vAlign w:val="center"/>
          </w:tcPr>
          <w:p w14:paraId="63D5771B">
            <w:pPr>
              <w:widowControl/>
              <w:spacing w:line="240" w:lineRule="auto"/>
              <w:ind w:firstLine="0" w:firstLineChars="0"/>
              <w:jc w:val="center"/>
              <w:rPr>
                <w:rFonts w:ascii="仿宋" w:hAnsi="仿宋" w:eastAsia="仿宋"/>
                <w:bCs/>
                <w:color w:val="auto"/>
                <w:sz w:val="24"/>
              </w:rPr>
            </w:pPr>
            <w:r>
              <w:rPr>
                <w:rFonts w:hint="eastAsia" w:ascii="仿宋" w:hAnsi="仿宋" w:eastAsia="仿宋"/>
                <w:bCs/>
                <w:color w:val="auto"/>
                <w:sz w:val="24"/>
              </w:rPr>
              <w:t>序号</w:t>
            </w:r>
          </w:p>
        </w:tc>
        <w:tc>
          <w:tcPr>
            <w:tcW w:w="1985" w:type="dxa"/>
            <w:vAlign w:val="center"/>
          </w:tcPr>
          <w:p w14:paraId="0F473149">
            <w:pPr>
              <w:widowControl/>
              <w:spacing w:line="240" w:lineRule="auto"/>
              <w:ind w:firstLine="0" w:firstLineChars="0"/>
              <w:jc w:val="center"/>
              <w:rPr>
                <w:rFonts w:ascii="仿宋" w:hAnsi="仿宋" w:eastAsia="仿宋"/>
                <w:bCs/>
                <w:color w:val="auto"/>
                <w:sz w:val="24"/>
              </w:rPr>
            </w:pPr>
            <w:r>
              <w:rPr>
                <w:rFonts w:hint="eastAsia" w:ascii="仿宋" w:hAnsi="仿宋" w:eastAsia="仿宋"/>
                <w:bCs/>
                <w:color w:val="auto"/>
                <w:sz w:val="24"/>
              </w:rPr>
              <w:t>名称</w:t>
            </w:r>
          </w:p>
        </w:tc>
        <w:tc>
          <w:tcPr>
            <w:tcW w:w="2275" w:type="dxa"/>
            <w:vAlign w:val="center"/>
          </w:tcPr>
          <w:p w14:paraId="393A7544">
            <w:pPr>
              <w:widowControl/>
              <w:spacing w:line="240" w:lineRule="auto"/>
              <w:ind w:firstLine="0" w:firstLineChars="0"/>
              <w:jc w:val="center"/>
              <w:rPr>
                <w:rFonts w:ascii="仿宋" w:hAnsi="仿宋" w:eastAsia="仿宋"/>
                <w:bCs/>
                <w:color w:val="auto"/>
                <w:sz w:val="24"/>
              </w:rPr>
            </w:pPr>
            <w:r>
              <w:rPr>
                <w:rFonts w:hint="eastAsia" w:ascii="仿宋" w:hAnsi="仿宋" w:eastAsia="仿宋"/>
                <w:bCs/>
                <w:color w:val="auto"/>
                <w:sz w:val="24"/>
              </w:rPr>
              <w:t>制造商/服务提供商</w:t>
            </w:r>
          </w:p>
        </w:tc>
        <w:tc>
          <w:tcPr>
            <w:tcW w:w="2261" w:type="dxa"/>
            <w:vAlign w:val="center"/>
          </w:tcPr>
          <w:p w14:paraId="12B190F1">
            <w:pPr>
              <w:widowControl/>
              <w:spacing w:line="240" w:lineRule="auto"/>
              <w:ind w:firstLine="0" w:firstLineChars="0"/>
              <w:jc w:val="center"/>
              <w:rPr>
                <w:rFonts w:ascii="仿宋" w:hAnsi="仿宋" w:eastAsia="仿宋"/>
                <w:bCs/>
                <w:color w:val="auto"/>
                <w:sz w:val="24"/>
              </w:rPr>
            </w:pPr>
            <w:r>
              <w:rPr>
                <w:rFonts w:hint="eastAsia" w:ascii="仿宋" w:hAnsi="仿宋" w:eastAsia="仿宋"/>
                <w:bCs/>
                <w:color w:val="auto"/>
                <w:sz w:val="24"/>
              </w:rPr>
              <w:t>规格型号/技术规格</w:t>
            </w:r>
          </w:p>
        </w:tc>
        <w:tc>
          <w:tcPr>
            <w:tcW w:w="1276" w:type="dxa"/>
            <w:vAlign w:val="center"/>
          </w:tcPr>
          <w:p w14:paraId="41121BDB">
            <w:pPr>
              <w:widowControl/>
              <w:spacing w:line="240" w:lineRule="auto"/>
              <w:ind w:firstLine="0" w:firstLineChars="0"/>
              <w:jc w:val="center"/>
              <w:rPr>
                <w:rFonts w:ascii="仿宋" w:hAnsi="仿宋" w:eastAsia="仿宋"/>
                <w:bCs/>
                <w:color w:val="auto"/>
                <w:sz w:val="24"/>
              </w:rPr>
            </w:pPr>
            <w:r>
              <w:rPr>
                <w:rFonts w:hint="eastAsia" w:ascii="仿宋" w:hAnsi="仿宋" w:eastAsia="仿宋"/>
                <w:bCs/>
                <w:color w:val="auto"/>
                <w:sz w:val="24"/>
              </w:rPr>
              <w:t>数量</w:t>
            </w:r>
          </w:p>
        </w:tc>
      </w:tr>
      <w:tr w14:paraId="0C7144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21" w:hRule="atLeast"/>
          <w:jc w:val="center"/>
        </w:trPr>
        <w:tc>
          <w:tcPr>
            <w:tcW w:w="708" w:type="dxa"/>
            <w:vAlign w:val="center"/>
          </w:tcPr>
          <w:p w14:paraId="5DB11BEA">
            <w:pPr>
              <w:widowControl/>
              <w:spacing w:line="240" w:lineRule="auto"/>
              <w:ind w:firstLine="0" w:firstLineChars="0"/>
              <w:jc w:val="center"/>
              <w:rPr>
                <w:rFonts w:ascii="仿宋" w:hAnsi="仿宋" w:eastAsia="仿宋"/>
                <w:bCs/>
                <w:color w:val="auto"/>
                <w:sz w:val="24"/>
              </w:rPr>
            </w:pPr>
            <w:r>
              <w:rPr>
                <w:rFonts w:hint="eastAsia" w:ascii="仿宋" w:hAnsi="仿宋" w:eastAsia="仿宋"/>
                <w:bCs/>
                <w:color w:val="auto"/>
                <w:sz w:val="24"/>
              </w:rPr>
              <w:t>1</w:t>
            </w:r>
          </w:p>
        </w:tc>
        <w:tc>
          <w:tcPr>
            <w:tcW w:w="1985" w:type="dxa"/>
            <w:vAlign w:val="center"/>
          </w:tcPr>
          <w:p w14:paraId="6E88BABE">
            <w:pPr>
              <w:widowControl/>
              <w:spacing w:line="240" w:lineRule="auto"/>
              <w:ind w:firstLine="0" w:firstLineChars="0"/>
              <w:jc w:val="center"/>
              <w:rPr>
                <w:rFonts w:ascii="仿宋" w:hAnsi="仿宋" w:eastAsia="仿宋"/>
                <w:bCs/>
                <w:color w:val="auto"/>
                <w:sz w:val="24"/>
              </w:rPr>
            </w:pPr>
          </w:p>
        </w:tc>
        <w:tc>
          <w:tcPr>
            <w:tcW w:w="2275" w:type="dxa"/>
            <w:vAlign w:val="center"/>
          </w:tcPr>
          <w:p w14:paraId="0E7109F5">
            <w:pPr>
              <w:widowControl/>
              <w:spacing w:line="240" w:lineRule="auto"/>
              <w:ind w:firstLine="0" w:firstLineChars="0"/>
              <w:jc w:val="center"/>
              <w:rPr>
                <w:rFonts w:ascii="仿宋" w:hAnsi="仿宋" w:eastAsia="仿宋"/>
                <w:bCs/>
                <w:color w:val="auto"/>
                <w:sz w:val="24"/>
              </w:rPr>
            </w:pPr>
          </w:p>
        </w:tc>
        <w:tc>
          <w:tcPr>
            <w:tcW w:w="2261" w:type="dxa"/>
            <w:vAlign w:val="center"/>
          </w:tcPr>
          <w:p w14:paraId="2197A418">
            <w:pPr>
              <w:widowControl/>
              <w:spacing w:line="240" w:lineRule="auto"/>
              <w:ind w:firstLine="0" w:firstLineChars="0"/>
              <w:jc w:val="center"/>
              <w:rPr>
                <w:rFonts w:ascii="仿宋" w:hAnsi="仿宋" w:eastAsia="仿宋"/>
                <w:bCs/>
                <w:color w:val="auto"/>
                <w:sz w:val="24"/>
              </w:rPr>
            </w:pPr>
          </w:p>
        </w:tc>
        <w:tc>
          <w:tcPr>
            <w:tcW w:w="1276" w:type="dxa"/>
            <w:vAlign w:val="center"/>
          </w:tcPr>
          <w:p w14:paraId="517EE703">
            <w:pPr>
              <w:widowControl/>
              <w:spacing w:line="240" w:lineRule="auto"/>
              <w:ind w:firstLine="0" w:firstLineChars="0"/>
              <w:jc w:val="center"/>
              <w:rPr>
                <w:rFonts w:ascii="仿宋" w:hAnsi="仿宋" w:eastAsia="仿宋"/>
                <w:bCs/>
                <w:color w:val="auto"/>
                <w:sz w:val="24"/>
              </w:rPr>
            </w:pPr>
          </w:p>
        </w:tc>
      </w:tr>
      <w:tr w14:paraId="7D66C7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21" w:hRule="atLeast"/>
          <w:jc w:val="center"/>
        </w:trPr>
        <w:tc>
          <w:tcPr>
            <w:tcW w:w="708" w:type="dxa"/>
            <w:vAlign w:val="center"/>
          </w:tcPr>
          <w:p w14:paraId="704D222E">
            <w:pPr>
              <w:widowControl/>
              <w:spacing w:line="240" w:lineRule="auto"/>
              <w:ind w:firstLine="0" w:firstLineChars="0"/>
              <w:jc w:val="center"/>
              <w:rPr>
                <w:rFonts w:ascii="仿宋" w:hAnsi="仿宋" w:eastAsia="仿宋"/>
                <w:bCs/>
                <w:color w:val="auto"/>
                <w:sz w:val="24"/>
              </w:rPr>
            </w:pPr>
            <w:r>
              <w:rPr>
                <w:rFonts w:hint="eastAsia" w:ascii="仿宋" w:hAnsi="仿宋" w:eastAsia="仿宋"/>
                <w:bCs/>
                <w:color w:val="auto"/>
                <w:sz w:val="24"/>
              </w:rPr>
              <w:t>2</w:t>
            </w:r>
          </w:p>
        </w:tc>
        <w:tc>
          <w:tcPr>
            <w:tcW w:w="1985" w:type="dxa"/>
            <w:vAlign w:val="center"/>
          </w:tcPr>
          <w:p w14:paraId="5A252F07">
            <w:pPr>
              <w:widowControl/>
              <w:spacing w:line="240" w:lineRule="auto"/>
              <w:ind w:firstLine="0" w:firstLineChars="0"/>
              <w:jc w:val="center"/>
              <w:rPr>
                <w:rFonts w:ascii="仿宋" w:hAnsi="仿宋" w:eastAsia="仿宋"/>
                <w:bCs/>
                <w:color w:val="auto"/>
                <w:sz w:val="24"/>
              </w:rPr>
            </w:pPr>
          </w:p>
        </w:tc>
        <w:tc>
          <w:tcPr>
            <w:tcW w:w="2275" w:type="dxa"/>
            <w:vAlign w:val="center"/>
          </w:tcPr>
          <w:p w14:paraId="5F8A042C">
            <w:pPr>
              <w:widowControl/>
              <w:spacing w:line="240" w:lineRule="auto"/>
              <w:ind w:firstLine="0" w:firstLineChars="0"/>
              <w:jc w:val="center"/>
              <w:rPr>
                <w:rFonts w:ascii="仿宋" w:hAnsi="仿宋" w:eastAsia="仿宋"/>
                <w:bCs/>
                <w:color w:val="auto"/>
                <w:sz w:val="24"/>
              </w:rPr>
            </w:pPr>
          </w:p>
        </w:tc>
        <w:tc>
          <w:tcPr>
            <w:tcW w:w="2261" w:type="dxa"/>
            <w:vAlign w:val="center"/>
          </w:tcPr>
          <w:p w14:paraId="4CCEE3A6">
            <w:pPr>
              <w:widowControl/>
              <w:spacing w:line="240" w:lineRule="auto"/>
              <w:ind w:firstLine="0" w:firstLineChars="0"/>
              <w:jc w:val="center"/>
              <w:rPr>
                <w:rFonts w:ascii="仿宋" w:hAnsi="仿宋" w:eastAsia="仿宋"/>
                <w:bCs/>
                <w:color w:val="auto"/>
                <w:sz w:val="24"/>
              </w:rPr>
            </w:pPr>
          </w:p>
        </w:tc>
        <w:tc>
          <w:tcPr>
            <w:tcW w:w="1276" w:type="dxa"/>
            <w:vAlign w:val="center"/>
          </w:tcPr>
          <w:p w14:paraId="38004513">
            <w:pPr>
              <w:widowControl/>
              <w:spacing w:line="240" w:lineRule="auto"/>
              <w:ind w:firstLine="0" w:firstLineChars="0"/>
              <w:jc w:val="center"/>
              <w:rPr>
                <w:rFonts w:ascii="仿宋" w:hAnsi="仿宋" w:eastAsia="仿宋"/>
                <w:bCs/>
                <w:color w:val="auto"/>
                <w:sz w:val="24"/>
              </w:rPr>
            </w:pPr>
          </w:p>
        </w:tc>
      </w:tr>
      <w:tr w14:paraId="08DB35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21" w:hRule="atLeast"/>
          <w:jc w:val="center"/>
        </w:trPr>
        <w:tc>
          <w:tcPr>
            <w:tcW w:w="708" w:type="dxa"/>
            <w:vAlign w:val="center"/>
          </w:tcPr>
          <w:p w14:paraId="6B087AD7">
            <w:pPr>
              <w:widowControl/>
              <w:spacing w:line="240" w:lineRule="auto"/>
              <w:ind w:firstLine="0" w:firstLineChars="0"/>
              <w:jc w:val="center"/>
              <w:rPr>
                <w:rFonts w:ascii="仿宋" w:hAnsi="仿宋" w:eastAsia="仿宋"/>
                <w:bCs/>
                <w:color w:val="auto"/>
                <w:sz w:val="24"/>
              </w:rPr>
            </w:pPr>
            <w:r>
              <w:rPr>
                <w:rFonts w:hint="eastAsia" w:ascii="仿宋" w:hAnsi="仿宋" w:eastAsia="仿宋"/>
                <w:bCs/>
                <w:color w:val="auto"/>
                <w:sz w:val="24"/>
              </w:rPr>
              <w:t>3</w:t>
            </w:r>
          </w:p>
        </w:tc>
        <w:tc>
          <w:tcPr>
            <w:tcW w:w="1985" w:type="dxa"/>
            <w:vAlign w:val="center"/>
          </w:tcPr>
          <w:p w14:paraId="3F5D6F55">
            <w:pPr>
              <w:widowControl/>
              <w:spacing w:line="240" w:lineRule="auto"/>
              <w:ind w:firstLine="0" w:firstLineChars="0"/>
              <w:jc w:val="center"/>
              <w:rPr>
                <w:rFonts w:ascii="仿宋" w:hAnsi="仿宋" w:eastAsia="仿宋"/>
                <w:bCs/>
                <w:color w:val="auto"/>
                <w:sz w:val="24"/>
              </w:rPr>
            </w:pPr>
          </w:p>
        </w:tc>
        <w:tc>
          <w:tcPr>
            <w:tcW w:w="2275" w:type="dxa"/>
            <w:vAlign w:val="center"/>
          </w:tcPr>
          <w:p w14:paraId="7E84F900">
            <w:pPr>
              <w:widowControl/>
              <w:spacing w:line="240" w:lineRule="auto"/>
              <w:ind w:firstLine="0" w:firstLineChars="0"/>
              <w:jc w:val="center"/>
              <w:rPr>
                <w:rFonts w:ascii="仿宋" w:hAnsi="仿宋" w:eastAsia="仿宋"/>
                <w:bCs/>
                <w:color w:val="auto"/>
                <w:sz w:val="24"/>
              </w:rPr>
            </w:pPr>
          </w:p>
        </w:tc>
        <w:tc>
          <w:tcPr>
            <w:tcW w:w="2261" w:type="dxa"/>
            <w:vAlign w:val="center"/>
          </w:tcPr>
          <w:p w14:paraId="4E516F22">
            <w:pPr>
              <w:widowControl/>
              <w:spacing w:line="240" w:lineRule="auto"/>
              <w:ind w:firstLine="0" w:firstLineChars="0"/>
              <w:jc w:val="center"/>
              <w:rPr>
                <w:rFonts w:ascii="仿宋" w:hAnsi="仿宋" w:eastAsia="仿宋"/>
                <w:bCs/>
                <w:color w:val="auto"/>
                <w:sz w:val="24"/>
              </w:rPr>
            </w:pPr>
          </w:p>
        </w:tc>
        <w:tc>
          <w:tcPr>
            <w:tcW w:w="1276" w:type="dxa"/>
            <w:vAlign w:val="center"/>
          </w:tcPr>
          <w:p w14:paraId="25214831">
            <w:pPr>
              <w:widowControl/>
              <w:spacing w:line="240" w:lineRule="auto"/>
              <w:ind w:firstLine="0" w:firstLineChars="0"/>
              <w:jc w:val="center"/>
              <w:rPr>
                <w:rFonts w:ascii="仿宋" w:hAnsi="仿宋" w:eastAsia="仿宋"/>
                <w:bCs/>
                <w:color w:val="auto"/>
                <w:sz w:val="24"/>
              </w:rPr>
            </w:pPr>
          </w:p>
        </w:tc>
      </w:tr>
      <w:tr w14:paraId="55F7FE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21" w:hRule="atLeast"/>
          <w:jc w:val="center"/>
        </w:trPr>
        <w:tc>
          <w:tcPr>
            <w:tcW w:w="708" w:type="dxa"/>
            <w:vAlign w:val="center"/>
          </w:tcPr>
          <w:p w14:paraId="5C9898F9">
            <w:pPr>
              <w:widowControl/>
              <w:spacing w:line="240" w:lineRule="auto"/>
              <w:ind w:firstLine="0" w:firstLineChars="0"/>
              <w:jc w:val="center"/>
              <w:rPr>
                <w:rFonts w:ascii="仿宋" w:hAnsi="仿宋" w:eastAsia="仿宋"/>
                <w:bCs/>
                <w:color w:val="auto"/>
                <w:sz w:val="24"/>
              </w:rPr>
            </w:pPr>
            <w:r>
              <w:rPr>
                <w:rFonts w:hint="eastAsia" w:ascii="仿宋" w:hAnsi="仿宋" w:eastAsia="仿宋"/>
                <w:bCs/>
                <w:color w:val="auto"/>
                <w:sz w:val="24"/>
              </w:rPr>
              <w:t>4</w:t>
            </w:r>
          </w:p>
        </w:tc>
        <w:tc>
          <w:tcPr>
            <w:tcW w:w="1985" w:type="dxa"/>
            <w:vAlign w:val="center"/>
          </w:tcPr>
          <w:p w14:paraId="653165AA">
            <w:pPr>
              <w:widowControl/>
              <w:spacing w:line="240" w:lineRule="auto"/>
              <w:ind w:firstLine="0" w:firstLineChars="0"/>
              <w:jc w:val="center"/>
              <w:rPr>
                <w:rFonts w:ascii="仿宋" w:hAnsi="仿宋" w:eastAsia="仿宋"/>
                <w:bCs/>
                <w:color w:val="auto"/>
                <w:sz w:val="24"/>
              </w:rPr>
            </w:pPr>
          </w:p>
        </w:tc>
        <w:tc>
          <w:tcPr>
            <w:tcW w:w="2275" w:type="dxa"/>
            <w:vAlign w:val="center"/>
          </w:tcPr>
          <w:p w14:paraId="33162976">
            <w:pPr>
              <w:widowControl/>
              <w:spacing w:line="240" w:lineRule="auto"/>
              <w:ind w:firstLine="0" w:firstLineChars="0"/>
              <w:jc w:val="center"/>
              <w:rPr>
                <w:rFonts w:ascii="仿宋" w:hAnsi="仿宋" w:eastAsia="仿宋"/>
                <w:bCs/>
                <w:color w:val="auto"/>
                <w:sz w:val="24"/>
              </w:rPr>
            </w:pPr>
          </w:p>
        </w:tc>
        <w:tc>
          <w:tcPr>
            <w:tcW w:w="2261" w:type="dxa"/>
            <w:vAlign w:val="center"/>
          </w:tcPr>
          <w:p w14:paraId="7441739F">
            <w:pPr>
              <w:widowControl/>
              <w:spacing w:line="240" w:lineRule="auto"/>
              <w:ind w:firstLine="0" w:firstLineChars="0"/>
              <w:jc w:val="center"/>
              <w:rPr>
                <w:rFonts w:ascii="仿宋" w:hAnsi="仿宋" w:eastAsia="仿宋"/>
                <w:bCs/>
                <w:color w:val="auto"/>
                <w:sz w:val="24"/>
              </w:rPr>
            </w:pPr>
          </w:p>
        </w:tc>
        <w:tc>
          <w:tcPr>
            <w:tcW w:w="1276" w:type="dxa"/>
            <w:vAlign w:val="center"/>
          </w:tcPr>
          <w:p w14:paraId="0DFDA036">
            <w:pPr>
              <w:widowControl/>
              <w:spacing w:line="240" w:lineRule="auto"/>
              <w:ind w:firstLine="0" w:firstLineChars="0"/>
              <w:jc w:val="center"/>
              <w:rPr>
                <w:rFonts w:ascii="仿宋" w:hAnsi="仿宋" w:eastAsia="仿宋"/>
                <w:bCs/>
                <w:color w:val="auto"/>
                <w:sz w:val="24"/>
              </w:rPr>
            </w:pPr>
          </w:p>
        </w:tc>
      </w:tr>
      <w:tr w14:paraId="4E7105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21" w:hRule="atLeast"/>
          <w:jc w:val="center"/>
        </w:trPr>
        <w:tc>
          <w:tcPr>
            <w:tcW w:w="708" w:type="dxa"/>
            <w:vAlign w:val="center"/>
          </w:tcPr>
          <w:p w14:paraId="25E86807">
            <w:pPr>
              <w:widowControl/>
              <w:spacing w:line="240" w:lineRule="auto"/>
              <w:ind w:firstLine="0" w:firstLineChars="0"/>
              <w:jc w:val="center"/>
              <w:rPr>
                <w:rFonts w:ascii="仿宋" w:hAnsi="仿宋" w:eastAsia="仿宋"/>
                <w:bCs/>
                <w:color w:val="auto"/>
                <w:sz w:val="24"/>
              </w:rPr>
            </w:pPr>
            <w:r>
              <w:rPr>
                <w:rFonts w:hint="eastAsia" w:ascii="仿宋" w:hAnsi="仿宋" w:eastAsia="仿宋"/>
                <w:bCs/>
                <w:color w:val="auto"/>
                <w:sz w:val="24"/>
              </w:rPr>
              <w:t>5</w:t>
            </w:r>
          </w:p>
        </w:tc>
        <w:tc>
          <w:tcPr>
            <w:tcW w:w="1985" w:type="dxa"/>
            <w:vAlign w:val="center"/>
          </w:tcPr>
          <w:p w14:paraId="5FEB9282">
            <w:pPr>
              <w:widowControl/>
              <w:spacing w:line="240" w:lineRule="auto"/>
              <w:ind w:firstLine="0" w:firstLineChars="0"/>
              <w:jc w:val="center"/>
              <w:rPr>
                <w:rFonts w:ascii="仿宋" w:hAnsi="仿宋" w:eastAsia="仿宋"/>
                <w:bCs/>
                <w:color w:val="auto"/>
                <w:sz w:val="24"/>
              </w:rPr>
            </w:pPr>
          </w:p>
        </w:tc>
        <w:tc>
          <w:tcPr>
            <w:tcW w:w="2275" w:type="dxa"/>
            <w:vAlign w:val="center"/>
          </w:tcPr>
          <w:p w14:paraId="6B606761">
            <w:pPr>
              <w:widowControl/>
              <w:spacing w:line="240" w:lineRule="auto"/>
              <w:ind w:firstLine="0" w:firstLineChars="0"/>
              <w:jc w:val="center"/>
              <w:rPr>
                <w:rFonts w:ascii="仿宋" w:hAnsi="仿宋" w:eastAsia="仿宋"/>
                <w:bCs/>
                <w:color w:val="auto"/>
                <w:sz w:val="24"/>
              </w:rPr>
            </w:pPr>
          </w:p>
        </w:tc>
        <w:tc>
          <w:tcPr>
            <w:tcW w:w="2261" w:type="dxa"/>
            <w:vAlign w:val="center"/>
          </w:tcPr>
          <w:p w14:paraId="6C6AF27D">
            <w:pPr>
              <w:widowControl/>
              <w:spacing w:line="240" w:lineRule="auto"/>
              <w:ind w:firstLine="0" w:firstLineChars="0"/>
              <w:jc w:val="center"/>
              <w:rPr>
                <w:rFonts w:ascii="仿宋" w:hAnsi="仿宋" w:eastAsia="仿宋"/>
                <w:bCs/>
                <w:color w:val="auto"/>
                <w:sz w:val="24"/>
              </w:rPr>
            </w:pPr>
          </w:p>
        </w:tc>
        <w:tc>
          <w:tcPr>
            <w:tcW w:w="1276" w:type="dxa"/>
            <w:vAlign w:val="center"/>
          </w:tcPr>
          <w:p w14:paraId="5DE5A829">
            <w:pPr>
              <w:widowControl/>
              <w:spacing w:line="240" w:lineRule="auto"/>
              <w:ind w:firstLine="0" w:firstLineChars="0"/>
              <w:jc w:val="center"/>
              <w:rPr>
                <w:rFonts w:ascii="仿宋" w:hAnsi="仿宋" w:eastAsia="仿宋"/>
                <w:bCs/>
                <w:color w:val="auto"/>
                <w:sz w:val="24"/>
              </w:rPr>
            </w:pPr>
          </w:p>
        </w:tc>
      </w:tr>
      <w:tr w14:paraId="528BED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21" w:hRule="atLeast"/>
          <w:jc w:val="center"/>
        </w:trPr>
        <w:tc>
          <w:tcPr>
            <w:tcW w:w="708" w:type="dxa"/>
            <w:vAlign w:val="center"/>
          </w:tcPr>
          <w:p w14:paraId="60E86E4B">
            <w:pPr>
              <w:widowControl/>
              <w:spacing w:line="240" w:lineRule="auto"/>
              <w:ind w:firstLine="0" w:firstLineChars="0"/>
              <w:jc w:val="center"/>
              <w:rPr>
                <w:rFonts w:ascii="仿宋" w:hAnsi="仿宋" w:eastAsia="仿宋"/>
                <w:bCs/>
                <w:color w:val="auto"/>
                <w:sz w:val="24"/>
              </w:rPr>
            </w:pPr>
            <w:r>
              <w:rPr>
                <w:rFonts w:hint="eastAsia" w:ascii="仿宋" w:hAnsi="仿宋" w:eastAsia="仿宋"/>
                <w:bCs/>
                <w:color w:val="auto"/>
                <w:sz w:val="24"/>
              </w:rPr>
              <w:t>6</w:t>
            </w:r>
          </w:p>
        </w:tc>
        <w:tc>
          <w:tcPr>
            <w:tcW w:w="1985" w:type="dxa"/>
            <w:vAlign w:val="center"/>
          </w:tcPr>
          <w:p w14:paraId="4FDC3073">
            <w:pPr>
              <w:widowControl/>
              <w:spacing w:line="240" w:lineRule="auto"/>
              <w:ind w:firstLine="0" w:firstLineChars="0"/>
              <w:jc w:val="center"/>
              <w:rPr>
                <w:rFonts w:ascii="仿宋" w:hAnsi="仿宋" w:eastAsia="仿宋"/>
                <w:bCs/>
                <w:color w:val="auto"/>
                <w:sz w:val="24"/>
              </w:rPr>
            </w:pPr>
          </w:p>
        </w:tc>
        <w:tc>
          <w:tcPr>
            <w:tcW w:w="2275" w:type="dxa"/>
            <w:vAlign w:val="center"/>
          </w:tcPr>
          <w:p w14:paraId="4D3B999F">
            <w:pPr>
              <w:widowControl/>
              <w:spacing w:line="240" w:lineRule="auto"/>
              <w:ind w:firstLine="0" w:firstLineChars="0"/>
              <w:jc w:val="center"/>
              <w:rPr>
                <w:rFonts w:ascii="仿宋" w:hAnsi="仿宋" w:eastAsia="仿宋"/>
                <w:bCs/>
                <w:color w:val="auto"/>
                <w:sz w:val="24"/>
              </w:rPr>
            </w:pPr>
          </w:p>
        </w:tc>
        <w:tc>
          <w:tcPr>
            <w:tcW w:w="2261" w:type="dxa"/>
            <w:vAlign w:val="center"/>
          </w:tcPr>
          <w:p w14:paraId="02814D8B">
            <w:pPr>
              <w:widowControl/>
              <w:spacing w:line="240" w:lineRule="auto"/>
              <w:ind w:firstLine="0" w:firstLineChars="0"/>
              <w:jc w:val="center"/>
              <w:rPr>
                <w:rFonts w:ascii="仿宋" w:hAnsi="仿宋" w:eastAsia="仿宋"/>
                <w:bCs/>
                <w:color w:val="auto"/>
                <w:sz w:val="24"/>
              </w:rPr>
            </w:pPr>
          </w:p>
        </w:tc>
        <w:tc>
          <w:tcPr>
            <w:tcW w:w="1276" w:type="dxa"/>
            <w:vAlign w:val="center"/>
          </w:tcPr>
          <w:p w14:paraId="35888CBD">
            <w:pPr>
              <w:widowControl/>
              <w:spacing w:line="240" w:lineRule="auto"/>
              <w:ind w:firstLine="0" w:firstLineChars="0"/>
              <w:jc w:val="center"/>
              <w:rPr>
                <w:rFonts w:ascii="仿宋" w:hAnsi="仿宋" w:eastAsia="仿宋"/>
                <w:bCs/>
                <w:color w:val="auto"/>
                <w:sz w:val="24"/>
              </w:rPr>
            </w:pPr>
          </w:p>
        </w:tc>
      </w:tr>
      <w:tr w14:paraId="16AEE2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21" w:hRule="atLeast"/>
          <w:jc w:val="center"/>
        </w:trPr>
        <w:tc>
          <w:tcPr>
            <w:tcW w:w="708" w:type="dxa"/>
            <w:vAlign w:val="center"/>
          </w:tcPr>
          <w:p w14:paraId="5D2FAD37">
            <w:pPr>
              <w:widowControl/>
              <w:spacing w:line="240" w:lineRule="auto"/>
              <w:ind w:firstLine="0" w:firstLineChars="0"/>
              <w:jc w:val="center"/>
              <w:rPr>
                <w:rFonts w:ascii="仿宋" w:hAnsi="仿宋" w:eastAsia="仿宋"/>
                <w:bCs/>
                <w:color w:val="auto"/>
                <w:sz w:val="24"/>
              </w:rPr>
            </w:pPr>
            <w:r>
              <w:rPr>
                <w:rFonts w:hint="eastAsia" w:ascii="仿宋" w:hAnsi="仿宋" w:eastAsia="仿宋"/>
                <w:bCs/>
                <w:color w:val="auto"/>
                <w:sz w:val="24"/>
              </w:rPr>
              <w:t>7</w:t>
            </w:r>
          </w:p>
        </w:tc>
        <w:tc>
          <w:tcPr>
            <w:tcW w:w="1985" w:type="dxa"/>
            <w:vAlign w:val="center"/>
          </w:tcPr>
          <w:p w14:paraId="0914F099">
            <w:pPr>
              <w:widowControl/>
              <w:spacing w:line="240" w:lineRule="auto"/>
              <w:ind w:firstLine="0" w:firstLineChars="0"/>
              <w:jc w:val="center"/>
              <w:rPr>
                <w:rFonts w:ascii="仿宋" w:hAnsi="仿宋" w:eastAsia="仿宋"/>
                <w:bCs/>
                <w:color w:val="auto"/>
                <w:sz w:val="24"/>
              </w:rPr>
            </w:pPr>
          </w:p>
        </w:tc>
        <w:tc>
          <w:tcPr>
            <w:tcW w:w="2275" w:type="dxa"/>
            <w:vAlign w:val="center"/>
          </w:tcPr>
          <w:p w14:paraId="035EDA5A">
            <w:pPr>
              <w:widowControl/>
              <w:spacing w:line="240" w:lineRule="auto"/>
              <w:ind w:firstLine="0" w:firstLineChars="0"/>
              <w:jc w:val="center"/>
              <w:rPr>
                <w:rFonts w:ascii="仿宋" w:hAnsi="仿宋" w:eastAsia="仿宋"/>
                <w:bCs/>
                <w:color w:val="auto"/>
                <w:sz w:val="24"/>
              </w:rPr>
            </w:pPr>
          </w:p>
        </w:tc>
        <w:tc>
          <w:tcPr>
            <w:tcW w:w="2261" w:type="dxa"/>
            <w:vAlign w:val="center"/>
          </w:tcPr>
          <w:p w14:paraId="68EB6E15">
            <w:pPr>
              <w:widowControl/>
              <w:spacing w:line="240" w:lineRule="auto"/>
              <w:ind w:firstLine="0" w:firstLineChars="0"/>
              <w:jc w:val="center"/>
              <w:rPr>
                <w:rFonts w:ascii="仿宋" w:hAnsi="仿宋" w:eastAsia="仿宋"/>
                <w:bCs/>
                <w:color w:val="auto"/>
                <w:sz w:val="24"/>
              </w:rPr>
            </w:pPr>
          </w:p>
        </w:tc>
        <w:tc>
          <w:tcPr>
            <w:tcW w:w="1276" w:type="dxa"/>
            <w:vAlign w:val="center"/>
          </w:tcPr>
          <w:p w14:paraId="2AEB0F18">
            <w:pPr>
              <w:widowControl/>
              <w:spacing w:line="240" w:lineRule="auto"/>
              <w:ind w:firstLine="0" w:firstLineChars="0"/>
              <w:jc w:val="center"/>
              <w:rPr>
                <w:rFonts w:ascii="仿宋" w:hAnsi="仿宋" w:eastAsia="仿宋"/>
                <w:bCs/>
                <w:color w:val="auto"/>
                <w:sz w:val="24"/>
              </w:rPr>
            </w:pPr>
          </w:p>
        </w:tc>
      </w:tr>
      <w:tr w14:paraId="1BE75B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21" w:hRule="atLeast"/>
          <w:jc w:val="center"/>
        </w:trPr>
        <w:tc>
          <w:tcPr>
            <w:tcW w:w="708" w:type="dxa"/>
            <w:vAlign w:val="center"/>
          </w:tcPr>
          <w:p w14:paraId="4E2256B3">
            <w:pPr>
              <w:widowControl/>
              <w:spacing w:line="240" w:lineRule="auto"/>
              <w:ind w:firstLine="0" w:firstLineChars="0"/>
              <w:jc w:val="center"/>
              <w:rPr>
                <w:rFonts w:ascii="仿宋" w:hAnsi="仿宋" w:eastAsia="仿宋"/>
                <w:bCs/>
                <w:color w:val="auto"/>
                <w:sz w:val="24"/>
              </w:rPr>
            </w:pPr>
            <w:r>
              <w:rPr>
                <w:rFonts w:hint="eastAsia" w:ascii="仿宋" w:hAnsi="仿宋" w:eastAsia="仿宋"/>
                <w:bCs/>
                <w:color w:val="auto"/>
                <w:sz w:val="24"/>
              </w:rPr>
              <w:t>8</w:t>
            </w:r>
          </w:p>
        </w:tc>
        <w:tc>
          <w:tcPr>
            <w:tcW w:w="1985" w:type="dxa"/>
            <w:vAlign w:val="center"/>
          </w:tcPr>
          <w:p w14:paraId="1664EC4B">
            <w:pPr>
              <w:widowControl/>
              <w:spacing w:line="240" w:lineRule="auto"/>
              <w:ind w:firstLine="0" w:firstLineChars="0"/>
              <w:jc w:val="center"/>
              <w:rPr>
                <w:rFonts w:ascii="仿宋" w:hAnsi="仿宋" w:eastAsia="仿宋"/>
                <w:bCs/>
                <w:color w:val="auto"/>
                <w:sz w:val="24"/>
              </w:rPr>
            </w:pPr>
          </w:p>
        </w:tc>
        <w:tc>
          <w:tcPr>
            <w:tcW w:w="2275" w:type="dxa"/>
            <w:vAlign w:val="center"/>
          </w:tcPr>
          <w:p w14:paraId="38C9B5DD">
            <w:pPr>
              <w:widowControl/>
              <w:spacing w:line="240" w:lineRule="auto"/>
              <w:ind w:firstLine="0" w:firstLineChars="0"/>
              <w:jc w:val="center"/>
              <w:rPr>
                <w:rFonts w:ascii="仿宋" w:hAnsi="仿宋" w:eastAsia="仿宋"/>
                <w:bCs/>
                <w:color w:val="auto"/>
                <w:sz w:val="24"/>
              </w:rPr>
            </w:pPr>
          </w:p>
        </w:tc>
        <w:tc>
          <w:tcPr>
            <w:tcW w:w="2261" w:type="dxa"/>
            <w:vAlign w:val="center"/>
          </w:tcPr>
          <w:p w14:paraId="2D52B71A">
            <w:pPr>
              <w:widowControl/>
              <w:spacing w:line="240" w:lineRule="auto"/>
              <w:ind w:firstLine="0" w:firstLineChars="0"/>
              <w:jc w:val="center"/>
              <w:rPr>
                <w:rFonts w:ascii="仿宋" w:hAnsi="仿宋" w:eastAsia="仿宋"/>
                <w:bCs/>
                <w:color w:val="auto"/>
                <w:sz w:val="24"/>
              </w:rPr>
            </w:pPr>
          </w:p>
        </w:tc>
        <w:tc>
          <w:tcPr>
            <w:tcW w:w="1276" w:type="dxa"/>
            <w:vAlign w:val="center"/>
          </w:tcPr>
          <w:p w14:paraId="594735CA">
            <w:pPr>
              <w:widowControl/>
              <w:spacing w:line="240" w:lineRule="auto"/>
              <w:ind w:firstLine="0" w:firstLineChars="0"/>
              <w:jc w:val="center"/>
              <w:rPr>
                <w:rFonts w:ascii="仿宋" w:hAnsi="仿宋" w:eastAsia="仿宋"/>
                <w:bCs/>
                <w:color w:val="auto"/>
                <w:sz w:val="24"/>
              </w:rPr>
            </w:pPr>
          </w:p>
        </w:tc>
      </w:tr>
      <w:tr w14:paraId="6597F5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22" w:hRule="atLeast"/>
          <w:jc w:val="center"/>
        </w:trPr>
        <w:tc>
          <w:tcPr>
            <w:tcW w:w="708" w:type="dxa"/>
            <w:vAlign w:val="center"/>
          </w:tcPr>
          <w:p w14:paraId="15BF63C1">
            <w:pPr>
              <w:widowControl/>
              <w:spacing w:line="240" w:lineRule="auto"/>
              <w:ind w:firstLine="0" w:firstLineChars="0"/>
              <w:jc w:val="center"/>
              <w:rPr>
                <w:rFonts w:ascii="仿宋" w:hAnsi="仿宋" w:eastAsia="仿宋"/>
                <w:bCs/>
                <w:color w:val="auto"/>
                <w:sz w:val="24"/>
              </w:rPr>
            </w:pPr>
            <w:r>
              <w:rPr>
                <w:rFonts w:hint="eastAsia" w:ascii="仿宋" w:hAnsi="仿宋" w:eastAsia="仿宋"/>
                <w:bCs/>
                <w:color w:val="auto"/>
                <w:sz w:val="24"/>
              </w:rPr>
              <w:t>…</w:t>
            </w:r>
          </w:p>
        </w:tc>
        <w:tc>
          <w:tcPr>
            <w:tcW w:w="1985" w:type="dxa"/>
            <w:vAlign w:val="center"/>
          </w:tcPr>
          <w:p w14:paraId="6A629ADC">
            <w:pPr>
              <w:widowControl/>
              <w:spacing w:line="240" w:lineRule="auto"/>
              <w:ind w:firstLine="0" w:firstLineChars="0"/>
              <w:jc w:val="center"/>
              <w:rPr>
                <w:rFonts w:ascii="仿宋" w:hAnsi="仿宋" w:eastAsia="仿宋"/>
                <w:bCs/>
                <w:color w:val="auto"/>
                <w:sz w:val="24"/>
              </w:rPr>
            </w:pPr>
          </w:p>
        </w:tc>
        <w:tc>
          <w:tcPr>
            <w:tcW w:w="2275" w:type="dxa"/>
            <w:vAlign w:val="center"/>
          </w:tcPr>
          <w:p w14:paraId="63DBC927">
            <w:pPr>
              <w:widowControl/>
              <w:spacing w:line="240" w:lineRule="auto"/>
              <w:ind w:firstLine="0" w:firstLineChars="0"/>
              <w:jc w:val="center"/>
              <w:rPr>
                <w:rFonts w:ascii="仿宋" w:hAnsi="仿宋" w:eastAsia="仿宋"/>
                <w:bCs/>
                <w:color w:val="auto"/>
                <w:sz w:val="24"/>
              </w:rPr>
            </w:pPr>
          </w:p>
        </w:tc>
        <w:tc>
          <w:tcPr>
            <w:tcW w:w="2261" w:type="dxa"/>
            <w:vAlign w:val="center"/>
          </w:tcPr>
          <w:p w14:paraId="01C0D834">
            <w:pPr>
              <w:widowControl/>
              <w:spacing w:line="240" w:lineRule="auto"/>
              <w:ind w:firstLine="0" w:firstLineChars="0"/>
              <w:jc w:val="center"/>
              <w:rPr>
                <w:rFonts w:ascii="仿宋" w:hAnsi="仿宋" w:eastAsia="仿宋"/>
                <w:bCs/>
                <w:color w:val="auto"/>
                <w:sz w:val="24"/>
              </w:rPr>
            </w:pPr>
          </w:p>
        </w:tc>
        <w:tc>
          <w:tcPr>
            <w:tcW w:w="1276" w:type="dxa"/>
            <w:vAlign w:val="center"/>
          </w:tcPr>
          <w:p w14:paraId="5E33001B">
            <w:pPr>
              <w:widowControl/>
              <w:spacing w:line="240" w:lineRule="auto"/>
              <w:ind w:firstLine="0" w:firstLineChars="0"/>
              <w:jc w:val="center"/>
              <w:rPr>
                <w:rFonts w:ascii="仿宋" w:hAnsi="仿宋" w:eastAsia="仿宋"/>
                <w:bCs/>
                <w:color w:val="auto"/>
                <w:sz w:val="24"/>
              </w:rPr>
            </w:pPr>
          </w:p>
        </w:tc>
      </w:tr>
    </w:tbl>
    <w:p w14:paraId="119F3F79">
      <w:pPr>
        <w:widowControl/>
        <w:spacing w:line="240" w:lineRule="auto"/>
        <w:ind w:firstLine="0" w:firstLineChars="0"/>
        <w:jc w:val="left"/>
        <w:rPr>
          <w:rFonts w:ascii="仿宋" w:hAnsi="仿宋" w:eastAsia="仿宋"/>
          <w:bCs/>
          <w:color w:val="auto"/>
          <w:sz w:val="24"/>
        </w:rPr>
      </w:pPr>
    </w:p>
    <w:p w14:paraId="2552AE18">
      <w:pPr>
        <w:ind w:firstLine="482"/>
        <w:rPr>
          <w:rFonts w:ascii="仿宋" w:hAnsi="仿宋" w:eastAsia="仿宋"/>
          <w:b/>
          <w:color w:val="auto"/>
          <w:sz w:val="24"/>
        </w:rPr>
      </w:pPr>
      <w:r>
        <w:rPr>
          <w:rFonts w:hint="eastAsia" w:ascii="仿宋" w:hAnsi="仿宋" w:eastAsia="仿宋"/>
          <w:b/>
          <w:color w:val="auto"/>
          <w:sz w:val="24"/>
        </w:rPr>
        <w:t>投标人法定代表人或委托代理人签字：</w:t>
      </w:r>
      <w:r>
        <w:rPr>
          <w:rFonts w:hint="eastAsia" w:ascii="仿宋" w:hAnsi="仿宋" w:eastAsia="仿宋"/>
          <w:b/>
          <w:color w:val="auto"/>
          <w:sz w:val="24"/>
          <w:u w:val="single"/>
        </w:rPr>
        <w:t xml:space="preserve">         </w:t>
      </w:r>
    </w:p>
    <w:p w14:paraId="6FED9DD7">
      <w:pPr>
        <w:ind w:firstLine="482"/>
        <w:rPr>
          <w:rFonts w:ascii="仿宋" w:hAnsi="仿宋" w:eastAsia="仿宋"/>
          <w:b/>
          <w:color w:val="auto"/>
          <w:sz w:val="24"/>
        </w:rPr>
      </w:pPr>
      <w:r>
        <w:rPr>
          <w:rFonts w:hint="eastAsia" w:ascii="仿宋" w:hAnsi="仿宋" w:eastAsia="仿宋"/>
          <w:b/>
          <w:color w:val="auto"/>
          <w:sz w:val="24"/>
        </w:rPr>
        <w:t>投标人名称（签章）：</w:t>
      </w:r>
      <w:r>
        <w:rPr>
          <w:rFonts w:hint="eastAsia" w:ascii="仿宋" w:hAnsi="仿宋" w:eastAsia="仿宋"/>
          <w:b/>
          <w:color w:val="auto"/>
          <w:sz w:val="24"/>
          <w:u w:val="single"/>
        </w:rPr>
        <w:t xml:space="preserve">                       </w:t>
      </w:r>
    </w:p>
    <w:p w14:paraId="09CD3A1E">
      <w:pPr>
        <w:ind w:firstLine="480"/>
        <w:rPr>
          <w:rFonts w:ascii="仿宋" w:hAnsi="仿宋" w:eastAsia="仿宋"/>
          <w:bCs/>
          <w:color w:val="auto"/>
          <w:sz w:val="24"/>
        </w:rPr>
      </w:pPr>
      <w:r>
        <w:rPr>
          <w:rFonts w:hint="eastAsia" w:ascii="仿宋" w:hAnsi="仿宋" w:eastAsia="仿宋"/>
          <w:color w:val="auto"/>
          <w:sz w:val="24"/>
        </w:rPr>
        <w:t>时间：</w:t>
      </w:r>
      <w:r>
        <w:rPr>
          <w:rFonts w:hint="eastAsia" w:ascii="仿宋" w:hAnsi="仿宋" w:eastAsia="仿宋"/>
          <w:color w:val="auto"/>
          <w:sz w:val="24"/>
          <w:u w:val="single"/>
        </w:rPr>
        <w:t xml:space="preserve">   </w:t>
      </w:r>
      <w:r>
        <w:rPr>
          <w:rFonts w:ascii="仿宋" w:hAnsi="仿宋" w:eastAsia="仿宋"/>
          <w:color w:val="auto"/>
          <w:sz w:val="24"/>
          <w:u w:val="single"/>
        </w:rPr>
        <w:t xml:space="preserve"> </w:t>
      </w:r>
      <w:r>
        <w:rPr>
          <w:rFonts w:hint="eastAsia" w:ascii="仿宋" w:hAnsi="仿宋" w:eastAsia="仿宋"/>
          <w:color w:val="auto"/>
          <w:sz w:val="24"/>
          <w:u w:val="single"/>
        </w:rPr>
        <w:t xml:space="preserve">       </w:t>
      </w:r>
      <w:r>
        <w:rPr>
          <w:rFonts w:hint="eastAsia" w:ascii="仿宋" w:hAnsi="仿宋" w:eastAsia="仿宋"/>
          <w:color w:val="auto"/>
          <w:sz w:val="24"/>
        </w:rPr>
        <w:t>年</w:t>
      </w:r>
      <w:r>
        <w:rPr>
          <w:rFonts w:hint="eastAsia" w:ascii="仿宋" w:hAnsi="仿宋" w:eastAsia="仿宋"/>
          <w:color w:val="auto"/>
          <w:sz w:val="24"/>
          <w:u w:val="single"/>
        </w:rPr>
        <w:t xml:space="preserve">     </w:t>
      </w:r>
      <w:r>
        <w:rPr>
          <w:rFonts w:ascii="仿宋" w:hAnsi="仿宋" w:eastAsia="仿宋"/>
          <w:color w:val="auto"/>
          <w:sz w:val="24"/>
          <w:u w:val="single"/>
        </w:rPr>
        <w:t xml:space="preserve"> </w:t>
      </w:r>
      <w:r>
        <w:rPr>
          <w:rFonts w:hint="eastAsia" w:ascii="仿宋" w:hAnsi="仿宋" w:eastAsia="仿宋"/>
          <w:color w:val="auto"/>
          <w:sz w:val="24"/>
          <w:u w:val="single"/>
        </w:rPr>
        <w:t xml:space="preserve">     </w:t>
      </w:r>
      <w:r>
        <w:rPr>
          <w:rFonts w:hint="eastAsia" w:ascii="仿宋" w:hAnsi="仿宋" w:eastAsia="仿宋"/>
          <w:color w:val="auto"/>
          <w:sz w:val="24"/>
        </w:rPr>
        <w:t>月</w:t>
      </w:r>
      <w:r>
        <w:rPr>
          <w:rFonts w:hint="eastAsia" w:ascii="仿宋" w:hAnsi="仿宋" w:eastAsia="仿宋"/>
          <w:color w:val="auto"/>
          <w:sz w:val="24"/>
          <w:u w:val="single"/>
        </w:rPr>
        <w:t xml:space="preserve">          </w:t>
      </w:r>
      <w:r>
        <w:rPr>
          <w:rFonts w:hint="eastAsia" w:ascii="仿宋" w:hAnsi="仿宋" w:eastAsia="仿宋"/>
          <w:color w:val="auto"/>
          <w:sz w:val="24"/>
        </w:rPr>
        <w:t>日</w:t>
      </w:r>
    </w:p>
    <w:p w14:paraId="213B51DD">
      <w:pPr>
        <w:widowControl/>
        <w:spacing w:line="240" w:lineRule="auto"/>
        <w:ind w:firstLine="0" w:firstLineChars="0"/>
        <w:jc w:val="left"/>
        <w:rPr>
          <w:rFonts w:ascii="仿宋" w:hAnsi="仿宋" w:eastAsia="仿宋"/>
          <w:bCs/>
          <w:color w:val="auto"/>
          <w:sz w:val="24"/>
        </w:rPr>
      </w:pPr>
    </w:p>
    <w:p w14:paraId="7BC05144">
      <w:pPr>
        <w:widowControl/>
        <w:spacing w:line="240" w:lineRule="auto"/>
        <w:ind w:firstLine="0" w:firstLineChars="0"/>
        <w:jc w:val="left"/>
        <w:rPr>
          <w:rFonts w:ascii="仿宋" w:hAnsi="仿宋" w:eastAsia="仿宋"/>
          <w:bCs/>
          <w:color w:val="auto"/>
          <w:sz w:val="24"/>
        </w:rPr>
      </w:pPr>
      <w:r>
        <w:rPr>
          <w:rFonts w:ascii="仿宋" w:hAnsi="仿宋" w:eastAsia="仿宋"/>
          <w:bCs/>
          <w:color w:val="auto"/>
          <w:sz w:val="24"/>
        </w:rPr>
        <w:br w:type="page"/>
      </w:r>
    </w:p>
    <w:p w14:paraId="1BFA9092">
      <w:pPr>
        <w:tabs>
          <w:tab w:val="left" w:pos="540"/>
          <w:tab w:val="left" w:pos="2460"/>
        </w:tabs>
        <w:autoSpaceDE w:val="0"/>
        <w:autoSpaceDN w:val="0"/>
        <w:ind w:firstLine="0" w:firstLineChars="0"/>
        <w:jc w:val="center"/>
        <w:rPr>
          <w:rFonts w:ascii="仿宋" w:hAnsi="仿宋" w:eastAsia="仿宋"/>
          <w:color w:val="auto"/>
          <w:sz w:val="24"/>
        </w:rPr>
      </w:pPr>
      <w:r>
        <w:rPr>
          <w:rFonts w:hint="eastAsia" w:ascii="仿宋" w:hAnsi="仿宋" w:eastAsia="仿宋"/>
          <w:bCs/>
          <w:color w:val="auto"/>
          <w:sz w:val="24"/>
        </w:rPr>
        <w:t>（2）类似项目业绩一览表</w:t>
      </w:r>
      <w:bookmarkEnd w:id="236"/>
      <w:r>
        <w:rPr>
          <w:rFonts w:hint="eastAsia" w:ascii="仿宋" w:hAnsi="仿宋" w:eastAsia="仿宋"/>
          <w:bCs/>
          <w:color w:val="auto"/>
          <w:sz w:val="24"/>
        </w:rPr>
        <w:t>及证明文件</w:t>
      </w:r>
      <w:bookmarkEnd w:id="237"/>
      <w:bookmarkEnd w:id="238"/>
      <w:bookmarkEnd w:id="239"/>
      <w:bookmarkEnd w:id="240"/>
      <w:bookmarkEnd w:id="241"/>
      <w:bookmarkEnd w:id="242"/>
      <w:bookmarkEnd w:id="243"/>
      <w:bookmarkEnd w:id="244"/>
    </w:p>
    <w:p w14:paraId="7688F60C">
      <w:pPr>
        <w:ind w:firstLine="0" w:firstLineChars="0"/>
        <w:rPr>
          <w:rFonts w:ascii="仿宋" w:hAnsi="仿宋" w:eastAsia="仿宋"/>
          <w:color w:val="auto"/>
          <w:sz w:val="24"/>
        </w:rPr>
      </w:pPr>
      <w:r>
        <w:rPr>
          <w:rFonts w:hint="eastAsia" w:ascii="仿宋" w:hAnsi="仿宋" w:eastAsia="仿宋"/>
          <w:color w:val="auto"/>
          <w:sz w:val="24"/>
        </w:rPr>
        <w:t>投标人名称：</w:t>
      </w:r>
      <w:r>
        <w:rPr>
          <w:rFonts w:hint="eastAsia" w:ascii="仿宋" w:hAnsi="仿宋" w:eastAsia="仿宋"/>
          <w:color w:val="auto"/>
          <w:sz w:val="24"/>
          <w:u w:val="single"/>
        </w:rPr>
        <w:t xml:space="preserve">                          </w:t>
      </w:r>
    </w:p>
    <w:p w14:paraId="7F540F5C">
      <w:pPr>
        <w:ind w:firstLine="0" w:firstLineChars="0"/>
        <w:rPr>
          <w:rFonts w:ascii="仿宋" w:hAnsi="仿宋" w:eastAsia="仿宋"/>
          <w:color w:val="auto"/>
          <w:sz w:val="24"/>
        </w:rPr>
      </w:pPr>
      <w:r>
        <w:rPr>
          <w:rFonts w:hint="eastAsia" w:ascii="仿宋" w:hAnsi="仿宋" w:eastAsia="仿宋"/>
          <w:color w:val="auto"/>
          <w:sz w:val="24"/>
        </w:rPr>
        <w:t>招标编号：</w:t>
      </w:r>
      <w:r>
        <w:rPr>
          <w:rFonts w:hint="eastAsia" w:ascii="仿宋" w:hAnsi="仿宋" w:eastAsia="仿宋"/>
          <w:color w:val="auto"/>
          <w:sz w:val="24"/>
          <w:u w:val="single"/>
        </w:rPr>
        <w:t xml:space="preserve">                            </w:t>
      </w:r>
    </w:p>
    <w:tbl>
      <w:tblPr>
        <w:tblStyle w:val="4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696"/>
        <w:gridCol w:w="1701"/>
        <w:gridCol w:w="1701"/>
        <w:gridCol w:w="1276"/>
        <w:gridCol w:w="1276"/>
        <w:gridCol w:w="714"/>
      </w:tblGrid>
      <w:tr w14:paraId="314DF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 w:hRule="atLeast"/>
          <w:jc w:val="center"/>
        </w:trPr>
        <w:tc>
          <w:tcPr>
            <w:tcW w:w="708" w:type="dxa"/>
          </w:tcPr>
          <w:p w14:paraId="56DE36EE">
            <w:pPr>
              <w:autoSpaceDE w:val="0"/>
              <w:autoSpaceDN w:val="0"/>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序号</w:t>
            </w:r>
          </w:p>
        </w:tc>
        <w:tc>
          <w:tcPr>
            <w:tcW w:w="1696" w:type="dxa"/>
            <w:vAlign w:val="center"/>
          </w:tcPr>
          <w:p w14:paraId="25EE21B4">
            <w:pPr>
              <w:autoSpaceDE w:val="0"/>
              <w:autoSpaceDN w:val="0"/>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合同单位名称</w:t>
            </w:r>
          </w:p>
        </w:tc>
        <w:tc>
          <w:tcPr>
            <w:tcW w:w="1701" w:type="dxa"/>
            <w:vAlign w:val="center"/>
          </w:tcPr>
          <w:p w14:paraId="3B8FB6AE">
            <w:pPr>
              <w:autoSpaceDE w:val="0"/>
              <w:autoSpaceDN w:val="0"/>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签订合同时间</w:t>
            </w:r>
          </w:p>
        </w:tc>
        <w:tc>
          <w:tcPr>
            <w:tcW w:w="1701" w:type="dxa"/>
            <w:vAlign w:val="center"/>
          </w:tcPr>
          <w:p w14:paraId="13600535">
            <w:pPr>
              <w:autoSpaceDE w:val="0"/>
              <w:autoSpaceDN w:val="0"/>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类似项目名称</w:t>
            </w:r>
          </w:p>
        </w:tc>
        <w:tc>
          <w:tcPr>
            <w:tcW w:w="1276" w:type="dxa"/>
            <w:vAlign w:val="center"/>
          </w:tcPr>
          <w:p w14:paraId="65B48D7B">
            <w:pPr>
              <w:autoSpaceDE w:val="0"/>
              <w:autoSpaceDN w:val="0"/>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项目概况</w:t>
            </w:r>
          </w:p>
        </w:tc>
        <w:tc>
          <w:tcPr>
            <w:tcW w:w="1276" w:type="dxa"/>
            <w:vAlign w:val="center"/>
          </w:tcPr>
          <w:p w14:paraId="5AA48F9C">
            <w:pPr>
              <w:autoSpaceDE w:val="0"/>
              <w:autoSpaceDN w:val="0"/>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合同金额</w:t>
            </w:r>
          </w:p>
        </w:tc>
        <w:tc>
          <w:tcPr>
            <w:tcW w:w="714" w:type="dxa"/>
            <w:vAlign w:val="center"/>
          </w:tcPr>
          <w:p w14:paraId="76262B09">
            <w:pPr>
              <w:autoSpaceDE w:val="0"/>
              <w:autoSpaceDN w:val="0"/>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备注</w:t>
            </w:r>
          </w:p>
        </w:tc>
      </w:tr>
      <w:tr w14:paraId="7763A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08" w:type="dxa"/>
          </w:tcPr>
          <w:p w14:paraId="1611596A">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696" w:type="dxa"/>
            <w:vAlign w:val="center"/>
          </w:tcPr>
          <w:p w14:paraId="32A00057">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701" w:type="dxa"/>
            <w:vAlign w:val="center"/>
          </w:tcPr>
          <w:p w14:paraId="3F39D25C">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701" w:type="dxa"/>
            <w:vAlign w:val="center"/>
          </w:tcPr>
          <w:p w14:paraId="2847FB93">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276" w:type="dxa"/>
            <w:vAlign w:val="center"/>
          </w:tcPr>
          <w:p w14:paraId="6C8AFC4F">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276" w:type="dxa"/>
            <w:vAlign w:val="center"/>
          </w:tcPr>
          <w:p w14:paraId="2AFE4E99">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714" w:type="dxa"/>
            <w:vAlign w:val="center"/>
          </w:tcPr>
          <w:p w14:paraId="791A0CA2">
            <w:pPr>
              <w:autoSpaceDE w:val="0"/>
              <w:autoSpaceDN w:val="0"/>
              <w:adjustRightInd w:val="0"/>
              <w:snapToGrid w:val="0"/>
              <w:spacing w:line="400" w:lineRule="exact"/>
              <w:ind w:firstLine="0" w:firstLineChars="0"/>
              <w:jc w:val="center"/>
              <w:rPr>
                <w:rFonts w:ascii="仿宋" w:hAnsi="仿宋" w:eastAsia="仿宋"/>
                <w:color w:val="auto"/>
                <w:sz w:val="24"/>
              </w:rPr>
            </w:pPr>
          </w:p>
        </w:tc>
      </w:tr>
      <w:tr w14:paraId="62DEE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708" w:type="dxa"/>
          </w:tcPr>
          <w:p w14:paraId="4505BB50">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696" w:type="dxa"/>
            <w:vAlign w:val="center"/>
          </w:tcPr>
          <w:p w14:paraId="07EFC11C">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701" w:type="dxa"/>
            <w:vAlign w:val="center"/>
          </w:tcPr>
          <w:p w14:paraId="13D008DF">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701" w:type="dxa"/>
            <w:vAlign w:val="center"/>
          </w:tcPr>
          <w:p w14:paraId="2EF1013E">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276" w:type="dxa"/>
            <w:vAlign w:val="center"/>
          </w:tcPr>
          <w:p w14:paraId="6EC98422">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276" w:type="dxa"/>
            <w:vAlign w:val="center"/>
          </w:tcPr>
          <w:p w14:paraId="43DEF9AC">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714" w:type="dxa"/>
            <w:vAlign w:val="center"/>
          </w:tcPr>
          <w:p w14:paraId="5C1D15EC">
            <w:pPr>
              <w:autoSpaceDE w:val="0"/>
              <w:autoSpaceDN w:val="0"/>
              <w:adjustRightInd w:val="0"/>
              <w:snapToGrid w:val="0"/>
              <w:spacing w:line="400" w:lineRule="exact"/>
              <w:ind w:firstLine="0" w:firstLineChars="0"/>
              <w:jc w:val="center"/>
              <w:rPr>
                <w:rFonts w:ascii="仿宋" w:hAnsi="仿宋" w:eastAsia="仿宋"/>
                <w:color w:val="auto"/>
                <w:sz w:val="24"/>
              </w:rPr>
            </w:pPr>
          </w:p>
        </w:tc>
      </w:tr>
      <w:tr w14:paraId="764B4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08" w:type="dxa"/>
          </w:tcPr>
          <w:p w14:paraId="1B88E12B">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696" w:type="dxa"/>
            <w:vAlign w:val="center"/>
          </w:tcPr>
          <w:p w14:paraId="6D32FFD7">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701" w:type="dxa"/>
            <w:vAlign w:val="center"/>
          </w:tcPr>
          <w:p w14:paraId="588DD769">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701" w:type="dxa"/>
            <w:vAlign w:val="center"/>
          </w:tcPr>
          <w:p w14:paraId="548DBE2C">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276" w:type="dxa"/>
            <w:vAlign w:val="center"/>
          </w:tcPr>
          <w:p w14:paraId="5CC56E75">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276" w:type="dxa"/>
            <w:vAlign w:val="center"/>
          </w:tcPr>
          <w:p w14:paraId="1D2B5B7E">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714" w:type="dxa"/>
            <w:vAlign w:val="center"/>
          </w:tcPr>
          <w:p w14:paraId="2361B436">
            <w:pPr>
              <w:autoSpaceDE w:val="0"/>
              <w:autoSpaceDN w:val="0"/>
              <w:adjustRightInd w:val="0"/>
              <w:snapToGrid w:val="0"/>
              <w:spacing w:line="400" w:lineRule="exact"/>
              <w:ind w:firstLine="0" w:firstLineChars="0"/>
              <w:jc w:val="center"/>
              <w:rPr>
                <w:rFonts w:ascii="仿宋" w:hAnsi="仿宋" w:eastAsia="仿宋"/>
                <w:color w:val="auto"/>
                <w:sz w:val="24"/>
              </w:rPr>
            </w:pPr>
          </w:p>
        </w:tc>
      </w:tr>
      <w:tr w14:paraId="49AA2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08" w:type="dxa"/>
          </w:tcPr>
          <w:p w14:paraId="4017DDD6">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696" w:type="dxa"/>
            <w:vAlign w:val="center"/>
          </w:tcPr>
          <w:p w14:paraId="6EA62C30">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701" w:type="dxa"/>
            <w:vAlign w:val="center"/>
          </w:tcPr>
          <w:p w14:paraId="77FA1848">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701" w:type="dxa"/>
            <w:vAlign w:val="center"/>
          </w:tcPr>
          <w:p w14:paraId="50828342">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276" w:type="dxa"/>
            <w:vAlign w:val="center"/>
          </w:tcPr>
          <w:p w14:paraId="39F2539E">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276" w:type="dxa"/>
            <w:vAlign w:val="center"/>
          </w:tcPr>
          <w:p w14:paraId="207EA9AB">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714" w:type="dxa"/>
            <w:vAlign w:val="center"/>
          </w:tcPr>
          <w:p w14:paraId="363FD3B9">
            <w:pPr>
              <w:autoSpaceDE w:val="0"/>
              <w:autoSpaceDN w:val="0"/>
              <w:adjustRightInd w:val="0"/>
              <w:snapToGrid w:val="0"/>
              <w:spacing w:line="400" w:lineRule="exact"/>
              <w:ind w:firstLine="0" w:firstLineChars="0"/>
              <w:jc w:val="center"/>
              <w:rPr>
                <w:rFonts w:ascii="仿宋" w:hAnsi="仿宋" w:eastAsia="仿宋"/>
                <w:color w:val="auto"/>
                <w:sz w:val="24"/>
              </w:rPr>
            </w:pPr>
          </w:p>
        </w:tc>
      </w:tr>
      <w:tr w14:paraId="27F87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708" w:type="dxa"/>
          </w:tcPr>
          <w:p w14:paraId="1FDE2E6D">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696" w:type="dxa"/>
            <w:vAlign w:val="center"/>
          </w:tcPr>
          <w:p w14:paraId="29A7C7FE">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701" w:type="dxa"/>
            <w:vAlign w:val="center"/>
          </w:tcPr>
          <w:p w14:paraId="24B01E30">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701" w:type="dxa"/>
            <w:vAlign w:val="center"/>
          </w:tcPr>
          <w:p w14:paraId="1382D2C9">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276" w:type="dxa"/>
            <w:vAlign w:val="center"/>
          </w:tcPr>
          <w:p w14:paraId="1CDD171A">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276" w:type="dxa"/>
            <w:vAlign w:val="center"/>
          </w:tcPr>
          <w:p w14:paraId="68CC0F1E">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714" w:type="dxa"/>
            <w:vAlign w:val="center"/>
          </w:tcPr>
          <w:p w14:paraId="776CE775">
            <w:pPr>
              <w:autoSpaceDE w:val="0"/>
              <w:autoSpaceDN w:val="0"/>
              <w:adjustRightInd w:val="0"/>
              <w:snapToGrid w:val="0"/>
              <w:spacing w:line="400" w:lineRule="exact"/>
              <w:ind w:firstLine="0" w:firstLineChars="0"/>
              <w:jc w:val="center"/>
              <w:rPr>
                <w:rFonts w:ascii="仿宋" w:hAnsi="仿宋" w:eastAsia="仿宋"/>
                <w:color w:val="auto"/>
                <w:sz w:val="24"/>
              </w:rPr>
            </w:pPr>
          </w:p>
        </w:tc>
      </w:tr>
      <w:tr w14:paraId="04E34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08" w:type="dxa"/>
          </w:tcPr>
          <w:p w14:paraId="017318D1">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696" w:type="dxa"/>
            <w:vAlign w:val="center"/>
          </w:tcPr>
          <w:p w14:paraId="378BC951">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701" w:type="dxa"/>
            <w:vAlign w:val="center"/>
          </w:tcPr>
          <w:p w14:paraId="08B6F588">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701" w:type="dxa"/>
            <w:vAlign w:val="center"/>
          </w:tcPr>
          <w:p w14:paraId="6DF61DD2">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276" w:type="dxa"/>
            <w:vAlign w:val="center"/>
          </w:tcPr>
          <w:p w14:paraId="15E30311">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1276" w:type="dxa"/>
            <w:vAlign w:val="center"/>
          </w:tcPr>
          <w:p w14:paraId="40F96DBB">
            <w:pPr>
              <w:autoSpaceDE w:val="0"/>
              <w:autoSpaceDN w:val="0"/>
              <w:adjustRightInd w:val="0"/>
              <w:snapToGrid w:val="0"/>
              <w:spacing w:line="400" w:lineRule="exact"/>
              <w:ind w:firstLine="0" w:firstLineChars="0"/>
              <w:jc w:val="center"/>
              <w:rPr>
                <w:rFonts w:ascii="仿宋" w:hAnsi="仿宋" w:eastAsia="仿宋"/>
                <w:color w:val="auto"/>
                <w:sz w:val="24"/>
              </w:rPr>
            </w:pPr>
          </w:p>
        </w:tc>
        <w:tc>
          <w:tcPr>
            <w:tcW w:w="714" w:type="dxa"/>
            <w:vAlign w:val="center"/>
          </w:tcPr>
          <w:p w14:paraId="3BF36E82">
            <w:pPr>
              <w:autoSpaceDE w:val="0"/>
              <w:autoSpaceDN w:val="0"/>
              <w:adjustRightInd w:val="0"/>
              <w:snapToGrid w:val="0"/>
              <w:spacing w:line="400" w:lineRule="exact"/>
              <w:ind w:firstLine="0" w:firstLineChars="0"/>
              <w:jc w:val="center"/>
              <w:rPr>
                <w:rFonts w:ascii="仿宋" w:hAnsi="仿宋" w:eastAsia="仿宋"/>
                <w:color w:val="auto"/>
                <w:sz w:val="24"/>
              </w:rPr>
            </w:pPr>
          </w:p>
        </w:tc>
      </w:tr>
    </w:tbl>
    <w:p w14:paraId="1E33E351">
      <w:pPr>
        <w:ind w:firstLine="480"/>
        <w:rPr>
          <w:rFonts w:ascii="仿宋" w:hAnsi="仿宋" w:eastAsia="仿宋"/>
          <w:color w:val="auto"/>
          <w:sz w:val="24"/>
        </w:rPr>
      </w:pPr>
      <w:r>
        <w:rPr>
          <w:rFonts w:hint="eastAsia" w:ascii="仿宋" w:hAnsi="仿宋" w:eastAsia="仿宋"/>
          <w:color w:val="auto"/>
          <w:sz w:val="24"/>
        </w:rPr>
        <w:t>注：</w:t>
      </w:r>
    </w:p>
    <w:p w14:paraId="47A45BB0">
      <w:pPr>
        <w:ind w:firstLine="480"/>
        <w:rPr>
          <w:rFonts w:ascii="仿宋" w:hAnsi="仿宋" w:eastAsia="仿宋"/>
          <w:color w:val="auto"/>
          <w:sz w:val="24"/>
        </w:rPr>
      </w:pPr>
      <w:r>
        <w:rPr>
          <w:rFonts w:hint="eastAsia" w:ascii="仿宋" w:hAnsi="仿宋" w:eastAsia="仿宋"/>
          <w:color w:val="auto"/>
          <w:sz w:val="24"/>
        </w:rPr>
        <w:t>1.本表应附相关证明材料，证明材料要求详见招标文件规定。</w:t>
      </w:r>
    </w:p>
    <w:p w14:paraId="075E50CC">
      <w:pPr>
        <w:ind w:firstLine="480"/>
        <w:rPr>
          <w:rFonts w:ascii="仿宋" w:hAnsi="仿宋" w:eastAsia="仿宋"/>
          <w:color w:val="auto"/>
          <w:sz w:val="24"/>
        </w:rPr>
      </w:pPr>
      <w:r>
        <w:rPr>
          <w:rFonts w:hint="eastAsia" w:ascii="仿宋" w:hAnsi="仿宋" w:eastAsia="仿宋"/>
          <w:color w:val="auto"/>
          <w:sz w:val="24"/>
        </w:rPr>
        <w:t>2.投标人只填写相关标的情况，其它无关项目不需填写。</w:t>
      </w:r>
    </w:p>
    <w:p w14:paraId="484E5E20">
      <w:pPr>
        <w:ind w:firstLine="480"/>
        <w:rPr>
          <w:rFonts w:ascii="仿宋" w:hAnsi="仿宋" w:eastAsia="仿宋"/>
          <w:color w:val="auto"/>
          <w:sz w:val="24"/>
        </w:rPr>
      </w:pPr>
      <w:r>
        <w:rPr>
          <w:rFonts w:hint="eastAsia" w:ascii="仿宋" w:hAnsi="仿宋" w:eastAsia="仿宋"/>
          <w:color w:val="auto"/>
          <w:sz w:val="24"/>
        </w:rPr>
        <w:t>3.本表如不足填写，投标人可自行添加。</w:t>
      </w:r>
    </w:p>
    <w:p w14:paraId="017DDE6D">
      <w:pPr>
        <w:ind w:firstLine="480"/>
        <w:rPr>
          <w:rFonts w:ascii="仿宋" w:hAnsi="仿宋" w:eastAsia="仿宋"/>
          <w:color w:val="auto"/>
          <w:sz w:val="24"/>
        </w:rPr>
      </w:pPr>
    </w:p>
    <w:p w14:paraId="54CAA52F">
      <w:pPr>
        <w:ind w:firstLine="482"/>
        <w:rPr>
          <w:rFonts w:ascii="仿宋" w:hAnsi="仿宋" w:eastAsia="仿宋"/>
          <w:b/>
          <w:color w:val="auto"/>
          <w:sz w:val="24"/>
        </w:rPr>
      </w:pPr>
      <w:r>
        <w:rPr>
          <w:rFonts w:hint="eastAsia" w:ascii="仿宋" w:hAnsi="仿宋" w:eastAsia="仿宋"/>
          <w:b/>
          <w:color w:val="auto"/>
          <w:sz w:val="24"/>
        </w:rPr>
        <w:t>投标人法定代表人或委托代理人签字：</w:t>
      </w:r>
      <w:r>
        <w:rPr>
          <w:rFonts w:hint="eastAsia" w:ascii="仿宋" w:hAnsi="仿宋" w:eastAsia="仿宋"/>
          <w:b/>
          <w:color w:val="auto"/>
          <w:sz w:val="24"/>
          <w:u w:val="single"/>
        </w:rPr>
        <w:t xml:space="preserve">         </w:t>
      </w:r>
    </w:p>
    <w:p w14:paraId="7D2FCEA5">
      <w:pPr>
        <w:ind w:firstLine="482"/>
        <w:rPr>
          <w:rFonts w:ascii="仿宋" w:hAnsi="仿宋" w:eastAsia="仿宋"/>
          <w:b/>
          <w:color w:val="auto"/>
          <w:sz w:val="24"/>
        </w:rPr>
      </w:pPr>
      <w:r>
        <w:rPr>
          <w:rFonts w:hint="eastAsia" w:ascii="仿宋" w:hAnsi="仿宋" w:eastAsia="仿宋"/>
          <w:b/>
          <w:color w:val="auto"/>
          <w:sz w:val="24"/>
        </w:rPr>
        <w:t>投标人名称（签章）：</w:t>
      </w:r>
      <w:r>
        <w:rPr>
          <w:rFonts w:hint="eastAsia" w:ascii="仿宋" w:hAnsi="仿宋" w:eastAsia="仿宋"/>
          <w:b/>
          <w:color w:val="auto"/>
          <w:sz w:val="24"/>
          <w:u w:val="single"/>
        </w:rPr>
        <w:t xml:space="preserve">                       </w:t>
      </w:r>
    </w:p>
    <w:p w14:paraId="2E177BB1">
      <w:pPr>
        <w:ind w:firstLine="480"/>
        <w:rPr>
          <w:rFonts w:ascii="仿宋" w:hAnsi="仿宋" w:eastAsia="仿宋"/>
          <w:bCs/>
          <w:color w:val="auto"/>
          <w:sz w:val="24"/>
        </w:rPr>
      </w:pPr>
      <w:r>
        <w:rPr>
          <w:rFonts w:hint="eastAsia" w:ascii="仿宋" w:hAnsi="仿宋" w:eastAsia="仿宋"/>
          <w:color w:val="auto"/>
          <w:sz w:val="24"/>
        </w:rPr>
        <w:t>时间：</w:t>
      </w:r>
      <w:r>
        <w:rPr>
          <w:rFonts w:hint="eastAsia" w:ascii="仿宋" w:hAnsi="仿宋" w:eastAsia="仿宋"/>
          <w:color w:val="auto"/>
          <w:sz w:val="24"/>
          <w:u w:val="single"/>
        </w:rPr>
        <w:t xml:space="preserve">   </w:t>
      </w:r>
      <w:r>
        <w:rPr>
          <w:rFonts w:ascii="仿宋" w:hAnsi="仿宋" w:eastAsia="仿宋"/>
          <w:color w:val="auto"/>
          <w:sz w:val="24"/>
          <w:u w:val="single"/>
        </w:rPr>
        <w:t xml:space="preserve"> </w:t>
      </w:r>
      <w:r>
        <w:rPr>
          <w:rFonts w:hint="eastAsia" w:ascii="仿宋" w:hAnsi="仿宋" w:eastAsia="仿宋"/>
          <w:color w:val="auto"/>
          <w:sz w:val="24"/>
          <w:u w:val="single"/>
        </w:rPr>
        <w:t xml:space="preserve">       </w:t>
      </w:r>
      <w:r>
        <w:rPr>
          <w:rFonts w:hint="eastAsia" w:ascii="仿宋" w:hAnsi="仿宋" w:eastAsia="仿宋"/>
          <w:color w:val="auto"/>
          <w:sz w:val="24"/>
        </w:rPr>
        <w:t>年</w:t>
      </w:r>
      <w:r>
        <w:rPr>
          <w:rFonts w:hint="eastAsia" w:ascii="仿宋" w:hAnsi="仿宋" w:eastAsia="仿宋"/>
          <w:color w:val="auto"/>
          <w:sz w:val="24"/>
          <w:u w:val="single"/>
        </w:rPr>
        <w:t xml:space="preserve">     </w:t>
      </w:r>
      <w:r>
        <w:rPr>
          <w:rFonts w:ascii="仿宋" w:hAnsi="仿宋" w:eastAsia="仿宋"/>
          <w:color w:val="auto"/>
          <w:sz w:val="24"/>
          <w:u w:val="single"/>
        </w:rPr>
        <w:t xml:space="preserve"> </w:t>
      </w:r>
      <w:r>
        <w:rPr>
          <w:rFonts w:hint="eastAsia" w:ascii="仿宋" w:hAnsi="仿宋" w:eastAsia="仿宋"/>
          <w:color w:val="auto"/>
          <w:sz w:val="24"/>
          <w:u w:val="single"/>
        </w:rPr>
        <w:t xml:space="preserve">     </w:t>
      </w:r>
      <w:r>
        <w:rPr>
          <w:rFonts w:hint="eastAsia" w:ascii="仿宋" w:hAnsi="仿宋" w:eastAsia="仿宋"/>
          <w:color w:val="auto"/>
          <w:sz w:val="24"/>
        </w:rPr>
        <w:t>月</w:t>
      </w:r>
      <w:r>
        <w:rPr>
          <w:rFonts w:hint="eastAsia" w:ascii="仿宋" w:hAnsi="仿宋" w:eastAsia="仿宋"/>
          <w:color w:val="auto"/>
          <w:sz w:val="24"/>
          <w:u w:val="single"/>
        </w:rPr>
        <w:t xml:space="preserve">          </w:t>
      </w:r>
      <w:r>
        <w:rPr>
          <w:rFonts w:hint="eastAsia" w:ascii="仿宋" w:hAnsi="仿宋" w:eastAsia="仿宋"/>
          <w:color w:val="auto"/>
          <w:sz w:val="24"/>
        </w:rPr>
        <w:t>日</w:t>
      </w:r>
    </w:p>
    <w:p w14:paraId="55F0F091">
      <w:pPr>
        <w:ind w:firstLine="480"/>
        <w:rPr>
          <w:rFonts w:ascii="仿宋" w:hAnsi="仿宋" w:eastAsia="仿宋"/>
          <w:bCs/>
          <w:color w:val="auto"/>
          <w:sz w:val="24"/>
        </w:rPr>
      </w:pPr>
    </w:p>
    <w:p w14:paraId="1749DE85">
      <w:pPr>
        <w:numPr>
          <w:ilvl w:val="0"/>
          <w:numId w:val="2"/>
        </w:numPr>
        <w:autoSpaceDE w:val="0"/>
        <w:autoSpaceDN w:val="0"/>
        <w:adjustRightInd w:val="0"/>
        <w:snapToGrid w:val="0"/>
        <w:spacing w:before="156" w:beforeLines="50" w:after="156" w:afterLines="50" w:line="240" w:lineRule="auto"/>
        <w:ind w:left="0" w:firstLine="0" w:firstLineChars="0"/>
        <w:jc w:val="center"/>
        <w:outlineLvl w:val="1"/>
        <w:rPr>
          <w:rFonts w:ascii="仿宋" w:hAnsi="仿宋" w:eastAsia="仿宋"/>
          <w:color w:val="auto"/>
          <w:sz w:val="28"/>
          <w:szCs w:val="28"/>
        </w:rPr>
      </w:pPr>
      <w:r>
        <w:rPr>
          <w:rFonts w:hint="eastAsia" w:ascii="仿宋" w:hAnsi="仿宋" w:eastAsia="仿宋"/>
          <w:color w:val="auto"/>
          <w:sz w:val="24"/>
        </w:rPr>
        <w:br w:type="page"/>
      </w:r>
      <w:bookmarkStart w:id="245" w:name="_Toc329591983"/>
      <w:bookmarkStart w:id="246" w:name="_Toc494528997"/>
      <w:bookmarkStart w:id="247" w:name="_Toc264644278"/>
      <w:bookmarkStart w:id="248" w:name="_Toc177738094"/>
      <w:bookmarkStart w:id="249" w:name="_Toc181712933"/>
      <w:bookmarkStart w:id="250" w:name="_Toc2072014"/>
      <w:r>
        <w:rPr>
          <w:rFonts w:hint="eastAsia" w:ascii="仿宋" w:hAnsi="仿宋" w:eastAsia="仿宋"/>
          <w:color w:val="auto"/>
          <w:sz w:val="28"/>
          <w:szCs w:val="28"/>
        </w:rPr>
        <w:t>采购需求响应、偏离说明表</w:t>
      </w:r>
      <w:bookmarkEnd w:id="245"/>
      <w:bookmarkEnd w:id="246"/>
      <w:bookmarkEnd w:id="247"/>
      <w:bookmarkEnd w:id="248"/>
      <w:bookmarkEnd w:id="249"/>
      <w:bookmarkEnd w:id="250"/>
    </w:p>
    <w:p w14:paraId="07EA40C1">
      <w:pPr>
        <w:ind w:firstLine="0" w:firstLineChars="0"/>
        <w:rPr>
          <w:rFonts w:ascii="仿宋" w:hAnsi="仿宋" w:eastAsia="仿宋"/>
          <w:color w:val="auto"/>
          <w:sz w:val="24"/>
        </w:rPr>
      </w:pPr>
      <w:r>
        <w:rPr>
          <w:rFonts w:hint="eastAsia" w:ascii="仿宋" w:hAnsi="仿宋" w:eastAsia="仿宋"/>
          <w:color w:val="auto"/>
          <w:sz w:val="24"/>
        </w:rPr>
        <w:t>包号：</w:t>
      </w:r>
      <w:r>
        <w:rPr>
          <w:rFonts w:hint="eastAsia" w:ascii="仿宋" w:hAnsi="仿宋" w:eastAsia="仿宋"/>
          <w:color w:val="auto"/>
          <w:sz w:val="24"/>
          <w:u w:val="single"/>
        </w:rPr>
        <w:t xml:space="preserve">                        </w:t>
      </w:r>
    </w:p>
    <w:tbl>
      <w:tblPr>
        <w:tblStyle w:val="44"/>
        <w:tblW w:w="818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57" w:type="dxa"/>
          <w:left w:w="57" w:type="dxa"/>
          <w:bottom w:w="57" w:type="dxa"/>
          <w:right w:w="57" w:type="dxa"/>
        </w:tblCellMar>
      </w:tblPr>
      <w:tblGrid>
        <w:gridCol w:w="1073"/>
        <w:gridCol w:w="2287"/>
        <w:gridCol w:w="2552"/>
        <w:gridCol w:w="2268"/>
      </w:tblGrid>
      <w:tr w14:paraId="0D61E8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9" w:hRule="atLeast"/>
          <w:jc w:val="center"/>
        </w:trPr>
        <w:tc>
          <w:tcPr>
            <w:tcW w:w="8180" w:type="dxa"/>
            <w:gridSpan w:val="4"/>
            <w:vAlign w:val="center"/>
          </w:tcPr>
          <w:p w14:paraId="40C2D493">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技术部分</w:t>
            </w:r>
          </w:p>
        </w:tc>
      </w:tr>
      <w:tr w14:paraId="27361E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9" w:hRule="atLeast"/>
          <w:jc w:val="center"/>
        </w:trPr>
        <w:tc>
          <w:tcPr>
            <w:tcW w:w="1073" w:type="dxa"/>
            <w:vAlign w:val="center"/>
          </w:tcPr>
          <w:p w14:paraId="0022C782">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序号</w:t>
            </w:r>
          </w:p>
        </w:tc>
        <w:tc>
          <w:tcPr>
            <w:tcW w:w="2287" w:type="dxa"/>
            <w:vAlign w:val="center"/>
          </w:tcPr>
          <w:p w14:paraId="514C83BE">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招标文件要求部分</w:t>
            </w:r>
          </w:p>
        </w:tc>
        <w:tc>
          <w:tcPr>
            <w:tcW w:w="2552" w:type="dxa"/>
            <w:vAlign w:val="center"/>
          </w:tcPr>
          <w:p w14:paraId="7F66EEBB">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投标文件响应部分</w:t>
            </w:r>
          </w:p>
        </w:tc>
        <w:tc>
          <w:tcPr>
            <w:tcW w:w="2268" w:type="dxa"/>
            <w:vAlign w:val="center"/>
          </w:tcPr>
          <w:p w14:paraId="2AE17AF0">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偏离说明</w:t>
            </w:r>
          </w:p>
        </w:tc>
      </w:tr>
      <w:tr w14:paraId="09FDD8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9" w:hRule="atLeast"/>
          <w:jc w:val="center"/>
        </w:trPr>
        <w:tc>
          <w:tcPr>
            <w:tcW w:w="1073" w:type="dxa"/>
            <w:vAlign w:val="center"/>
          </w:tcPr>
          <w:p w14:paraId="623E1CF9">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1</w:t>
            </w:r>
          </w:p>
        </w:tc>
        <w:tc>
          <w:tcPr>
            <w:tcW w:w="2287" w:type="dxa"/>
            <w:vAlign w:val="center"/>
          </w:tcPr>
          <w:p w14:paraId="03EA66EF">
            <w:pPr>
              <w:adjustRightInd w:val="0"/>
              <w:snapToGrid w:val="0"/>
              <w:spacing w:line="400" w:lineRule="exact"/>
              <w:ind w:firstLine="0" w:firstLineChars="0"/>
              <w:jc w:val="center"/>
              <w:rPr>
                <w:rFonts w:ascii="仿宋" w:hAnsi="仿宋" w:eastAsia="仿宋"/>
                <w:color w:val="auto"/>
                <w:sz w:val="24"/>
              </w:rPr>
            </w:pPr>
          </w:p>
        </w:tc>
        <w:tc>
          <w:tcPr>
            <w:tcW w:w="2552" w:type="dxa"/>
            <w:vAlign w:val="center"/>
          </w:tcPr>
          <w:p w14:paraId="527B9692">
            <w:pPr>
              <w:adjustRightInd w:val="0"/>
              <w:snapToGrid w:val="0"/>
              <w:spacing w:line="400" w:lineRule="exact"/>
              <w:ind w:firstLine="0" w:firstLineChars="0"/>
              <w:jc w:val="center"/>
              <w:rPr>
                <w:rFonts w:ascii="仿宋" w:hAnsi="仿宋" w:eastAsia="仿宋"/>
                <w:color w:val="auto"/>
                <w:sz w:val="24"/>
              </w:rPr>
            </w:pPr>
          </w:p>
        </w:tc>
        <w:tc>
          <w:tcPr>
            <w:tcW w:w="2268" w:type="dxa"/>
            <w:vAlign w:val="center"/>
          </w:tcPr>
          <w:p w14:paraId="6A4C3E45">
            <w:pPr>
              <w:adjustRightInd w:val="0"/>
              <w:snapToGrid w:val="0"/>
              <w:spacing w:line="400" w:lineRule="exact"/>
              <w:ind w:firstLine="0" w:firstLineChars="0"/>
              <w:jc w:val="center"/>
              <w:rPr>
                <w:rFonts w:ascii="仿宋" w:hAnsi="仿宋" w:eastAsia="仿宋"/>
                <w:color w:val="auto"/>
                <w:sz w:val="24"/>
              </w:rPr>
            </w:pPr>
          </w:p>
        </w:tc>
      </w:tr>
      <w:tr w14:paraId="723671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9" w:hRule="atLeast"/>
          <w:jc w:val="center"/>
        </w:trPr>
        <w:tc>
          <w:tcPr>
            <w:tcW w:w="1073" w:type="dxa"/>
            <w:vAlign w:val="center"/>
          </w:tcPr>
          <w:p w14:paraId="6A581AA9">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2</w:t>
            </w:r>
          </w:p>
        </w:tc>
        <w:tc>
          <w:tcPr>
            <w:tcW w:w="2287" w:type="dxa"/>
            <w:vAlign w:val="center"/>
          </w:tcPr>
          <w:p w14:paraId="5103AE98">
            <w:pPr>
              <w:adjustRightInd w:val="0"/>
              <w:snapToGrid w:val="0"/>
              <w:spacing w:line="400" w:lineRule="exact"/>
              <w:ind w:firstLine="0" w:firstLineChars="0"/>
              <w:jc w:val="center"/>
              <w:rPr>
                <w:rFonts w:ascii="仿宋" w:hAnsi="仿宋" w:eastAsia="仿宋"/>
                <w:color w:val="auto"/>
                <w:sz w:val="24"/>
              </w:rPr>
            </w:pPr>
          </w:p>
        </w:tc>
        <w:tc>
          <w:tcPr>
            <w:tcW w:w="2552" w:type="dxa"/>
            <w:vAlign w:val="center"/>
          </w:tcPr>
          <w:p w14:paraId="154DD7F6">
            <w:pPr>
              <w:adjustRightInd w:val="0"/>
              <w:snapToGrid w:val="0"/>
              <w:spacing w:line="400" w:lineRule="exact"/>
              <w:ind w:firstLine="0" w:firstLineChars="0"/>
              <w:jc w:val="center"/>
              <w:rPr>
                <w:rFonts w:ascii="仿宋" w:hAnsi="仿宋" w:eastAsia="仿宋"/>
                <w:color w:val="auto"/>
                <w:sz w:val="24"/>
              </w:rPr>
            </w:pPr>
          </w:p>
        </w:tc>
        <w:tc>
          <w:tcPr>
            <w:tcW w:w="2268" w:type="dxa"/>
            <w:vAlign w:val="center"/>
          </w:tcPr>
          <w:p w14:paraId="6662AA91">
            <w:pPr>
              <w:adjustRightInd w:val="0"/>
              <w:snapToGrid w:val="0"/>
              <w:spacing w:line="400" w:lineRule="exact"/>
              <w:ind w:firstLine="0" w:firstLineChars="0"/>
              <w:jc w:val="center"/>
              <w:rPr>
                <w:rFonts w:ascii="仿宋" w:hAnsi="仿宋" w:eastAsia="仿宋"/>
                <w:color w:val="auto"/>
                <w:sz w:val="24"/>
              </w:rPr>
            </w:pPr>
          </w:p>
        </w:tc>
      </w:tr>
      <w:tr w14:paraId="11F24D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9" w:hRule="atLeast"/>
          <w:jc w:val="center"/>
        </w:trPr>
        <w:tc>
          <w:tcPr>
            <w:tcW w:w="1073" w:type="dxa"/>
            <w:vAlign w:val="center"/>
          </w:tcPr>
          <w:p w14:paraId="2DA6E954">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3</w:t>
            </w:r>
          </w:p>
        </w:tc>
        <w:tc>
          <w:tcPr>
            <w:tcW w:w="2287" w:type="dxa"/>
            <w:vAlign w:val="center"/>
          </w:tcPr>
          <w:p w14:paraId="7752035E">
            <w:pPr>
              <w:adjustRightInd w:val="0"/>
              <w:snapToGrid w:val="0"/>
              <w:spacing w:line="400" w:lineRule="exact"/>
              <w:ind w:firstLine="0" w:firstLineChars="0"/>
              <w:jc w:val="center"/>
              <w:rPr>
                <w:rFonts w:ascii="仿宋" w:hAnsi="仿宋" w:eastAsia="仿宋"/>
                <w:color w:val="auto"/>
                <w:sz w:val="24"/>
              </w:rPr>
            </w:pPr>
          </w:p>
        </w:tc>
        <w:tc>
          <w:tcPr>
            <w:tcW w:w="2552" w:type="dxa"/>
            <w:vAlign w:val="center"/>
          </w:tcPr>
          <w:p w14:paraId="205834C5">
            <w:pPr>
              <w:adjustRightInd w:val="0"/>
              <w:snapToGrid w:val="0"/>
              <w:spacing w:line="400" w:lineRule="exact"/>
              <w:ind w:firstLine="0" w:firstLineChars="0"/>
              <w:jc w:val="center"/>
              <w:rPr>
                <w:rFonts w:ascii="仿宋" w:hAnsi="仿宋" w:eastAsia="仿宋"/>
                <w:color w:val="auto"/>
                <w:sz w:val="24"/>
              </w:rPr>
            </w:pPr>
          </w:p>
        </w:tc>
        <w:tc>
          <w:tcPr>
            <w:tcW w:w="2268" w:type="dxa"/>
            <w:vAlign w:val="center"/>
          </w:tcPr>
          <w:p w14:paraId="72ED3AB6">
            <w:pPr>
              <w:adjustRightInd w:val="0"/>
              <w:snapToGrid w:val="0"/>
              <w:spacing w:line="400" w:lineRule="exact"/>
              <w:ind w:firstLine="0" w:firstLineChars="0"/>
              <w:jc w:val="center"/>
              <w:rPr>
                <w:rFonts w:ascii="仿宋" w:hAnsi="仿宋" w:eastAsia="仿宋"/>
                <w:color w:val="auto"/>
                <w:sz w:val="24"/>
              </w:rPr>
            </w:pPr>
          </w:p>
        </w:tc>
      </w:tr>
      <w:tr w14:paraId="58A5BA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9" w:hRule="atLeast"/>
          <w:jc w:val="center"/>
        </w:trPr>
        <w:tc>
          <w:tcPr>
            <w:tcW w:w="1073" w:type="dxa"/>
            <w:vAlign w:val="center"/>
          </w:tcPr>
          <w:p w14:paraId="1792465E">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w:t>
            </w:r>
          </w:p>
        </w:tc>
        <w:tc>
          <w:tcPr>
            <w:tcW w:w="2287" w:type="dxa"/>
            <w:vAlign w:val="center"/>
          </w:tcPr>
          <w:p w14:paraId="61A234DA">
            <w:pPr>
              <w:adjustRightInd w:val="0"/>
              <w:snapToGrid w:val="0"/>
              <w:spacing w:line="400" w:lineRule="exact"/>
              <w:ind w:firstLine="0" w:firstLineChars="0"/>
              <w:jc w:val="center"/>
              <w:rPr>
                <w:rFonts w:ascii="仿宋" w:hAnsi="仿宋" w:eastAsia="仿宋"/>
                <w:color w:val="auto"/>
                <w:sz w:val="24"/>
              </w:rPr>
            </w:pPr>
          </w:p>
        </w:tc>
        <w:tc>
          <w:tcPr>
            <w:tcW w:w="2552" w:type="dxa"/>
            <w:vAlign w:val="center"/>
          </w:tcPr>
          <w:p w14:paraId="26D26B95">
            <w:pPr>
              <w:adjustRightInd w:val="0"/>
              <w:snapToGrid w:val="0"/>
              <w:spacing w:line="400" w:lineRule="exact"/>
              <w:ind w:firstLine="0" w:firstLineChars="0"/>
              <w:jc w:val="center"/>
              <w:rPr>
                <w:rFonts w:ascii="仿宋" w:hAnsi="仿宋" w:eastAsia="仿宋"/>
                <w:color w:val="auto"/>
                <w:sz w:val="24"/>
              </w:rPr>
            </w:pPr>
          </w:p>
        </w:tc>
        <w:tc>
          <w:tcPr>
            <w:tcW w:w="2268" w:type="dxa"/>
            <w:vAlign w:val="center"/>
          </w:tcPr>
          <w:p w14:paraId="71760B8B">
            <w:pPr>
              <w:adjustRightInd w:val="0"/>
              <w:snapToGrid w:val="0"/>
              <w:spacing w:line="400" w:lineRule="exact"/>
              <w:ind w:firstLine="0" w:firstLineChars="0"/>
              <w:jc w:val="center"/>
              <w:rPr>
                <w:rFonts w:ascii="仿宋" w:hAnsi="仿宋" w:eastAsia="仿宋"/>
                <w:color w:val="auto"/>
                <w:sz w:val="24"/>
              </w:rPr>
            </w:pPr>
          </w:p>
        </w:tc>
      </w:tr>
      <w:tr w14:paraId="595E28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9" w:hRule="atLeast"/>
          <w:jc w:val="center"/>
        </w:trPr>
        <w:tc>
          <w:tcPr>
            <w:tcW w:w="8180" w:type="dxa"/>
            <w:gridSpan w:val="4"/>
            <w:vAlign w:val="center"/>
          </w:tcPr>
          <w:p w14:paraId="68E5F7BE">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商务部分</w:t>
            </w:r>
          </w:p>
        </w:tc>
      </w:tr>
      <w:tr w14:paraId="1AA1DE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9" w:hRule="atLeast"/>
          <w:jc w:val="center"/>
        </w:trPr>
        <w:tc>
          <w:tcPr>
            <w:tcW w:w="1073" w:type="dxa"/>
            <w:vAlign w:val="center"/>
          </w:tcPr>
          <w:p w14:paraId="0C431B0D">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序号</w:t>
            </w:r>
          </w:p>
        </w:tc>
        <w:tc>
          <w:tcPr>
            <w:tcW w:w="2287" w:type="dxa"/>
            <w:vAlign w:val="center"/>
          </w:tcPr>
          <w:p w14:paraId="05716F95">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招标文件要求部分</w:t>
            </w:r>
          </w:p>
        </w:tc>
        <w:tc>
          <w:tcPr>
            <w:tcW w:w="2552" w:type="dxa"/>
            <w:vAlign w:val="center"/>
          </w:tcPr>
          <w:p w14:paraId="6BD260E5">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投标文件响应部分</w:t>
            </w:r>
          </w:p>
        </w:tc>
        <w:tc>
          <w:tcPr>
            <w:tcW w:w="2268" w:type="dxa"/>
            <w:vAlign w:val="center"/>
          </w:tcPr>
          <w:p w14:paraId="00DC331F">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偏离说明</w:t>
            </w:r>
          </w:p>
        </w:tc>
      </w:tr>
      <w:tr w14:paraId="5FFE00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9" w:hRule="atLeast"/>
          <w:jc w:val="center"/>
        </w:trPr>
        <w:tc>
          <w:tcPr>
            <w:tcW w:w="1073" w:type="dxa"/>
            <w:vAlign w:val="center"/>
          </w:tcPr>
          <w:p w14:paraId="4EE32967">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1</w:t>
            </w:r>
          </w:p>
        </w:tc>
        <w:tc>
          <w:tcPr>
            <w:tcW w:w="2287" w:type="dxa"/>
            <w:vAlign w:val="center"/>
          </w:tcPr>
          <w:p w14:paraId="7BB82E84">
            <w:pPr>
              <w:adjustRightInd w:val="0"/>
              <w:snapToGrid w:val="0"/>
              <w:spacing w:line="400" w:lineRule="exact"/>
              <w:ind w:firstLine="0" w:firstLineChars="0"/>
              <w:jc w:val="center"/>
              <w:rPr>
                <w:rFonts w:ascii="仿宋" w:hAnsi="仿宋" w:eastAsia="仿宋"/>
                <w:color w:val="auto"/>
                <w:sz w:val="24"/>
              </w:rPr>
            </w:pPr>
          </w:p>
        </w:tc>
        <w:tc>
          <w:tcPr>
            <w:tcW w:w="2552" w:type="dxa"/>
            <w:vAlign w:val="center"/>
          </w:tcPr>
          <w:p w14:paraId="63DD7B3B">
            <w:pPr>
              <w:adjustRightInd w:val="0"/>
              <w:snapToGrid w:val="0"/>
              <w:spacing w:line="400" w:lineRule="exact"/>
              <w:ind w:firstLine="0" w:firstLineChars="0"/>
              <w:jc w:val="center"/>
              <w:rPr>
                <w:rFonts w:ascii="仿宋" w:hAnsi="仿宋" w:eastAsia="仿宋"/>
                <w:color w:val="auto"/>
                <w:sz w:val="24"/>
              </w:rPr>
            </w:pPr>
          </w:p>
        </w:tc>
        <w:tc>
          <w:tcPr>
            <w:tcW w:w="2268" w:type="dxa"/>
            <w:vAlign w:val="center"/>
          </w:tcPr>
          <w:p w14:paraId="42CD7B3F">
            <w:pPr>
              <w:adjustRightInd w:val="0"/>
              <w:snapToGrid w:val="0"/>
              <w:spacing w:line="400" w:lineRule="exact"/>
              <w:ind w:firstLine="0" w:firstLineChars="0"/>
              <w:jc w:val="center"/>
              <w:rPr>
                <w:rFonts w:ascii="仿宋" w:hAnsi="仿宋" w:eastAsia="仿宋"/>
                <w:color w:val="auto"/>
                <w:sz w:val="24"/>
              </w:rPr>
            </w:pPr>
          </w:p>
        </w:tc>
      </w:tr>
      <w:tr w14:paraId="71A686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9" w:hRule="atLeast"/>
          <w:jc w:val="center"/>
        </w:trPr>
        <w:tc>
          <w:tcPr>
            <w:tcW w:w="1073" w:type="dxa"/>
            <w:vAlign w:val="center"/>
          </w:tcPr>
          <w:p w14:paraId="2E67BA7A">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2</w:t>
            </w:r>
          </w:p>
        </w:tc>
        <w:tc>
          <w:tcPr>
            <w:tcW w:w="2287" w:type="dxa"/>
            <w:vAlign w:val="center"/>
          </w:tcPr>
          <w:p w14:paraId="5C6995F6">
            <w:pPr>
              <w:adjustRightInd w:val="0"/>
              <w:snapToGrid w:val="0"/>
              <w:spacing w:line="400" w:lineRule="exact"/>
              <w:ind w:firstLine="0" w:firstLineChars="0"/>
              <w:jc w:val="center"/>
              <w:rPr>
                <w:rFonts w:ascii="仿宋" w:hAnsi="仿宋" w:eastAsia="仿宋"/>
                <w:color w:val="auto"/>
                <w:sz w:val="24"/>
              </w:rPr>
            </w:pPr>
          </w:p>
        </w:tc>
        <w:tc>
          <w:tcPr>
            <w:tcW w:w="2552" w:type="dxa"/>
            <w:vAlign w:val="center"/>
          </w:tcPr>
          <w:p w14:paraId="59AAEEAF">
            <w:pPr>
              <w:adjustRightInd w:val="0"/>
              <w:snapToGrid w:val="0"/>
              <w:spacing w:line="400" w:lineRule="exact"/>
              <w:ind w:firstLine="0" w:firstLineChars="0"/>
              <w:jc w:val="center"/>
              <w:rPr>
                <w:rFonts w:ascii="仿宋" w:hAnsi="仿宋" w:eastAsia="仿宋"/>
                <w:color w:val="auto"/>
                <w:sz w:val="24"/>
              </w:rPr>
            </w:pPr>
          </w:p>
        </w:tc>
        <w:tc>
          <w:tcPr>
            <w:tcW w:w="2268" w:type="dxa"/>
            <w:vAlign w:val="center"/>
          </w:tcPr>
          <w:p w14:paraId="0D939422">
            <w:pPr>
              <w:adjustRightInd w:val="0"/>
              <w:snapToGrid w:val="0"/>
              <w:spacing w:line="400" w:lineRule="exact"/>
              <w:ind w:firstLine="0" w:firstLineChars="0"/>
              <w:jc w:val="center"/>
              <w:rPr>
                <w:rFonts w:ascii="仿宋" w:hAnsi="仿宋" w:eastAsia="仿宋"/>
                <w:color w:val="auto"/>
                <w:sz w:val="24"/>
              </w:rPr>
            </w:pPr>
          </w:p>
        </w:tc>
      </w:tr>
      <w:tr w14:paraId="7B90A9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9" w:hRule="atLeast"/>
          <w:jc w:val="center"/>
        </w:trPr>
        <w:tc>
          <w:tcPr>
            <w:tcW w:w="1073" w:type="dxa"/>
            <w:vAlign w:val="center"/>
          </w:tcPr>
          <w:p w14:paraId="1C89D978">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3</w:t>
            </w:r>
          </w:p>
        </w:tc>
        <w:tc>
          <w:tcPr>
            <w:tcW w:w="2287" w:type="dxa"/>
            <w:vAlign w:val="center"/>
          </w:tcPr>
          <w:p w14:paraId="6F6887AA">
            <w:pPr>
              <w:adjustRightInd w:val="0"/>
              <w:snapToGrid w:val="0"/>
              <w:spacing w:line="400" w:lineRule="exact"/>
              <w:ind w:firstLine="0" w:firstLineChars="0"/>
              <w:jc w:val="center"/>
              <w:rPr>
                <w:rFonts w:ascii="仿宋" w:hAnsi="仿宋" w:eastAsia="仿宋"/>
                <w:color w:val="auto"/>
                <w:sz w:val="24"/>
              </w:rPr>
            </w:pPr>
          </w:p>
        </w:tc>
        <w:tc>
          <w:tcPr>
            <w:tcW w:w="2552" w:type="dxa"/>
            <w:vAlign w:val="center"/>
          </w:tcPr>
          <w:p w14:paraId="18297202">
            <w:pPr>
              <w:adjustRightInd w:val="0"/>
              <w:snapToGrid w:val="0"/>
              <w:spacing w:line="400" w:lineRule="exact"/>
              <w:ind w:firstLine="0" w:firstLineChars="0"/>
              <w:jc w:val="center"/>
              <w:rPr>
                <w:rFonts w:ascii="仿宋" w:hAnsi="仿宋" w:eastAsia="仿宋"/>
                <w:color w:val="auto"/>
                <w:sz w:val="24"/>
              </w:rPr>
            </w:pPr>
          </w:p>
        </w:tc>
        <w:tc>
          <w:tcPr>
            <w:tcW w:w="2268" w:type="dxa"/>
            <w:vAlign w:val="center"/>
          </w:tcPr>
          <w:p w14:paraId="090763E9">
            <w:pPr>
              <w:adjustRightInd w:val="0"/>
              <w:snapToGrid w:val="0"/>
              <w:spacing w:line="400" w:lineRule="exact"/>
              <w:ind w:firstLine="0" w:firstLineChars="0"/>
              <w:jc w:val="center"/>
              <w:rPr>
                <w:rFonts w:ascii="仿宋" w:hAnsi="仿宋" w:eastAsia="仿宋"/>
                <w:color w:val="auto"/>
                <w:sz w:val="24"/>
              </w:rPr>
            </w:pPr>
          </w:p>
        </w:tc>
      </w:tr>
      <w:tr w14:paraId="3F9E54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20" w:hRule="atLeast"/>
          <w:jc w:val="center"/>
        </w:trPr>
        <w:tc>
          <w:tcPr>
            <w:tcW w:w="1073" w:type="dxa"/>
            <w:vAlign w:val="center"/>
          </w:tcPr>
          <w:p w14:paraId="77C094E2">
            <w:pPr>
              <w:adjustRightInd w:val="0"/>
              <w:snapToGrid w:val="0"/>
              <w:spacing w:line="400" w:lineRule="exact"/>
              <w:ind w:firstLine="0" w:firstLineChars="0"/>
              <w:jc w:val="center"/>
              <w:rPr>
                <w:rFonts w:ascii="仿宋" w:hAnsi="仿宋" w:eastAsia="仿宋"/>
                <w:color w:val="auto"/>
                <w:sz w:val="24"/>
              </w:rPr>
            </w:pPr>
            <w:r>
              <w:rPr>
                <w:rFonts w:hint="eastAsia" w:ascii="仿宋" w:hAnsi="仿宋" w:eastAsia="仿宋"/>
                <w:color w:val="auto"/>
                <w:sz w:val="24"/>
              </w:rPr>
              <w:t>…</w:t>
            </w:r>
          </w:p>
        </w:tc>
        <w:tc>
          <w:tcPr>
            <w:tcW w:w="2287" w:type="dxa"/>
            <w:vAlign w:val="center"/>
          </w:tcPr>
          <w:p w14:paraId="321C9DA9">
            <w:pPr>
              <w:adjustRightInd w:val="0"/>
              <w:snapToGrid w:val="0"/>
              <w:spacing w:line="400" w:lineRule="exact"/>
              <w:ind w:firstLine="0" w:firstLineChars="0"/>
              <w:jc w:val="center"/>
              <w:rPr>
                <w:rFonts w:ascii="仿宋" w:hAnsi="仿宋" w:eastAsia="仿宋"/>
                <w:color w:val="auto"/>
                <w:sz w:val="24"/>
              </w:rPr>
            </w:pPr>
          </w:p>
        </w:tc>
        <w:tc>
          <w:tcPr>
            <w:tcW w:w="2552" w:type="dxa"/>
            <w:vAlign w:val="center"/>
          </w:tcPr>
          <w:p w14:paraId="0ED9241B">
            <w:pPr>
              <w:adjustRightInd w:val="0"/>
              <w:snapToGrid w:val="0"/>
              <w:spacing w:line="400" w:lineRule="exact"/>
              <w:ind w:firstLine="0" w:firstLineChars="0"/>
              <w:jc w:val="center"/>
              <w:rPr>
                <w:rFonts w:ascii="仿宋" w:hAnsi="仿宋" w:eastAsia="仿宋"/>
                <w:color w:val="auto"/>
                <w:sz w:val="24"/>
              </w:rPr>
            </w:pPr>
          </w:p>
        </w:tc>
        <w:tc>
          <w:tcPr>
            <w:tcW w:w="2268" w:type="dxa"/>
            <w:vAlign w:val="center"/>
          </w:tcPr>
          <w:p w14:paraId="3B4ACCC4">
            <w:pPr>
              <w:adjustRightInd w:val="0"/>
              <w:snapToGrid w:val="0"/>
              <w:spacing w:line="400" w:lineRule="exact"/>
              <w:ind w:firstLine="0" w:firstLineChars="0"/>
              <w:jc w:val="center"/>
              <w:rPr>
                <w:rFonts w:ascii="仿宋" w:hAnsi="仿宋" w:eastAsia="仿宋"/>
                <w:color w:val="auto"/>
                <w:sz w:val="24"/>
              </w:rPr>
            </w:pPr>
          </w:p>
        </w:tc>
      </w:tr>
    </w:tbl>
    <w:p w14:paraId="381A59B4">
      <w:pPr>
        <w:ind w:firstLine="480"/>
        <w:rPr>
          <w:rFonts w:ascii="仿宋" w:hAnsi="仿宋" w:eastAsia="仿宋"/>
          <w:color w:val="auto"/>
          <w:sz w:val="24"/>
        </w:rPr>
      </w:pPr>
      <w:r>
        <w:rPr>
          <w:rFonts w:hint="eastAsia" w:ascii="仿宋" w:hAnsi="仿宋" w:eastAsia="仿宋"/>
          <w:color w:val="auto"/>
          <w:sz w:val="24"/>
        </w:rPr>
        <w:t>说明：投标人应对招标文件第三章“采购需求”，逐条说明所提供货物</w:t>
      </w:r>
      <w:r>
        <w:rPr>
          <w:rFonts w:hint="eastAsia" w:ascii="仿宋" w:hAnsi="仿宋" w:eastAsia="仿宋" w:cs="微软雅黑"/>
          <w:color w:val="auto"/>
          <w:sz w:val="24"/>
        </w:rPr>
        <w:t>/</w:t>
      </w:r>
      <w:r>
        <w:rPr>
          <w:rFonts w:hint="eastAsia" w:ascii="仿宋" w:hAnsi="仿宋" w:eastAsia="仿宋" w:cs="仿宋_GB2312"/>
          <w:color w:val="auto"/>
          <w:sz w:val="24"/>
        </w:rPr>
        <w:t>服务已对招标文件的技术</w:t>
      </w:r>
      <w:r>
        <w:rPr>
          <w:rFonts w:hint="eastAsia" w:ascii="仿宋" w:hAnsi="仿宋" w:eastAsia="仿宋"/>
          <w:color w:val="auto"/>
          <w:sz w:val="24"/>
        </w:rPr>
        <w:t>规格做出了明确响应，并申明与技术规格条文的偏离和例外。特别对有具体参数要求的指标，投标人必须提供所投货物</w:t>
      </w:r>
      <w:r>
        <w:rPr>
          <w:rFonts w:hint="eastAsia" w:ascii="仿宋" w:hAnsi="仿宋" w:eastAsia="仿宋" w:cs="微软雅黑"/>
          <w:color w:val="auto"/>
          <w:sz w:val="24"/>
        </w:rPr>
        <w:t>/</w:t>
      </w:r>
      <w:r>
        <w:rPr>
          <w:rFonts w:hint="eastAsia" w:ascii="仿宋" w:hAnsi="仿宋" w:eastAsia="仿宋" w:cs="仿宋_GB2312"/>
          <w:color w:val="auto"/>
          <w:sz w:val="24"/>
        </w:rPr>
        <w:t>服务的具体参数值。如果仅注明“符合”，“满足”或简单复制招标文件要求，将可能导致投标被拒绝。</w:t>
      </w:r>
    </w:p>
    <w:p w14:paraId="65F02262">
      <w:pPr>
        <w:ind w:firstLine="480"/>
        <w:rPr>
          <w:rFonts w:ascii="仿宋" w:hAnsi="仿宋" w:eastAsia="仿宋"/>
          <w:color w:val="auto"/>
          <w:sz w:val="24"/>
        </w:rPr>
      </w:pPr>
    </w:p>
    <w:p w14:paraId="4863FB31">
      <w:pPr>
        <w:ind w:firstLine="482"/>
        <w:rPr>
          <w:rFonts w:ascii="仿宋" w:hAnsi="仿宋" w:eastAsia="仿宋"/>
          <w:b/>
          <w:color w:val="auto"/>
          <w:sz w:val="24"/>
        </w:rPr>
      </w:pPr>
      <w:r>
        <w:rPr>
          <w:rFonts w:hint="eastAsia" w:ascii="仿宋" w:hAnsi="仿宋" w:eastAsia="仿宋"/>
          <w:b/>
          <w:color w:val="auto"/>
          <w:sz w:val="24"/>
        </w:rPr>
        <w:t>投标人法定代表人或委托代理人签字：</w:t>
      </w:r>
      <w:r>
        <w:rPr>
          <w:rFonts w:hint="eastAsia" w:ascii="仿宋" w:hAnsi="仿宋" w:eastAsia="仿宋"/>
          <w:b/>
          <w:color w:val="auto"/>
          <w:sz w:val="24"/>
          <w:u w:val="single"/>
        </w:rPr>
        <w:t xml:space="preserve">         </w:t>
      </w:r>
    </w:p>
    <w:p w14:paraId="3EA86EBA">
      <w:pPr>
        <w:ind w:firstLine="482"/>
        <w:rPr>
          <w:rFonts w:ascii="仿宋" w:hAnsi="仿宋" w:eastAsia="仿宋"/>
          <w:b/>
          <w:color w:val="auto"/>
          <w:sz w:val="24"/>
        </w:rPr>
      </w:pPr>
      <w:r>
        <w:rPr>
          <w:rFonts w:hint="eastAsia" w:ascii="仿宋" w:hAnsi="仿宋" w:eastAsia="仿宋"/>
          <w:b/>
          <w:color w:val="auto"/>
          <w:sz w:val="24"/>
        </w:rPr>
        <w:t>投标人名称（签章）：</w:t>
      </w:r>
      <w:r>
        <w:rPr>
          <w:rFonts w:hint="eastAsia" w:ascii="仿宋" w:hAnsi="仿宋" w:eastAsia="仿宋"/>
          <w:b/>
          <w:color w:val="auto"/>
          <w:sz w:val="24"/>
          <w:u w:val="single"/>
        </w:rPr>
        <w:t xml:space="preserve">                       </w:t>
      </w:r>
    </w:p>
    <w:p w14:paraId="5EACACEF">
      <w:pPr>
        <w:ind w:firstLine="480"/>
        <w:rPr>
          <w:rFonts w:ascii="仿宋" w:hAnsi="仿宋" w:eastAsia="仿宋"/>
          <w:bCs/>
          <w:color w:val="auto"/>
          <w:sz w:val="24"/>
        </w:rPr>
      </w:pPr>
      <w:r>
        <w:rPr>
          <w:rFonts w:hint="eastAsia" w:ascii="仿宋" w:hAnsi="仿宋" w:eastAsia="仿宋"/>
          <w:color w:val="auto"/>
          <w:sz w:val="24"/>
        </w:rPr>
        <w:t>时间：</w:t>
      </w:r>
      <w:r>
        <w:rPr>
          <w:rFonts w:hint="eastAsia" w:ascii="仿宋" w:hAnsi="仿宋" w:eastAsia="仿宋"/>
          <w:color w:val="auto"/>
          <w:sz w:val="24"/>
          <w:u w:val="single"/>
        </w:rPr>
        <w:t xml:space="preserve">   </w:t>
      </w:r>
      <w:r>
        <w:rPr>
          <w:rFonts w:ascii="仿宋" w:hAnsi="仿宋" w:eastAsia="仿宋"/>
          <w:color w:val="auto"/>
          <w:sz w:val="24"/>
          <w:u w:val="single"/>
        </w:rPr>
        <w:t xml:space="preserve"> </w:t>
      </w:r>
      <w:r>
        <w:rPr>
          <w:rFonts w:hint="eastAsia" w:ascii="仿宋" w:hAnsi="仿宋" w:eastAsia="仿宋"/>
          <w:color w:val="auto"/>
          <w:sz w:val="24"/>
          <w:u w:val="single"/>
        </w:rPr>
        <w:t xml:space="preserve">       </w:t>
      </w:r>
      <w:r>
        <w:rPr>
          <w:rFonts w:hint="eastAsia" w:ascii="仿宋" w:hAnsi="仿宋" w:eastAsia="仿宋"/>
          <w:color w:val="auto"/>
          <w:sz w:val="24"/>
        </w:rPr>
        <w:t>年</w:t>
      </w:r>
      <w:r>
        <w:rPr>
          <w:rFonts w:hint="eastAsia" w:ascii="仿宋" w:hAnsi="仿宋" w:eastAsia="仿宋"/>
          <w:color w:val="auto"/>
          <w:sz w:val="24"/>
          <w:u w:val="single"/>
        </w:rPr>
        <w:t xml:space="preserve">     </w:t>
      </w:r>
      <w:r>
        <w:rPr>
          <w:rFonts w:ascii="仿宋" w:hAnsi="仿宋" w:eastAsia="仿宋"/>
          <w:color w:val="auto"/>
          <w:sz w:val="24"/>
          <w:u w:val="single"/>
        </w:rPr>
        <w:t xml:space="preserve"> </w:t>
      </w:r>
      <w:r>
        <w:rPr>
          <w:rFonts w:hint="eastAsia" w:ascii="仿宋" w:hAnsi="仿宋" w:eastAsia="仿宋"/>
          <w:color w:val="auto"/>
          <w:sz w:val="24"/>
          <w:u w:val="single"/>
        </w:rPr>
        <w:t xml:space="preserve">     </w:t>
      </w:r>
      <w:r>
        <w:rPr>
          <w:rFonts w:hint="eastAsia" w:ascii="仿宋" w:hAnsi="仿宋" w:eastAsia="仿宋"/>
          <w:color w:val="auto"/>
          <w:sz w:val="24"/>
        </w:rPr>
        <w:t>月</w:t>
      </w:r>
      <w:r>
        <w:rPr>
          <w:rFonts w:hint="eastAsia" w:ascii="仿宋" w:hAnsi="仿宋" w:eastAsia="仿宋"/>
          <w:color w:val="auto"/>
          <w:sz w:val="24"/>
          <w:u w:val="single"/>
        </w:rPr>
        <w:t xml:space="preserve">          </w:t>
      </w:r>
      <w:r>
        <w:rPr>
          <w:rFonts w:hint="eastAsia" w:ascii="仿宋" w:hAnsi="仿宋" w:eastAsia="仿宋"/>
          <w:color w:val="auto"/>
          <w:sz w:val="24"/>
        </w:rPr>
        <w:t>日</w:t>
      </w:r>
    </w:p>
    <w:p w14:paraId="21734516">
      <w:pPr>
        <w:ind w:firstLine="480"/>
        <w:rPr>
          <w:rFonts w:ascii="仿宋" w:hAnsi="仿宋" w:eastAsia="仿宋"/>
          <w:color w:val="auto"/>
          <w:sz w:val="24"/>
        </w:rPr>
      </w:pPr>
    </w:p>
    <w:p w14:paraId="5E2E24EC">
      <w:pPr>
        <w:numPr>
          <w:ilvl w:val="0"/>
          <w:numId w:val="2"/>
        </w:numPr>
        <w:autoSpaceDE w:val="0"/>
        <w:autoSpaceDN w:val="0"/>
        <w:adjustRightInd w:val="0"/>
        <w:snapToGrid w:val="0"/>
        <w:spacing w:before="156" w:beforeLines="50" w:after="156" w:afterLines="50" w:line="240" w:lineRule="auto"/>
        <w:ind w:left="0" w:firstLine="0" w:firstLineChars="0"/>
        <w:jc w:val="center"/>
        <w:outlineLvl w:val="1"/>
        <w:rPr>
          <w:rFonts w:ascii="仿宋" w:hAnsi="仿宋" w:eastAsia="仿宋"/>
          <w:color w:val="auto"/>
          <w:sz w:val="28"/>
          <w:szCs w:val="28"/>
        </w:rPr>
      </w:pPr>
      <w:r>
        <w:rPr>
          <w:rFonts w:hint="eastAsia" w:ascii="仿宋" w:hAnsi="仿宋" w:eastAsia="仿宋"/>
          <w:color w:val="auto"/>
          <w:sz w:val="24"/>
        </w:rPr>
        <w:br w:type="page"/>
      </w:r>
      <w:bookmarkStart w:id="251" w:name="_Toc177738095"/>
      <w:bookmarkStart w:id="252" w:name="_Toc181712934"/>
      <w:bookmarkStart w:id="253" w:name="_Toc2072015"/>
      <w:bookmarkStart w:id="254" w:name="_Toc494528998"/>
      <w:r>
        <w:rPr>
          <w:rFonts w:hint="eastAsia" w:ascii="仿宋" w:hAnsi="仿宋" w:eastAsia="仿宋"/>
          <w:color w:val="auto"/>
          <w:sz w:val="28"/>
          <w:szCs w:val="28"/>
        </w:rPr>
        <w:t>与本次招标有关的技术文件</w:t>
      </w:r>
      <w:bookmarkEnd w:id="251"/>
      <w:bookmarkEnd w:id="252"/>
      <w:bookmarkEnd w:id="253"/>
      <w:bookmarkEnd w:id="254"/>
    </w:p>
    <w:p w14:paraId="2B4B59F6">
      <w:pPr>
        <w:autoSpaceDE w:val="0"/>
        <w:autoSpaceDN w:val="0"/>
        <w:ind w:firstLine="480"/>
        <w:rPr>
          <w:rFonts w:ascii="仿宋" w:hAnsi="仿宋" w:eastAsia="仿宋" w:cs="仿宋_GB2312"/>
          <w:color w:val="auto"/>
          <w:sz w:val="24"/>
        </w:rPr>
      </w:pPr>
    </w:p>
    <w:p w14:paraId="04C6FF3F">
      <w:pPr>
        <w:autoSpaceDE w:val="0"/>
        <w:autoSpaceDN w:val="0"/>
        <w:ind w:firstLine="480"/>
        <w:rPr>
          <w:rFonts w:ascii="仿宋" w:hAnsi="仿宋" w:eastAsia="仿宋" w:cs="仿宋_GB2312"/>
          <w:color w:val="auto"/>
          <w:sz w:val="24"/>
        </w:rPr>
      </w:pPr>
    </w:p>
    <w:p w14:paraId="613AD54C">
      <w:pPr>
        <w:autoSpaceDE w:val="0"/>
        <w:autoSpaceDN w:val="0"/>
        <w:ind w:firstLine="480"/>
        <w:rPr>
          <w:rFonts w:ascii="仿宋" w:hAnsi="仿宋" w:eastAsia="仿宋" w:cs="仿宋_GB2312"/>
          <w:color w:val="auto"/>
          <w:sz w:val="24"/>
        </w:rPr>
      </w:pPr>
    </w:p>
    <w:p w14:paraId="2915B467">
      <w:pPr>
        <w:autoSpaceDE w:val="0"/>
        <w:autoSpaceDN w:val="0"/>
        <w:ind w:firstLine="480"/>
        <w:rPr>
          <w:rFonts w:ascii="仿宋" w:hAnsi="仿宋" w:eastAsia="仿宋" w:cs="仿宋_GB2312"/>
          <w:color w:val="auto"/>
          <w:sz w:val="24"/>
        </w:rPr>
      </w:pPr>
    </w:p>
    <w:p w14:paraId="40B6AD8F">
      <w:pPr>
        <w:numPr>
          <w:ilvl w:val="0"/>
          <w:numId w:val="2"/>
        </w:numPr>
        <w:autoSpaceDE w:val="0"/>
        <w:autoSpaceDN w:val="0"/>
        <w:adjustRightInd w:val="0"/>
        <w:snapToGrid w:val="0"/>
        <w:spacing w:before="156" w:beforeLines="50" w:after="156" w:afterLines="50" w:line="240" w:lineRule="auto"/>
        <w:ind w:left="0" w:firstLine="0" w:firstLineChars="0"/>
        <w:jc w:val="center"/>
        <w:outlineLvl w:val="1"/>
        <w:rPr>
          <w:rFonts w:ascii="仿宋" w:hAnsi="仿宋" w:eastAsia="仿宋"/>
          <w:color w:val="auto"/>
          <w:sz w:val="28"/>
          <w:szCs w:val="28"/>
        </w:rPr>
      </w:pPr>
      <w:bookmarkStart w:id="255" w:name="_Toc177738096"/>
      <w:bookmarkStart w:id="256" w:name="_Toc494528999"/>
      <w:bookmarkStart w:id="257" w:name="_Toc2072016"/>
      <w:bookmarkStart w:id="258" w:name="_Toc181712935"/>
      <w:r>
        <w:rPr>
          <w:rFonts w:hint="eastAsia" w:ascii="仿宋" w:hAnsi="仿宋" w:eastAsia="仿宋"/>
          <w:color w:val="auto"/>
          <w:sz w:val="28"/>
          <w:szCs w:val="28"/>
        </w:rPr>
        <w:t>投标人认为需提供的相关资料</w:t>
      </w:r>
      <w:bookmarkEnd w:id="255"/>
      <w:bookmarkEnd w:id="256"/>
      <w:bookmarkEnd w:id="257"/>
      <w:bookmarkEnd w:id="258"/>
    </w:p>
    <w:p w14:paraId="3B2D0E22">
      <w:pPr>
        <w:autoSpaceDE w:val="0"/>
        <w:autoSpaceDN w:val="0"/>
        <w:ind w:firstLine="480"/>
        <w:rPr>
          <w:rFonts w:ascii="仿宋" w:hAnsi="仿宋" w:eastAsia="仿宋" w:cs="仿宋_GB2312"/>
          <w:color w:val="auto"/>
          <w:sz w:val="24"/>
        </w:rPr>
      </w:pPr>
    </w:p>
    <w:p w14:paraId="4A83F742">
      <w:pPr>
        <w:numPr>
          <w:ilvl w:val="0"/>
          <w:numId w:val="2"/>
        </w:numPr>
        <w:autoSpaceDE w:val="0"/>
        <w:autoSpaceDN w:val="0"/>
        <w:adjustRightInd w:val="0"/>
        <w:snapToGrid w:val="0"/>
        <w:spacing w:before="156" w:beforeLines="50" w:after="156" w:afterLines="50" w:line="240" w:lineRule="auto"/>
        <w:ind w:left="0" w:firstLine="0" w:firstLineChars="0"/>
        <w:jc w:val="center"/>
        <w:outlineLvl w:val="1"/>
        <w:rPr>
          <w:rFonts w:ascii="仿宋" w:hAnsi="仿宋" w:eastAsia="仿宋"/>
          <w:color w:val="auto"/>
          <w:sz w:val="28"/>
          <w:szCs w:val="28"/>
        </w:rPr>
      </w:pPr>
      <w:r>
        <w:rPr>
          <w:rFonts w:hint="eastAsia" w:ascii="仿宋" w:hAnsi="仿宋" w:eastAsia="仿宋"/>
          <w:color w:val="auto"/>
          <w:sz w:val="24"/>
        </w:rPr>
        <w:br w:type="page"/>
      </w:r>
      <w:bookmarkStart w:id="259" w:name="_Toc2072017"/>
      <w:bookmarkStart w:id="260" w:name="_Toc355802499"/>
      <w:bookmarkStart w:id="261" w:name="_Toc356836516"/>
      <w:bookmarkStart w:id="262" w:name="_Toc494529000"/>
      <w:bookmarkStart w:id="263" w:name="_Toc22465"/>
      <w:bookmarkStart w:id="264" w:name="_Toc12119"/>
      <w:bookmarkStart w:id="265" w:name="_Toc181712936"/>
      <w:bookmarkStart w:id="266" w:name="_Toc177738097"/>
      <w:r>
        <w:rPr>
          <w:rFonts w:hint="eastAsia" w:ascii="仿宋" w:hAnsi="仿宋" w:eastAsia="仿宋"/>
          <w:color w:val="auto"/>
          <w:sz w:val="28"/>
          <w:szCs w:val="28"/>
        </w:rPr>
        <w:t>中小企业声明函</w:t>
      </w:r>
      <w:bookmarkEnd w:id="259"/>
      <w:bookmarkEnd w:id="260"/>
      <w:bookmarkEnd w:id="261"/>
      <w:bookmarkEnd w:id="262"/>
      <w:bookmarkEnd w:id="263"/>
      <w:bookmarkEnd w:id="264"/>
      <w:r>
        <w:rPr>
          <w:rFonts w:hint="eastAsia" w:ascii="仿宋" w:hAnsi="仿宋" w:eastAsia="仿宋"/>
          <w:color w:val="auto"/>
          <w:sz w:val="28"/>
          <w:szCs w:val="28"/>
        </w:rPr>
        <w:t>及投标人声明函（请分别声明）</w:t>
      </w:r>
      <w:bookmarkEnd w:id="265"/>
      <w:bookmarkEnd w:id="266"/>
    </w:p>
    <w:p w14:paraId="43B16EB3">
      <w:pPr>
        <w:ind w:firstLine="0" w:firstLineChars="0"/>
        <w:jc w:val="center"/>
        <w:rPr>
          <w:rFonts w:ascii="仿宋" w:hAnsi="仿宋" w:eastAsia="仿宋"/>
          <w:snapToGrid w:val="0"/>
          <w:color w:val="auto"/>
          <w:kern w:val="0"/>
          <w:sz w:val="24"/>
        </w:rPr>
      </w:pPr>
      <w:r>
        <w:rPr>
          <w:rFonts w:hint="eastAsia" w:ascii="仿宋" w:hAnsi="仿宋" w:eastAsia="仿宋"/>
          <w:snapToGrid w:val="0"/>
          <w:color w:val="auto"/>
          <w:kern w:val="0"/>
          <w:sz w:val="24"/>
        </w:rPr>
        <w:t>（1）中小企业声明函</w:t>
      </w:r>
    </w:p>
    <w:p w14:paraId="08F0AD0F">
      <w:pPr>
        <w:ind w:firstLine="480"/>
        <w:rPr>
          <w:rFonts w:ascii="仿宋" w:hAnsi="仿宋" w:eastAsia="仿宋"/>
          <w:snapToGrid w:val="0"/>
          <w:color w:val="auto"/>
          <w:kern w:val="0"/>
          <w:sz w:val="24"/>
        </w:rPr>
      </w:pPr>
      <w:r>
        <w:rPr>
          <w:rFonts w:hint="eastAsia" w:ascii="仿宋" w:hAnsi="仿宋" w:eastAsia="仿宋"/>
          <w:snapToGrid w:val="0"/>
          <w:color w:val="auto"/>
          <w:kern w:val="0"/>
          <w:sz w:val="24"/>
        </w:rPr>
        <w:t>本公司（联合体）郑重声明，根据《政府采购促进中小企业发展管理办法》（财库</w:t>
      </w:r>
      <w:r>
        <w:rPr>
          <w:rFonts w:hint="eastAsia" w:ascii="仿宋" w:hAnsi="仿宋" w:eastAsia="仿宋" w:cs="微软雅黑"/>
          <w:snapToGrid w:val="0"/>
          <w:color w:val="auto"/>
          <w:kern w:val="0"/>
          <w:sz w:val="24"/>
        </w:rPr>
        <w:t>﹝</w:t>
      </w:r>
      <w:r>
        <w:rPr>
          <w:rFonts w:hint="eastAsia" w:ascii="仿宋" w:hAnsi="仿宋" w:eastAsia="仿宋"/>
          <w:snapToGrid w:val="0"/>
          <w:color w:val="auto"/>
          <w:kern w:val="0"/>
          <w:sz w:val="24"/>
        </w:rPr>
        <w:t>2020</w:t>
      </w:r>
      <w:r>
        <w:rPr>
          <w:rFonts w:hint="eastAsia" w:ascii="仿宋" w:hAnsi="仿宋" w:eastAsia="仿宋" w:cs="微软雅黑"/>
          <w:snapToGrid w:val="0"/>
          <w:color w:val="auto"/>
          <w:kern w:val="0"/>
          <w:sz w:val="24"/>
        </w:rPr>
        <w:t>﹞</w:t>
      </w:r>
      <w:r>
        <w:rPr>
          <w:rFonts w:hint="eastAsia" w:ascii="仿宋" w:hAnsi="仿宋" w:eastAsia="仿宋"/>
          <w:snapToGrid w:val="0"/>
          <w:color w:val="auto"/>
          <w:kern w:val="0"/>
          <w:sz w:val="24"/>
        </w:rPr>
        <w:t>46号）的规定，本公司（联合体）参加</w:t>
      </w:r>
      <w:r>
        <w:rPr>
          <w:rFonts w:hint="eastAsia" w:ascii="仿宋" w:hAnsi="仿宋" w:eastAsia="仿宋"/>
          <w:b/>
          <w:snapToGrid w:val="0"/>
          <w:color w:val="auto"/>
          <w:kern w:val="0"/>
          <w:sz w:val="24"/>
          <w:u w:val="single"/>
        </w:rPr>
        <w:t>（单位名称）</w:t>
      </w:r>
      <w:r>
        <w:rPr>
          <w:rFonts w:hint="eastAsia" w:ascii="仿宋" w:hAnsi="仿宋" w:eastAsia="仿宋"/>
          <w:b/>
          <w:snapToGrid w:val="0"/>
          <w:color w:val="auto"/>
          <w:kern w:val="0"/>
          <w:sz w:val="24"/>
        </w:rPr>
        <w:t>的</w:t>
      </w:r>
      <w:r>
        <w:rPr>
          <w:rFonts w:hint="eastAsia" w:ascii="仿宋" w:hAnsi="仿宋" w:eastAsia="仿宋"/>
          <w:b/>
          <w:snapToGrid w:val="0"/>
          <w:color w:val="auto"/>
          <w:kern w:val="0"/>
          <w:sz w:val="24"/>
          <w:u w:val="single"/>
        </w:rPr>
        <w:t>（项目名称）</w:t>
      </w:r>
      <w:r>
        <w:rPr>
          <w:rFonts w:hint="eastAsia" w:ascii="仿宋" w:hAnsi="仿宋" w:eastAsia="仿宋"/>
          <w:snapToGrid w:val="0"/>
          <w:color w:val="auto"/>
          <w:kern w:val="0"/>
          <w:sz w:val="24"/>
        </w:rPr>
        <w:t xml:space="preserve">采购活动，提供的货物全部由符合政策要求的中小企业制造。相关企业（含联合体中的中小企业、签订分包意向协议的中小企业）的具体情况如下： </w:t>
      </w:r>
    </w:p>
    <w:p w14:paraId="142BDEBC">
      <w:pPr>
        <w:ind w:firstLine="480"/>
        <w:rPr>
          <w:rFonts w:ascii="仿宋" w:hAnsi="仿宋" w:eastAsia="仿宋"/>
          <w:snapToGrid w:val="0"/>
          <w:color w:val="auto"/>
          <w:kern w:val="0"/>
          <w:sz w:val="24"/>
        </w:rPr>
      </w:pPr>
    </w:p>
    <w:p w14:paraId="720C944E">
      <w:pPr>
        <w:ind w:firstLine="480"/>
        <w:rPr>
          <w:rFonts w:ascii="仿宋" w:hAnsi="仿宋" w:eastAsia="仿宋"/>
          <w:snapToGrid w:val="0"/>
          <w:color w:val="auto"/>
          <w:kern w:val="0"/>
          <w:sz w:val="24"/>
        </w:rPr>
      </w:pPr>
      <w:r>
        <w:rPr>
          <w:rFonts w:hint="eastAsia" w:ascii="仿宋" w:hAnsi="仿宋" w:eastAsia="仿宋"/>
          <w:snapToGrid w:val="0"/>
          <w:color w:val="auto"/>
          <w:kern w:val="0"/>
          <w:sz w:val="24"/>
        </w:rPr>
        <w:t>1.</w:t>
      </w:r>
      <w:r>
        <w:rPr>
          <w:rFonts w:hint="eastAsia" w:ascii="仿宋" w:hAnsi="仿宋" w:eastAsia="仿宋"/>
          <w:snapToGrid w:val="0"/>
          <w:color w:val="auto"/>
          <w:kern w:val="0"/>
          <w:sz w:val="24"/>
          <w:u w:val="single"/>
        </w:rPr>
        <w:t>（标的名称）</w:t>
      </w:r>
      <w:r>
        <w:rPr>
          <w:rFonts w:hint="eastAsia" w:ascii="仿宋" w:hAnsi="仿宋" w:eastAsia="仿宋"/>
          <w:snapToGrid w:val="0"/>
          <w:color w:val="auto"/>
          <w:kern w:val="0"/>
          <w:sz w:val="24"/>
        </w:rPr>
        <w:t>，属于</w:t>
      </w:r>
      <w:r>
        <w:rPr>
          <w:rFonts w:hint="eastAsia" w:ascii="仿宋" w:hAnsi="仿宋" w:eastAsia="仿宋"/>
          <w:snapToGrid w:val="0"/>
          <w:color w:val="auto"/>
          <w:kern w:val="0"/>
          <w:sz w:val="24"/>
          <w:u w:val="single"/>
        </w:rPr>
        <w:t>（招标文件中明确的所属行业）</w:t>
      </w:r>
      <w:r>
        <w:rPr>
          <w:rFonts w:hint="eastAsia" w:ascii="仿宋" w:hAnsi="仿宋" w:eastAsia="仿宋"/>
          <w:snapToGrid w:val="0"/>
          <w:color w:val="auto"/>
          <w:kern w:val="0"/>
          <w:sz w:val="24"/>
        </w:rPr>
        <w:t>行业；制造商为</w:t>
      </w:r>
      <w:r>
        <w:rPr>
          <w:rFonts w:hint="eastAsia" w:ascii="仿宋" w:hAnsi="仿宋" w:eastAsia="仿宋"/>
          <w:snapToGrid w:val="0"/>
          <w:color w:val="auto"/>
          <w:kern w:val="0"/>
          <w:sz w:val="24"/>
          <w:u w:val="single"/>
        </w:rPr>
        <w:t>（企业名称）</w:t>
      </w:r>
      <w:r>
        <w:rPr>
          <w:rFonts w:hint="eastAsia" w:ascii="仿宋" w:hAnsi="仿宋" w:eastAsia="仿宋"/>
          <w:snapToGrid w:val="0"/>
          <w:color w:val="auto"/>
          <w:kern w:val="0"/>
          <w:sz w:val="24"/>
        </w:rPr>
        <w:t>，从业人员</w:t>
      </w:r>
      <w:r>
        <w:rPr>
          <w:rFonts w:hint="eastAsia" w:ascii="仿宋" w:hAnsi="仿宋" w:eastAsia="仿宋"/>
          <w:snapToGrid w:val="0"/>
          <w:color w:val="auto"/>
          <w:kern w:val="0"/>
          <w:sz w:val="24"/>
          <w:u w:val="single"/>
        </w:rPr>
        <w:t xml:space="preserve">   </w:t>
      </w:r>
      <w:r>
        <w:rPr>
          <w:rFonts w:hint="eastAsia" w:ascii="仿宋" w:hAnsi="仿宋" w:eastAsia="仿宋"/>
          <w:snapToGrid w:val="0"/>
          <w:color w:val="auto"/>
          <w:kern w:val="0"/>
          <w:sz w:val="24"/>
        </w:rPr>
        <w:t>人，营业收入为</w:t>
      </w:r>
      <w:r>
        <w:rPr>
          <w:rFonts w:hint="eastAsia" w:ascii="仿宋" w:hAnsi="仿宋" w:eastAsia="仿宋"/>
          <w:snapToGrid w:val="0"/>
          <w:color w:val="auto"/>
          <w:kern w:val="0"/>
          <w:sz w:val="24"/>
          <w:u w:val="single"/>
        </w:rPr>
        <w:t xml:space="preserve">   </w:t>
      </w:r>
      <w:r>
        <w:rPr>
          <w:rFonts w:hint="eastAsia" w:ascii="仿宋" w:hAnsi="仿宋" w:eastAsia="仿宋"/>
          <w:snapToGrid w:val="0"/>
          <w:color w:val="auto"/>
          <w:kern w:val="0"/>
          <w:sz w:val="24"/>
        </w:rPr>
        <w:t>万元，资产总额为</w:t>
      </w:r>
      <w:r>
        <w:rPr>
          <w:rFonts w:hint="eastAsia" w:ascii="仿宋" w:hAnsi="仿宋" w:eastAsia="仿宋"/>
          <w:snapToGrid w:val="0"/>
          <w:color w:val="auto"/>
          <w:kern w:val="0"/>
          <w:sz w:val="24"/>
          <w:u w:val="single"/>
        </w:rPr>
        <w:t xml:space="preserve">   </w:t>
      </w:r>
      <w:r>
        <w:rPr>
          <w:rFonts w:hint="eastAsia" w:ascii="仿宋" w:hAnsi="仿宋" w:eastAsia="仿宋"/>
          <w:snapToGrid w:val="0"/>
          <w:color w:val="auto"/>
          <w:kern w:val="0"/>
          <w:sz w:val="24"/>
        </w:rPr>
        <w:t>万元，属于</w:t>
      </w:r>
      <w:r>
        <w:rPr>
          <w:rFonts w:hint="eastAsia" w:ascii="仿宋" w:hAnsi="仿宋" w:eastAsia="仿宋"/>
          <w:snapToGrid w:val="0"/>
          <w:color w:val="auto"/>
          <w:kern w:val="0"/>
          <w:sz w:val="24"/>
          <w:u w:val="single"/>
        </w:rPr>
        <w:t>（中型企业、小型企业、微型企业）</w:t>
      </w:r>
      <w:r>
        <w:rPr>
          <w:rFonts w:hint="eastAsia" w:ascii="仿宋" w:hAnsi="仿宋" w:eastAsia="仿宋"/>
          <w:snapToGrid w:val="0"/>
          <w:color w:val="auto"/>
          <w:kern w:val="0"/>
          <w:sz w:val="24"/>
        </w:rPr>
        <w:t>；</w:t>
      </w:r>
    </w:p>
    <w:p w14:paraId="67A27583">
      <w:pPr>
        <w:ind w:firstLine="480"/>
        <w:rPr>
          <w:rFonts w:ascii="仿宋" w:hAnsi="仿宋" w:eastAsia="仿宋"/>
          <w:snapToGrid w:val="0"/>
          <w:color w:val="auto"/>
          <w:kern w:val="0"/>
          <w:sz w:val="24"/>
        </w:rPr>
      </w:pPr>
      <w:r>
        <w:rPr>
          <w:rFonts w:hint="eastAsia" w:ascii="仿宋" w:hAnsi="仿宋" w:eastAsia="仿宋"/>
          <w:snapToGrid w:val="0"/>
          <w:color w:val="auto"/>
          <w:kern w:val="0"/>
          <w:sz w:val="24"/>
        </w:rPr>
        <w:t>2.</w:t>
      </w:r>
      <w:r>
        <w:rPr>
          <w:rFonts w:hint="eastAsia" w:ascii="仿宋" w:hAnsi="仿宋" w:eastAsia="仿宋"/>
          <w:snapToGrid w:val="0"/>
          <w:color w:val="auto"/>
          <w:kern w:val="0"/>
          <w:sz w:val="24"/>
          <w:u w:val="single"/>
        </w:rPr>
        <w:t>（标的名称）</w:t>
      </w:r>
      <w:r>
        <w:rPr>
          <w:rFonts w:hint="eastAsia" w:ascii="仿宋" w:hAnsi="仿宋" w:eastAsia="仿宋"/>
          <w:snapToGrid w:val="0"/>
          <w:color w:val="auto"/>
          <w:kern w:val="0"/>
          <w:sz w:val="24"/>
        </w:rPr>
        <w:t>，属于</w:t>
      </w:r>
      <w:r>
        <w:rPr>
          <w:rFonts w:hint="eastAsia" w:ascii="仿宋" w:hAnsi="仿宋" w:eastAsia="仿宋"/>
          <w:snapToGrid w:val="0"/>
          <w:color w:val="auto"/>
          <w:kern w:val="0"/>
          <w:sz w:val="24"/>
          <w:u w:val="single"/>
        </w:rPr>
        <w:t>（招标文件中明确的所属行业）</w:t>
      </w:r>
      <w:r>
        <w:rPr>
          <w:rFonts w:hint="eastAsia" w:ascii="仿宋" w:hAnsi="仿宋" w:eastAsia="仿宋"/>
          <w:snapToGrid w:val="0"/>
          <w:color w:val="auto"/>
          <w:kern w:val="0"/>
          <w:sz w:val="24"/>
        </w:rPr>
        <w:t>行业；制造商为</w:t>
      </w:r>
      <w:r>
        <w:rPr>
          <w:rFonts w:hint="eastAsia" w:ascii="仿宋" w:hAnsi="仿宋" w:eastAsia="仿宋"/>
          <w:snapToGrid w:val="0"/>
          <w:color w:val="auto"/>
          <w:kern w:val="0"/>
          <w:sz w:val="24"/>
          <w:u w:val="single"/>
        </w:rPr>
        <w:t>（企业名称）</w:t>
      </w:r>
      <w:r>
        <w:rPr>
          <w:rFonts w:hint="eastAsia" w:ascii="仿宋" w:hAnsi="仿宋" w:eastAsia="仿宋"/>
          <w:snapToGrid w:val="0"/>
          <w:color w:val="auto"/>
          <w:kern w:val="0"/>
          <w:sz w:val="24"/>
        </w:rPr>
        <w:t>，从业人员</w:t>
      </w:r>
      <w:r>
        <w:rPr>
          <w:rFonts w:hint="eastAsia" w:ascii="仿宋" w:hAnsi="仿宋" w:eastAsia="仿宋"/>
          <w:snapToGrid w:val="0"/>
          <w:color w:val="auto"/>
          <w:kern w:val="0"/>
          <w:sz w:val="24"/>
          <w:u w:val="single"/>
        </w:rPr>
        <w:t xml:space="preserve">   </w:t>
      </w:r>
      <w:r>
        <w:rPr>
          <w:rFonts w:hint="eastAsia" w:ascii="仿宋" w:hAnsi="仿宋" w:eastAsia="仿宋"/>
          <w:snapToGrid w:val="0"/>
          <w:color w:val="auto"/>
          <w:kern w:val="0"/>
          <w:sz w:val="24"/>
        </w:rPr>
        <w:t>人，营业收入为</w:t>
      </w:r>
      <w:r>
        <w:rPr>
          <w:rFonts w:hint="eastAsia" w:ascii="仿宋" w:hAnsi="仿宋" w:eastAsia="仿宋"/>
          <w:snapToGrid w:val="0"/>
          <w:color w:val="auto"/>
          <w:kern w:val="0"/>
          <w:sz w:val="24"/>
          <w:u w:val="single"/>
        </w:rPr>
        <w:t xml:space="preserve">   </w:t>
      </w:r>
      <w:r>
        <w:rPr>
          <w:rFonts w:hint="eastAsia" w:ascii="仿宋" w:hAnsi="仿宋" w:eastAsia="仿宋"/>
          <w:snapToGrid w:val="0"/>
          <w:color w:val="auto"/>
          <w:kern w:val="0"/>
          <w:sz w:val="24"/>
        </w:rPr>
        <w:t>万元，资产总额为</w:t>
      </w:r>
      <w:r>
        <w:rPr>
          <w:rFonts w:hint="eastAsia" w:ascii="仿宋" w:hAnsi="仿宋" w:eastAsia="仿宋"/>
          <w:snapToGrid w:val="0"/>
          <w:color w:val="auto"/>
          <w:kern w:val="0"/>
          <w:sz w:val="24"/>
          <w:u w:val="single"/>
        </w:rPr>
        <w:t xml:space="preserve">   </w:t>
      </w:r>
      <w:r>
        <w:rPr>
          <w:rFonts w:hint="eastAsia" w:ascii="仿宋" w:hAnsi="仿宋" w:eastAsia="仿宋"/>
          <w:snapToGrid w:val="0"/>
          <w:color w:val="auto"/>
          <w:kern w:val="0"/>
          <w:sz w:val="24"/>
        </w:rPr>
        <w:t>万元，属于</w:t>
      </w:r>
      <w:r>
        <w:rPr>
          <w:rFonts w:hint="eastAsia" w:ascii="仿宋" w:hAnsi="仿宋" w:eastAsia="仿宋"/>
          <w:snapToGrid w:val="0"/>
          <w:color w:val="auto"/>
          <w:kern w:val="0"/>
          <w:sz w:val="24"/>
          <w:u w:val="single"/>
        </w:rPr>
        <w:t>（中型企业、小型企业、微型企业）</w:t>
      </w:r>
      <w:r>
        <w:rPr>
          <w:rFonts w:hint="eastAsia" w:ascii="仿宋" w:hAnsi="仿宋" w:eastAsia="仿宋"/>
          <w:snapToGrid w:val="0"/>
          <w:color w:val="auto"/>
          <w:kern w:val="0"/>
          <w:sz w:val="24"/>
        </w:rPr>
        <w:t>；</w:t>
      </w:r>
    </w:p>
    <w:p w14:paraId="5E83021F">
      <w:pPr>
        <w:ind w:firstLine="480"/>
        <w:rPr>
          <w:rFonts w:ascii="仿宋" w:hAnsi="仿宋" w:eastAsia="仿宋"/>
          <w:snapToGrid w:val="0"/>
          <w:color w:val="auto"/>
          <w:kern w:val="0"/>
          <w:sz w:val="24"/>
        </w:rPr>
      </w:pPr>
      <w:r>
        <w:rPr>
          <w:rFonts w:hint="eastAsia" w:ascii="仿宋" w:hAnsi="仿宋" w:eastAsia="仿宋"/>
          <w:snapToGrid w:val="0"/>
          <w:color w:val="auto"/>
          <w:kern w:val="0"/>
          <w:sz w:val="24"/>
        </w:rPr>
        <w:t>……</w:t>
      </w:r>
    </w:p>
    <w:p w14:paraId="62F54FCD">
      <w:pPr>
        <w:ind w:firstLine="480"/>
        <w:rPr>
          <w:rFonts w:ascii="仿宋" w:hAnsi="仿宋" w:eastAsia="仿宋"/>
          <w:snapToGrid w:val="0"/>
          <w:color w:val="auto"/>
          <w:kern w:val="0"/>
          <w:sz w:val="24"/>
        </w:rPr>
      </w:pPr>
    </w:p>
    <w:p w14:paraId="780364EE">
      <w:pPr>
        <w:ind w:firstLine="480"/>
        <w:rPr>
          <w:rFonts w:ascii="仿宋" w:hAnsi="仿宋" w:eastAsia="仿宋"/>
          <w:snapToGrid w:val="0"/>
          <w:color w:val="auto"/>
          <w:kern w:val="0"/>
          <w:sz w:val="24"/>
        </w:rPr>
      </w:pPr>
      <w:r>
        <w:rPr>
          <w:rFonts w:hint="eastAsia" w:ascii="仿宋" w:hAnsi="仿宋" w:eastAsia="仿宋"/>
          <w:snapToGrid w:val="0"/>
          <w:color w:val="auto"/>
          <w:kern w:val="0"/>
          <w:sz w:val="24"/>
        </w:rPr>
        <w:t>以上企业，不属于大企业的分支机构，不存在控股股东为大企业的情形，也不存在与大企业的负责人为同一人的情形。</w:t>
      </w:r>
    </w:p>
    <w:p w14:paraId="3543E929">
      <w:pPr>
        <w:ind w:firstLine="480"/>
        <w:rPr>
          <w:rFonts w:ascii="仿宋" w:hAnsi="仿宋" w:eastAsia="仿宋"/>
          <w:snapToGrid w:val="0"/>
          <w:color w:val="auto"/>
          <w:kern w:val="0"/>
          <w:sz w:val="24"/>
        </w:rPr>
      </w:pPr>
      <w:r>
        <w:rPr>
          <w:rFonts w:hint="eastAsia" w:ascii="仿宋" w:hAnsi="仿宋" w:eastAsia="仿宋"/>
          <w:snapToGrid w:val="0"/>
          <w:color w:val="auto"/>
          <w:kern w:val="0"/>
          <w:sz w:val="24"/>
        </w:rPr>
        <w:t>本企业对上述声明内容的真实性负责。如有虚假，将依法承担相应责任。</w:t>
      </w:r>
    </w:p>
    <w:p w14:paraId="0954968D">
      <w:pPr>
        <w:ind w:firstLine="480"/>
        <w:rPr>
          <w:rFonts w:ascii="仿宋" w:hAnsi="仿宋" w:eastAsia="仿宋"/>
          <w:snapToGrid w:val="0"/>
          <w:color w:val="auto"/>
          <w:kern w:val="0"/>
          <w:sz w:val="24"/>
        </w:rPr>
      </w:pPr>
    </w:p>
    <w:p w14:paraId="0D204BBC">
      <w:pPr>
        <w:ind w:firstLine="482"/>
        <w:rPr>
          <w:rFonts w:ascii="仿宋" w:hAnsi="仿宋" w:eastAsia="仿宋"/>
          <w:b/>
          <w:snapToGrid w:val="0"/>
          <w:color w:val="auto"/>
          <w:kern w:val="0"/>
          <w:sz w:val="24"/>
          <w:u w:val="single"/>
        </w:rPr>
      </w:pPr>
      <w:r>
        <w:rPr>
          <w:rFonts w:hint="eastAsia" w:ascii="仿宋" w:hAnsi="仿宋" w:eastAsia="仿宋"/>
          <w:b/>
          <w:snapToGrid w:val="0"/>
          <w:color w:val="auto"/>
          <w:kern w:val="0"/>
          <w:sz w:val="24"/>
        </w:rPr>
        <w:t>企业名称（盖章）：</w:t>
      </w:r>
      <w:r>
        <w:rPr>
          <w:rFonts w:hint="eastAsia" w:ascii="仿宋" w:hAnsi="仿宋" w:eastAsia="仿宋"/>
          <w:b/>
          <w:color w:val="auto"/>
          <w:kern w:val="0"/>
          <w:sz w:val="24"/>
          <w:u w:val="single"/>
        </w:rPr>
        <w:t xml:space="preserve">    </w:t>
      </w:r>
      <w:r>
        <w:rPr>
          <w:rFonts w:hint="eastAsia" w:ascii="仿宋" w:hAnsi="仿宋" w:eastAsia="仿宋"/>
          <w:b/>
          <w:snapToGrid w:val="0"/>
          <w:color w:val="auto"/>
          <w:kern w:val="0"/>
          <w:sz w:val="24"/>
          <w:u w:val="single"/>
        </w:rPr>
        <w:t xml:space="preserve">        </w:t>
      </w:r>
    </w:p>
    <w:p w14:paraId="2B061ABA">
      <w:pPr>
        <w:ind w:firstLine="480"/>
        <w:rPr>
          <w:rFonts w:ascii="仿宋" w:hAnsi="仿宋" w:eastAsia="仿宋"/>
          <w:snapToGrid w:val="0"/>
          <w:color w:val="auto"/>
          <w:kern w:val="0"/>
          <w:sz w:val="24"/>
        </w:rPr>
      </w:pPr>
      <w:r>
        <w:rPr>
          <w:rFonts w:hint="eastAsia" w:ascii="仿宋" w:hAnsi="仿宋" w:eastAsia="仿宋"/>
          <w:snapToGrid w:val="0"/>
          <w:color w:val="auto"/>
          <w:kern w:val="0"/>
          <w:sz w:val="24"/>
        </w:rPr>
        <w:t>日期：</w:t>
      </w:r>
      <w:r>
        <w:rPr>
          <w:rFonts w:hint="eastAsia" w:ascii="仿宋" w:hAnsi="仿宋" w:eastAsia="仿宋"/>
          <w:color w:val="auto"/>
          <w:kern w:val="0"/>
          <w:sz w:val="24"/>
          <w:u w:val="single"/>
        </w:rPr>
        <w:t xml:space="preserve">      </w:t>
      </w:r>
      <w:r>
        <w:rPr>
          <w:rFonts w:hint="eastAsia" w:ascii="仿宋" w:hAnsi="仿宋" w:eastAsia="仿宋"/>
          <w:snapToGrid w:val="0"/>
          <w:color w:val="auto"/>
          <w:kern w:val="0"/>
          <w:sz w:val="24"/>
        </w:rPr>
        <w:t>年</w:t>
      </w:r>
      <w:r>
        <w:rPr>
          <w:rFonts w:hint="eastAsia" w:ascii="仿宋" w:hAnsi="仿宋" w:eastAsia="仿宋"/>
          <w:color w:val="auto"/>
          <w:kern w:val="0"/>
          <w:sz w:val="24"/>
          <w:u w:val="single"/>
        </w:rPr>
        <w:t xml:space="preserve">      </w:t>
      </w:r>
      <w:r>
        <w:rPr>
          <w:rFonts w:hint="eastAsia" w:ascii="仿宋" w:hAnsi="仿宋" w:eastAsia="仿宋"/>
          <w:snapToGrid w:val="0"/>
          <w:color w:val="auto"/>
          <w:kern w:val="0"/>
          <w:sz w:val="24"/>
        </w:rPr>
        <w:t>月</w:t>
      </w:r>
      <w:r>
        <w:rPr>
          <w:rFonts w:hint="eastAsia" w:ascii="仿宋" w:hAnsi="仿宋" w:eastAsia="仿宋"/>
          <w:color w:val="auto"/>
          <w:kern w:val="0"/>
          <w:sz w:val="24"/>
          <w:u w:val="single"/>
        </w:rPr>
        <w:t xml:space="preserve">      </w:t>
      </w:r>
      <w:r>
        <w:rPr>
          <w:rFonts w:hint="eastAsia" w:ascii="仿宋" w:hAnsi="仿宋" w:eastAsia="仿宋"/>
          <w:snapToGrid w:val="0"/>
          <w:color w:val="auto"/>
          <w:kern w:val="0"/>
          <w:sz w:val="24"/>
        </w:rPr>
        <w:t>日</w:t>
      </w:r>
    </w:p>
    <w:p w14:paraId="243C2A96">
      <w:pPr>
        <w:ind w:firstLine="480"/>
        <w:rPr>
          <w:rFonts w:ascii="仿宋" w:hAnsi="仿宋" w:eastAsia="仿宋"/>
          <w:snapToGrid w:val="0"/>
          <w:color w:val="auto"/>
          <w:kern w:val="0"/>
          <w:sz w:val="24"/>
        </w:rPr>
      </w:pPr>
    </w:p>
    <w:p w14:paraId="333A8E3D">
      <w:pPr>
        <w:ind w:firstLine="480"/>
        <w:rPr>
          <w:rFonts w:ascii="仿宋" w:hAnsi="仿宋" w:eastAsia="仿宋"/>
          <w:bCs/>
          <w:snapToGrid w:val="0"/>
          <w:color w:val="auto"/>
          <w:kern w:val="0"/>
          <w:sz w:val="24"/>
        </w:rPr>
      </w:pPr>
      <w:r>
        <w:rPr>
          <w:rFonts w:hint="eastAsia" w:ascii="仿宋" w:hAnsi="仿宋" w:eastAsia="仿宋"/>
          <w:snapToGrid w:val="0"/>
          <w:color w:val="auto"/>
          <w:kern w:val="0"/>
          <w:sz w:val="24"/>
        </w:rPr>
        <w:t>注：从业人员、营业收入、资产总额填报上一年度数据，无上一年度数据的新成立企业可不填报。</w:t>
      </w:r>
      <w:r>
        <w:rPr>
          <w:rFonts w:hint="eastAsia" w:ascii="仿宋" w:hAnsi="仿宋" w:eastAsia="仿宋"/>
          <w:bCs/>
          <w:snapToGrid w:val="0"/>
          <w:color w:val="auto"/>
          <w:kern w:val="0"/>
          <w:sz w:val="24"/>
        </w:rPr>
        <w:t>本表只需要填报制造商信息，涉及货物的所有制造商均需要填报。</w:t>
      </w:r>
    </w:p>
    <w:p w14:paraId="686F9A84">
      <w:pPr>
        <w:widowControl/>
        <w:spacing w:line="240" w:lineRule="auto"/>
        <w:ind w:firstLine="0" w:firstLineChars="0"/>
        <w:jc w:val="left"/>
        <w:rPr>
          <w:rFonts w:ascii="仿宋" w:hAnsi="仿宋" w:eastAsia="仿宋"/>
          <w:bCs/>
          <w:snapToGrid w:val="0"/>
          <w:color w:val="auto"/>
          <w:kern w:val="0"/>
          <w:sz w:val="24"/>
        </w:rPr>
      </w:pPr>
      <w:r>
        <w:rPr>
          <w:rFonts w:ascii="仿宋" w:hAnsi="仿宋" w:eastAsia="仿宋"/>
          <w:bCs/>
          <w:snapToGrid w:val="0"/>
          <w:color w:val="auto"/>
          <w:kern w:val="0"/>
          <w:sz w:val="24"/>
        </w:rPr>
        <w:br w:type="page"/>
      </w:r>
    </w:p>
    <w:p w14:paraId="1C87AA6C">
      <w:pPr>
        <w:ind w:firstLine="0" w:firstLineChars="0"/>
        <w:jc w:val="center"/>
        <w:rPr>
          <w:rFonts w:ascii="仿宋" w:hAnsi="仿宋" w:eastAsia="仿宋"/>
          <w:snapToGrid w:val="0"/>
          <w:color w:val="auto"/>
          <w:kern w:val="0"/>
          <w:sz w:val="24"/>
        </w:rPr>
      </w:pPr>
      <w:r>
        <w:rPr>
          <w:rFonts w:hint="eastAsia" w:ascii="仿宋" w:hAnsi="仿宋" w:eastAsia="仿宋"/>
          <w:snapToGrid w:val="0"/>
          <w:color w:val="auto"/>
          <w:kern w:val="0"/>
          <w:sz w:val="24"/>
        </w:rPr>
        <w:t>（</w:t>
      </w:r>
      <w:r>
        <w:rPr>
          <w:rFonts w:ascii="仿宋" w:hAnsi="仿宋" w:eastAsia="仿宋"/>
          <w:snapToGrid w:val="0"/>
          <w:color w:val="auto"/>
          <w:kern w:val="0"/>
          <w:sz w:val="24"/>
        </w:rPr>
        <w:t>2</w:t>
      </w:r>
      <w:r>
        <w:rPr>
          <w:rFonts w:hint="eastAsia" w:ascii="仿宋" w:hAnsi="仿宋" w:eastAsia="仿宋"/>
          <w:snapToGrid w:val="0"/>
          <w:color w:val="auto"/>
          <w:kern w:val="0"/>
          <w:sz w:val="24"/>
        </w:rPr>
        <w:t>）投标人声明函</w:t>
      </w:r>
    </w:p>
    <w:p w14:paraId="1BA1BD5D">
      <w:pPr>
        <w:ind w:firstLine="480"/>
        <w:rPr>
          <w:rFonts w:ascii="仿宋" w:hAnsi="仿宋" w:eastAsia="仿宋"/>
          <w:snapToGrid w:val="0"/>
          <w:color w:val="auto"/>
          <w:kern w:val="0"/>
          <w:sz w:val="24"/>
        </w:rPr>
      </w:pPr>
      <w:r>
        <w:rPr>
          <w:rFonts w:hint="eastAsia" w:ascii="仿宋" w:hAnsi="仿宋" w:eastAsia="仿宋"/>
          <w:snapToGrid w:val="0"/>
          <w:color w:val="auto"/>
          <w:kern w:val="0"/>
          <w:sz w:val="24"/>
        </w:rPr>
        <w:t>本公司（联合体）郑重声明，本公司（联合体）参加</w:t>
      </w:r>
      <w:r>
        <w:rPr>
          <w:rFonts w:hint="eastAsia" w:ascii="仿宋" w:hAnsi="仿宋" w:eastAsia="仿宋"/>
          <w:b/>
          <w:snapToGrid w:val="0"/>
          <w:color w:val="auto"/>
          <w:kern w:val="0"/>
          <w:sz w:val="24"/>
          <w:u w:val="single"/>
        </w:rPr>
        <w:t>（单位名称）</w:t>
      </w:r>
      <w:r>
        <w:rPr>
          <w:rFonts w:hint="eastAsia" w:ascii="仿宋" w:hAnsi="仿宋" w:eastAsia="仿宋"/>
          <w:b/>
          <w:snapToGrid w:val="0"/>
          <w:color w:val="auto"/>
          <w:kern w:val="0"/>
          <w:sz w:val="24"/>
        </w:rPr>
        <w:t>的</w:t>
      </w:r>
      <w:r>
        <w:rPr>
          <w:rFonts w:hint="eastAsia" w:ascii="仿宋" w:hAnsi="仿宋" w:eastAsia="仿宋"/>
          <w:b/>
          <w:snapToGrid w:val="0"/>
          <w:color w:val="auto"/>
          <w:kern w:val="0"/>
          <w:sz w:val="24"/>
          <w:u w:val="single"/>
        </w:rPr>
        <w:t>（项目名称）</w:t>
      </w:r>
      <w:r>
        <w:rPr>
          <w:rFonts w:hint="eastAsia" w:ascii="仿宋" w:hAnsi="仿宋" w:eastAsia="仿宋"/>
          <w:snapToGrid w:val="0"/>
          <w:color w:val="auto"/>
          <w:kern w:val="0"/>
          <w:sz w:val="24"/>
        </w:rPr>
        <w:t xml:space="preserve">采购活动。相关投标人的具体情况如下： </w:t>
      </w:r>
    </w:p>
    <w:p w14:paraId="26EA613E">
      <w:pPr>
        <w:ind w:firstLine="480"/>
        <w:rPr>
          <w:rFonts w:ascii="仿宋" w:hAnsi="仿宋" w:eastAsia="仿宋"/>
          <w:snapToGrid w:val="0"/>
          <w:color w:val="auto"/>
          <w:kern w:val="0"/>
          <w:sz w:val="24"/>
        </w:rPr>
      </w:pPr>
    </w:p>
    <w:p w14:paraId="08A153CE">
      <w:pPr>
        <w:ind w:firstLine="480"/>
        <w:rPr>
          <w:rFonts w:ascii="仿宋" w:hAnsi="仿宋" w:eastAsia="仿宋"/>
          <w:snapToGrid w:val="0"/>
          <w:color w:val="auto"/>
          <w:kern w:val="0"/>
          <w:sz w:val="24"/>
        </w:rPr>
      </w:pPr>
      <w:r>
        <w:rPr>
          <w:rFonts w:hint="eastAsia" w:ascii="仿宋" w:hAnsi="仿宋" w:eastAsia="仿宋"/>
          <w:snapToGrid w:val="0"/>
          <w:color w:val="auto"/>
          <w:kern w:val="0"/>
          <w:sz w:val="24"/>
        </w:rPr>
        <w:t>1.</w:t>
      </w:r>
      <w:r>
        <w:rPr>
          <w:rFonts w:hint="eastAsia" w:ascii="仿宋" w:hAnsi="仿宋" w:eastAsia="仿宋"/>
          <w:snapToGrid w:val="0"/>
          <w:color w:val="auto"/>
          <w:kern w:val="0"/>
          <w:sz w:val="24"/>
          <w:u w:val="single"/>
        </w:rPr>
        <w:t>（标的名称）</w:t>
      </w:r>
      <w:r>
        <w:rPr>
          <w:rFonts w:hint="eastAsia" w:ascii="仿宋" w:hAnsi="仿宋" w:eastAsia="仿宋"/>
          <w:snapToGrid w:val="0"/>
          <w:color w:val="auto"/>
          <w:kern w:val="0"/>
          <w:sz w:val="24"/>
        </w:rPr>
        <w:t>，属于</w:t>
      </w:r>
      <w:r>
        <w:rPr>
          <w:rFonts w:hint="eastAsia" w:ascii="仿宋" w:hAnsi="仿宋" w:eastAsia="仿宋"/>
          <w:snapToGrid w:val="0"/>
          <w:color w:val="auto"/>
          <w:kern w:val="0"/>
          <w:sz w:val="24"/>
          <w:u w:val="single"/>
        </w:rPr>
        <w:t>（招标文件中明确的所属行业）</w:t>
      </w:r>
      <w:r>
        <w:rPr>
          <w:rFonts w:hint="eastAsia" w:ascii="仿宋" w:hAnsi="仿宋" w:eastAsia="仿宋"/>
          <w:snapToGrid w:val="0"/>
          <w:color w:val="auto"/>
          <w:kern w:val="0"/>
          <w:sz w:val="24"/>
        </w:rPr>
        <w:t>行业；投标人为</w:t>
      </w:r>
      <w:r>
        <w:rPr>
          <w:rFonts w:hint="eastAsia" w:ascii="仿宋" w:hAnsi="仿宋" w:eastAsia="仿宋"/>
          <w:snapToGrid w:val="0"/>
          <w:color w:val="auto"/>
          <w:kern w:val="0"/>
          <w:sz w:val="24"/>
          <w:u w:val="single"/>
        </w:rPr>
        <w:t>（企业名称）</w:t>
      </w:r>
      <w:r>
        <w:rPr>
          <w:rFonts w:hint="eastAsia" w:ascii="仿宋" w:hAnsi="仿宋" w:eastAsia="仿宋"/>
          <w:snapToGrid w:val="0"/>
          <w:color w:val="auto"/>
          <w:kern w:val="0"/>
          <w:sz w:val="24"/>
        </w:rPr>
        <w:t>，从业人员</w:t>
      </w:r>
      <w:r>
        <w:rPr>
          <w:rFonts w:hint="eastAsia" w:ascii="仿宋" w:hAnsi="仿宋" w:eastAsia="仿宋"/>
          <w:snapToGrid w:val="0"/>
          <w:color w:val="auto"/>
          <w:kern w:val="0"/>
          <w:sz w:val="24"/>
          <w:u w:val="single"/>
        </w:rPr>
        <w:t xml:space="preserve">   </w:t>
      </w:r>
      <w:r>
        <w:rPr>
          <w:rFonts w:hint="eastAsia" w:ascii="仿宋" w:hAnsi="仿宋" w:eastAsia="仿宋"/>
          <w:snapToGrid w:val="0"/>
          <w:color w:val="auto"/>
          <w:kern w:val="0"/>
          <w:sz w:val="24"/>
        </w:rPr>
        <w:t>人，营业收入为</w:t>
      </w:r>
      <w:r>
        <w:rPr>
          <w:rFonts w:hint="eastAsia" w:ascii="仿宋" w:hAnsi="仿宋" w:eastAsia="仿宋"/>
          <w:snapToGrid w:val="0"/>
          <w:color w:val="auto"/>
          <w:kern w:val="0"/>
          <w:sz w:val="24"/>
          <w:u w:val="single"/>
        </w:rPr>
        <w:t xml:space="preserve">   </w:t>
      </w:r>
      <w:r>
        <w:rPr>
          <w:rFonts w:hint="eastAsia" w:ascii="仿宋" w:hAnsi="仿宋" w:eastAsia="仿宋"/>
          <w:snapToGrid w:val="0"/>
          <w:color w:val="auto"/>
          <w:kern w:val="0"/>
          <w:sz w:val="24"/>
        </w:rPr>
        <w:t>万元，资产总额为</w:t>
      </w:r>
      <w:r>
        <w:rPr>
          <w:rFonts w:hint="eastAsia" w:ascii="仿宋" w:hAnsi="仿宋" w:eastAsia="仿宋"/>
          <w:snapToGrid w:val="0"/>
          <w:color w:val="auto"/>
          <w:kern w:val="0"/>
          <w:sz w:val="24"/>
          <w:u w:val="single"/>
        </w:rPr>
        <w:t xml:space="preserve">   </w:t>
      </w:r>
      <w:r>
        <w:rPr>
          <w:rFonts w:hint="eastAsia" w:ascii="仿宋" w:hAnsi="仿宋" w:eastAsia="仿宋"/>
          <w:snapToGrid w:val="0"/>
          <w:color w:val="auto"/>
          <w:kern w:val="0"/>
          <w:sz w:val="24"/>
        </w:rPr>
        <w:t>万元，属于</w:t>
      </w:r>
      <w:r>
        <w:rPr>
          <w:rFonts w:hint="eastAsia" w:ascii="仿宋" w:hAnsi="仿宋" w:eastAsia="仿宋"/>
          <w:snapToGrid w:val="0"/>
          <w:color w:val="auto"/>
          <w:kern w:val="0"/>
          <w:sz w:val="24"/>
          <w:u w:val="single"/>
        </w:rPr>
        <w:t>（中型企业、小型企业、微型企业）</w:t>
      </w:r>
      <w:r>
        <w:rPr>
          <w:rFonts w:hint="eastAsia" w:ascii="仿宋" w:hAnsi="仿宋" w:eastAsia="仿宋"/>
          <w:snapToGrid w:val="0"/>
          <w:color w:val="auto"/>
          <w:kern w:val="0"/>
          <w:sz w:val="24"/>
        </w:rPr>
        <w:t>；</w:t>
      </w:r>
    </w:p>
    <w:p w14:paraId="3018B5DE">
      <w:pPr>
        <w:ind w:firstLine="480"/>
        <w:rPr>
          <w:rFonts w:ascii="仿宋" w:hAnsi="仿宋" w:eastAsia="仿宋"/>
          <w:snapToGrid w:val="0"/>
          <w:color w:val="auto"/>
          <w:kern w:val="0"/>
          <w:sz w:val="24"/>
        </w:rPr>
      </w:pPr>
      <w:r>
        <w:rPr>
          <w:rFonts w:hint="eastAsia" w:ascii="仿宋" w:hAnsi="仿宋" w:eastAsia="仿宋"/>
          <w:snapToGrid w:val="0"/>
          <w:color w:val="auto"/>
          <w:kern w:val="0"/>
          <w:sz w:val="24"/>
        </w:rPr>
        <w:t>2.</w:t>
      </w:r>
      <w:r>
        <w:rPr>
          <w:rFonts w:hint="eastAsia" w:ascii="仿宋" w:hAnsi="仿宋" w:eastAsia="仿宋"/>
          <w:snapToGrid w:val="0"/>
          <w:color w:val="auto"/>
          <w:kern w:val="0"/>
          <w:sz w:val="24"/>
          <w:u w:val="single"/>
        </w:rPr>
        <w:t>（标的名称）</w:t>
      </w:r>
      <w:r>
        <w:rPr>
          <w:rFonts w:hint="eastAsia" w:ascii="仿宋" w:hAnsi="仿宋" w:eastAsia="仿宋"/>
          <w:snapToGrid w:val="0"/>
          <w:color w:val="auto"/>
          <w:kern w:val="0"/>
          <w:sz w:val="24"/>
        </w:rPr>
        <w:t>，属于</w:t>
      </w:r>
      <w:r>
        <w:rPr>
          <w:rFonts w:hint="eastAsia" w:ascii="仿宋" w:hAnsi="仿宋" w:eastAsia="仿宋"/>
          <w:snapToGrid w:val="0"/>
          <w:color w:val="auto"/>
          <w:kern w:val="0"/>
          <w:sz w:val="24"/>
          <w:u w:val="single"/>
        </w:rPr>
        <w:t>（招标文件中明确的所属行业）</w:t>
      </w:r>
      <w:r>
        <w:rPr>
          <w:rFonts w:hint="eastAsia" w:ascii="仿宋" w:hAnsi="仿宋" w:eastAsia="仿宋"/>
          <w:snapToGrid w:val="0"/>
          <w:color w:val="auto"/>
          <w:kern w:val="0"/>
          <w:sz w:val="24"/>
        </w:rPr>
        <w:t>行业；投标人为</w:t>
      </w:r>
      <w:r>
        <w:rPr>
          <w:rFonts w:hint="eastAsia" w:ascii="仿宋" w:hAnsi="仿宋" w:eastAsia="仿宋"/>
          <w:snapToGrid w:val="0"/>
          <w:color w:val="auto"/>
          <w:kern w:val="0"/>
          <w:sz w:val="24"/>
          <w:u w:val="single"/>
        </w:rPr>
        <w:t>（企业名称）</w:t>
      </w:r>
      <w:r>
        <w:rPr>
          <w:rFonts w:hint="eastAsia" w:ascii="仿宋" w:hAnsi="仿宋" w:eastAsia="仿宋"/>
          <w:snapToGrid w:val="0"/>
          <w:color w:val="auto"/>
          <w:kern w:val="0"/>
          <w:sz w:val="24"/>
        </w:rPr>
        <w:t>，从业人员</w:t>
      </w:r>
      <w:r>
        <w:rPr>
          <w:rFonts w:hint="eastAsia" w:ascii="仿宋" w:hAnsi="仿宋" w:eastAsia="仿宋"/>
          <w:snapToGrid w:val="0"/>
          <w:color w:val="auto"/>
          <w:kern w:val="0"/>
          <w:sz w:val="24"/>
          <w:u w:val="single"/>
        </w:rPr>
        <w:t xml:space="preserve">   </w:t>
      </w:r>
      <w:r>
        <w:rPr>
          <w:rFonts w:hint="eastAsia" w:ascii="仿宋" w:hAnsi="仿宋" w:eastAsia="仿宋"/>
          <w:snapToGrid w:val="0"/>
          <w:color w:val="auto"/>
          <w:kern w:val="0"/>
          <w:sz w:val="24"/>
        </w:rPr>
        <w:t>人，营业收入为</w:t>
      </w:r>
      <w:r>
        <w:rPr>
          <w:rFonts w:hint="eastAsia" w:ascii="仿宋" w:hAnsi="仿宋" w:eastAsia="仿宋"/>
          <w:snapToGrid w:val="0"/>
          <w:color w:val="auto"/>
          <w:kern w:val="0"/>
          <w:sz w:val="24"/>
          <w:u w:val="single"/>
        </w:rPr>
        <w:t xml:space="preserve">   </w:t>
      </w:r>
      <w:r>
        <w:rPr>
          <w:rFonts w:hint="eastAsia" w:ascii="仿宋" w:hAnsi="仿宋" w:eastAsia="仿宋"/>
          <w:snapToGrid w:val="0"/>
          <w:color w:val="auto"/>
          <w:kern w:val="0"/>
          <w:sz w:val="24"/>
        </w:rPr>
        <w:t>万元，资产总额为</w:t>
      </w:r>
      <w:r>
        <w:rPr>
          <w:rFonts w:hint="eastAsia" w:ascii="仿宋" w:hAnsi="仿宋" w:eastAsia="仿宋"/>
          <w:snapToGrid w:val="0"/>
          <w:color w:val="auto"/>
          <w:kern w:val="0"/>
          <w:sz w:val="24"/>
          <w:u w:val="single"/>
        </w:rPr>
        <w:t xml:space="preserve">   </w:t>
      </w:r>
      <w:r>
        <w:rPr>
          <w:rFonts w:hint="eastAsia" w:ascii="仿宋" w:hAnsi="仿宋" w:eastAsia="仿宋"/>
          <w:snapToGrid w:val="0"/>
          <w:color w:val="auto"/>
          <w:kern w:val="0"/>
          <w:sz w:val="24"/>
        </w:rPr>
        <w:t>万元，属于</w:t>
      </w:r>
      <w:r>
        <w:rPr>
          <w:rFonts w:hint="eastAsia" w:ascii="仿宋" w:hAnsi="仿宋" w:eastAsia="仿宋"/>
          <w:snapToGrid w:val="0"/>
          <w:color w:val="auto"/>
          <w:kern w:val="0"/>
          <w:sz w:val="24"/>
          <w:u w:val="single"/>
        </w:rPr>
        <w:t>（中型企业、小型企业、微型企业）</w:t>
      </w:r>
      <w:r>
        <w:rPr>
          <w:rFonts w:hint="eastAsia" w:ascii="仿宋" w:hAnsi="仿宋" w:eastAsia="仿宋"/>
          <w:snapToGrid w:val="0"/>
          <w:color w:val="auto"/>
          <w:kern w:val="0"/>
          <w:sz w:val="24"/>
        </w:rPr>
        <w:t>；</w:t>
      </w:r>
    </w:p>
    <w:p w14:paraId="3F05C9AF">
      <w:pPr>
        <w:ind w:firstLine="480"/>
        <w:rPr>
          <w:rFonts w:ascii="仿宋" w:hAnsi="仿宋" w:eastAsia="仿宋"/>
          <w:snapToGrid w:val="0"/>
          <w:color w:val="auto"/>
          <w:kern w:val="0"/>
          <w:sz w:val="24"/>
        </w:rPr>
      </w:pPr>
      <w:r>
        <w:rPr>
          <w:rFonts w:hint="eastAsia" w:ascii="仿宋" w:hAnsi="仿宋" w:eastAsia="仿宋"/>
          <w:snapToGrid w:val="0"/>
          <w:color w:val="auto"/>
          <w:kern w:val="0"/>
          <w:sz w:val="24"/>
        </w:rPr>
        <w:t>……</w:t>
      </w:r>
    </w:p>
    <w:p w14:paraId="5C1715B7">
      <w:pPr>
        <w:ind w:firstLine="480"/>
        <w:rPr>
          <w:rFonts w:ascii="仿宋" w:hAnsi="仿宋" w:eastAsia="仿宋"/>
          <w:snapToGrid w:val="0"/>
          <w:color w:val="auto"/>
          <w:kern w:val="0"/>
          <w:sz w:val="24"/>
        </w:rPr>
      </w:pPr>
    </w:p>
    <w:p w14:paraId="7CA8F0D5">
      <w:pPr>
        <w:ind w:firstLine="480"/>
        <w:rPr>
          <w:rFonts w:ascii="仿宋" w:hAnsi="仿宋" w:eastAsia="仿宋"/>
          <w:snapToGrid w:val="0"/>
          <w:color w:val="auto"/>
          <w:kern w:val="0"/>
          <w:sz w:val="24"/>
        </w:rPr>
      </w:pPr>
      <w:r>
        <w:rPr>
          <w:rFonts w:hint="eastAsia" w:ascii="仿宋" w:hAnsi="仿宋" w:eastAsia="仿宋"/>
          <w:snapToGrid w:val="0"/>
          <w:color w:val="auto"/>
          <w:kern w:val="0"/>
          <w:sz w:val="24"/>
        </w:rPr>
        <w:t>以上企业，不属于大企业的分支机构，不存在控股股东为大企业的情形，也不存在与大企业的负责人为同一人的情形。</w:t>
      </w:r>
    </w:p>
    <w:p w14:paraId="782C1609">
      <w:pPr>
        <w:ind w:firstLine="480"/>
        <w:rPr>
          <w:rFonts w:ascii="仿宋" w:hAnsi="仿宋" w:eastAsia="仿宋"/>
          <w:snapToGrid w:val="0"/>
          <w:color w:val="auto"/>
          <w:kern w:val="0"/>
          <w:sz w:val="24"/>
        </w:rPr>
      </w:pPr>
      <w:r>
        <w:rPr>
          <w:rFonts w:hint="eastAsia" w:ascii="仿宋" w:hAnsi="仿宋" w:eastAsia="仿宋"/>
          <w:snapToGrid w:val="0"/>
          <w:color w:val="auto"/>
          <w:kern w:val="0"/>
          <w:sz w:val="24"/>
        </w:rPr>
        <w:t>本企业对上述声明内容的真实性负责。如有虚假，将依法承担相应责任。</w:t>
      </w:r>
    </w:p>
    <w:p w14:paraId="4E563E72">
      <w:pPr>
        <w:ind w:firstLine="480"/>
        <w:rPr>
          <w:rFonts w:ascii="仿宋" w:hAnsi="仿宋" w:eastAsia="仿宋"/>
          <w:snapToGrid w:val="0"/>
          <w:color w:val="auto"/>
          <w:kern w:val="0"/>
          <w:sz w:val="24"/>
        </w:rPr>
      </w:pPr>
    </w:p>
    <w:p w14:paraId="5DA679E6">
      <w:pPr>
        <w:ind w:firstLine="482"/>
        <w:rPr>
          <w:rFonts w:ascii="仿宋" w:hAnsi="仿宋" w:eastAsia="仿宋"/>
          <w:b/>
          <w:snapToGrid w:val="0"/>
          <w:color w:val="auto"/>
          <w:kern w:val="0"/>
          <w:sz w:val="24"/>
          <w:u w:val="single"/>
        </w:rPr>
      </w:pPr>
      <w:r>
        <w:rPr>
          <w:rFonts w:hint="eastAsia" w:ascii="仿宋" w:hAnsi="仿宋" w:eastAsia="仿宋"/>
          <w:b/>
          <w:snapToGrid w:val="0"/>
          <w:color w:val="auto"/>
          <w:kern w:val="0"/>
          <w:sz w:val="24"/>
        </w:rPr>
        <w:t>企业名称（盖章）：</w:t>
      </w:r>
      <w:r>
        <w:rPr>
          <w:rFonts w:hint="eastAsia" w:ascii="仿宋" w:hAnsi="仿宋" w:eastAsia="仿宋"/>
          <w:b/>
          <w:color w:val="auto"/>
          <w:kern w:val="0"/>
          <w:sz w:val="24"/>
          <w:u w:val="single"/>
        </w:rPr>
        <w:t xml:space="preserve">    </w:t>
      </w:r>
      <w:r>
        <w:rPr>
          <w:rFonts w:hint="eastAsia" w:ascii="仿宋" w:hAnsi="仿宋" w:eastAsia="仿宋"/>
          <w:b/>
          <w:snapToGrid w:val="0"/>
          <w:color w:val="auto"/>
          <w:kern w:val="0"/>
          <w:sz w:val="24"/>
          <w:u w:val="single"/>
        </w:rPr>
        <w:t xml:space="preserve">        </w:t>
      </w:r>
    </w:p>
    <w:p w14:paraId="569F4844">
      <w:pPr>
        <w:ind w:firstLine="480"/>
        <w:rPr>
          <w:rFonts w:ascii="仿宋" w:hAnsi="仿宋" w:eastAsia="仿宋"/>
          <w:snapToGrid w:val="0"/>
          <w:color w:val="auto"/>
          <w:kern w:val="0"/>
          <w:sz w:val="24"/>
        </w:rPr>
      </w:pPr>
      <w:r>
        <w:rPr>
          <w:rFonts w:hint="eastAsia" w:ascii="仿宋" w:hAnsi="仿宋" w:eastAsia="仿宋"/>
          <w:snapToGrid w:val="0"/>
          <w:color w:val="auto"/>
          <w:kern w:val="0"/>
          <w:sz w:val="24"/>
        </w:rPr>
        <w:t>日期：</w:t>
      </w:r>
      <w:r>
        <w:rPr>
          <w:rFonts w:hint="eastAsia" w:ascii="仿宋" w:hAnsi="仿宋" w:eastAsia="仿宋"/>
          <w:color w:val="auto"/>
          <w:kern w:val="0"/>
          <w:sz w:val="24"/>
          <w:u w:val="single"/>
        </w:rPr>
        <w:t xml:space="preserve">      </w:t>
      </w:r>
      <w:r>
        <w:rPr>
          <w:rFonts w:hint="eastAsia" w:ascii="仿宋" w:hAnsi="仿宋" w:eastAsia="仿宋"/>
          <w:snapToGrid w:val="0"/>
          <w:color w:val="auto"/>
          <w:kern w:val="0"/>
          <w:sz w:val="24"/>
        </w:rPr>
        <w:t>年</w:t>
      </w:r>
      <w:r>
        <w:rPr>
          <w:rFonts w:hint="eastAsia" w:ascii="仿宋" w:hAnsi="仿宋" w:eastAsia="仿宋"/>
          <w:color w:val="auto"/>
          <w:kern w:val="0"/>
          <w:sz w:val="24"/>
          <w:u w:val="single"/>
        </w:rPr>
        <w:t xml:space="preserve">      </w:t>
      </w:r>
      <w:r>
        <w:rPr>
          <w:rFonts w:hint="eastAsia" w:ascii="仿宋" w:hAnsi="仿宋" w:eastAsia="仿宋"/>
          <w:snapToGrid w:val="0"/>
          <w:color w:val="auto"/>
          <w:kern w:val="0"/>
          <w:sz w:val="24"/>
        </w:rPr>
        <w:t>月</w:t>
      </w:r>
      <w:r>
        <w:rPr>
          <w:rFonts w:hint="eastAsia" w:ascii="仿宋" w:hAnsi="仿宋" w:eastAsia="仿宋"/>
          <w:color w:val="auto"/>
          <w:kern w:val="0"/>
          <w:sz w:val="24"/>
          <w:u w:val="single"/>
        </w:rPr>
        <w:t xml:space="preserve">      </w:t>
      </w:r>
      <w:r>
        <w:rPr>
          <w:rFonts w:hint="eastAsia" w:ascii="仿宋" w:hAnsi="仿宋" w:eastAsia="仿宋"/>
          <w:snapToGrid w:val="0"/>
          <w:color w:val="auto"/>
          <w:kern w:val="0"/>
          <w:sz w:val="24"/>
        </w:rPr>
        <w:t>日</w:t>
      </w:r>
    </w:p>
    <w:p w14:paraId="37A43F22">
      <w:pPr>
        <w:ind w:firstLine="480"/>
        <w:rPr>
          <w:rFonts w:ascii="仿宋" w:hAnsi="仿宋" w:eastAsia="仿宋"/>
          <w:snapToGrid w:val="0"/>
          <w:color w:val="auto"/>
          <w:kern w:val="0"/>
          <w:sz w:val="24"/>
        </w:rPr>
      </w:pPr>
    </w:p>
    <w:p w14:paraId="3316BA71">
      <w:pPr>
        <w:ind w:firstLine="480"/>
        <w:rPr>
          <w:rFonts w:ascii="仿宋" w:hAnsi="仿宋" w:eastAsia="仿宋"/>
          <w:snapToGrid w:val="0"/>
          <w:color w:val="auto"/>
          <w:kern w:val="0"/>
          <w:sz w:val="24"/>
        </w:rPr>
      </w:pPr>
      <w:r>
        <w:rPr>
          <w:rFonts w:hint="eastAsia" w:ascii="仿宋" w:hAnsi="仿宋" w:eastAsia="仿宋"/>
          <w:snapToGrid w:val="0"/>
          <w:color w:val="auto"/>
          <w:kern w:val="0"/>
          <w:sz w:val="24"/>
        </w:rPr>
        <w:t>注：从业人员、营业收入、资产总额填报上一年度数据，无上一年度数据的新成立企业可不填报。</w:t>
      </w:r>
      <w:r>
        <w:rPr>
          <w:rFonts w:hint="eastAsia" w:ascii="仿宋" w:hAnsi="仿宋" w:eastAsia="仿宋"/>
          <w:bCs/>
          <w:snapToGrid w:val="0"/>
          <w:color w:val="auto"/>
          <w:kern w:val="0"/>
          <w:sz w:val="24"/>
        </w:rPr>
        <w:t>本表只需要填报投标人信息（若投标人即制造商，可直接说明“投标人即制造商，相关声明详见《中小企业声明函》”即可）。</w:t>
      </w:r>
    </w:p>
    <w:p w14:paraId="09FB58A5">
      <w:pPr>
        <w:numPr>
          <w:ilvl w:val="0"/>
          <w:numId w:val="2"/>
        </w:numPr>
        <w:autoSpaceDE w:val="0"/>
        <w:autoSpaceDN w:val="0"/>
        <w:adjustRightInd w:val="0"/>
        <w:snapToGrid w:val="0"/>
        <w:spacing w:before="156" w:beforeLines="50" w:after="156" w:afterLines="50" w:line="240" w:lineRule="auto"/>
        <w:ind w:left="0" w:firstLine="0" w:firstLineChars="0"/>
        <w:jc w:val="center"/>
        <w:outlineLvl w:val="1"/>
        <w:rPr>
          <w:rFonts w:ascii="仿宋" w:hAnsi="仿宋" w:eastAsia="仿宋"/>
          <w:color w:val="auto"/>
          <w:sz w:val="28"/>
          <w:szCs w:val="28"/>
        </w:rPr>
      </w:pPr>
      <w:r>
        <w:rPr>
          <w:rFonts w:hint="eastAsia" w:ascii="仿宋" w:hAnsi="仿宋" w:eastAsia="仿宋"/>
          <w:color w:val="auto"/>
          <w:sz w:val="24"/>
        </w:rPr>
        <w:br w:type="page"/>
      </w:r>
      <w:bookmarkStart w:id="267" w:name="_Toc177738098"/>
      <w:bookmarkStart w:id="268" w:name="_Toc494529001"/>
      <w:bookmarkStart w:id="269" w:name="_Toc181712937"/>
      <w:bookmarkStart w:id="270" w:name="_Toc2072018"/>
      <w:bookmarkStart w:id="271" w:name="OLE_LINK14"/>
      <w:bookmarkStart w:id="272" w:name="OLE_LINK13"/>
      <w:r>
        <w:rPr>
          <w:rFonts w:hint="eastAsia" w:ascii="仿宋" w:hAnsi="仿宋" w:eastAsia="仿宋"/>
          <w:color w:val="auto"/>
          <w:sz w:val="28"/>
          <w:szCs w:val="28"/>
        </w:rPr>
        <w:t>残疾人福利性单位声明函</w:t>
      </w:r>
      <w:bookmarkEnd w:id="267"/>
      <w:bookmarkEnd w:id="268"/>
      <w:bookmarkEnd w:id="269"/>
      <w:bookmarkEnd w:id="270"/>
    </w:p>
    <w:bookmarkEnd w:id="271"/>
    <w:bookmarkEnd w:id="272"/>
    <w:p w14:paraId="0A847262">
      <w:pPr>
        <w:ind w:firstLine="504"/>
        <w:rPr>
          <w:rFonts w:ascii="仿宋" w:hAnsi="仿宋" w:eastAsia="仿宋"/>
          <w:color w:val="auto"/>
          <w:spacing w:val="6"/>
          <w:sz w:val="24"/>
        </w:rPr>
      </w:pPr>
    </w:p>
    <w:p w14:paraId="1624D52C">
      <w:pPr>
        <w:ind w:firstLine="504"/>
        <w:rPr>
          <w:rFonts w:ascii="仿宋" w:hAnsi="仿宋" w:eastAsia="仿宋"/>
          <w:color w:val="auto"/>
          <w:spacing w:val="6"/>
          <w:sz w:val="24"/>
        </w:rPr>
      </w:pPr>
      <w:r>
        <w:rPr>
          <w:rFonts w:hint="eastAsia" w:ascii="仿宋" w:hAnsi="仿宋" w:eastAsia="仿宋"/>
          <w:color w:val="auto"/>
          <w:spacing w:val="6"/>
          <w:sz w:val="24"/>
        </w:rPr>
        <w:t>本单位郑重声明，根据《财政部 民政部 中国残疾人联合会关于促进残疾人就业政府采购政策的通知》 （财库 〔2017〕141</w:t>
      </w:r>
      <w:r>
        <w:rPr>
          <w:rFonts w:ascii="仿宋" w:hAnsi="仿宋" w:eastAsia="仿宋"/>
          <w:color w:val="auto"/>
          <w:spacing w:val="6"/>
          <w:sz w:val="24"/>
        </w:rPr>
        <w:t xml:space="preserve"> </w:t>
      </w:r>
      <w:r>
        <w:rPr>
          <w:rFonts w:hint="eastAsia" w:ascii="仿宋" w:hAnsi="仿宋" w:eastAsia="仿宋"/>
          <w:color w:val="auto"/>
          <w:spacing w:val="6"/>
          <w:sz w:val="24"/>
        </w:rPr>
        <w:t>号）的规定，本单位</w:t>
      </w:r>
      <w:r>
        <w:rPr>
          <w:rFonts w:hint="eastAsia" w:ascii="仿宋" w:hAnsi="仿宋" w:eastAsia="仿宋"/>
          <w:b/>
          <w:color w:val="auto"/>
          <w:spacing w:val="6"/>
          <w:sz w:val="24"/>
          <w:u w:val="single"/>
        </w:rPr>
        <w:t xml:space="preserve">  </w:t>
      </w:r>
      <w:r>
        <w:rPr>
          <w:rFonts w:ascii="仿宋" w:hAnsi="仿宋" w:eastAsia="仿宋"/>
          <w:b/>
          <w:color w:val="auto"/>
          <w:spacing w:val="6"/>
          <w:sz w:val="24"/>
          <w:u w:val="single"/>
        </w:rPr>
        <w:t xml:space="preserve">  </w:t>
      </w:r>
      <w:r>
        <w:rPr>
          <w:rFonts w:hint="eastAsia" w:ascii="仿宋" w:hAnsi="仿宋" w:eastAsia="仿宋"/>
          <w:b/>
          <w:color w:val="auto"/>
          <w:spacing w:val="6"/>
          <w:sz w:val="24"/>
          <w:u w:val="single"/>
        </w:rPr>
        <w:t xml:space="preserve"> </w:t>
      </w:r>
      <w:r>
        <w:rPr>
          <w:rFonts w:ascii="仿宋" w:hAnsi="仿宋" w:eastAsia="仿宋"/>
          <w:b/>
          <w:color w:val="auto"/>
          <w:spacing w:val="6"/>
          <w:sz w:val="24"/>
          <w:u w:val="single"/>
        </w:rPr>
        <w:t xml:space="preserve"> </w:t>
      </w:r>
      <w:r>
        <w:rPr>
          <w:rFonts w:hint="eastAsia" w:ascii="仿宋" w:hAnsi="仿宋" w:eastAsia="仿宋"/>
          <w:b/>
          <w:color w:val="auto"/>
          <w:spacing w:val="6"/>
          <w:sz w:val="24"/>
          <w:u w:val="single"/>
        </w:rPr>
        <w:t>（为/不为）</w:t>
      </w:r>
      <w:r>
        <w:rPr>
          <w:rFonts w:ascii="仿宋" w:hAnsi="仿宋" w:eastAsia="仿宋"/>
          <w:b/>
          <w:color w:val="auto"/>
          <w:spacing w:val="6"/>
          <w:sz w:val="24"/>
          <w:u w:val="single"/>
        </w:rPr>
        <w:t xml:space="preserve">   </w:t>
      </w:r>
      <w:r>
        <w:rPr>
          <w:rFonts w:hint="eastAsia" w:ascii="仿宋" w:hAnsi="仿宋" w:eastAsia="仿宋"/>
          <w:color w:val="auto"/>
          <w:spacing w:val="6"/>
          <w:sz w:val="24"/>
        </w:rPr>
        <w:t>符合条件的残疾人福利性单位，</w:t>
      </w:r>
      <w:r>
        <w:rPr>
          <w:rFonts w:hint="eastAsia" w:ascii="仿宋" w:hAnsi="仿宋" w:eastAsia="仿宋"/>
          <w:b/>
          <w:color w:val="auto"/>
          <w:spacing w:val="6"/>
          <w:sz w:val="24"/>
        </w:rPr>
        <w:t>且本单位参加</w:t>
      </w:r>
      <w:r>
        <w:rPr>
          <w:rFonts w:hint="eastAsia" w:ascii="仿宋" w:hAnsi="仿宋" w:eastAsia="仿宋"/>
          <w:b/>
          <w:color w:val="auto"/>
          <w:sz w:val="24"/>
          <w:u w:val="single"/>
        </w:rPr>
        <w:t xml:space="preserve">     </w:t>
      </w:r>
      <w:r>
        <w:rPr>
          <w:rFonts w:hint="eastAsia" w:ascii="仿宋" w:hAnsi="仿宋" w:eastAsia="仿宋"/>
          <w:b/>
          <w:color w:val="auto"/>
          <w:spacing w:val="6"/>
          <w:sz w:val="24"/>
        </w:rPr>
        <w:t>单位的</w:t>
      </w:r>
      <w:r>
        <w:rPr>
          <w:rFonts w:hint="eastAsia" w:ascii="仿宋" w:hAnsi="仿宋" w:eastAsia="仿宋"/>
          <w:b/>
          <w:color w:val="auto"/>
          <w:sz w:val="24"/>
          <w:u w:val="single"/>
        </w:rPr>
        <w:t xml:space="preserve">     </w:t>
      </w:r>
      <w:r>
        <w:rPr>
          <w:rFonts w:hint="eastAsia" w:ascii="仿宋" w:hAnsi="仿宋" w:eastAsia="仿宋"/>
          <w:b/>
          <w:color w:val="auto"/>
          <w:spacing w:val="6"/>
          <w:sz w:val="24"/>
        </w:rPr>
        <w:t>项目</w:t>
      </w:r>
      <w:r>
        <w:rPr>
          <w:rFonts w:hint="eastAsia" w:ascii="仿宋" w:hAnsi="仿宋" w:eastAsia="仿宋"/>
          <w:color w:val="auto"/>
          <w:spacing w:val="6"/>
          <w:sz w:val="24"/>
        </w:rPr>
        <w:t>采购活动提供本单位制造的货物（由本单位承担工程/提供服务），或者提供其他残疾人福利性单位制造的货物（不包括使用非残疾人福利性单位注册商标的货物）。</w:t>
      </w:r>
    </w:p>
    <w:p w14:paraId="1E12BBF9">
      <w:pPr>
        <w:ind w:firstLine="504"/>
        <w:rPr>
          <w:rFonts w:ascii="仿宋" w:hAnsi="仿宋" w:eastAsia="仿宋"/>
          <w:color w:val="auto"/>
          <w:spacing w:val="6"/>
          <w:sz w:val="24"/>
        </w:rPr>
      </w:pPr>
      <w:r>
        <w:rPr>
          <w:rFonts w:hint="eastAsia" w:ascii="仿宋" w:hAnsi="仿宋" w:eastAsia="仿宋"/>
          <w:color w:val="auto"/>
          <w:spacing w:val="6"/>
          <w:sz w:val="24"/>
        </w:rPr>
        <w:t>本单位对上述声明的真实性负责。如有虚假，将依法承担相应责任。</w:t>
      </w:r>
    </w:p>
    <w:p w14:paraId="4FC201C5">
      <w:pPr>
        <w:ind w:firstLine="504"/>
        <w:rPr>
          <w:rFonts w:ascii="仿宋" w:hAnsi="仿宋" w:eastAsia="仿宋"/>
          <w:color w:val="auto"/>
          <w:spacing w:val="6"/>
          <w:sz w:val="24"/>
        </w:rPr>
      </w:pPr>
    </w:p>
    <w:p w14:paraId="60CAB2E3">
      <w:pPr>
        <w:ind w:firstLine="506"/>
        <w:rPr>
          <w:rFonts w:ascii="仿宋" w:hAnsi="仿宋" w:eastAsia="仿宋"/>
          <w:b/>
          <w:snapToGrid w:val="0"/>
          <w:color w:val="auto"/>
          <w:kern w:val="0"/>
          <w:sz w:val="24"/>
          <w:u w:val="single"/>
        </w:rPr>
      </w:pPr>
      <w:r>
        <w:rPr>
          <w:rFonts w:hint="eastAsia" w:ascii="仿宋" w:hAnsi="仿宋" w:eastAsia="仿宋"/>
          <w:b/>
          <w:color w:val="auto"/>
          <w:spacing w:val="6"/>
          <w:sz w:val="24"/>
        </w:rPr>
        <w:t>企业名称</w:t>
      </w:r>
      <w:r>
        <w:rPr>
          <w:rFonts w:hint="eastAsia" w:ascii="仿宋" w:hAnsi="仿宋" w:eastAsia="仿宋"/>
          <w:b/>
          <w:snapToGrid w:val="0"/>
          <w:color w:val="auto"/>
          <w:kern w:val="0"/>
          <w:sz w:val="24"/>
        </w:rPr>
        <w:t>（盖章）：</w:t>
      </w:r>
      <w:r>
        <w:rPr>
          <w:rFonts w:hint="eastAsia" w:ascii="仿宋" w:hAnsi="仿宋" w:eastAsia="仿宋"/>
          <w:b/>
          <w:color w:val="auto"/>
          <w:kern w:val="0"/>
          <w:sz w:val="24"/>
          <w:u w:val="single"/>
        </w:rPr>
        <w:t xml:space="preserve">    </w:t>
      </w:r>
      <w:r>
        <w:rPr>
          <w:rFonts w:hint="eastAsia" w:ascii="仿宋" w:hAnsi="仿宋" w:eastAsia="仿宋"/>
          <w:b/>
          <w:snapToGrid w:val="0"/>
          <w:color w:val="auto"/>
          <w:kern w:val="0"/>
          <w:sz w:val="24"/>
          <w:u w:val="single"/>
        </w:rPr>
        <w:t xml:space="preserve">        </w:t>
      </w:r>
    </w:p>
    <w:p w14:paraId="5B3DA3E0">
      <w:pPr>
        <w:ind w:firstLine="504"/>
        <w:rPr>
          <w:rFonts w:ascii="仿宋" w:hAnsi="仿宋" w:eastAsia="仿宋"/>
          <w:color w:val="auto"/>
          <w:spacing w:val="6"/>
          <w:sz w:val="24"/>
        </w:rPr>
      </w:pPr>
      <w:r>
        <w:rPr>
          <w:rFonts w:hint="eastAsia" w:ascii="仿宋" w:hAnsi="仿宋" w:eastAsia="仿宋"/>
          <w:color w:val="auto"/>
          <w:spacing w:val="6"/>
          <w:sz w:val="24"/>
        </w:rPr>
        <w:t>日期：</w:t>
      </w:r>
      <w:r>
        <w:rPr>
          <w:rFonts w:hint="eastAsia" w:ascii="仿宋" w:hAnsi="仿宋" w:eastAsia="仿宋"/>
          <w:color w:val="auto"/>
          <w:kern w:val="0"/>
          <w:sz w:val="24"/>
          <w:u w:val="single"/>
        </w:rPr>
        <w:t xml:space="preserve">      </w:t>
      </w:r>
      <w:r>
        <w:rPr>
          <w:rFonts w:hint="eastAsia" w:ascii="仿宋" w:hAnsi="仿宋" w:eastAsia="仿宋"/>
          <w:snapToGrid w:val="0"/>
          <w:color w:val="auto"/>
          <w:kern w:val="0"/>
          <w:sz w:val="24"/>
        </w:rPr>
        <w:t>年</w:t>
      </w:r>
      <w:r>
        <w:rPr>
          <w:rFonts w:hint="eastAsia" w:ascii="仿宋" w:hAnsi="仿宋" w:eastAsia="仿宋"/>
          <w:color w:val="auto"/>
          <w:kern w:val="0"/>
          <w:sz w:val="24"/>
          <w:u w:val="single"/>
        </w:rPr>
        <w:t xml:space="preserve">      </w:t>
      </w:r>
      <w:r>
        <w:rPr>
          <w:rFonts w:hint="eastAsia" w:ascii="仿宋" w:hAnsi="仿宋" w:eastAsia="仿宋"/>
          <w:snapToGrid w:val="0"/>
          <w:color w:val="auto"/>
          <w:kern w:val="0"/>
          <w:sz w:val="24"/>
        </w:rPr>
        <w:t>月</w:t>
      </w:r>
      <w:r>
        <w:rPr>
          <w:rFonts w:hint="eastAsia" w:ascii="仿宋" w:hAnsi="仿宋" w:eastAsia="仿宋"/>
          <w:color w:val="auto"/>
          <w:kern w:val="0"/>
          <w:sz w:val="24"/>
          <w:u w:val="single"/>
        </w:rPr>
        <w:t xml:space="preserve">      </w:t>
      </w:r>
      <w:r>
        <w:rPr>
          <w:rFonts w:hint="eastAsia" w:ascii="仿宋" w:hAnsi="仿宋" w:eastAsia="仿宋"/>
          <w:snapToGrid w:val="0"/>
          <w:color w:val="auto"/>
          <w:kern w:val="0"/>
          <w:sz w:val="24"/>
        </w:rPr>
        <w:t>日</w:t>
      </w:r>
    </w:p>
    <w:p w14:paraId="66C4BA6A">
      <w:pPr>
        <w:ind w:firstLine="504"/>
        <w:rPr>
          <w:rFonts w:ascii="仿宋" w:hAnsi="仿宋" w:eastAsia="仿宋"/>
          <w:color w:val="auto"/>
          <w:spacing w:val="6"/>
          <w:sz w:val="24"/>
        </w:rPr>
      </w:pPr>
    </w:p>
    <w:p w14:paraId="24305FE2">
      <w:pPr>
        <w:numPr>
          <w:ilvl w:val="0"/>
          <w:numId w:val="2"/>
        </w:numPr>
        <w:autoSpaceDE w:val="0"/>
        <w:autoSpaceDN w:val="0"/>
        <w:adjustRightInd w:val="0"/>
        <w:snapToGrid w:val="0"/>
        <w:spacing w:before="156" w:beforeLines="50" w:after="156" w:afterLines="50" w:line="240" w:lineRule="auto"/>
        <w:ind w:left="0" w:firstLine="0" w:firstLineChars="0"/>
        <w:jc w:val="center"/>
        <w:outlineLvl w:val="1"/>
        <w:rPr>
          <w:rFonts w:ascii="仿宋" w:hAnsi="仿宋" w:eastAsia="仿宋"/>
          <w:color w:val="auto"/>
          <w:sz w:val="28"/>
          <w:szCs w:val="28"/>
        </w:rPr>
      </w:pPr>
      <w:r>
        <w:rPr>
          <w:rFonts w:hint="eastAsia" w:ascii="仿宋" w:hAnsi="仿宋" w:eastAsia="仿宋"/>
          <w:color w:val="auto"/>
          <w:sz w:val="24"/>
        </w:rPr>
        <w:br w:type="page"/>
      </w:r>
      <w:bookmarkStart w:id="273" w:name="_Toc181712938"/>
      <w:bookmarkStart w:id="274" w:name="_Toc494529002"/>
      <w:bookmarkStart w:id="275" w:name="_Toc2072019"/>
      <w:bookmarkStart w:id="276" w:name="_Toc177738099"/>
      <w:r>
        <w:rPr>
          <w:rFonts w:hint="eastAsia" w:ascii="仿宋" w:hAnsi="仿宋" w:eastAsia="仿宋"/>
          <w:color w:val="auto"/>
          <w:sz w:val="28"/>
          <w:szCs w:val="28"/>
        </w:rPr>
        <w:t>无重大违法记录声明</w:t>
      </w:r>
      <w:bookmarkEnd w:id="273"/>
      <w:bookmarkEnd w:id="274"/>
      <w:bookmarkEnd w:id="275"/>
      <w:bookmarkEnd w:id="276"/>
    </w:p>
    <w:p w14:paraId="6EDB1FBD">
      <w:pPr>
        <w:ind w:firstLine="0" w:firstLineChars="0"/>
        <w:rPr>
          <w:rFonts w:ascii="仿宋" w:hAnsi="仿宋" w:eastAsia="仿宋"/>
          <w:color w:val="auto"/>
          <w:sz w:val="24"/>
        </w:rPr>
      </w:pPr>
      <w:r>
        <w:rPr>
          <w:rFonts w:hint="eastAsia" w:ascii="仿宋" w:hAnsi="仿宋" w:eastAsia="仿宋"/>
          <w:color w:val="auto"/>
          <w:kern w:val="0"/>
          <w:sz w:val="24"/>
        </w:rPr>
        <w:t>采购人和采购代理机构：</w:t>
      </w:r>
    </w:p>
    <w:p w14:paraId="675D902A">
      <w:pPr>
        <w:ind w:firstLine="480"/>
        <w:rPr>
          <w:rFonts w:ascii="仿宋" w:hAnsi="仿宋" w:eastAsia="仿宋"/>
          <w:color w:val="auto"/>
          <w:sz w:val="24"/>
        </w:rPr>
      </w:pPr>
      <w:r>
        <w:rPr>
          <w:rFonts w:hint="eastAsia" w:ascii="仿宋" w:hAnsi="仿宋" w:eastAsia="仿宋"/>
          <w:color w:val="auto"/>
          <w:kern w:val="0"/>
          <w:sz w:val="24"/>
        </w:rPr>
        <w:t>我方在此声明，我方在参加本</w:t>
      </w:r>
      <w:r>
        <w:rPr>
          <w:rFonts w:hint="eastAsia" w:ascii="仿宋" w:hAnsi="仿宋" w:eastAsia="仿宋"/>
          <w:color w:val="auto"/>
          <w:kern w:val="0"/>
          <w:sz w:val="24"/>
          <w:shd w:val="clear" w:color="auto" w:fill="FFFFFF"/>
        </w:rPr>
        <w:t>次政府采购活动前三年内，在经营活动中没有以下重大违法记录：</w:t>
      </w:r>
    </w:p>
    <w:p w14:paraId="0B709ADD">
      <w:pPr>
        <w:ind w:firstLine="480"/>
        <w:rPr>
          <w:rFonts w:ascii="仿宋" w:hAnsi="仿宋" w:eastAsia="仿宋"/>
          <w:color w:val="auto"/>
          <w:sz w:val="24"/>
        </w:rPr>
      </w:pPr>
      <w:r>
        <w:rPr>
          <w:rFonts w:hint="eastAsia" w:ascii="仿宋" w:hAnsi="仿宋" w:eastAsia="仿宋"/>
          <w:color w:val="auto"/>
          <w:kern w:val="0"/>
          <w:sz w:val="24"/>
          <w:shd w:val="clear" w:color="auto" w:fill="FFFFFF"/>
        </w:rPr>
        <w:t>1.我方因违法经营被追究过刑事责任；</w:t>
      </w:r>
    </w:p>
    <w:p w14:paraId="79F1D092">
      <w:pPr>
        <w:ind w:firstLine="480"/>
        <w:rPr>
          <w:rFonts w:ascii="仿宋" w:hAnsi="仿宋" w:eastAsia="仿宋"/>
          <w:color w:val="auto"/>
          <w:sz w:val="24"/>
        </w:rPr>
      </w:pPr>
      <w:r>
        <w:rPr>
          <w:rFonts w:hint="eastAsia" w:ascii="仿宋" w:hAnsi="仿宋" w:eastAsia="仿宋"/>
          <w:color w:val="auto"/>
          <w:kern w:val="0"/>
          <w:sz w:val="24"/>
          <w:shd w:val="clear" w:color="auto" w:fill="FFFFFF"/>
        </w:rPr>
        <w:t>2.我方因违法经营被责令停产停业、吊销许可证或者执照；</w:t>
      </w:r>
    </w:p>
    <w:p w14:paraId="4CDB6B66">
      <w:pPr>
        <w:ind w:firstLine="480"/>
        <w:rPr>
          <w:rFonts w:ascii="仿宋" w:hAnsi="仿宋" w:eastAsia="仿宋"/>
          <w:color w:val="auto"/>
          <w:sz w:val="24"/>
        </w:rPr>
      </w:pPr>
      <w:r>
        <w:rPr>
          <w:rFonts w:hint="eastAsia" w:ascii="仿宋" w:hAnsi="仿宋" w:eastAsia="仿宋"/>
          <w:color w:val="auto"/>
          <w:kern w:val="0"/>
          <w:sz w:val="24"/>
          <w:shd w:val="clear" w:color="auto" w:fill="FFFFFF"/>
        </w:rPr>
        <w:t>3.我方因违法经营被处以较大数额罚款等行政处罚。</w:t>
      </w:r>
    </w:p>
    <w:p w14:paraId="18B3F35C">
      <w:pPr>
        <w:ind w:firstLine="480"/>
        <w:rPr>
          <w:rFonts w:ascii="仿宋" w:hAnsi="仿宋" w:eastAsia="仿宋"/>
          <w:color w:val="auto"/>
          <w:sz w:val="24"/>
        </w:rPr>
      </w:pPr>
      <w:r>
        <w:rPr>
          <w:rFonts w:hint="eastAsia" w:ascii="仿宋" w:hAnsi="仿宋" w:eastAsia="仿宋"/>
          <w:color w:val="auto"/>
          <w:kern w:val="0"/>
          <w:sz w:val="24"/>
          <w:shd w:val="clear" w:color="auto" w:fill="FFFFFF"/>
        </w:rPr>
        <w:t>随本声明附上我方参加本次政府采购活动前3年内发生的诉讼及仲裁情况表以及相关的法律证明文件供贵方核验。我方保证上述信息的完整、客观、真实、准确，并愿意承担我方因提供虚假材料谋骗取中标、成交所引起的一切法律后果。</w:t>
      </w:r>
    </w:p>
    <w:p w14:paraId="4A8BD8F4">
      <w:pPr>
        <w:ind w:firstLine="480"/>
        <w:rPr>
          <w:rFonts w:ascii="仿宋" w:hAnsi="仿宋" w:eastAsia="仿宋"/>
          <w:color w:val="auto"/>
          <w:sz w:val="24"/>
        </w:rPr>
      </w:pPr>
      <w:r>
        <w:rPr>
          <w:rFonts w:hint="eastAsia" w:ascii="仿宋" w:hAnsi="仿宋" w:eastAsia="仿宋"/>
          <w:color w:val="auto"/>
          <w:kern w:val="0"/>
          <w:sz w:val="24"/>
          <w:shd w:val="clear" w:color="auto" w:fill="FFFFFF"/>
        </w:rPr>
        <w:t>特此声明！</w:t>
      </w:r>
    </w:p>
    <w:p w14:paraId="720EDBE2">
      <w:pPr>
        <w:ind w:firstLine="480"/>
        <w:rPr>
          <w:rFonts w:ascii="仿宋" w:hAnsi="仿宋" w:eastAsia="仿宋"/>
          <w:color w:val="auto"/>
          <w:sz w:val="24"/>
        </w:rPr>
      </w:pPr>
    </w:p>
    <w:p w14:paraId="3F1665BD">
      <w:pPr>
        <w:ind w:firstLine="482"/>
        <w:rPr>
          <w:rFonts w:ascii="仿宋" w:hAnsi="仿宋" w:eastAsia="仿宋"/>
          <w:b/>
          <w:color w:val="auto"/>
          <w:sz w:val="24"/>
        </w:rPr>
      </w:pPr>
      <w:r>
        <w:rPr>
          <w:rFonts w:hint="eastAsia" w:ascii="仿宋" w:hAnsi="仿宋" w:eastAsia="仿宋"/>
          <w:b/>
          <w:color w:val="auto"/>
          <w:sz w:val="24"/>
        </w:rPr>
        <w:t>投标人法定代表人或委托代理人签字：</w:t>
      </w:r>
      <w:r>
        <w:rPr>
          <w:rFonts w:hint="eastAsia" w:ascii="仿宋" w:hAnsi="仿宋" w:eastAsia="仿宋"/>
          <w:b/>
          <w:color w:val="auto"/>
          <w:sz w:val="24"/>
          <w:u w:val="single"/>
        </w:rPr>
        <w:t xml:space="preserve">         </w:t>
      </w:r>
    </w:p>
    <w:p w14:paraId="5949C838">
      <w:pPr>
        <w:ind w:firstLine="482"/>
        <w:rPr>
          <w:rFonts w:ascii="仿宋" w:hAnsi="仿宋" w:eastAsia="仿宋"/>
          <w:b/>
          <w:color w:val="auto"/>
          <w:sz w:val="24"/>
        </w:rPr>
      </w:pPr>
      <w:r>
        <w:rPr>
          <w:rFonts w:hint="eastAsia" w:ascii="仿宋" w:hAnsi="仿宋" w:eastAsia="仿宋"/>
          <w:b/>
          <w:color w:val="auto"/>
          <w:sz w:val="24"/>
        </w:rPr>
        <w:t>投标人名称（签章）：</w:t>
      </w:r>
      <w:r>
        <w:rPr>
          <w:rFonts w:hint="eastAsia" w:ascii="仿宋" w:hAnsi="仿宋" w:eastAsia="仿宋"/>
          <w:b/>
          <w:color w:val="auto"/>
          <w:sz w:val="24"/>
          <w:u w:val="single"/>
        </w:rPr>
        <w:t xml:space="preserve">                       </w:t>
      </w:r>
    </w:p>
    <w:p w14:paraId="7E92EDE6">
      <w:pPr>
        <w:ind w:firstLine="480"/>
        <w:rPr>
          <w:rFonts w:ascii="仿宋" w:hAnsi="仿宋" w:eastAsia="仿宋"/>
          <w:bCs/>
          <w:color w:val="auto"/>
          <w:sz w:val="24"/>
        </w:rPr>
      </w:pPr>
      <w:r>
        <w:rPr>
          <w:rFonts w:hint="eastAsia" w:ascii="仿宋" w:hAnsi="仿宋" w:eastAsia="仿宋"/>
          <w:color w:val="auto"/>
          <w:sz w:val="24"/>
        </w:rPr>
        <w:t>时间：</w:t>
      </w:r>
      <w:r>
        <w:rPr>
          <w:rFonts w:hint="eastAsia" w:ascii="仿宋" w:hAnsi="仿宋" w:eastAsia="仿宋"/>
          <w:color w:val="auto"/>
          <w:sz w:val="24"/>
          <w:u w:val="single"/>
        </w:rPr>
        <w:t xml:space="preserve">   </w:t>
      </w:r>
      <w:r>
        <w:rPr>
          <w:rFonts w:ascii="仿宋" w:hAnsi="仿宋" w:eastAsia="仿宋"/>
          <w:color w:val="auto"/>
          <w:sz w:val="24"/>
          <w:u w:val="single"/>
        </w:rPr>
        <w:t xml:space="preserve"> </w:t>
      </w:r>
      <w:r>
        <w:rPr>
          <w:rFonts w:hint="eastAsia" w:ascii="仿宋" w:hAnsi="仿宋" w:eastAsia="仿宋"/>
          <w:color w:val="auto"/>
          <w:sz w:val="24"/>
          <w:u w:val="single"/>
        </w:rPr>
        <w:t xml:space="preserve">       </w:t>
      </w:r>
      <w:r>
        <w:rPr>
          <w:rFonts w:hint="eastAsia" w:ascii="仿宋" w:hAnsi="仿宋" w:eastAsia="仿宋"/>
          <w:color w:val="auto"/>
          <w:sz w:val="24"/>
        </w:rPr>
        <w:t>年</w:t>
      </w:r>
      <w:r>
        <w:rPr>
          <w:rFonts w:hint="eastAsia" w:ascii="仿宋" w:hAnsi="仿宋" w:eastAsia="仿宋"/>
          <w:color w:val="auto"/>
          <w:sz w:val="24"/>
          <w:u w:val="single"/>
        </w:rPr>
        <w:t xml:space="preserve">     </w:t>
      </w:r>
      <w:r>
        <w:rPr>
          <w:rFonts w:ascii="仿宋" w:hAnsi="仿宋" w:eastAsia="仿宋"/>
          <w:color w:val="auto"/>
          <w:sz w:val="24"/>
          <w:u w:val="single"/>
        </w:rPr>
        <w:t xml:space="preserve"> </w:t>
      </w:r>
      <w:r>
        <w:rPr>
          <w:rFonts w:hint="eastAsia" w:ascii="仿宋" w:hAnsi="仿宋" w:eastAsia="仿宋"/>
          <w:color w:val="auto"/>
          <w:sz w:val="24"/>
          <w:u w:val="single"/>
        </w:rPr>
        <w:t xml:space="preserve">     </w:t>
      </w:r>
      <w:r>
        <w:rPr>
          <w:rFonts w:hint="eastAsia" w:ascii="仿宋" w:hAnsi="仿宋" w:eastAsia="仿宋"/>
          <w:color w:val="auto"/>
          <w:sz w:val="24"/>
        </w:rPr>
        <w:t>月</w:t>
      </w:r>
      <w:r>
        <w:rPr>
          <w:rFonts w:hint="eastAsia" w:ascii="仿宋" w:hAnsi="仿宋" w:eastAsia="仿宋"/>
          <w:color w:val="auto"/>
          <w:sz w:val="24"/>
          <w:u w:val="single"/>
        </w:rPr>
        <w:t xml:space="preserve">          </w:t>
      </w:r>
      <w:r>
        <w:rPr>
          <w:rFonts w:hint="eastAsia" w:ascii="仿宋" w:hAnsi="仿宋" w:eastAsia="仿宋"/>
          <w:color w:val="auto"/>
          <w:sz w:val="24"/>
        </w:rPr>
        <w:t>日</w:t>
      </w:r>
    </w:p>
    <w:p w14:paraId="65BD7D6C">
      <w:pPr>
        <w:ind w:firstLine="480"/>
        <w:rPr>
          <w:rFonts w:ascii="仿宋" w:hAnsi="仿宋" w:eastAsia="仿宋"/>
          <w:color w:val="auto"/>
          <w:sz w:val="24"/>
        </w:rPr>
      </w:pPr>
    </w:p>
    <w:p w14:paraId="31819597">
      <w:pPr>
        <w:numPr>
          <w:ilvl w:val="0"/>
          <w:numId w:val="2"/>
        </w:numPr>
        <w:autoSpaceDE w:val="0"/>
        <w:autoSpaceDN w:val="0"/>
        <w:adjustRightInd w:val="0"/>
        <w:snapToGrid w:val="0"/>
        <w:spacing w:before="156" w:beforeLines="50" w:after="156" w:afterLines="50" w:line="240" w:lineRule="auto"/>
        <w:ind w:left="0" w:firstLine="0" w:firstLineChars="0"/>
        <w:jc w:val="center"/>
        <w:outlineLvl w:val="1"/>
        <w:rPr>
          <w:rFonts w:ascii="仿宋" w:hAnsi="仿宋" w:eastAsia="仿宋"/>
          <w:color w:val="auto"/>
          <w:sz w:val="28"/>
          <w:szCs w:val="28"/>
        </w:rPr>
      </w:pPr>
      <w:r>
        <w:rPr>
          <w:rFonts w:hint="eastAsia" w:ascii="仿宋" w:hAnsi="仿宋" w:eastAsia="仿宋"/>
          <w:color w:val="auto"/>
          <w:szCs w:val="21"/>
        </w:rPr>
        <w:br w:type="page"/>
      </w:r>
      <w:bookmarkStart w:id="277" w:name="_Toc177738100"/>
      <w:bookmarkStart w:id="278" w:name="_Toc181712939"/>
      <w:r>
        <w:rPr>
          <w:rFonts w:hint="eastAsia" w:ascii="仿宋" w:hAnsi="仿宋" w:eastAsia="仿宋"/>
          <w:color w:val="auto"/>
          <w:sz w:val="28"/>
          <w:szCs w:val="28"/>
        </w:rPr>
        <w:t>声明函</w:t>
      </w:r>
      <w:bookmarkEnd w:id="277"/>
      <w:bookmarkEnd w:id="278"/>
    </w:p>
    <w:p w14:paraId="53549746">
      <w:pPr>
        <w:ind w:firstLine="0" w:firstLineChars="0"/>
        <w:rPr>
          <w:rFonts w:ascii="仿宋" w:hAnsi="仿宋" w:eastAsia="仿宋"/>
          <w:color w:val="auto"/>
          <w:sz w:val="24"/>
        </w:rPr>
      </w:pPr>
      <w:r>
        <w:rPr>
          <w:rFonts w:hint="eastAsia" w:ascii="仿宋" w:hAnsi="仿宋" w:eastAsia="仿宋"/>
          <w:color w:val="auto"/>
          <w:sz w:val="24"/>
        </w:rPr>
        <w:t>采购人和采购代理机构：</w:t>
      </w:r>
    </w:p>
    <w:p w14:paraId="6F3C34F7">
      <w:pPr>
        <w:ind w:firstLine="480"/>
        <w:rPr>
          <w:rFonts w:ascii="仿宋" w:hAnsi="仿宋" w:eastAsia="仿宋"/>
          <w:color w:val="auto"/>
          <w:sz w:val="24"/>
        </w:rPr>
      </w:pPr>
      <w:r>
        <w:rPr>
          <w:rFonts w:hint="eastAsia" w:ascii="仿宋" w:hAnsi="仿宋" w:eastAsia="仿宋"/>
          <w:color w:val="auto"/>
          <w:sz w:val="24"/>
        </w:rPr>
        <w:t>我方在此声明，我方单位负责人与其它投标单位的负责人不为同一人，且我单位与其它投标单位也不存在直接控股、管理关系。我方没有为本采购项目提供整体设计、规范编制或者项目管理、监理、检测等服务。</w:t>
      </w:r>
    </w:p>
    <w:p w14:paraId="73C8CE14">
      <w:pPr>
        <w:ind w:firstLine="480"/>
        <w:rPr>
          <w:rFonts w:ascii="仿宋" w:hAnsi="仿宋" w:eastAsia="仿宋"/>
          <w:color w:val="auto"/>
          <w:sz w:val="24"/>
        </w:rPr>
      </w:pPr>
      <w:r>
        <w:rPr>
          <w:rFonts w:hint="eastAsia" w:ascii="仿宋" w:hAnsi="仿宋" w:eastAsia="仿宋"/>
          <w:color w:val="auto"/>
          <w:sz w:val="24"/>
        </w:rPr>
        <w:t>我方保证上述信息的完整、客观、真实、准确，并愿意承担我方因提供虚假材料谋骗取中标、成交所引起的一切法律后果。</w:t>
      </w:r>
    </w:p>
    <w:p w14:paraId="7996DA43">
      <w:pPr>
        <w:ind w:firstLine="480"/>
        <w:rPr>
          <w:rFonts w:ascii="仿宋" w:hAnsi="仿宋" w:eastAsia="仿宋"/>
          <w:color w:val="auto"/>
          <w:sz w:val="24"/>
        </w:rPr>
      </w:pPr>
      <w:r>
        <w:rPr>
          <w:rFonts w:hint="eastAsia" w:ascii="仿宋" w:hAnsi="仿宋" w:eastAsia="仿宋"/>
          <w:color w:val="auto"/>
          <w:sz w:val="24"/>
        </w:rPr>
        <w:t>特此声明！</w:t>
      </w:r>
    </w:p>
    <w:p w14:paraId="2B402611">
      <w:pPr>
        <w:ind w:firstLine="480"/>
        <w:rPr>
          <w:rFonts w:ascii="仿宋" w:hAnsi="仿宋" w:eastAsia="仿宋"/>
          <w:color w:val="auto"/>
          <w:sz w:val="24"/>
        </w:rPr>
      </w:pPr>
    </w:p>
    <w:p w14:paraId="5701190A">
      <w:pPr>
        <w:ind w:firstLine="482"/>
        <w:rPr>
          <w:rFonts w:ascii="仿宋" w:hAnsi="仿宋" w:eastAsia="仿宋"/>
          <w:b/>
          <w:color w:val="auto"/>
          <w:sz w:val="24"/>
        </w:rPr>
      </w:pPr>
      <w:r>
        <w:rPr>
          <w:rFonts w:hint="eastAsia" w:ascii="仿宋" w:hAnsi="仿宋" w:eastAsia="仿宋"/>
          <w:b/>
          <w:color w:val="auto"/>
          <w:sz w:val="24"/>
        </w:rPr>
        <w:t>投标人法定代表人或委托代理人签字：</w:t>
      </w:r>
      <w:r>
        <w:rPr>
          <w:rFonts w:hint="eastAsia" w:ascii="仿宋" w:hAnsi="仿宋" w:eastAsia="仿宋"/>
          <w:b/>
          <w:color w:val="auto"/>
          <w:sz w:val="24"/>
          <w:u w:val="single"/>
        </w:rPr>
        <w:t xml:space="preserve">         </w:t>
      </w:r>
    </w:p>
    <w:p w14:paraId="602A7DAE">
      <w:pPr>
        <w:ind w:firstLine="482"/>
        <w:rPr>
          <w:rFonts w:ascii="仿宋" w:hAnsi="仿宋" w:eastAsia="仿宋"/>
          <w:b/>
          <w:color w:val="auto"/>
          <w:sz w:val="24"/>
        </w:rPr>
      </w:pPr>
      <w:r>
        <w:rPr>
          <w:rFonts w:hint="eastAsia" w:ascii="仿宋" w:hAnsi="仿宋" w:eastAsia="仿宋"/>
          <w:b/>
          <w:color w:val="auto"/>
          <w:sz w:val="24"/>
        </w:rPr>
        <w:t>投标人名称（签章）：</w:t>
      </w:r>
      <w:r>
        <w:rPr>
          <w:rFonts w:hint="eastAsia" w:ascii="仿宋" w:hAnsi="仿宋" w:eastAsia="仿宋"/>
          <w:b/>
          <w:color w:val="auto"/>
          <w:sz w:val="24"/>
          <w:u w:val="single"/>
        </w:rPr>
        <w:t xml:space="preserve">                       </w:t>
      </w:r>
    </w:p>
    <w:p w14:paraId="59246F60">
      <w:pPr>
        <w:ind w:firstLine="480"/>
        <w:rPr>
          <w:rFonts w:ascii="仿宋" w:hAnsi="仿宋" w:eastAsia="仿宋"/>
          <w:bCs/>
          <w:color w:val="auto"/>
          <w:sz w:val="24"/>
        </w:rPr>
      </w:pPr>
      <w:r>
        <w:rPr>
          <w:rFonts w:hint="eastAsia" w:ascii="仿宋" w:hAnsi="仿宋" w:eastAsia="仿宋"/>
          <w:color w:val="auto"/>
          <w:sz w:val="24"/>
        </w:rPr>
        <w:t>时间：</w:t>
      </w:r>
      <w:r>
        <w:rPr>
          <w:rFonts w:hint="eastAsia" w:ascii="仿宋" w:hAnsi="仿宋" w:eastAsia="仿宋"/>
          <w:color w:val="auto"/>
          <w:sz w:val="24"/>
          <w:u w:val="single"/>
        </w:rPr>
        <w:t xml:space="preserve">   </w:t>
      </w:r>
      <w:r>
        <w:rPr>
          <w:rFonts w:ascii="仿宋" w:hAnsi="仿宋" w:eastAsia="仿宋"/>
          <w:color w:val="auto"/>
          <w:sz w:val="24"/>
          <w:u w:val="single"/>
        </w:rPr>
        <w:t xml:space="preserve"> </w:t>
      </w:r>
      <w:r>
        <w:rPr>
          <w:rFonts w:hint="eastAsia" w:ascii="仿宋" w:hAnsi="仿宋" w:eastAsia="仿宋"/>
          <w:color w:val="auto"/>
          <w:sz w:val="24"/>
          <w:u w:val="single"/>
        </w:rPr>
        <w:t xml:space="preserve">       </w:t>
      </w:r>
      <w:r>
        <w:rPr>
          <w:rFonts w:hint="eastAsia" w:ascii="仿宋" w:hAnsi="仿宋" w:eastAsia="仿宋"/>
          <w:color w:val="auto"/>
          <w:sz w:val="24"/>
        </w:rPr>
        <w:t>年</w:t>
      </w:r>
      <w:r>
        <w:rPr>
          <w:rFonts w:hint="eastAsia" w:ascii="仿宋" w:hAnsi="仿宋" w:eastAsia="仿宋"/>
          <w:color w:val="auto"/>
          <w:sz w:val="24"/>
          <w:u w:val="single"/>
        </w:rPr>
        <w:t xml:space="preserve">     </w:t>
      </w:r>
      <w:r>
        <w:rPr>
          <w:rFonts w:ascii="仿宋" w:hAnsi="仿宋" w:eastAsia="仿宋"/>
          <w:color w:val="auto"/>
          <w:sz w:val="24"/>
          <w:u w:val="single"/>
        </w:rPr>
        <w:t xml:space="preserve"> </w:t>
      </w:r>
      <w:r>
        <w:rPr>
          <w:rFonts w:hint="eastAsia" w:ascii="仿宋" w:hAnsi="仿宋" w:eastAsia="仿宋"/>
          <w:color w:val="auto"/>
          <w:sz w:val="24"/>
          <w:u w:val="single"/>
        </w:rPr>
        <w:t xml:space="preserve">     </w:t>
      </w:r>
      <w:r>
        <w:rPr>
          <w:rFonts w:hint="eastAsia" w:ascii="仿宋" w:hAnsi="仿宋" w:eastAsia="仿宋"/>
          <w:color w:val="auto"/>
          <w:sz w:val="24"/>
        </w:rPr>
        <w:t>月</w:t>
      </w:r>
      <w:r>
        <w:rPr>
          <w:rFonts w:hint="eastAsia" w:ascii="仿宋" w:hAnsi="仿宋" w:eastAsia="仿宋"/>
          <w:color w:val="auto"/>
          <w:sz w:val="24"/>
          <w:u w:val="single"/>
        </w:rPr>
        <w:t xml:space="preserve">          </w:t>
      </w:r>
      <w:r>
        <w:rPr>
          <w:rFonts w:hint="eastAsia" w:ascii="仿宋" w:hAnsi="仿宋" w:eastAsia="仿宋"/>
          <w:color w:val="auto"/>
          <w:sz w:val="24"/>
        </w:rPr>
        <w:t>日</w:t>
      </w:r>
    </w:p>
    <w:p w14:paraId="65D196AE">
      <w:pPr>
        <w:ind w:firstLine="480"/>
        <w:rPr>
          <w:rFonts w:ascii="仿宋" w:hAnsi="仿宋" w:eastAsia="仿宋"/>
          <w:color w:val="auto"/>
          <w:sz w:val="24"/>
        </w:rPr>
      </w:pPr>
    </w:p>
    <w:p w14:paraId="348E8520">
      <w:pPr>
        <w:numPr>
          <w:ilvl w:val="0"/>
          <w:numId w:val="2"/>
        </w:numPr>
        <w:autoSpaceDE w:val="0"/>
        <w:autoSpaceDN w:val="0"/>
        <w:adjustRightInd w:val="0"/>
        <w:snapToGrid w:val="0"/>
        <w:spacing w:before="156" w:beforeLines="50" w:after="156" w:afterLines="50" w:line="240" w:lineRule="auto"/>
        <w:ind w:left="0" w:firstLine="0" w:firstLineChars="0"/>
        <w:jc w:val="center"/>
        <w:outlineLvl w:val="1"/>
        <w:rPr>
          <w:rFonts w:ascii="仿宋" w:hAnsi="仿宋" w:eastAsia="仿宋"/>
          <w:color w:val="auto"/>
          <w:sz w:val="28"/>
          <w:szCs w:val="28"/>
        </w:rPr>
      </w:pPr>
      <w:bookmarkStart w:id="279" w:name="_Toc498618773"/>
      <w:bookmarkStart w:id="280" w:name="_Toc515823026"/>
      <w:bookmarkStart w:id="281" w:name="_Toc478751406"/>
      <w:r>
        <w:rPr>
          <w:rFonts w:hint="eastAsia" w:ascii="仿宋" w:hAnsi="仿宋" w:eastAsia="仿宋"/>
          <w:bCs/>
          <w:color w:val="auto"/>
          <w:szCs w:val="21"/>
        </w:rPr>
        <w:br w:type="page"/>
      </w:r>
      <w:bookmarkStart w:id="282" w:name="_Toc181712940"/>
      <w:bookmarkStart w:id="283" w:name="_Toc2072021"/>
      <w:bookmarkStart w:id="284" w:name="_Toc177738101"/>
      <w:r>
        <w:rPr>
          <w:rFonts w:hint="eastAsia" w:ascii="仿宋" w:hAnsi="仿宋" w:eastAsia="仿宋"/>
          <w:color w:val="auto"/>
          <w:sz w:val="28"/>
          <w:szCs w:val="28"/>
        </w:rPr>
        <w:t>信用信息查询结果</w:t>
      </w:r>
      <w:bookmarkEnd w:id="279"/>
      <w:bookmarkEnd w:id="280"/>
      <w:bookmarkEnd w:id="281"/>
      <w:bookmarkEnd w:id="282"/>
      <w:bookmarkEnd w:id="283"/>
      <w:bookmarkEnd w:id="284"/>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61A2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0" w:hRule="atLeast"/>
        </w:trPr>
        <w:tc>
          <w:tcPr>
            <w:tcW w:w="9235" w:type="dxa"/>
          </w:tcPr>
          <w:p w14:paraId="5A95F663">
            <w:pPr>
              <w:adjustRightInd w:val="0"/>
              <w:snapToGrid w:val="0"/>
              <w:spacing w:line="400" w:lineRule="atLeast"/>
              <w:ind w:firstLine="0" w:firstLineChars="0"/>
              <w:rPr>
                <w:rFonts w:ascii="仿宋" w:hAnsi="仿宋" w:eastAsia="仿宋"/>
                <w:color w:val="auto"/>
                <w:sz w:val="24"/>
              </w:rPr>
            </w:pPr>
          </w:p>
        </w:tc>
      </w:tr>
    </w:tbl>
    <w:p w14:paraId="740B816A">
      <w:pPr>
        <w:ind w:firstLine="480"/>
        <w:rPr>
          <w:rFonts w:ascii="仿宋" w:hAnsi="仿宋" w:eastAsia="仿宋"/>
          <w:color w:val="auto"/>
          <w:sz w:val="24"/>
        </w:rPr>
      </w:pPr>
      <w:r>
        <w:rPr>
          <w:rFonts w:hint="eastAsia" w:ascii="仿宋" w:hAnsi="仿宋" w:eastAsia="仿宋"/>
          <w:color w:val="auto"/>
          <w:sz w:val="24"/>
        </w:rPr>
        <w:t>备注：</w:t>
      </w:r>
    </w:p>
    <w:p w14:paraId="7870B3B8">
      <w:pPr>
        <w:ind w:firstLine="480"/>
        <w:rPr>
          <w:rFonts w:ascii="仿宋" w:hAnsi="仿宋" w:eastAsia="仿宋"/>
          <w:color w:val="auto"/>
          <w:sz w:val="24"/>
        </w:rPr>
      </w:pPr>
      <w:r>
        <w:rPr>
          <w:rFonts w:hint="eastAsia" w:ascii="仿宋" w:hAnsi="仿宋" w:eastAsia="仿宋"/>
          <w:color w:val="auto"/>
          <w:sz w:val="24"/>
        </w:rPr>
        <w:t>1.投标人未被列入“信用中国”网站(www.creditchina.gov.cn)失信被执行人、重大税收违法失信主体名单和“中国政府采购”网站（www.ccgp.gov.cn）政府采购严重违法失信行为记录名单，投标人将查询结果“截图”附在本表中（采购代理机构将在开标之日查询相关信息）。</w:t>
      </w:r>
    </w:p>
    <w:p w14:paraId="16AB8F8F">
      <w:pPr>
        <w:ind w:firstLine="480"/>
        <w:rPr>
          <w:rFonts w:ascii="仿宋" w:hAnsi="仿宋" w:eastAsia="仿宋"/>
          <w:color w:val="auto"/>
          <w:sz w:val="24"/>
        </w:rPr>
      </w:pPr>
      <w:r>
        <w:rPr>
          <w:rFonts w:hint="eastAsia" w:ascii="仿宋" w:hAnsi="仿宋" w:eastAsia="仿宋"/>
          <w:color w:val="auto"/>
          <w:sz w:val="24"/>
        </w:rPr>
        <w:t>2.联合体投标的，应当对所有联合体成员进行查询。</w:t>
      </w:r>
    </w:p>
    <w:p w14:paraId="4EAF2236">
      <w:pPr>
        <w:ind w:firstLine="420"/>
        <w:jc w:val="right"/>
        <w:rPr>
          <w:rFonts w:ascii="仿宋" w:hAnsi="仿宋" w:eastAsia="仿宋"/>
          <w:color w:val="auto"/>
          <w:szCs w:val="21"/>
        </w:rPr>
      </w:pPr>
    </w:p>
    <w:sectPr>
      <w:footerReference r:id="rId12" w:type="default"/>
      <w:type w:val="continuous"/>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方正兰亭黑_GBK">
    <w:altName w:val="微软雅黑"/>
    <w:panose1 w:val="00000000000000000000"/>
    <w:charset w:val="86"/>
    <w:family w:val="roman"/>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5C3AB">
    <w:pPr>
      <w:pStyle w:val="2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0DC4C">
    <w:pPr>
      <w:pStyle w:val="2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4839B">
    <w:pPr>
      <w:pStyle w:val="2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EDD82">
    <w:pPr>
      <w:pStyle w:val="27"/>
      <w:ind w:firstLine="0" w:firstLineChars="0"/>
      <w:jc w:val="center"/>
    </w:pPr>
    <w:r>
      <w:fldChar w:fldCharType="begin"/>
    </w:r>
    <w:r>
      <w:instrText xml:space="preserve">PAGE   \* MERGEFORMAT</w:instrText>
    </w:r>
    <w:r>
      <w:fldChar w:fldCharType="separate"/>
    </w:r>
    <w:r>
      <w:rPr>
        <w:lang w:val="zh-CN"/>
      </w:rPr>
      <w:t>24</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6AFBD">
    <w:pPr>
      <w:pStyle w:val="27"/>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83870" cy="209550"/>
              <wp:effectExtent l="4445" t="3810" r="0" b="0"/>
              <wp:wrapNone/>
              <wp:docPr id="1" name="文本框 1025"/>
              <wp:cNvGraphicFramePr/>
              <a:graphic xmlns:a="http://schemas.openxmlformats.org/drawingml/2006/main">
                <a:graphicData uri="http://schemas.microsoft.com/office/word/2010/wordprocessingShape">
                  <wps:wsp>
                    <wps:cNvSpPr txBox="1">
                      <a:spLocks noChangeArrowheads="1"/>
                    </wps:cNvSpPr>
                    <wps:spPr bwMode="auto">
                      <a:xfrm>
                        <a:off x="0" y="0"/>
                        <a:ext cx="483870" cy="209550"/>
                      </a:xfrm>
                      <a:prstGeom prst="rect">
                        <a:avLst/>
                      </a:prstGeom>
                      <a:noFill/>
                      <a:ln>
                        <a:noFill/>
                      </a:ln>
                    </wps:spPr>
                    <wps:txbx>
                      <w:txbxContent>
                        <w:p w14:paraId="23D3E524">
                          <w:pPr>
                            <w:pStyle w:val="27"/>
                            <w:ind w:firstLine="360"/>
                            <w:rPr>
                              <w:rStyle w:val="48"/>
                            </w:rPr>
                          </w:pPr>
                          <w:r>
                            <w:fldChar w:fldCharType="begin"/>
                          </w:r>
                          <w:r>
                            <w:rPr>
                              <w:rStyle w:val="48"/>
                            </w:rPr>
                            <w:instrText xml:space="preserve">PAGE  </w:instrText>
                          </w:r>
                          <w:r>
                            <w:fldChar w:fldCharType="separate"/>
                          </w:r>
                          <w:r>
                            <w:rPr>
                              <w:rStyle w:val="48"/>
                            </w:rPr>
                            <w:t>27</w:t>
                          </w:r>
                          <w:r>
                            <w:fldChar w:fldCharType="end"/>
                          </w:r>
                        </w:p>
                      </w:txbxContent>
                    </wps:txbx>
                    <wps:bodyPr rot="0" vert="horz" wrap="square" lIns="0" tIns="0" rIns="0" bIns="0" anchor="t" anchorCtr="0" upright="1">
                      <a:spAutoFit/>
                    </wps:bodyPr>
                  </wps:wsp>
                </a:graphicData>
              </a:graphic>
            </wp:anchor>
          </w:drawing>
        </mc:Choice>
        <mc:Fallback>
          <w:pict>
            <v:shape id="文本框 1025" o:spid="_x0000_s1026" o:spt="202" type="#_x0000_t202" style="position:absolute;left:0pt;margin-top:0pt;height:16.5pt;width:38.1pt;mso-position-horizontal:center;mso-position-horizontal-relative:margin;z-index:251659264;mso-width-relative:page;mso-height-relative:page;" filled="f" stroked="f" coordsize="21600,21600" o:gfxdata="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C3yjVdEAAAADAQAADwAAAAAAAAABACAAAAAiAAAA&#10;ZHJzL2Rvd25yZXYueG1sUEsBAhQAFAAAAAgAh07iQNFfKckOAgAABwQAAA4AAAAAAAAAAQAgAAAA&#10;IAEAAGRycy9lMm9Eb2MueG1sUEsFBgAAAAAGAAYAWQEAAKAFAAAAAA==&#10;">
              <v:fill on="f" focussize="0,0"/>
              <v:stroke on="f"/>
              <v:imagedata o:title=""/>
              <o:lock v:ext="edit" aspectratio="f"/>
              <v:textbox inset="0mm,0mm,0mm,0mm" style="mso-fit-shape-to-text:t;">
                <w:txbxContent>
                  <w:p w14:paraId="23D3E524">
                    <w:pPr>
                      <w:pStyle w:val="27"/>
                      <w:ind w:firstLine="360"/>
                      <w:rPr>
                        <w:rStyle w:val="48"/>
                      </w:rPr>
                    </w:pPr>
                    <w:r>
                      <w:fldChar w:fldCharType="begin"/>
                    </w:r>
                    <w:r>
                      <w:rPr>
                        <w:rStyle w:val="48"/>
                      </w:rPr>
                      <w:instrText xml:space="preserve">PAGE  </w:instrText>
                    </w:r>
                    <w:r>
                      <w:fldChar w:fldCharType="separate"/>
                    </w:r>
                    <w:r>
                      <w:rPr>
                        <w:rStyle w:val="48"/>
                      </w:rPr>
                      <w:t>27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0BA96">
    <w:pPr>
      <w:pStyle w:val="28"/>
      <w:pBdr>
        <w:bottom w:val="none" w:color="auto" w:sz="0" w:space="0"/>
      </w:pBdr>
      <w:ind w:firstLine="36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F2489">
    <w:pPr>
      <w:pStyle w:val="2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43A82">
    <w:pPr>
      <w:pStyle w:val="2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7549D3"/>
    <w:multiLevelType w:val="multilevel"/>
    <w:tmpl w:val="197549D3"/>
    <w:lvl w:ilvl="0" w:tentative="0">
      <w:start w:val="1"/>
      <w:numFmt w:val="japaneseCounting"/>
      <w:pStyle w:val="204"/>
      <w:lvlText w:val="第%1章"/>
      <w:lvlJc w:val="left"/>
      <w:pPr>
        <w:tabs>
          <w:tab w:val="left" w:pos="1305"/>
        </w:tabs>
        <w:ind w:left="1305" w:hanging="1305"/>
      </w:pPr>
      <w:rPr>
        <w:rFonts w:hint="default" w:cs="Times New Roman"/>
        <w:b/>
        <w:sz w:val="36"/>
        <w:szCs w:val="36"/>
      </w:rPr>
    </w:lvl>
    <w:lvl w:ilvl="1" w:tentative="0">
      <w:start w:val="1"/>
      <w:numFmt w:val="japaneseCounting"/>
      <w:lvlText w:val="%2、"/>
      <w:lvlJc w:val="left"/>
      <w:pPr>
        <w:tabs>
          <w:tab w:val="left" w:pos="840"/>
        </w:tabs>
        <w:ind w:left="840" w:hanging="420"/>
      </w:pPr>
      <w:rPr>
        <w:rFonts w:hint="default" w:cs="Times New Roman"/>
        <w:b/>
        <w:sz w:val="21"/>
        <w:szCs w:val="21"/>
      </w:rPr>
    </w:lvl>
    <w:lvl w:ilvl="2" w:tentative="0">
      <w:start w:val="6"/>
      <w:numFmt w:val="decimal"/>
      <w:lvlText w:val="%3）"/>
      <w:lvlJc w:val="left"/>
      <w:pPr>
        <w:tabs>
          <w:tab w:val="left" w:pos="1200"/>
        </w:tabs>
        <w:ind w:left="1200" w:hanging="360"/>
      </w:pPr>
      <w:rPr>
        <w:rFonts w:hint="default"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59CE2899"/>
    <w:multiLevelType w:val="singleLevel"/>
    <w:tmpl w:val="59CE2899"/>
    <w:lvl w:ilvl="0" w:tentative="0">
      <w:start w:val="1"/>
      <w:numFmt w:val="decimal"/>
      <w:lvlText w:val="%1."/>
      <w:lvlJc w:val="left"/>
      <w:pPr>
        <w:ind w:left="425" w:hanging="425"/>
      </w:pPr>
      <w:rPr>
        <w:rFonts w:hint="default" w:cs="Times New Roman"/>
        <w:sz w:val="28"/>
        <w:szCs w:val="28"/>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QxZWJhNWRjM2Y4ZTNlZjY2NzcxZTczMDQzZDVlOWMifQ=="/>
  </w:docVars>
  <w:rsids>
    <w:rsidRoot w:val="00A036E8"/>
    <w:rsid w:val="0000082E"/>
    <w:rsid w:val="00001E91"/>
    <w:rsid w:val="00002567"/>
    <w:rsid w:val="0000361B"/>
    <w:rsid w:val="00004C59"/>
    <w:rsid w:val="0000546E"/>
    <w:rsid w:val="00006277"/>
    <w:rsid w:val="00011767"/>
    <w:rsid w:val="00011D75"/>
    <w:rsid w:val="00012523"/>
    <w:rsid w:val="0001253F"/>
    <w:rsid w:val="00012D6E"/>
    <w:rsid w:val="00013D0D"/>
    <w:rsid w:val="00013ED8"/>
    <w:rsid w:val="000142C2"/>
    <w:rsid w:val="00015634"/>
    <w:rsid w:val="0001593B"/>
    <w:rsid w:val="0001688E"/>
    <w:rsid w:val="00016949"/>
    <w:rsid w:val="00021CB6"/>
    <w:rsid w:val="000246A1"/>
    <w:rsid w:val="000265F3"/>
    <w:rsid w:val="00026A37"/>
    <w:rsid w:val="00027B2E"/>
    <w:rsid w:val="00031E8F"/>
    <w:rsid w:val="000320B5"/>
    <w:rsid w:val="0003364F"/>
    <w:rsid w:val="00034723"/>
    <w:rsid w:val="0003591D"/>
    <w:rsid w:val="00035F22"/>
    <w:rsid w:val="000362BE"/>
    <w:rsid w:val="0003659C"/>
    <w:rsid w:val="00037B13"/>
    <w:rsid w:val="00037D22"/>
    <w:rsid w:val="00040400"/>
    <w:rsid w:val="00041251"/>
    <w:rsid w:val="00041298"/>
    <w:rsid w:val="00041907"/>
    <w:rsid w:val="0004262C"/>
    <w:rsid w:val="000427C0"/>
    <w:rsid w:val="00042E6F"/>
    <w:rsid w:val="00043D8A"/>
    <w:rsid w:val="00047632"/>
    <w:rsid w:val="000547B4"/>
    <w:rsid w:val="000568F6"/>
    <w:rsid w:val="000570B6"/>
    <w:rsid w:val="00057356"/>
    <w:rsid w:val="00060294"/>
    <w:rsid w:val="00060CC7"/>
    <w:rsid w:val="00060DE0"/>
    <w:rsid w:val="00060F72"/>
    <w:rsid w:val="00060F9A"/>
    <w:rsid w:val="00061ED4"/>
    <w:rsid w:val="0006332B"/>
    <w:rsid w:val="00063AB8"/>
    <w:rsid w:val="000655E1"/>
    <w:rsid w:val="00065B5E"/>
    <w:rsid w:val="00065E98"/>
    <w:rsid w:val="00066012"/>
    <w:rsid w:val="0006608C"/>
    <w:rsid w:val="0006713F"/>
    <w:rsid w:val="00071AA1"/>
    <w:rsid w:val="00071AA8"/>
    <w:rsid w:val="00071AF3"/>
    <w:rsid w:val="00073A34"/>
    <w:rsid w:val="00075067"/>
    <w:rsid w:val="00075233"/>
    <w:rsid w:val="000774AF"/>
    <w:rsid w:val="00077C82"/>
    <w:rsid w:val="000804C5"/>
    <w:rsid w:val="00081155"/>
    <w:rsid w:val="00082AA8"/>
    <w:rsid w:val="00083322"/>
    <w:rsid w:val="00085216"/>
    <w:rsid w:val="000858E6"/>
    <w:rsid w:val="000862C2"/>
    <w:rsid w:val="00086AB4"/>
    <w:rsid w:val="00086E71"/>
    <w:rsid w:val="0009029F"/>
    <w:rsid w:val="00092098"/>
    <w:rsid w:val="00092438"/>
    <w:rsid w:val="0009275C"/>
    <w:rsid w:val="00092C24"/>
    <w:rsid w:val="000946ED"/>
    <w:rsid w:val="00094E69"/>
    <w:rsid w:val="00095FEE"/>
    <w:rsid w:val="00096EAA"/>
    <w:rsid w:val="00097E37"/>
    <w:rsid w:val="000A0B91"/>
    <w:rsid w:val="000A1323"/>
    <w:rsid w:val="000A2701"/>
    <w:rsid w:val="000A2B11"/>
    <w:rsid w:val="000A316B"/>
    <w:rsid w:val="000A4130"/>
    <w:rsid w:val="000A4689"/>
    <w:rsid w:val="000A6288"/>
    <w:rsid w:val="000A6B05"/>
    <w:rsid w:val="000A7E96"/>
    <w:rsid w:val="000B0637"/>
    <w:rsid w:val="000B0AD6"/>
    <w:rsid w:val="000B1938"/>
    <w:rsid w:val="000B2643"/>
    <w:rsid w:val="000B2B08"/>
    <w:rsid w:val="000B4034"/>
    <w:rsid w:val="000B450D"/>
    <w:rsid w:val="000B672C"/>
    <w:rsid w:val="000B716C"/>
    <w:rsid w:val="000B72AF"/>
    <w:rsid w:val="000C045D"/>
    <w:rsid w:val="000C081E"/>
    <w:rsid w:val="000C09A4"/>
    <w:rsid w:val="000C09CB"/>
    <w:rsid w:val="000C0B6D"/>
    <w:rsid w:val="000C1660"/>
    <w:rsid w:val="000C185F"/>
    <w:rsid w:val="000C1A90"/>
    <w:rsid w:val="000C1F9E"/>
    <w:rsid w:val="000C2C3F"/>
    <w:rsid w:val="000C48F4"/>
    <w:rsid w:val="000C5357"/>
    <w:rsid w:val="000C5639"/>
    <w:rsid w:val="000C6494"/>
    <w:rsid w:val="000C7195"/>
    <w:rsid w:val="000D04B5"/>
    <w:rsid w:val="000D0788"/>
    <w:rsid w:val="000D0D3F"/>
    <w:rsid w:val="000D2A64"/>
    <w:rsid w:val="000D2C18"/>
    <w:rsid w:val="000D2C56"/>
    <w:rsid w:val="000D2E69"/>
    <w:rsid w:val="000D315B"/>
    <w:rsid w:val="000D35F4"/>
    <w:rsid w:val="000D3DD3"/>
    <w:rsid w:val="000D4147"/>
    <w:rsid w:val="000D4425"/>
    <w:rsid w:val="000D5DA2"/>
    <w:rsid w:val="000D70C5"/>
    <w:rsid w:val="000D7AC0"/>
    <w:rsid w:val="000E0D9B"/>
    <w:rsid w:val="000E180F"/>
    <w:rsid w:val="000E1967"/>
    <w:rsid w:val="000E2893"/>
    <w:rsid w:val="000E3036"/>
    <w:rsid w:val="000E49A0"/>
    <w:rsid w:val="000F0171"/>
    <w:rsid w:val="000F01FF"/>
    <w:rsid w:val="000F0278"/>
    <w:rsid w:val="000F0721"/>
    <w:rsid w:val="000F178B"/>
    <w:rsid w:val="000F1C1F"/>
    <w:rsid w:val="000F1F82"/>
    <w:rsid w:val="000F230F"/>
    <w:rsid w:val="000F2558"/>
    <w:rsid w:val="000F40EB"/>
    <w:rsid w:val="000F42C9"/>
    <w:rsid w:val="000F4A5E"/>
    <w:rsid w:val="000F4C1C"/>
    <w:rsid w:val="000F6997"/>
    <w:rsid w:val="00100206"/>
    <w:rsid w:val="00100264"/>
    <w:rsid w:val="001012A9"/>
    <w:rsid w:val="001025DE"/>
    <w:rsid w:val="00103C53"/>
    <w:rsid w:val="00103C98"/>
    <w:rsid w:val="00104439"/>
    <w:rsid w:val="001048D2"/>
    <w:rsid w:val="00105767"/>
    <w:rsid w:val="001072F5"/>
    <w:rsid w:val="0010740B"/>
    <w:rsid w:val="0011061A"/>
    <w:rsid w:val="00110C28"/>
    <w:rsid w:val="00111E1E"/>
    <w:rsid w:val="001124B1"/>
    <w:rsid w:val="00112580"/>
    <w:rsid w:val="0011258D"/>
    <w:rsid w:val="00114156"/>
    <w:rsid w:val="00114B30"/>
    <w:rsid w:val="001151A4"/>
    <w:rsid w:val="00115C76"/>
    <w:rsid w:val="001171E6"/>
    <w:rsid w:val="001175E5"/>
    <w:rsid w:val="00120448"/>
    <w:rsid w:val="00120931"/>
    <w:rsid w:val="0012238E"/>
    <w:rsid w:val="00122FCB"/>
    <w:rsid w:val="0012362B"/>
    <w:rsid w:val="00123B3B"/>
    <w:rsid w:val="0013068C"/>
    <w:rsid w:val="001314FA"/>
    <w:rsid w:val="001344D4"/>
    <w:rsid w:val="0013456B"/>
    <w:rsid w:val="001353DF"/>
    <w:rsid w:val="001402A2"/>
    <w:rsid w:val="00140E40"/>
    <w:rsid w:val="0014131A"/>
    <w:rsid w:val="0014253A"/>
    <w:rsid w:val="00144A86"/>
    <w:rsid w:val="001458D3"/>
    <w:rsid w:val="001501F0"/>
    <w:rsid w:val="00150F5C"/>
    <w:rsid w:val="00151799"/>
    <w:rsid w:val="0015249C"/>
    <w:rsid w:val="00152735"/>
    <w:rsid w:val="001534C3"/>
    <w:rsid w:val="00154A08"/>
    <w:rsid w:val="00154FC2"/>
    <w:rsid w:val="001558D0"/>
    <w:rsid w:val="001566D8"/>
    <w:rsid w:val="00157E43"/>
    <w:rsid w:val="00160517"/>
    <w:rsid w:val="001607C5"/>
    <w:rsid w:val="00162380"/>
    <w:rsid w:val="0016317D"/>
    <w:rsid w:val="001652B6"/>
    <w:rsid w:val="00165308"/>
    <w:rsid w:val="0016575F"/>
    <w:rsid w:val="00165785"/>
    <w:rsid w:val="001657C2"/>
    <w:rsid w:val="0016650C"/>
    <w:rsid w:val="001679E0"/>
    <w:rsid w:val="001703FB"/>
    <w:rsid w:val="001715BE"/>
    <w:rsid w:val="001722DC"/>
    <w:rsid w:val="001725C3"/>
    <w:rsid w:val="001727D1"/>
    <w:rsid w:val="00173B73"/>
    <w:rsid w:val="0017600C"/>
    <w:rsid w:val="001803EB"/>
    <w:rsid w:val="001805FF"/>
    <w:rsid w:val="00182623"/>
    <w:rsid w:val="0018278B"/>
    <w:rsid w:val="001830F6"/>
    <w:rsid w:val="00184151"/>
    <w:rsid w:val="0018464F"/>
    <w:rsid w:val="00184C24"/>
    <w:rsid w:val="00186515"/>
    <w:rsid w:val="00187AED"/>
    <w:rsid w:val="00190707"/>
    <w:rsid w:val="00191CF7"/>
    <w:rsid w:val="00192097"/>
    <w:rsid w:val="001933B6"/>
    <w:rsid w:val="00193920"/>
    <w:rsid w:val="00193A83"/>
    <w:rsid w:val="00194AC1"/>
    <w:rsid w:val="001959E8"/>
    <w:rsid w:val="00196002"/>
    <w:rsid w:val="001971C9"/>
    <w:rsid w:val="001A0014"/>
    <w:rsid w:val="001A03DF"/>
    <w:rsid w:val="001A0E1C"/>
    <w:rsid w:val="001A0FA7"/>
    <w:rsid w:val="001A1A91"/>
    <w:rsid w:val="001A1D28"/>
    <w:rsid w:val="001A3145"/>
    <w:rsid w:val="001A32FD"/>
    <w:rsid w:val="001A3806"/>
    <w:rsid w:val="001A3D4D"/>
    <w:rsid w:val="001A6157"/>
    <w:rsid w:val="001B0088"/>
    <w:rsid w:val="001B01C8"/>
    <w:rsid w:val="001B1159"/>
    <w:rsid w:val="001B18C1"/>
    <w:rsid w:val="001B1C5F"/>
    <w:rsid w:val="001B1D0E"/>
    <w:rsid w:val="001B1DF0"/>
    <w:rsid w:val="001B2399"/>
    <w:rsid w:val="001B3278"/>
    <w:rsid w:val="001B3AA0"/>
    <w:rsid w:val="001B3E0B"/>
    <w:rsid w:val="001B50B5"/>
    <w:rsid w:val="001B7A1A"/>
    <w:rsid w:val="001C079B"/>
    <w:rsid w:val="001C1067"/>
    <w:rsid w:val="001C1124"/>
    <w:rsid w:val="001C16AB"/>
    <w:rsid w:val="001C2583"/>
    <w:rsid w:val="001C31B2"/>
    <w:rsid w:val="001C3962"/>
    <w:rsid w:val="001C3D3F"/>
    <w:rsid w:val="001C3FBE"/>
    <w:rsid w:val="001C4EA4"/>
    <w:rsid w:val="001C5508"/>
    <w:rsid w:val="001C5635"/>
    <w:rsid w:val="001C5703"/>
    <w:rsid w:val="001C5AA5"/>
    <w:rsid w:val="001C6A0B"/>
    <w:rsid w:val="001C7C2F"/>
    <w:rsid w:val="001D114F"/>
    <w:rsid w:val="001D1E48"/>
    <w:rsid w:val="001D2038"/>
    <w:rsid w:val="001D2189"/>
    <w:rsid w:val="001D2401"/>
    <w:rsid w:val="001D285C"/>
    <w:rsid w:val="001D35A3"/>
    <w:rsid w:val="001D35D5"/>
    <w:rsid w:val="001D3E01"/>
    <w:rsid w:val="001D528E"/>
    <w:rsid w:val="001D530C"/>
    <w:rsid w:val="001D58E5"/>
    <w:rsid w:val="001D5CC3"/>
    <w:rsid w:val="001D5E97"/>
    <w:rsid w:val="001E00E7"/>
    <w:rsid w:val="001E04F7"/>
    <w:rsid w:val="001E13C7"/>
    <w:rsid w:val="001E19BF"/>
    <w:rsid w:val="001E282B"/>
    <w:rsid w:val="001E3864"/>
    <w:rsid w:val="001E3F44"/>
    <w:rsid w:val="001E4DFA"/>
    <w:rsid w:val="001E6ADD"/>
    <w:rsid w:val="001E6E75"/>
    <w:rsid w:val="001F2F37"/>
    <w:rsid w:val="001F3680"/>
    <w:rsid w:val="001F43E8"/>
    <w:rsid w:val="001F4B82"/>
    <w:rsid w:val="001F51BE"/>
    <w:rsid w:val="001F52A3"/>
    <w:rsid w:val="001F6AB9"/>
    <w:rsid w:val="001F7786"/>
    <w:rsid w:val="002017D5"/>
    <w:rsid w:val="00201B73"/>
    <w:rsid w:val="00202CAD"/>
    <w:rsid w:val="00203427"/>
    <w:rsid w:val="002034E7"/>
    <w:rsid w:val="00203D7A"/>
    <w:rsid w:val="00204CF3"/>
    <w:rsid w:val="00204ED9"/>
    <w:rsid w:val="00207337"/>
    <w:rsid w:val="002079E7"/>
    <w:rsid w:val="0021013A"/>
    <w:rsid w:val="0021076B"/>
    <w:rsid w:val="00211473"/>
    <w:rsid w:val="00211990"/>
    <w:rsid w:val="00211C00"/>
    <w:rsid w:val="00212404"/>
    <w:rsid w:val="00213267"/>
    <w:rsid w:val="00213651"/>
    <w:rsid w:val="0021467F"/>
    <w:rsid w:val="002147E5"/>
    <w:rsid w:val="002150EC"/>
    <w:rsid w:val="002161EF"/>
    <w:rsid w:val="00216DCB"/>
    <w:rsid w:val="00217032"/>
    <w:rsid w:val="002176BD"/>
    <w:rsid w:val="00222CB0"/>
    <w:rsid w:val="00224AB2"/>
    <w:rsid w:val="00224E63"/>
    <w:rsid w:val="00224FD6"/>
    <w:rsid w:val="0022574D"/>
    <w:rsid w:val="00225E21"/>
    <w:rsid w:val="00226A75"/>
    <w:rsid w:val="002277A4"/>
    <w:rsid w:val="00227963"/>
    <w:rsid w:val="00230FB5"/>
    <w:rsid w:val="002324AF"/>
    <w:rsid w:val="002330DF"/>
    <w:rsid w:val="0023355F"/>
    <w:rsid w:val="00233BF0"/>
    <w:rsid w:val="00234FC3"/>
    <w:rsid w:val="002354EE"/>
    <w:rsid w:val="002355F5"/>
    <w:rsid w:val="00237882"/>
    <w:rsid w:val="002405F2"/>
    <w:rsid w:val="002431B4"/>
    <w:rsid w:val="00244C3B"/>
    <w:rsid w:val="00245F6E"/>
    <w:rsid w:val="00246633"/>
    <w:rsid w:val="00247C80"/>
    <w:rsid w:val="00250269"/>
    <w:rsid w:val="002508DF"/>
    <w:rsid w:val="00251C01"/>
    <w:rsid w:val="0025396E"/>
    <w:rsid w:val="00254216"/>
    <w:rsid w:val="002542FC"/>
    <w:rsid w:val="00254426"/>
    <w:rsid w:val="00256002"/>
    <w:rsid w:val="00260488"/>
    <w:rsid w:val="0026104A"/>
    <w:rsid w:val="00261BC4"/>
    <w:rsid w:val="002621D3"/>
    <w:rsid w:val="00262E7C"/>
    <w:rsid w:val="002639F7"/>
    <w:rsid w:val="00264243"/>
    <w:rsid w:val="00267404"/>
    <w:rsid w:val="00270FDD"/>
    <w:rsid w:val="00272F60"/>
    <w:rsid w:val="002730B8"/>
    <w:rsid w:val="0027371C"/>
    <w:rsid w:val="00273983"/>
    <w:rsid w:val="002745C2"/>
    <w:rsid w:val="0027625F"/>
    <w:rsid w:val="00276A74"/>
    <w:rsid w:val="0028116A"/>
    <w:rsid w:val="0028134E"/>
    <w:rsid w:val="00281BCB"/>
    <w:rsid w:val="002825F8"/>
    <w:rsid w:val="00282C28"/>
    <w:rsid w:val="00282D60"/>
    <w:rsid w:val="0028402F"/>
    <w:rsid w:val="00284444"/>
    <w:rsid w:val="0028483A"/>
    <w:rsid w:val="00285D15"/>
    <w:rsid w:val="002879B2"/>
    <w:rsid w:val="00290269"/>
    <w:rsid w:val="00291B88"/>
    <w:rsid w:val="00292C04"/>
    <w:rsid w:val="002938A9"/>
    <w:rsid w:val="00293F08"/>
    <w:rsid w:val="0029401F"/>
    <w:rsid w:val="00296193"/>
    <w:rsid w:val="00296906"/>
    <w:rsid w:val="00297B4A"/>
    <w:rsid w:val="002A000C"/>
    <w:rsid w:val="002A2055"/>
    <w:rsid w:val="002A243A"/>
    <w:rsid w:val="002A425F"/>
    <w:rsid w:val="002A4A2F"/>
    <w:rsid w:val="002B0082"/>
    <w:rsid w:val="002B0335"/>
    <w:rsid w:val="002B0390"/>
    <w:rsid w:val="002B06F8"/>
    <w:rsid w:val="002B5E76"/>
    <w:rsid w:val="002B71C8"/>
    <w:rsid w:val="002B7BE0"/>
    <w:rsid w:val="002C053C"/>
    <w:rsid w:val="002C06C9"/>
    <w:rsid w:val="002C0B0C"/>
    <w:rsid w:val="002C13CB"/>
    <w:rsid w:val="002C2D24"/>
    <w:rsid w:val="002C2F90"/>
    <w:rsid w:val="002C43E4"/>
    <w:rsid w:val="002C512E"/>
    <w:rsid w:val="002C6A05"/>
    <w:rsid w:val="002C6F43"/>
    <w:rsid w:val="002C765A"/>
    <w:rsid w:val="002C7E70"/>
    <w:rsid w:val="002D125E"/>
    <w:rsid w:val="002D2AD2"/>
    <w:rsid w:val="002D3B1F"/>
    <w:rsid w:val="002D53F4"/>
    <w:rsid w:val="002D5C5E"/>
    <w:rsid w:val="002D5E75"/>
    <w:rsid w:val="002D7529"/>
    <w:rsid w:val="002D7D13"/>
    <w:rsid w:val="002E00A8"/>
    <w:rsid w:val="002E1460"/>
    <w:rsid w:val="002E24A9"/>
    <w:rsid w:val="002E3B3C"/>
    <w:rsid w:val="002E439F"/>
    <w:rsid w:val="002F0770"/>
    <w:rsid w:val="002F274A"/>
    <w:rsid w:val="002F3FF2"/>
    <w:rsid w:val="002F450F"/>
    <w:rsid w:val="002F46AD"/>
    <w:rsid w:val="002F4B96"/>
    <w:rsid w:val="002F51B3"/>
    <w:rsid w:val="002F5939"/>
    <w:rsid w:val="002F5D0C"/>
    <w:rsid w:val="002F661A"/>
    <w:rsid w:val="002F6B60"/>
    <w:rsid w:val="002F6B86"/>
    <w:rsid w:val="002F6E1C"/>
    <w:rsid w:val="00300499"/>
    <w:rsid w:val="00300DA8"/>
    <w:rsid w:val="0030277B"/>
    <w:rsid w:val="00302D7C"/>
    <w:rsid w:val="00302F67"/>
    <w:rsid w:val="00303A88"/>
    <w:rsid w:val="00303C65"/>
    <w:rsid w:val="00304601"/>
    <w:rsid w:val="003049A1"/>
    <w:rsid w:val="003072EC"/>
    <w:rsid w:val="00310092"/>
    <w:rsid w:val="00311667"/>
    <w:rsid w:val="00311935"/>
    <w:rsid w:val="00312DCD"/>
    <w:rsid w:val="00313AC5"/>
    <w:rsid w:val="00314115"/>
    <w:rsid w:val="00317D80"/>
    <w:rsid w:val="003208E4"/>
    <w:rsid w:val="003215EB"/>
    <w:rsid w:val="003217A6"/>
    <w:rsid w:val="00321EA3"/>
    <w:rsid w:val="00322C4D"/>
    <w:rsid w:val="00323B73"/>
    <w:rsid w:val="00334F0F"/>
    <w:rsid w:val="0033563E"/>
    <w:rsid w:val="00336789"/>
    <w:rsid w:val="00336E42"/>
    <w:rsid w:val="0034057D"/>
    <w:rsid w:val="00340B88"/>
    <w:rsid w:val="003424AE"/>
    <w:rsid w:val="00342F83"/>
    <w:rsid w:val="00342F8F"/>
    <w:rsid w:val="00345BAE"/>
    <w:rsid w:val="00345CF8"/>
    <w:rsid w:val="00346273"/>
    <w:rsid w:val="00346874"/>
    <w:rsid w:val="00346CC1"/>
    <w:rsid w:val="00347FBC"/>
    <w:rsid w:val="00350E5E"/>
    <w:rsid w:val="0035110C"/>
    <w:rsid w:val="00351738"/>
    <w:rsid w:val="003534ED"/>
    <w:rsid w:val="003539C6"/>
    <w:rsid w:val="00354124"/>
    <w:rsid w:val="0035439B"/>
    <w:rsid w:val="00354897"/>
    <w:rsid w:val="00355097"/>
    <w:rsid w:val="00355C64"/>
    <w:rsid w:val="0035681C"/>
    <w:rsid w:val="00357E2E"/>
    <w:rsid w:val="003639B8"/>
    <w:rsid w:val="00363A43"/>
    <w:rsid w:val="003652D7"/>
    <w:rsid w:val="0036563D"/>
    <w:rsid w:val="00365AF4"/>
    <w:rsid w:val="003669F3"/>
    <w:rsid w:val="00366FB5"/>
    <w:rsid w:val="00370DFA"/>
    <w:rsid w:val="00372A19"/>
    <w:rsid w:val="00372C7C"/>
    <w:rsid w:val="00374A7B"/>
    <w:rsid w:val="003759AE"/>
    <w:rsid w:val="00377EA9"/>
    <w:rsid w:val="00380301"/>
    <w:rsid w:val="00380B6C"/>
    <w:rsid w:val="003811F6"/>
    <w:rsid w:val="0038171C"/>
    <w:rsid w:val="00381E9B"/>
    <w:rsid w:val="00382E99"/>
    <w:rsid w:val="00383F4A"/>
    <w:rsid w:val="003841F3"/>
    <w:rsid w:val="00384826"/>
    <w:rsid w:val="003851A5"/>
    <w:rsid w:val="00386A6A"/>
    <w:rsid w:val="00390001"/>
    <w:rsid w:val="003910CB"/>
    <w:rsid w:val="00394012"/>
    <w:rsid w:val="0039417D"/>
    <w:rsid w:val="003942D4"/>
    <w:rsid w:val="00394CD0"/>
    <w:rsid w:val="00396244"/>
    <w:rsid w:val="00397584"/>
    <w:rsid w:val="003A1562"/>
    <w:rsid w:val="003A1E54"/>
    <w:rsid w:val="003A2398"/>
    <w:rsid w:val="003A2CF1"/>
    <w:rsid w:val="003A4091"/>
    <w:rsid w:val="003A4E0C"/>
    <w:rsid w:val="003A5565"/>
    <w:rsid w:val="003A5809"/>
    <w:rsid w:val="003A5A6B"/>
    <w:rsid w:val="003A5B3B"/>
    <w:rsid w:val="003A61C4"/>
    <w:rsid w:val="003A75E5"/>
    <w:rsid w:val="003A795D"/>
    <w:rsid w:val="003A7DEF"/>
    <w:rsid w:val="003B05B7"/>
    <w:rsid w:val="003B0D52"/>
    <w:rsid w:val="003B1033"/>
    <w:rsid w:val="003B136A"/>
    <w:rsid w:val="003B1784"/>
    <w:rsid w:val="003B24E4"/>
    <w:rsid w:val="003B26A8"/>
    <w:rsid w:val="003B2CAE"/>
    <w:rsid w:val="003B56A5"/>
    <w:rsid w:val="003B686D"/>
    <w:rsid w:val="003C18C8"/>
    <w:rsid w:val="003C224D"/>
    <w:rsid w:val="003C324C"/>
    <w:rsid w:val="003C524B"/>
    <w:rsid w:val="003C602C"/>
    <w:rsid w:val="003C700E"/>
    <w:rsid w:val="003C7040"/>
    <w:rsid w:val="003C7797"/>
    <w:rsid w:val="003C7951"/>
    <w:rsid w:val="003D05DA"/>
    <w:rsid w:val="003D0A93"/>
    <w:rsid w:val="003D1BC9"/>
    <w:rsid w:val="003D1DA9"/>
    <w:rsid w:val="003D23F6"/>
    <w:rsid w:val="003D2573"/>
    <w:rsid w:val="003D287D"/>
    <w:rsid w:val="003D3EEB"/>
    <w:rsid w:val="003D7A19"/>
    <w:rsid w:val="003D7FC4"/>
    <w:rsid w:val="003E0DE8"/>
    <w:rsid w:val="003E23FA"/>
    <w:rsid w:val="003E2DF3"/>
    <w:rsid w:val="003E3AFE"/>
    <w:rsid w:val="003E434C"/>
    <w:rsid w:val="003E5452"/>
    <w:rsid w:val="003E6FB3"/>
    <w:rsid w:val="003F0216"/>
    <w:rsid w:val="003F10E4"/>
    <w:rsid w:val="003F2551"/>
    <w:rsid w:val="003F268E"/>
    <w:rsid w:val="003F3835"/>
    <w:rsid w:val="003F3FDF"/>
    <w:rsid w:val="003F41C6"/>
    <w:rsid w:val="003F6475"/>
    <w:rsid w:val="003F6994"/>
    <w:rsid w:val="003F6B34"/>
    <w:rsid w:val="003F6F79"/>
    <w:rsid w:val="003F742F"/>
    <w:rsid w:val="003F7744"/>
    <w:rsid w:val="003F77A8"/>
    <w:rsid w:val="00400E69"/>
    <w:rsid w:val="00401151"/>
    <w:rsid w:val="00401B9A"/>
    <w:rsid w:val="00401D70"/>
    <w:rsid w:val="004021B6"/>
    <w:rsid w:val="004030A1"/>
    <w:rsid w:val="00403129"/>
    <w:rsid w:val="004040BE"/>
    <w:rsid w:val="004047DE"/>
    <w:rsid w:val="00405278"/>
    <w:rsid w:val="00405C76"/>
    <w:rsid w:val="004069E2"/>
    <w:rsid w:val="00406A3C"/>
    <w:rsid w:val="00410AED"/>
    <w:rsid w:val="00410D00"/>
    <w:rsid w:val="00411E8C"/>
    <w:rsid w:val="00412E80"/>
    <w:rsid w:val="00412F19"/>
    <w:rsid w:val="0041300B"/>
    <w:rsid w:val="004143BE"/>
    <w:rsid w:val="0041507B"/>
    <w:rsid w:val="00415885"/>
    <w:rsid w:val="00415D8C"/>
    <w:rsid w:val="00415F73"/>
    <w:rsid w:val="0041782B"/>
    <w:rsid w:val="0042011C"/>
    <w:rsid w:val="00420A14"/>
    <w:rsid w:val="00421C1F"/>
    <w:rsid w:val="00421EF1"/>
    <w:rsid w:val="004233AD"/>
    <w:rsid w:val="00423789"/>
    <w:rsid w:val="00423B84"/>
    <w:rsid w:val="0042421C"/>
    <w:rsid w:val="00424A84"/>
    <w:rsid w:val="00425298"/>
    <w:rsid w:val="00426055"/>
    <w:rsid w:val="00426F71"/>
    <w:rsid w:val="00427258"/>
    <w:rsid w:val="00427CEB"/>
    <w:rsid w:val="00430280"/>
    <w:rsid w:val="00430F28"/>
    <w:rsid w:val="00431D22"/>
    <w:rsid w:val="00432310"/>
    <w:rsid w:val="00432B65"/>
    <w:rsid w:val="004349DD"/>
    <w:rsid w:val="00435121"/>
    <w:rsid w:val="00435758"/>
    <w:rsid w:val="00436678"/>
    <w:rsid w:val="0043674E"/>
    <w:rsid w:val="004407CA"/>
    <w:rsid w:val="0044190A"/>
    <w:rsid w:val="00442C2C"/>
    <w:rsid w:val="004439C8"/>
    <w:rsid w:val="00443A0F"/>
    <w:rsid w:val="00444A20"/>
    <w:rsid w:val="00446792"/>
    <w:rsid w:val="004471A6"/>
    <w:rsid w:val="0045011E"/>
    <w:rsid w:val="00450450"/>
    <w:rsid w:val="004506EA"/>
    <w:rsid w:val="004534B9"/>
    <w:rsid w:val="00455991"/>
    <w:rsid w:val="00455AFB"/>
    <w:rsid w:val="00455C79"/>
    <w:rsid w:val="00456AEF"/>
    <w:rsid w:val="00456D7C"/>
    <w:rsid w:val="00456F76"/>
    <w:rsid w:val="004605E5"/>
    <w:rsid w:val="004612AF"/>
    <w:rsid w:val="00461550"/>
    <w:rsid w:val="00461931"/>
    <w:rsid w:val="00462901"/>
    <w:rsid w:val="00463344"/>
    <w:rsid w:val="004634A3"/>
    <w:rsid w:val="0046508B"/>
    <w:rsid w:val="00465735"/>
    <w:rsid w:val="00466FCD"/>
    <w:rsid w:val="004678E8"/>
    <w:rsid w:val="00470124"/>
    <w:rsid w:val="00470273"/>
    <w:rsid w:val="00470540"/>
    <w:rsid w:val="004721AA"/>
    <w:rsid w:val="00472ABD"/>
    <w:rsid w:val="00474F2A"/>
    <w:rsid w:val="004759BD"/>
    <w:rsid w:val="0047679A"/>
    <w:rsid w:val="0048084C"/>
    <w:rsid w:val="00480EC3"/>
    <w:rsid w:val="00486E2B"/>
    <w:rsid w:val="004873C1"/>
    <w:rsid w:val="004907E3"/>
    <w:rsid w:val="00492101"/>
    <w:rsid w:val="00492602"/>
    <w:rsid w:val="00493082"/>
    <w:rsid w:val="00494316"/>
    <w:rsid w:val="00496903"/>
    <w:rsid w:val="00497E66"/>
    <w:rsid w:val="004A09F2"/>
    <w:rsid w:val="004A0ED0"/>
    <w:rsid w:val="004A0EEE"/>
    <w:rsid w:val="004A39A1"/>
    <w:rsid w:val="004A3B26"/>
    <w:rsid w:val="004A5243"/>
    <w:rsid w:val="004A6CA1"/>
    <w:rsid w:val="004A7716"/>
    <w:rsid w:val="004A7A0C"/>
    <w:rsid w:val="004B13D5"/>
    <w:rsid w:val="004B2AF7"/>
    <w:rsid w:val="004B2E1B"/>
    <w:rsid w:val="004B5BC6"/>
    <w:rsid w:val="004B631E"/>
    <w:rsid w:val="004B714F"/>
    <w:rsid w:val="004C1A88"/>
    <w:rsid w:val="004C4D2D"/>
    <w:rsid w:val="004C5EF8"/>
    <w:rsid w:val="004C5FB0"/>
    <w:rsid w:val="004D0240"/>
    <w:rsid w:val="004D0895"/>
    <w:rsid w:val="004D0904"/>
    <w:rsid w:val="004D09EE"/>
    <w:rsid w:val="004D157E"/>
    <w:rsid w:val="004D3C64"/>
    <w:rsid w:val="004D4299"/>
    <w:rsid w:val="004D610A"/>
    <w:rsid w:val="004D619F"/>
    <w:rsid w:val="004D6612"/>
    <w:rsid w:val="004E1AE2"/>
    <w:rsid w:val="004E21BB"/>
    <w:rsid w:val="004E303B"/>
    <w:rsid w:val="004E3BC4"/>
    <w:rsid w:val="004E44F6"/>
    <w:rsid w:val="004E4ABA"/>
    <w:rsid w:val="004E7512"/>
    <w:rsid w:val="004F1291"/>
    <w:rsid w:val="004F131C"/>
    <w:rsid w:val="004F1610"/>
    <w:rsid w:val="004F182F"/>
    <w:rsid w:val="004F2780"/>
    <w:rsid w:val="004F280B"/>
    <w:rsid w:val="004F4616"/>
    <w:rsid w:val="004F652E"/>
    <w:rsid w:val="004F74A3"/>
    <w:rsid w:val="004F79AF"/>
    <w:rsid w:val="00500359"/>
    <w:rsid w:val="00500AF2"/>
    <w:rsid w:val="00502514"/>
    <w:rsid w:val="005034D6"/>
    <w:rsid w:val="00503F79"/>
    <w:rsid w:val="00504D6F"/>
    <w:rsid w:val="0050645F"/>
    <w:rsid w:val="00511220"/>
    <w:rsid w:val="00512F36"/>
    <w:rsid w:val="005130FD"/>
    <w:rsid w:val="00513928"/>
    <w:rsid w:val="00513AB7"/>
    <w:rsid w:val="00513FC9"/>
    <w:rsid w:val="00515013"/>
    <w:rsid w:val="0051586E"/>
    <w:rsid w:val="00516D7E"/>
    <w:rsid w:val="00517232"/>
    <w:rsid w:val="00521179"/>
    <w:rsid w:val="00521D44"/>
    <w:rsid w:val="00523267"/>
    <w:rsid w:val="005234B5"/>
    <w:rsid w:val="0052533A"/>
    <w:rsid w:val="00527195"/>
    <w:rsid w:val="00527CAA"/>
    <w:rsid w:val="00527E47"/>
    <w:rsid w:val="00530400"/>
    <w:rsid w:val="005305BF"/>
    <w:rsid w:val="00530902"/>
    <w:rsid w:val="00530C47"/>
    <w:rsid w:val="00530E49"/>
    <w:rsid w:val="00531CEF"/>
    <w:rsid w:val="005321AE"/>
    <w:rsid w:val="0053243B"/>
    <w:rsid w:val="0053277D"/>
    <w:rsid w:val="005333D2"/>
    <w:rsid w:val="005335EC"/>
    <w:rsid w:val="00533922"/>
    <w:rsid w:val="005358B6"/>
    <w:rsid w:val="00535EAA"/>
    <w:rsid w:val="00536A11"/>
    <w:rsid w:val="00537321"/>
    <w:rsid w:val="00537557"/>
    <w:rsid w:val="00542E61"/>
    <w:rsid w:val="00543AFC"/>
    <w:rsid w:val="00544C5E"/>
    <w:rsid w:val="00545903"/>
    <w:rsid w:val="00545D0D"/>
    <w:rsid w:val="005465CF"/>
    <w:rsid w:val="0054751B"/>
    <w:rsid w:val="005507E7"/>
    <w:rsid w:val="00550910"/>
    <w:rsid w:val="00550F48"/>
    <w:rsid w:val="005513C7"/>
    <w:rsid w:val="00552A4A"/>
    <w:rsid w:val="00552E6E"/>
    <w:rsid w:val="00553769"/>
    <w:rsid w:val="00553811"/>
    <w:rsid w:val="00553B8C"/>
    <w:rsid w:val="00554AE1"/>
    <w:rsid w:val="005559CD"/>
    <w:rsid w:val="0055788E"/>
    <w:rsid w:val="00562A7A"/>
    <w:rsid w:val="00562B8C"/>
    <w:rsid w:val="005646DB"/>
    <w:rsid w:val="005647BE"/>
    <w:rsid w:val="00564E84"/>
    <w:rsid w:val="00565213"/>
    <w:rsid w:val="00565934"/>
    <w:rsid w:val="005660E8"/>
    <w:rsid w:val="00566DBC"/>
    <w:rsid w:val="005679CA"/>
    <w:rsid w:val="00567E7A"/>
    <w:rsid w:val="00572D7F"/>
    <w:rsid w:val="00573098"/>
    <w:rsid w:val="0057327E"/>
    <w:rsid w:val="0057348E"/>
    <w:rsid w:val="00573930"/>
    <w:rsid w:val="005745E4"/>
    <w:rsid w:val="00574D87"/>
    <w:rsid w:val="0057532D"/>
    <w:rsid w:val="00575641"/>
    <w:rsid w:val="00575BF3"/>
    <w:rsid w:val="005763F9"/>
    <w:rsid w:val="0057691A"/>
    <w:rsid w:val="005815B2"/>
    <w:rsid w:val="00581D23"/>
    <w:rsid w:val="005825D1"/>
    <w:rsid w:val="00582C85"/>
    <w:rsid w:val="00583D9C"/>
    <w:rsid w:val="00584258"/>
    <w:rsid w:val="00585D43"/>
    <w:rsid w:val="00587A44"/>
    <w:rsid w:val="005904C4"/>
    <w:rsid w:val="0059114D"/>
    <w:rsid w:val="00591A8C"/>
    <w:rsid w:val="00592734"/>
    <w:rsid w:val="00592847"/>
    <w:rsid w:val="00593E1D"/>
    <w:rsid w:val="00595303"/>
    <w:rsid w:val="00595591"/>
    <w:rsid w:val="005A0028"/>
    <w:rsid w:val="005A02D4"/>
    <w:rsid w:val="005A14BF"/>
    <w:rsid w:val="005A29D8"/>
    <w:rsid w:val="005A2F60"/>
    <w:rsid w:val="005A3595"/>
    <w:rsid w:val="005A46BA"/>
    <w:rsid w:val="005A6B5C"/>
    <w:rsid w:val="005A76E1"/>
    <w:rsid w:val="005B141A"/>
    <w:rsid w:val="005B163E"/>
    <w:rsid w:val="005B1C46"/>
    <w:rsid w:val="005B34E2"/>
    <w:rsid w:val="005B4101"/>
    <w:rsid w:val="005B4338"/>
    <w:rsid w:val="005B485A"/>
    <w:rsid w:val="005B49E6"/>
    <w:rsid w:val="005B657F"/>
    <w:rsid w:val="005C0163"/>
    <w:rsid w:val="005C04CB"/>
    <w:rsid w:val="005C2490"/>
    <w:rsid w:val="005C261B"/>
    <w:rsid w:val="005C2D1D"/>
    <w:rsid w:val="005C2EBB"/>
    <w:rsid w:val="005C3830"/>
    <w:rsid w:val="005C51C1"/>
    <w:rsid w:val="005C6151"/>
    <w:rsid w:val="005C6C97"/>
    <w:rsid w:val="005C7D08"/>
    <w:rsid w:val="005D07AF"/>
    <w:rsid w:val="005D1F68"/>
    <w:rsid w:val="005D357E"/>
    <w:rsid w:val="005D52CE"/>
    <w:rsid w:val="005D56BE"/>
    <w:rsid w:val="005D5DC7"/>
    <w:rsid w:val="005D6A58"/>
    <w:rsid w:val="005E0637"/>
    <w:rsid w:val="005E0D43"/>
    <w:rsid w:val="005E0E43"/>
    <w:rsid w:val="005E29F3"/>
    <w:rsid w:val="005E2F75"/>
    <w:rsid w:val="005E3D38"/>
    <w:rsid w:val="005E59EF"/>
    <w:rsid w:val="005E7359"/>
    <w:rsid w:val="005E7D9B"/>
    <w:rsid w:val="005F0005"/>
    <w:rsid w:val="005F0BB7"/>
    <w:rsid w:val="005F1D22"/>
    <w:rsid w:val="005F1EBC"/>
    <w:rsid w:val="005F32F0"/>
    <w:rsid w:val="005F511B"/>
    <w:rsid w:val="005F69F4"/>
    <w:rsid w:val="005F790C"/>
    <w:rsid w:val="006010F1"/>
    <w:rsid w:val="0060298E"/>
    <w:rsid w:val="00602A4E"/>
    <w:rsid w:val="00604FC5"/>
    <w:rsid w:val="006064AA"/>
    <w:rsid w:val="00606F14"/>
    <w:rsid w:val="006103FF"/>
    <w:rsid w:val="006110CA"/>
    <w:rsid w:val="00612458"/>
    <w:rsid w:val="00612519"/>
    <w:rsid w:val="0061253B"/>
    <w:rsid w:val="00612DB5"/>
    <w:rsid w:val="006140A6"/>
    <w:rsid w:val="00614209"/>
    <w:rsid w:val="006153BE"/>
    <w:rsid w:val="00615453"/>
    <w:rsid w:val="00615DA0"/>
    <w:rsid w:val="00616745"/>
    <w:rsid w:val="0061759C"/>
    <w:rsid w:val="00620DCC"/>
    <w:rsid w:val="006211C6"/>
    <w:rsid w:val="0062562A"/>
    <w:rsid w:val="00625774"/>
    <w:rsid w:val="00625980"/>
    <w:rsid w:val="00627294"/>
    <w:rsid w:val="006315C5"/>
    <w:rsid w:val="00632D6C"/>
    <w:rsid w:val="00634089"/>
    <w:rsid w:val="00634CB2"/>
    <w:rsid w:val="0063786B"/>
    <w:rsid w:val="00637BE0"/>
    <w:rsid w:val="0064030B"/>
    <w:rsid w:val="00641463"/>
    <w:rsid w:val="006417AE"/>
    <w:rsid w:val="0064201D"/>
    <w:rsid w:val="006424FA"/>
    <w:rsid w:val="0064306B"/>
    <w:rsid w:val="00643EFF"/>
    <w:rsid w:val="00644299"/>
    <w:rsid w:val="0064510F"/>
    <w:rsid w:val="00645A32"/>
    <w:rsid w:val="00646018"/>
    <w:rsid w:val="00646F14"/>
    <w:rsid w:val="0064749B"/>
    <w:rsid w:val="0065059C"/>
    <w:rsid w:val="006513DA"/>
    <w:rsid w:val="00651963"/>
    <w:rsid w:val="00651DBB"/>
    <w:rsid w:val="0065257B"/>
    <w:rsid w:val="00652704"/>
    <w:rsid w:val="00652F6C"/>
    <w:rsid w:val="00653475"/>
    <w:rsid w:val="006549CC"/>
    <w:rsid w:val="0065795A"/>
    <w:rsid w:val="006607B2"/>
    <w:rsid w:val="00662433"/>
    <w:rsid w:val="006625F9"/>
    <w:rsid w:val="00662FE7"/>
    <w:rsid w:val="00663D94"/>
    <w:rsid w:val="00664058"/>
    <w:rsid w:val="00664A5F"/>
    <w:rsid w:val="006653DB"/>
    <w:rsid w:val="00665F39"/>
    <w:rsid w:val="00666C00"/>
    <w:rsid w:val="00667F80"/>
    <w:rsid w:val="0067128B"/>
    <w:rsid w:val="006725CA"/>
    <w:rsid w:val="006737C7"/>
    <w:rsid w:val="00673A67"/>
    <w:rsid w:val="00674C94"/>
    <w:rsid w:val="00675EF4"/>
    <w:rsid w:val="00676136"/>
    <w:rsid w:val="006761B6"/>
    <w:rsid w:val="006767AF"/>
    <w:rsid w:val="00677B39"/>
    <w:rsid w:val="0068032B"/>
    <w:rsid w:val="006804B2"/>
    <w:rsid w:val="00680AD2"/>
    <w:rsid w:val="00680F14"/>
    <w:rsid w:val="00681B6F"/>
    <w:rsid w:val="00682E0A"/>
    <w:rsid w:val="0068391E"/>
    <w:rsid w:val="00684F8E"/>
    <w:rsid w:val="00686068"/>
    <w:rsid w:val="006865AB"/>
    <w:rsid w:val="006870B5"/>
    <w:rsid w:val="006905B7"/>
    <w:rsid w:val="00690D80"/>
    <w:rsid w:val="00695480"/>
    <w:rsid w:val="0069574F"/>
    <w:rsid w:val="00696AD8"/>
    <w:rsid w:val="0069726F"/>
    <w:rsid w:val="00697448"/>
    <w:rsid w:val="00697BF1"/>
    <w:rsid w:val="006A1A84"/>
    <w:rsid w:val="006A2159"/>
    <w:rsid w:val="006A2640"/>
    <w:rsid w:val="006A4276"/>
    <w:rsid w:val="006A4751"/>
    <w:rsid w:val="006A5A09"/>
    <w:rsid w:val="006A689E"/>
    <w:rsid w:val="006B0BEB"/>
    <w:rsid w:val="006B1098"/>
    <w:rsid w:val="006B19F3"/>
    <w:rsid w:val="006B1E74"/>
    <w:rsid w:val="006B23C7"/>
    <w:rsid w:val="006B286E"/>
    <w:rsid w:val="006B3794"/>
    <w:rsid w:val="006B65EA"/>
    <w:rsid w:val="006B6F98"/>
    <w:rsid w:val="006B710E"/>
    <w:rsid w:val="006B753A"/>
    <w:rsid w:val="006C0534"/>
    <w:rsid w:val="006C1076"/>
    <w:rsid w:val="006C13C8"/>
    <w:rsid w:val="006C238E"/>
    <w:rsid w:val="006C239D"/>
    <w:rsid w:val="006C2FE1"/>
    <w:rsid w:val="006C32C1"/>
    <w:rsid w:val="006C39F0"/>
    <w:rsid w:val="006C52FF"/>
    <w:rsid w:val="006C67B1"/>
    <w:rsid w:val="006D023B"/>
    <w:rsid w:val="006D0354"/>
    <w:rsid w:val="006D0F4B"/>
    <w:rsid w:val="006D225D"/>
    <w:rsid w:val="006D29A5"/>
    <w:rsid w:val="006D3C9F"/>
    <w:rsid w:val="006D4E26"/>
    <w:rsid w:val="006D51AD"/>
    <w:rsid w:val="006D5DBB"/>
    <w:rsid w:val="006D730D"/>
    <w:rsid w:val="006E01C6"/>
    <w:rsid w:val="006E0788"/>
    <w:rsid w:val="006E0921"/>
    <w:rsid w:val="006E23EE"/>
    <w:rsid w:val="006E2CC4"/>
    <w:rsid w:val="006E2EC5"/>
    <w:rsid w:val="006E5F24"/>
    <w:rsid w:val="006E756C"/>
    <w:rsid w:val="006E78C1"/>
    <w:rsid w:val="006F1B2C"/>
    <w:rsid w:val="006F2D88"/>
    <w:rsid w:val="006F3534"/>
    <w:rsid w:val="006F3897"/>
    <w:rsid w:val="006F3E9F"/>
    <w:rsid w:val="006F480B"/>
    <w:rsid w:val="006F6463"/>
    <w:rsid w:val="006F711F"/>
    <w:rsid w:val="006F7261"/>
    <w:rsid w:val="00700309"/>
    <w:rsid w:val="0070033E"/>
    <w:rsid w:val="00700FF6"/>
    <w:rsid w:val="00701DDB"/>
    <w:rsid w:val="00701E51"/>
    <w:rsid w:val="00703642"/>
    <w:rsid w:val="00703A81"/>
    <w:rsid w:val="00703B7B"/>
    <w:rsid w:val="007043E8"/>
    <w:rsid w:val="00704CB8"/>
    <w:rsid w:val="00704CFB"/>
    <w:rsid w:val="007066E1"/>
    <w:rsid w:val="00706EA7"/>
    <w:rsid w:val="0071026E"/>
    <w:rsid w:val="0071039F"/>
    <w:rsid w:val="00710AFB"/>
    <w:rsid w:val="007115FF"/>
    <w:rsid w:val="00713071"/>
    <w:rsid w:val="00713132"/>
    <w:rsid w:val="00713F2E"/>
    <w:rsid w:val="007164A5"/>
    <w:rsid w:val="00716B80"/>
    <w:rsid w:val="00717A30"/>
    <w:rsid w:val="00717AEF"/>
    <w:rsid w:val="007213B4"/>
    <w:rsid w:val="00722DCC"/>
    <w:rsid w:val="007230D1"/>
    <w:rsid w:val="0072385E"/>
    <w:rsid w:val="00723AF3"/>
    <w:rsid w:val="00723BB2"/>
    <w:rsid w:val="00724313"/>
    <w:rsid w:val="00724794"/>
    <w:rsid w:val="00724FB0"/>
    <w:rsid w:val="00725046"/>
    <w:rsid w:val="00725CF1"/>
    <w:rsid w:val="007271B4"/>
    <w:rsid w:val="00730288"/>
    <w:rsid w:val="00730805"/>
    <w:rsid w:val="00731799"/>
    <w:rsid w:val="00731FA3"/>
    <w:rsid w:val="00732E4C"/>
    <w:rsid w:val="007335BF"/>
    <w:rsid w:val="007335C6"/>
    <w:rsid w:val="00734C90"/>
    <w:rsid w:val="0073690A"/>
    <w:rsid w:val="00737091"/>
    <w:rsid w:val="0073795F"/>
    <w:rsid w:val="00740236"/>
    <w:rsid w:val="007403F4"/>
    <w:rsid w:val="007418AE"/>
    <w:rsid w:val="00743D7C"/>
    <w:rsid w:val="00745321"/>
    <w:rsid w:val="00745A75"/>
    <w:rsid w:val="00746803"/>
    <w:rsid w:val="00747AE2"/>
    <w:rsid w:val="00750937"/>
    <w:rsid w:val="00750D4B"/>
    <w:rsid w:val="00750D5A"/>
    <w:rsid w:val="00751679"/>
    <w:rsid w:val="00751841"/>
    <w:rsid w:val="0075250E"/>
    <w:rsid w:val="00752FEC"/>
    <w:rsid w:val="007537AF"/>
    <w:rsid w:val="00753F7E"/>
    <w:rsid w:val="007562B5"/>
    <w:rsid w:val="00760718"/>
    <w:rsid w:val="007609C3"/>
    <w:rsid w:val="00761131"/>
    <w:rsid w:val="007612CE"/>
    <w:rsid w:val="00761C3A"/>
    <w:rsid w:val="0076228C"/>
    <w:rsid w:val="00763D46"/>
    <w:rsid w:val="0076457E"/>
    <w:rsid w:val="007651CD"/>
    <w:rsid w:val="00765791"/>
    <w:rsid w:val="00766685"/>
    <w:rsid w:val="00767B58"/>
    <w:rsid w:val="007703DC"/>
    <w:rsid w:val="00771352"/>
    <w:rsid w:val="0077142F"/>
    <w:rsid w:val="00771837"/>
    <w:rsid w:val="007731FD"/>
    <w:rsid w:val="0077351B"/>
    <w:rsid w:val="00774D27"/>
    <w:rsid w:val="00775558"/>
    <w:rsid w:val="00777CAF"/>
    <w:rsid w:val="0078110A"/>
    <w:rsid w:val="0078169E"/>
    <w:rsid w:val="007819AC"/>
    <w:rsid w:val="00781DBF"/>
    <w:rsid w:val="007821FC"/>
    <w:rsid w:val="00783A4C"/>
    <w:rsid w:val="00783B6C"/>
    <w:rsid w:val="007860B8"/>
    <w:rsid w:val="0078791A"/>
    <w:rsid w:val="007903D4"/>
    <w:rsid w:val="00790EC1"/>
    <w:rsid w:val="00792453"/>
    <w:rsid w:val="00792C1C"/>
    <w:rsid w:val="00794472"/>
    <w:rsid w:val="00794A0E"/>
    <w:rsid w:val="007977D3"/>
    <w:rsid w:val="007A00D4"/>
    <w:rsid w:val="007A33D6"/>
    <w:rsid w:val="007A5F55"/>
    <w:rsid w:val="007A64B8"/>
    <w:rsid w:val="007A77D1"/>
    <w:rsid w:val="007A7ED0"/>
    <w:rsid w:val="007B0D61"/>
    <w:rsid w:val="007B0F82"/>
    <w:rsid w:val="007B1109"/>
    <w:rsid w:val="007B19BC"/>
    <w:rsid w:val="007B1E4B"/>
    <w:rsid w:val="007B2590"/>
    <w:rsid w:val="007B4450"/>
    <w:rsid w:val="007B499E"/>
    <w:rsid w:val="007B4E40"/>
    <w:rsid w:val="007C196B"/>
    <w:rsid w:val="007C1B2A"/>
    <w:rsid w:val="007C1C21"/>
    <w:rsid w:val="007C21FB"/>
    <w:rsid w:val="007C258C"/>
    <w:rsid w:val="007C36CC"/>
    <w:rsid w:val="007C37C8"/>
    <w:rsid w:val="007C3DF5"/>
    <w:rsid w:val="007C4320"/>
    <w:rsid w:val="007C462C"/>
    <w:rsid w:val="007C5FAC"/>
    <w:rsid w:val="007C624B"/>
    <w:rsid w:val="007C65BF"/>
    <w:rsid w:val="007C6758"/>
    <w:rsid w:val="007C7575"/>
    <w:rsid w:val="007C7C77"/>
    <w:rsid w:val="007C7F40"/>
    <w:rsid w:val="007D0303"/>
    <w:rsid w:val="007D19C3"/>
    <w:rsid w:val="007D2181"/>
    <w:rsid w:val="007D2F86"/>
    <w:rsid w:val="007D37F1"/>
    <w:rsid w:val="007D4386"/>
    <w:rsid w:val="007D4730"/>
    <w:rsid w:val="007D5097"/>
    <w:rsid w:val="007D5CFB"/>
    <w:rsid w:val="007E0D39"/>
    <w:rsid w:val="007E176F"/>
    <w:rsid w:val="007E184F"/>
    <w:rsid w:val="007E294A"/>
    <w:rsid w:val="007E2CCA"/>
    <w:rsid w:val="007E382D"/>
    <w:rsid w:val="007E383A"/>
    <w:rsid w:val="007E4369"/>
    <w:rsid w:val="007E467B"/>
    <w:rsid w:val="007E5769"/>
    <w:rsid w:val="007E57B4"/>
    <w:rsid w:val="007E6B01"/>
    <w:rsid w:val="007E6C7F"/>
    <w:rsid w:val="007E7C4B"/>
    <w:rsid w:val="007F0DC5"/>
    <w:rsid w:val="007F1B0F"/>
    <w:rsid w:val="007F3A55"/>
    <w:rsid w:val="007F5DCF"/>
    <w:rsid w:val="007F6AFA"/>
    <w:rsid w:val="007F6D81"/>
    <w:rsid w:val="007F7D70"/>
    <w:rsid w:val="008018CE"/>
    <w:rsid w:val="00801DFE"/>
    <w:rsid w:val="00801E8F"/>
    <w:rsid w:val="00804044"/>
    <w:rsid w:val="0080441D"/>
    <w:rsid w:val="0080531D"/>
    <w:rsid w:val="008059AE"/>
    <w:rsid w:val="00805BD9"/>
    <w:rsid w:val="00806D8B"/>
    <w:rsid w:val="00807384"/>
    <w:rsid w:val="00810B35"/>
    <w:rsid w:val="00811D3C"/>
    <w:rsid w:val="0081259F"/>
    <w:rsid w:val="00812D88"/>
    <w:rsid w:val="00816546"/>
    <w:rsid w:val="00816573"/>
    <w:rsid w:val="0081693E"/>
    <w:rsid w:val="00817A7E"/>
    <w:rsid w:val="008202C8"/>
    <w:rsid w:val="00820C9E"/>
    <w:rsid w:val="00820CDE"/>
    <w:rsid w:val="00823CF9"/>
    <w:rsid w:val="00823F68"/>
    <w:rsid w:val="008242FB"/>
    <w:rsid w:val="0082449B"/>
    <w:rsid w:val="0082484C"/>
    <w:rsid w:val="008257BE"/>
    <w:rsid w:val="00826E08"/>
    <w:rsid w:val="00826E68"/>
    <w:rsid w:val="00826EFE"/>
    <w:rsid w:val="00827958"/>
    <w:rsid w:val="00827F8F"/>
    <w:rsid w:val="00830439"/>
    <w:rsid w:val="0083170B"/>
    <w:rsid w:val="0083479E"/>
    <w:rsid w:val="00834CA4"/>
    <w:rsid w:val="00835622"/>
    <w:rsid w:val="00836735"/>
    <w:rsid w:val="008367FD"/>
    <w:rsid w:val="00836CAC"/>
    <w:rsid w:val="00836F0D"/>
    <w:rsid w:val="00836FC3"/>
    <w:rsid w:val="008379EB"/>
    <w:rsid w:val="008400E6"/>
    <w:rsid w:val="008401C3"/>
    <w:rsid w:val="008401F9"/>
    <w:rsid w:val="00841255"/>
    <w:rsid w:val="0084221E"/>
    <w:rsid w:val="0084298C"/>
    <w:rsid w:val="008429F2"/>
    <w:rsid w:val="00842E2D"/>
    <w:rsid w:val="008436DA"/>
    <w:rsid w:val="00843B31"/>
    <w:rsid w:val="008451CA"/>
    <w:rsid w:val="00845A6E"/>
    <w:rsid w:val="00846907"/>
    <w:rsid w:val="00846AC3"/>
    <w:rsid w:val="00846B5A"/>
    <w:rsid w:val="00851D8C"/>
    <w:rsid w:val="0085243B"/>
    <w:rsid w:val="008524CC"/>
    <w:rsid w:val="008538D4"/>
    <w:rsid w:val="00854AC2"/>
    <w:rsid w:val="0085522B"/>
    <w:rsid w:val="008555AC"/>
    <w:rsid w:val="00855C80"/>
    <w:rsid w:val="00855D1A"/>
    <w:rsid w:val="0085603D"/>
    <w:rsid w:val="008562E8"/>
    <w:rsid w:val="0085654E"/>
    <w:rsid w:val="00860113"/>
    <w:rsid w:val="008623B2"/>
    <w:rsid w:val="0086335E"/>
    <w:rsid w:val="00863A82"/>
    <w:rsid w:val="00863EEF"/>
    <w:rsid w:val="0086460A"/>
    <w:rsid w:val="00864808"/>
    <w:rsid w:val="00865D7B"/>
    <w:rsid w:val="00866F46"/>
    <w:rsid w:val="008704CD"/>
    <w:rsid w:val="008717F6"/>
    <w:rsid w:val="0087248D"/>
    <w:rsid w:val="0087471C"/>
    <w:rsid w:val="00880750"/>
    <w:rsid w:val="00880874"/>
    <w:rsid w:val="008811A1"/>
    <w:rsid w:val="00881BDB"/>
    <w:rsid w:val="00881DBF"/>
    <w:rsid w:val="0088260C"/>
    <w:rsid w:val="008827AB"/>
    <w:rsid w:val="0088314C"/>
    <w:rsid w:val="00883837"/>
    <w:rsid w:val="00883C2B"/>
    <w:rsid w:val="00883EC7"/>
    <w:rsid w:val="0088439B"/>
    <w:rsid w:val="00884536"/>
    <w:rsid w:val="00885001"/>
    <w:rsid w:val="00886DFE"/>
    <w:rsid w:val="00886E49"/>
    <w:rsid w:val="00886FE9"/>
    <w:rsid w:val="00887405"/>
    <w:rsid w:val="00887B21"/>
    <w:rsid w:val="008901E4"/>
    <w:rsid w:val="008909E0"/>
    <w:rsid w:val="00890FC7"/>
    <w:rsid w:val="00891146"/>
    <w:rsid w:val="008930AA"/>
    <w:rsid w:val="00893524"/>
    <w:rsid w:val="008942D7"/>
    <w:rsid w:val="00894F9F"/>
    <w:rsid w:val="00895583"/>
    <w:rsid w:val="00895CC4"/>
    <w:rsid w:val="00897A80"/>
    <w:rsid w:val="008A0CCB"/>
    <w:rsid w:val="008A1090"/>
    <w:rsid w:val="008A14FD"/>
    <w:rsid w:val="008A1F69"/>
    <w:rsid w:val="008A2DEB"/>
    <w:rsid w:val="008A336B"/>
    <w:rsid w:val="008A4A8F"/>
    <w:rsid w:val="008A4B5A"/>
    <w:rsid w:val="008A4EF8"/>
    <w:rsid w:val="008A5D4C"/>
    <w:rsid w:val="008A6D71"/>
    <w:rsid w:val="008A7965"/>
    <w:rsid w:val="008A7BC3"/>
    <w:rsid w:val="008B07E1"/>
    <w:rsid w:val="008B35E8"/>
    <w:rsid w:val="008B38AD"/>
    <w:rsid w:val="008B4684"/>
    <w:rsid w:val="008B4DC9"/>
    <w:rsid w:val="008B4DDF"/>
    <w:rsid w:val="008B587F"/>
    <w:rsid w:val="008B5DDE"/>
    <w:rsid w:val="008B763C"/>
    <w:rsid w:val="008C0F71"/>
    <w:rsid w:val="008C1DF7"/>
    <w:rsid w:val="008C262B"/>
    <w:rsid w:val="008C2631"/>
    <w:rsid w:val="008C29C6"/>
    <w:rsid w:val="008C2B55"/>
    <w:rsid w:val="008C2CB9"/>
    <w:rsid w:val="008C334F"/>
    <w:rsid w:val="008C3EB8"/>
    <w:rsid w:val="008C410C"/>
    <w:rsid w:val="008C54D6"/>
    <w:rsid w:val="008C5651"/>
    <w:rsid w:val="008C6020"/>
    <w:rsid w:val="008C67AD"/>
    <w:rsid w:val="008C6907"/>
    <w:rsid w:val="008C71E9"/>
    <w:rsid w:val="008C7836"/>
    <w:rsid w:val="008D1D62"/>
    <w:rsid w:val="008D20C0"/>
    <w:rsid w:val="008D2F0B"/>
    <w:rsid w:val="008D4281"/>
    <w:rsid w:val="008D60B0"/>
    <w:rsid w:val="008D6FC4"/>
    <w:rsid w:val="008D7FED"/>
    <w:rsid w:val="008E0517"/>
    <w:rsid w:val="008E17C9"/>
    <w:rsid w:val="008E1889"/>
    <w:rsid w:val="008E23D7"/>
    <w:rsid w:val="008E2555"/>
    <w:rsid w:val="008E323D"/>
    <w:rsid w:val="008E3748"/>
    <w:rsid w:val="008E6806"/>
    <w:rsid w:val="008E6C2F"/>
    <w:rsid w:val="008E78DC"/>
    <w:rsid w:val="008E79E3"/>
    <w:rsid w:val="008E7DD3"/>
    <w:rsid w:val="008E7F9A"/>
    <w:rsid w:val="008F0A08"/>
    <w:rsid w:val="008F10BE"/>
    <w:rsid w:val="008F1FE8"/>
    <w:rsid w:val="008F2CC0"/>
    <w:rsid w:val="008F372F"/>
    <w:rsid w:val="008F3ADD"/>
    <w:rsid w:val="008F5B60"/>
    <w:rsid w:val="008F670F"/>
    <w:rsid w:val="008F675A"/>
    <w:rsid w:val="008F6C7A"/>
    <w:rsid w:val="008F779C"/>
    <w:rsid w:val="0090088C"/>
    <w:rsid w:val="00900919"/>
    <w:rsid w:val="00900A8C"/>
    <w:rsid w:val="00901894"/>
    <w:rsid w:val="0090208B"/>
    <w:rsid w:val="00902BA1"/>
    <w:rsid w:val="0090415E"/>
    <w:rsid w:val="00904F14"/>
    <w:rsid w:val="00905161"/>
    <w:rsid w:val="009055FC"/>
    <w:rsid w:val="00905D82"/>
    <w:rsid w:val="00906A15"/>
    <w:rsid w:val="00907067"/>
    <w:rsid w:val="00910378"/>
    <w:rsid w:val="00911319"/>
    <w:rsid w:val="00912C6D"/>
    <w:rsid w:val="009139F8"/>
    <w:rsid w:val="0091437E"/>
    <w:rsid w:val="00914BC8"/>
    <w:rsid w:val="00914F03"/>
    <w:rsid w:val="0091552F"/>
    <w:rsid w:val="00915633"/>
    <w:rsid w:val="00915A18"/>
    <w:rsid w:val="00916A97"/>
    <w:rsid w:val="00917CCD"/>
    <w:rsid w:val="009202A4"/>
    <w:rsid w:val="0092033B"/>
    <w:rsid w:val="009209B3"/>
    <w:rsid w:val="009246C4"/>
    <w:rsid w:val="0092536E"/>
    <w:rsid w:val="0092726F"/>
    <w:rsid w:val="009272C1"/>
    <w:rsid w:val="009328E9"/>
    <w:rsid w:val="00932A3B"/>
    <w:rsid w:val="00933B76"/>
    <w:rsid w:val="00934486"/>
    <w:rsid w:val="00937306"/>
    <w:rsid w:val="009376DC"/>
    <w:rsid w:val="009409A9"/>
    <w:rsid w:val="00941535"/>
    <w:rsid w:val="0094186C"/>
    <w:rsid w:val="0094274D"/>
    <w:rsid w:val="009429B3"/>
    <w:rsid w:val="00943594"/>
    <w:rsid w:val="009464B2"/>
    <w:rsid w:val="0094695C"/>
    <w:rsid w:val="009469A6"/>
    <w:rsid w:val="009505B7"/>
    <w:rsid w:val="0095082B"/>
    <w:rsid w:val="0095115D"/>
    <w:rsid w:val="009511FD"/>
    <w:rsid w:val="0095128E"/>
    <w:rsid w:val="00951964"/>
    <w:rsid w:val="00951E73"/>
    <w:rsid w:val="00952887"/>
    <w:rsid w:val="00954355"/>
    <w:rsid w:val="00960390"/>
    <w:rsid w:val="009603B7"/>
    <w:rsid w:val="009617C7"/>
    <w:rsid w:val="00961C3C"/>
    <w:rsid w:val="0096235E"/>
    <w:rsid w:val="0096394E"/>
    <w:rsid w:val="00965322"/>
    <w:rsid w:val="00965C53"/>
    <w:rsid w:val="009660B4"/>
    <w:rsid w:val="00966F8E"/>
    <w:rsid w:val="009675FA"/>
    <w:rsid w:val="00970A64"/>
    <w:rsid w:val="0097176E"/>
    <w:rsid w:val="0097296B"/>
    <w:rsid w:val="00972FA2"/>
    <w:rsid w:val="0097306A"/>
    <w:rsid w:val="00973C07"/>
    <w:rsid w:val="009748B4"/>
    <w:rsid w:val="00974C3C"/>
    <w:rsid w:val="00975036"/>
    <w:rsid w:val="00975ED8"/>
    <w:rsid w:val="009777E5"/>
    <w:rsid w:val="00977E0B"/>
    <w:rsid w:val="00980331"/>
    <w:rsid w:val="00981047"/>
    <w:rsid w:val="00981466"/>
    <w:rsid w:val="00982243"/>
    <w:rsid w:val="00983031"/>
    <w:rsid w:val="009835A1"/>
    <w:rsid w:val="009836C0"/>
    <w:rsid w:val="0098389E"/>
    <w:rsid w:val="00985506"/>
    <w:rsid w:val="0098558B"/>
    <w:rsid w:val="0098675D"/>
    <w:rsid w:val="00986D7B"/>
    <w:rsid w:val="00987A30"/>
    <w:rsid w:val="00991390"/>
    <w:rsid w:val="00993C28"/>
    <w:rsid w:val="009949DA"/>
    <w:rsid w:val="009968BF"/>
    <w:rsid w:val="00996C1F"/>
    <w:rsid w:val="009A1729"/>
    <w:rsid w:val="009A2150"/>
    <w:rsid w:val="009A27C0"/>
    <w:rsid w:val="009A2AEB"/>
    <w:rsid w:val="009A2B19"/>
    <w:rsid w:val="009A2C50"/>
    <w:rsid w:val="009A32D8"/>
    <w:rsid w:val="009A4054"/>
    <w:rsid w:val="009A40E1"/>
    <w:rsid w:val="009A4561"/>
    <w:rsid w:val="009A47BB"/>
    <w:rsid w:val="009A5382"/>
    <w:rsid w:val="009A53EC"/>
    <w:rsid w:val="009A5A8F"/>
    <w:rsid w:val="009A7048"/>
    <w:rsid w:val="009A7EAF"/>
    <w:rsid w:val="009B09C2"/>
    <w:rsid w:val="009B1687"/>
    <w:rsid w:val="009B17F4"/>
    <w:rsid w:val="009B1BE0"/>
    <w:rsid w:val="009B2740"/>
    <w:rsid w:val="009B2F42"/>
    <w:rsid w:val="009B3EFD"/>
    <w:rsid w:val="009B4367"/>
    <w:rsid w:val="009B46C9"/>
    <w:rsid w:val="009B46FF"/>
    <w:rsid w:val="009B4714"/>
    <w:rsid w:val="009B4CCB"/>
    <w:rsid w:val="009B553E"/>
    <w:rsid w:val="009B5554"/>
    <w:rsid w:val="009B61B9"/>
    <w:rsid w:val="009B6B94"/>
    <w:rsid w:val="009C0EB1"/>
    <w:rsid w:val="009C161A"/>
    <w:rsid w:val="009C3AD2"/>
    <w:rsid w:val="009C4CAF"/>
    <w:rsid w:val="009C5BB0"/>
    <w:rsid w:val="009C6BA9"/>
    <w:rsid w:val="009D0660"/>
    <w:rsid w:val="009D0F98"/>
    <w:rsid w:val="009D1FB7"/>
    <w:rsid w:val="009D4E1D"/>
    <w:rsid w:val="009D4E40"/>
    <w:rsid w:val="009D5457"/>
    <w:rsid w:val="009D5D6F"/>
    <w:rsid w:val="009D6C70"/>
    <w:rsid w:val="009E1B3B"/>
    <w:rsid w:val="009E2299"/>
    <w:rsid w:val="009E2E42"/>
    <w:rsid w:val="009E3A87"/>
    <w:rsid w:val="009E3B8E"/>
    <w:rsid w:val="009E3F7F"/>
    <w:rsid w:val="009E4B7B"/>
    <w:rsid w:val="009E60ED"/>
    <w:rsid w:val="009E7837"/>
    <w:rsid w:val="009E7AF5"/>
    <w:rsid w:val="009E7B32"/>
    <w:rsid w:val="009F2873"/>
    <w:rsid w:val="009F36D8"/>
    <w:rsid w:val="009F3C48"/>
    <w:rsid w:val="009F3E6F"/>
    <w:rsid w:val="009F3F34"/>
    <w:rsid w:val="009F5591"/>
    <w:rsid w:val="009F6837"/>
    <w:rsid w:val="009F7FE6"/>
    <w:rsid w:val="00A02DB5"/>
    <w:rsid w:val="00A036E8"/>
    <w:rsid w:val="00A03A45"/>
    <w:rsid w:val="00A03EA8"/>
    <w:rsid w:val="00A05339"/>
    <w:rsid w:val="00A06B2B"/>
    <w:rsid w:val="00A06E70"/>
    <w:rsid w:val="00A07E31"/>
    <w:rsid w:val="00A103C8"/>
    <w:rsid w:val="00A10B08"/>
    <w:rsid w:val="00A1214E"/>
    <w:rsid w:val="00A12FA4"/>
    <w:rsid w:val="00A153E8"/>
    <w:rsid w:val="00A15867"/>
    <w:rsid w:val="00A1679A"/>
    <w:rsid w:val="00A16D4A"/>
    <w:rsid w:val="00A2060A"/>
    <w:rsid w:val="00A21849"/>
    <w:rsid w:val="00A21AC1"/>
    <w:rsid w:val="00A227FC"/>
    <w:rsid w:val="00A2578F"/>
    <w:rsid w:val="00A25C06"/>
    <w:rsid w:val="00A25FBF"/>
    <w:rsid w:val="00A26252"/>
    <w:rsid w:val="00A272F1"/>
    <w:rsid w:val="00A27841"/>
    <w:rsid w:val="00A30282"/>
    <w:rsid w:val="00A307C4"/>
    <w:rsid w:val="00A30D98"/>
    <w:rsid w:val="00A3150E"/>
    <w:rsid w:val="00A3200D"/>
    <w:rsid w:val="00A322A9"/>
    <w:rsid w:val="00A33A2E"/>
    <w:rsid w:val="00A33C9B"/>
    <w:rsid w:val="00A343FC"/>
    <w:rsid w:val="00A35167"/>
    <w:rsid w:val="00A35DD9"/>
    <w:rsid w:val="00A41521"/>
    <w:rsid w:val="00A42AD9"/>
    <w:rsid w:val="00A4447B"/>
    <w:rsid w:val="00A44817"/>
    <w:rsid w:val="00A4701F"/>
    <w:rsid w:val="00A47521"/>
    <w:rsid w:val="00A47CB6"/>
    <w:rsid w:val="00A50099"/>
    <w:rsid w:val="00A500F3"/>
    <w:rsid w:val="00A50261"/>
    <w:rsid w:val="00A5144B"/>
    <w:rsid w:val="00A52A54"/>
    <w:rsid w:val="00A52E05"/>
    <w:rsid w:val="00A53845"/>
    <w:rsid w:val="00A5546E"/>
    <w:rsid w:val="00A55B37"/>
    <w:rsid w:val="00A56003"/>
    <w:rsid w:val="00A57648"/>
    <w:rsid w:val="00A6225E"/>
    <w:rsid w:val="00A62C00"/>
    <w:rsid w:val="00A63D39"/>
    <w:rsid w:val="00A6439E"/>
    <w:rsid w:val="00A646C6"/>
    <w:rsid w:val="00A64A31"/>
    <w:rsid w:val="00A65924"/>
    <w:rsid w:val="00A660BC"/>
    <w:rsid w:val="00A660F3"/>
    <w:rsid w:val="00A666D7"/>
    <w:rsid w:val="00A66DDB"/>
    <w:rsid w:val="00A67B9D"/>
    <w:rsid w:val="00A67FAC"/>
    <w:rsid w:val="00A719B9"/>
    <w:rsid w:val="00A727A1"/>
    <w:rsid w:val="00A72DF4"/>
    <w:rsid w:val="00A7576C"/>
    <w:rsid w:val="00A75F2E"/>
    <w:rsid w:val="00A77385"/>
    <w:rsid w:val="00A800FD"/>
    <w:rsid w:val="00A8025B"/>
    <w:rsid w:val="00A802B8"/>
    <w:rsid w:val="00A8063A"/>
    <w:rsid w:val="00A808E5"/>
    <w:rsid w:val="00A810DF"/>
    <w:rsid w:val="00A82DF3"/>
    <w:rsid w:val="00A83B0C"/>
    <w:rsid w:val="00A85725"/>
    <w:rsid w:val="00A85981"/>
    <w:rsid w:val="00A87247"/>
    <w:rsid w:val="00A8788A"/>
    <w:rsid w:val="00A90E98"/>
    <w:rsid w:val="00A91166"/>
    <w:rsid w:val="00A91C05"/>
    <w:rsid w:val="00A929F3"/>
    <w:rsid w:val="00A93149"/>
    <w:rsid w:val="00A93D53"/>
    <w:rsid w:val="00A953E2"/>
    <w:rsid w:val="00A965DD"/>
    <w:rsid w:val="00AA3306"/>
    <w:rsid w:val="00AA3C2B"/>
    <w:rsid w:val="00AA4352"/>
    <w:rsid w:val="00AA488E"/>
    <w:rsid w:val="00AA4FC5"/>
    <w:rsid w:val="00AA767F"/>
    <w:rsid w:val="00AA7CB7"/>
    <w:rsid w:val="00AA7CBE"/>
    <w:rsid w:val="00AB0590"/>
    <w:rsid w:val="00AB0A54"/>
    <w:rsid w:val="00AB11C0"/>
    <w:rsid w:val="00AB1424"/>
    <w:rsid w:val="00AB2DE5"/>
    <w:rsid w:val="00AB3701"/>
    <w:rsid w:val="00AB45C9"/>
    <w:rsid w:val="00AB69E2"/>
    <w:rsid w:val="00AC0418"/>
    <w:rsid w:val="00AC1CDD"/>
    <w:rsid w:val="00AC27C7"/>
    <w:rsid w:val="00AC4B8F"/>
    <w:rsid w:val="00AC4BB0"/>
    <w:rsid w:val="00AC4FFB"/>
    <w:rsid w:val="00AC6252"/>
    <w:rsid w:val="00AD10CF"/>
    <w:rsid w:val="00AD18DA"/>
    <w:rsid w:val="00AD1A20"/>
    <w:rsid w:val="00AD2679"/>
    <w:rsid w:val="00AD3E02"/>
    <w:rsid w:val="00AD434F"/>
    <w:rsid w:val="00AD4448"/>
    <w:rsid w:val="00AD4AB2"/>
    <w:rsid w:val="00AD5FD7"/>
    <w:rsid w:val="00AD69A5"/>
    <w:rsid w:val="00AD7DA0"/>
    <w:rsid w:val="00AE0578"/>
    <w:rsid w:val="00AE0739"/>
    <w:rsid w:val="00AE092D"/>
    <w:rsid w:val="00AE1263"/>
    <w:rsid w:val="00AE35D0"/>
    <w:rsid w:val="00AE5135"/>
    <w:rsid w:val="00AE6025"/>
    <w:rsid w:val="00AF039D"/>
    <w:rsid w:val="00AF12FA"/>
    <w:rsid w:val="00AF1370"/>
    <w:rsid w:val="00AF219A"/>
    <w:rsid w:val="00AF2311"/>
    <w:rsid w:val="00AF2E35"/>
    <w:rsid w:val="00AF2EFB"/>
    <w:rsid w:val="00AF4597"/>
    <w:rsid w:val="00AF4C23"/>
    <w:rsid w:val="00AF5139"/>
    <w:rsid w:val="00AF5C92"/>
    <w:rsid w:val="00AF6714"/>
    <w:rsid w:val="00AF748C"/>
    <w:rsid w:val="00B0080C"/>
    <w:rsid w:val="00B00E57"/>
    <w:rsid w:val="00B020F0"/>
    <w:rsid w:val="00B0283D"/>
    <w:rsid w:val="00B02A98"/>
    <w:rsid w:val="00B02C19"/>
    <w:rsid w:val="00B0377F"/>
    <w:rsid w:val="00B04C33"/>
    <w:rsid w:val="00B067A1"/>
    <w:rsid w:val="00B06A6F"/>
    <w:rsid w:val="00B06EE0"/>
    <w:rsid w:val="00B07407"/>
    <w:rsid w:val="00B07BBA"/>
    <w:rsid w:val="00B10C08"/>
    <w:rsid w:val="00B12FB3"/>
    <w:rsid w:val="00B13C3C"/>
    <w:rsid w:val="00B15E47"/>
    <w:rsid w:val="00B1687B"/>
    <w:rsid w:val="00B169F0"/>
    <w:rsid w:val="00B16F7F"/>
    <w:rsid w:val="00B2187D"/>
    <w:rsid w:val="00B234D7"/>
    <w:rsid w:val="00B23FF7"/>
    <w:rsid w:val="00B24E79"/>
    <w:rsid w:val="00B25289"/>
    <w:rsid w:val="00B26736"/>
    <w:rsid w:val="00B2712A"/>
    <w:rsid w:val="00B318C0"/>
    <w:rsid w:val="00B32DDC"/>
    <w:rsid w:val="00B33BB0"/>
    <w:rsid w:val="00B33BEC"/>
    <w:rsid w:val="00B34D3F"/>
    <w:rsid w:val="00B36632"/>
    <w:rsid w:val="00B40D15"/>
    <w:rsid w:val="00B42343"/>
    <w:rsid w:val="00B42699"/>
    <w:rsid w:val="00B446F4"/>
    <w:rsid w:val="00B45437"/>
    <w:rsid w:val="00B4543A"/>
    <w:rsid w:val="00B4615A"/>
    <w:rsid w:val="00B50043"/>
    <w:rsid w:val="00B500C3"/>
    <w:rsid w:val="00B5089F"/>
    <w:rsid w:val="00B5131E"/>
    <w:rsid w:val="00B528AF"/>
    <w:rsid w:val="00B52D58"/>
    <w:rsid w:val="00B537FA"/>
    <w:rsid w:val="00B53D5D"/>
    <w:rsid w:val="00B540BD"/>
    <w:rsid w:val="00B555A7"/>
    <w:rsid w:val="00B562AA"/>
    <w:rsid w:val="00B56660"/>
    <w:rsid w:val="00B569C4"/>
    <w:rsid w:val="00B56C65"/>
    <w:rsid w:val="00B56F19"/>
    <w:rsid w:val="00B607E1"/>
    <w:rsid w:val="00B61A78"/>
    <w:rsid w:val="00B62F58"/>
    <w:rsid w:val="00B63380"/>
    <w:rsid w:val="00B64A6C"/>
    <w:rsid w:val="00B65212"/>
    <w:rsid w:val="00B654D2"/>
    <w:rsid w:val="00B655B8"/>
    <w:rsid w:val="00B655DC"/>
    <w:rsid w:val="00B6646D"/>
    <w:rsid w:val="00B66DFB"/>
    <w:rsid w:val="00B677C4"/>
    <w:rsid w:val="00B71D0D"/>
    <w:rsid w:val="00B73D95"/>
    <w:rsid w:val="00B74516"/>
    <w:rsid w:val="00B74FA7"/>
    <w:rsid w:val="00B76708"/>
    <w:rsid w:val="00B76A30"/>
    <w:rsid w:val="00B77653"/>
    <w:rsid w:val="00B7772D"/>
    <w:rsid w:val="00B8129B"/>
    <w:rsid w:val="00B81F99"/>
    <w:rsid w:val="00B82D53"/>
    <w:rsid w:val="00B835F3"/>
    <w:rsid w:val="00B836B6"/>
    <w:rsid w:val="00B84ED0"/>
    <w:rsid w:val="00B86577"/>
    <w:rsid w:val="00B86F94"/>
    <w:rsid w:val="00B872D0"/>
    <w:rsid w:val="00B9003C"/>
    <w:rsid w:val="00B9097C"/>
    <w:rsid w:val="00B9109B"/>
    <w:rsid w:val="00B915F6"/>
    <w:rsid w:val="00B93016"/>
    <w:rsid w:val="00B93D03"/>
    <w:rsid w:val="00B940EB"/>
    <w:rsid w:val="00B94D45"/>
    <w:rsid w:val="00B94F54"/>
    <w:rsid w:val="00B95CD5"/>
    <w:rsid w:val="00B95F21"/>
    <w:rsid w:val="00B96516"/>
    <w:rsid w:val="00B966B2"/>
    <w:rsid w:val="00B96E41"/>
    <w:rsid w:val="00B97184"/>
    <w:rsid w:val="00BA1955"/>
    <w:rsid w:val="00BA2459"/>
    <w:rsid w:val="00BB078C"/>
    <w:rsid w:val="00BB0CE0"/>
    <w:rsid w:val="00BB2AC5"/>
    <w:rsid w:val="00BB5112"/>
    <w:rsid w:val="00BB531E"/>
    <w:rsid w:val="00BB60D2"/>
    <w:rsid w:val="00BB6140"/>
    <w:rsid w:val="00BB62DD"/>
    <w:rsid w:val="00BB6EAC"/>
    <w:rsid w:val="00BB70DA"/>
    <w:rsid w:val="00BB7B0C"/>
    <w:rsid w:val="00BB7C2D"/>
    <w:rsid w:val="00BB7DD8"/>
    <w:rsid w:val="00BB7EDC"/>
    <w:rsid w:val="00BC013F"/>
    <w:rsid w:val="00BC35DC"/>
    <w:rsid w:val="00BC3DC7"/>
    <w:rsid w:val="00BC414D"/>
    <w:rsid w:val="00BC45D2"/>
    <w:rsid w:val="00BC5118"/>
    <w:rsid w:val="00BC56D7"/>
    <w:rsid w:val="00BC662A"/>
    <w:rsid w:val="00BC7101"/>
    <w:rsid w:val="00BD1566"/>
    <w:rsid w:val="00BD23D0"/>
    <w:rsid w:val="00BD252D"/>
    <w:rsid w:val="00BD4EDB"/>
    <w:rsid w:val="00BD5C95"/>
    <w:rsid w:val="00BD60D1"/>
    <w:rsid w:val="00BD64A8"/>
    <w:rsid w:val="00BD6553"/>
    <w:rsid w:val="00BD6B79"/>
    <w:rsid w:val="00BD6E51"/>
    <w:rsid w:val="00BD78F3"/>
    <w:rsid w:val="00BD7A6F"/>
    <w:rsid w:val="00BE2056"/>
    <w:rsid w:val="00BE209A"/>
    <w:rsid w:val="00BE438F"/>
    <w:rsid w:val="00BE4402"/>
    <w:rsid w:val="00BE4F3F"/>
    <w:rsid w:val="00BE59BC"/>
    <w:rsid w:val="00BE6240"/>
    <w:rsid w:val="00BE7CAE"/>
    <w:rsid w:val="00BE7D43"/>
    <w:rsid w:val="00BE7E66"/>
    <w:rsid w:val="00BF028B"/>
    <w:rsid w:val="00BF0D11"/>
    <w:rsid w:val="00BF0E25"/>
    <w:rsid w:val="00BF1B86"/>
    <w:rsid w:val="00BF380B"/>
    <w:rsid w:val="00BF3944"/>
    <w:rsid w:val="00BF3D11"/>
    <w:rsid w:val="00BF514F"/>
    <w:rsid w:val="00BF5B6F"/>
    <w:rsid w:val="00BF65A6"/>
    <w:rsid w:val="00BF73D0"/>
    <w:rsid w:val="00BF74DB"/>
    <w:rsid w:val="00BF7742"/>
    <w:rsid w:val="00BF7DB4"/>
    <w:rsid w:val="00C00637"/>
    <w:rsid w:val="00C02E01"/>
    <w:rsid w:val="00C04330"/>
    <w:rsid w:val="00C0577D"/>
    <w:rsid w:val="00C06099"/>
    <w:rsid w:val="00C065C8"/>
    <w:rsid w:val="00C06AE2"/>
    <w:rsid w:val="00C125A8"/>
    <w:rsid w:val="00C134C4"/>
    <w:rsid w:val="00C13AB3"/>
    <w:rsid w:val="00C153FD"/>
    <w:rsid w:val="00C16094"/>
    <w:rsid w:val="00C16A48"/>
    <w:rsid w:val="00C1710E"/>
    <w:rsid w:val="00C1771E"/>
    <w:rsid w:val="00C17FAB"/>
    <w:rsid w:val="00C208D3"/>
    <w:rsid w:val="00C2191F"/>
    <w:rsid w:val="00C21AD7"/>
    <w:rsid w:val="00C2281A"/>
    <w:rsid w:val="00C22921"/>
    <w:rsid w:val="00C23752"/>
    <w:rsid w:val="00C23D98"/>
    <w:rsid w:val="00C241EE"/>
    <w:rsid w:val="00C252F0"/>
    <w:rsid w:val="00C254CC"/>
    <w:rsid w:val="00C25798"/>
    <w:rsid w:val="00C271BE"/>
    <w:rsid w:val="00C274AF"/>
    <w:rsid w:val="00C27C96"/>
    <w:rsid w:val="00C303F8"/>
    <w:rsid w:val="00C31A0D"/>
    <w:rsid w:val="00C323A8"/>
    <w:rsid w:val="00C332F9"/>
    <w:rsid w:val="00C338D5"/>
    <w:rsid w:val="00C347AE"/>
    <w:rsid w:val="00C3499B"/>
    <w:rsid w:val="00C34B2D"/>
    <w:rsid w:val="00C34C3B"/>
    <w:rsid w:val="00C34D22"/>
    <w:rsid w:val="00C34EB8"/>
    <w:rsid w:val="00C3576D"/>
    <w:rsid w:val="00C37348"/>
    <w:rsid w:val="00C37C0F"/>
    <w:rsid w:val="00C37E33"/>
    <w:rsid w:val="00C405AD"/>
    <w:rsid w:val="00C40FC4"/>
    <w:rsid w:val="00C4105A"/>
    <w:rsid w:val="00C41192"/>
    <w:rsid w:val="00C43BE6"/>
    <w:rsid w:val="00C44046"/>
    <w:rsid w:val="00C446D6"/>
    <w:rsid w:val="00C46B3B"/>
    <w:rsid w:val="00C50832"/>
    <w:rsid w:val="00C50905"/>
    <w:rsid w:val="00C50AA8"/>
    <w:rsid w:val="00C521D5"/>
    <w:rsid w:val="00C522E6"/>
    <w:rsid w:val="00C5279F"/>
    <w:rsid w:val="00C5333F"/>
    <w:rsid w:val="00C54807"/>
    <w:rsid w:val="00C553D8"/>
    <w:rsid w:val="00C56330"/>
    <w:rsid w:val="00C56AC7"/>
    <w:rsid w:val="00C56B17"/>
    <w:rsid w:val="00C578E4"/>
    <w:rsid w:val="00C6014E"/>
    <w:rsid w:val="00C60542"/>
    <w:rsid w:val="00C60B8F"/>
    <w:rsid w:val="00C6135E"/>
    <w:rsid w:val="00C61424"/>
    <w:rsid w:val="00C61A1D"/>
    <w:rsid w:val="00C62D70"/>
    <w:rsid w:val="00C642FB"/>
    <w:rsid w:val="00C64307"/>
    <w:rsid w:val="00C6558E"/>
    <w:rsid w:val="00C70286"/>
    <w:rsid w:val="00C735B4"/>
    <w:rsid w:val="00C75089"/>
    <w:rsid w:val="00C750E4"/>
    <w:rsid w:val="00C7617D"/>
    <w:rsid w:val="00C76735"/>
    <w:rsid w:val="00C77686"/>
    <w:rsid w:val="00C77E39"/>
    <w:rsid w:val="00C82D65"/>
    <w:rsid w:val="00C83F39"/>
    <w:rsid w:val="00C844EE"/>
    <w:rsid w:val="00C8468E"/>
    <w:rsid w:val="00C851A4"/>
    <w:rsid w:val="00C8685E"/>
    <w:rsid w:val="00C87844"/>
    <w:rsid w:val="00C903B9"/>
    <w:rsid w:val="00C92165"/>
    <w:rsid w:val="00C9337C"/>
    <w:rsid w:val="00C93F2D"/>
    <w:rsid w:val="00C9611B"/>
    <w:rsid w:val="00CA0F88"/>
    <w:rsid w:val="00CA12DE"/>
    <w:rsid w:val="00CA187F"/>
    <w:rsid w:val="00CA32C2"/>
    <w:rsid w:val="00CA3E25"/>
    <w:rsid w:val="00CA476C"/>
    <w:rsid w:val="00CA4A0F"/>
    <w:rsid w:val="00CA4F2E"/>
    <w:rsid w:val="00CA628A"/>
    <w:rsid w:val="00CA6E81"/>
    <w:rsid w:val="00CA7AE8"/>
    <w:rsid w:val="00CB11A3"/>
    <w:rsid w:val="00CB131F"/>
    <w:rsid w:val="00CB2ECB"/>
    <w:rsid w:val="00CB4287"/>
    <w:rsid w:val="00CB4DB6"/>
    <w:rsid w:val="00CB5F4D"/>
    <w:rsid w:val="00CB5F5A"/>
    <w:rsid w:val="00CB635A"/>
    <w:rsid w:val="00CC0E81"/>
    <w:rsid w:val="00CC1589"/>
    <w:rsid w:val="00CC1B84"/>
    <w:rsid w:val="00CC289E"/>
    <w:rsid w:val="00CC2D4A"/>
    <w:rsid w:val="00CC2E52"/>
    <w:rsid w:val="00CC38CC"/>
    <w:rsid w:val="00CC576F"/>
    <w:rsid w:val="00CC6A12"/>
    <w:rsid w:val="00CC6DA1"/>
    <w:rsid w:val="00CD00CC"/>
    <w:rsid w:val="00CD0DB3"/>
    <w:rsid w:val="00CD1072"/>
    <w:rsid w:val="00CD117D"/>
    <w:rsid w:val="00CD12A8"/>
    <w:rsid w:val="00CD31EB"/>
    <w:rsid w:val="00CD598F"/>
    <w:rsid w:val="00CD5C87"/>
    <w:rsid w:val="00CD6324"/>
    <w:rsid w:val="00CD6469"/>
    <w:rsid w:val="00CD6810"/>
    <w:rsid w:val="00CD7C7C"/>
    <w:rsid w:val="00CE041A"/>
    <w:rsid w:val="00CE17FD"/>
    <w:rsid w:val="00CE2603"/>
    <w:rsid w:val="00CE36F9"/>
    <w:rsid w:val="00CE37BE"/>
    <w:rsid w:val="00CE384F"/>
    <w:rsid w:val="00CE43AC"/>
    <w:rsid w:val="00CE4BF9"/>
    <w:rsid w:val="00CE4E7B"/>
    <w:rsid w:val="00CE5134"/>
    <w:rsid w:val="00CE53A4"/>
    <w:rsid w:val="00CE57AB"/>
    <w:rsid w:val="00CE5AFC"/>
    <w:rsid w:val="00CE5F10"/>
    <w:rsid w:val="00CE5F68"/>
    <w:rsid w:val="00CE7754"/>
    <w:rsid w:val="00CF04AD"/>
    <w:rsid w:val="00CF0891"/>
    <w:rsid w:val="00CF0E51"/>
    <w:rsid w:val="00CF1681"/>
    <w:rsid w:val="00CF1C6F"/>
    <w:rsid w:val="00CF1D90"/>
    <w:rsid w:val="00CF2458"/>
    <w:rsid w:val="00CF35F5"/>
    <w:rsid w:val="00CF4219"/>
    <w:rsid w:val="00CF4227"/>
    <w:rsid w:val="00CF4BA3"/>
    <w:rsid w:val="00CF4DBB"/>
    <w:rsid w:val="00CF58BD"/>
    <w:rsid w:val="00CF6EBD"/>
    <w:rsid w:val="00CF6F19"/>
    <w:rsid w:val="00CF7451"/>
    <w:rsid w:val="00CF74AB"/>
    <w:rsid w:val="00CF7784"/>
    <w:rsid w:val="00D00F42"/>
    <w:rsid w:val="00D0153C"/>
    <w:rsid w:val="00D0195F"/>
    <w:rsid w:val="00D01E91"/>
    <w:rsid w:val="00D03812"/>
    <w:rsid w:val="00D0475C"/>
    <w:rsid w:val="00D0580E"/>
    <w:rsid w:val="00D05D59"/>
    <w:rsid w:val="00D06530"/>
    <w:rsid w:val="00D07DC3"/>
    <w:rsid w:val="00D115B3"/>
    <w:rsid w:val="00D12443"/>
    <w:rsid w:val="00D1258B"/>
    <w:rsid w:val="00D128CB"/>
    <w:rsid w:val="00D131F1"/>
    <w:rsid w:val="00D13F13"/>
    <w:rsid w:val="00D14DA6"/>
    <w:rsid w:val="00D1629A"/>
    <w:rsid w:val="00D16522"/>
    <w:rsid w:val="00D17C55"/>
    <w:rsid w:val="00D204E0"/>
    <w:rsid w:val="00D22151"/>
    <w:rsid w:val="00D2381E"/>
    <w:rsid w:val="00D2431E"/>
    <w:rsid w:val="00D245F3"/>
    <w:rsid w:val="00D2462C"/>
    <w:rsid w:val="00D25166"/>
    <w:rsid w:val="00D254A8"/>
    <w:rsid w:val="00D2709A"/>
    <w:rsid w:val="00D31090"/>
    <w:rsid w:val="00D31352"/>
    <w:rsid w:val="00D326AA"/>
    <w:rsid w:val="00D32DAA"/>
    <w:rsid w:val="00D32F76"/>
    <w:rsid w:val="00D330CB"/>
    <w:rsid w:val="00D3357F"/>
    <w:rsid w:val="00D337F5"/>
    <w:rsid w:val="00D339F9"/>
    <w:rsid w:val="00D33A0D"/>
    <w:rsid w:val="00D34C27"/>
    <w:rsid w:val="00D35860"/>
    <w:rsid w:val="00D36604"/>
    <w:rsid w:val="00D40D29"/>
    <w:rsid w:val="00D41AAF"/>
    <w:rsid w:val="00D425E7"/>
    <w:rsid w:val="00D439AD"/>
    <w:rsid w:val="00D44638"/>
    <w:rsid w:val="00D44BE3"/>
    <w:rsid w:val="00D452E5"/>
    <w:rsid w:val="00D45DF7"/>
    <w:rsid w:val="00D46D3B"/>
    <w:rsid w:val="00D47C21"/>
    <w:rsid w:val="00D501E4"/>
    <w:rsid w:val="00D5023A"/>
    <w:rsid w:val="00D5109B"/>
    <w:rsid w:val="00D51C7C"/>
    <w:rsid w:val="00D56B97"/>
    <w:rsid w:val="00D57416"/>
    <w:rsid w:val="00D57922"/>
    <w:rsid w:val="00D6133A"/>
    <w:rsid w:val="00D61BD9"/>
    <w:rsid w:val="00D6226C"/>
    <w:rsid w:val="00D64926"/>
    <w:rsid w:val="00D65301"/>
    <w:rsid w:val="00D71161"/>
    <w:rsid w:val="00D71BEF"/>
    <w:rsid w:val="00D72C5F"/>
    <w:rsid w:val="00D7325B"/>
    <w:rsid w:val="00D73D04"/>
    <w:rsid w:val="00D755FF"/>
    <w:rsid w:val="00D76C18"/>
    <w:rsid w:val="00D81A44"/>
    <w:rsid w:val="00D823BD"/>
    <w:rsid w:val="00D82503"/>
    <w:rsid w:val="00D83AA9"/>
    <w:rsid w:val="00D851CF"/>
    <w:rsid w:val="00D8674C"/>
    <w:rsid w:val="00D8733B"/>
    <w:rsid w:val="00D87517"/>
    <w:rsid w:val="00D91E3E"/>
    <w:rsid w:val="00D93C68"/>
    <w:rsid w:val="00D93E0F"/>
    <w:rsid w:val="00D946B1"/>
    <w:rsid w:val="00D946EB"/>
    <w:rsid w:val="00D953EA"/>
    <w:rsid w:val="00D96306"/>
    <w:rsid w:val="00D96AF6"/>
    <w:rsid w:val="00D97B20"/>
    <w:rsid w:val="00D97BE4"/>
    <w:rsid w:val="00DA2405"/>
    <w:rsid w:val="00DA263E"/>
    <w:rsid w:val="00DA3C61"/>
    <w:rsid w:val="00DA3CDA"/>
    <w:rsid w:val="00DA4CB7"/>
    <w:rsid w:val="00DA617E"/>
    <w:rsid w:val="00DA6685"/>
    <w:rsid w:val="00DB008F"/>
    <w:rsid w:val="00DB0526"/>
    <w:rsid w:val="00DB36A4"/>
    <w:rsid w:val="00DB3851"/>
    <w:rsid w:val="00DB38A6"/>
    <w:rsid w:val="00DB3A94"/>
    <w:rsid w:val="00DB3D73"/>
    <w:rsid w:val="00DB3F6A"/>
    <w:rsid w:val="00DB53C0"/>
    <w:rsid w:val="00DB647F"/>
    <w:rsid w:val="00DB65FE"/>
    <w:rsid w:val="00DB6AA0"/>
    <w:rsid w:val="00DB6BF9"/>
    <w:rsid w:val="00DB6F34"/>
    <w:rsid w:val="00DB731C"/>
    <w:rsid w:val="00DB7461"/>
    <w:rsid w:val="00DC191C"/>
    <w:rsid w:val="00DC2740"/>
    <w:rsid w:val="00DC2D82"/>
    <w:rsid w:val="00DC5E22"/>
    <w:rsid w:val="00DC6793"/>
    <w:rsid w:val="00DC6EA8"/>
    <w:rsid w:val="00DC7579"/>
    <w:rsid w:val="00DC75AD"/>
    <w:rsid w:val="00DD1AB9"/>
    <w:rsid w:val="00DD355A"/>
    <w:rsid w:val="00DD392E"/>
    <w:rsid w:val="00DD4B00"/>
    <w:rsid w:val="00DD603F"/>
    <w:rsid w:val="00DD64BC"/>
    <w:rsid w:val="00DE0272"/>
    <w:rsid w:val="00DE06F9"/>
    <w:rsid w:val="00DE133D"/>
    <w:rsid w:val="00DE2571"/>
    <w:rsid w:val="00DE2B2E"/>
    <w:rsid w:val="00DE3B8C"/>
    <w:rsid w:val="00DE448E"/>
    <w:rsid w:val="00DE6348"/>
    <w:rsid w:val="00DF0843"/>
    <w:rsid w:val="00DF089C"/>
    <w:rsid w:val="00DF0D78"/>
    <w:rsid w:val="00DF0E19"/>
    <w:rsid w:val="00DF2FBD"/>
    <w:rsid w:val="00DF4163"/>
    <w:rsid w:val="00DF441D"/>
    <w:rsid w:val="00DF4D4C"/>
    <w:rsid w:val="00DF5497"/>
    <w:rsid w:val="00DF7D29"/>
    <w:rsid w:val="00DF7FB1"/>
    <w:rsid w:val="00E027F4"/>
    <w:rsid w:val="00E03836"/>
    <w:rsid w:val="00E03A0A"/>
    <w:rsid w:val="00E04523"/>
    <w:rsid w:val="00E04870"/>
    <w:rsid w:val="00E04F47"/>
    <w:rsid w:val="00E05757"/>
    <w:rsid w:val="00E060DD"/>
    <w:rsid w:val="00E06C81"/>
    <w:rsid w:val="00E109F9"/>
    <w:rsid w:val="00E12D1A"/>
    <w:rsid w:val="00E13F69"/>
    <w:rsid w:val="00E14FBF"/>
    <w:rsid w:val="00E1519E"/>
    <w:rsid w:val="00E152C5"/>
    <w:rsid w:val="00E15D91"/>
    <w:rsid w:val="00E160A7"/>
    <w:rsid w:val="00E16729"/>
    <w:rsid w:val="00E16CFF"/>
    <w:rsid w:val="00E17723"/>
    <w:rsid w:val="00E177E8"/>
    <w:rsid w:val="00E17DA8"/>
    <w:rsid w:val="00E21653"/>
    <w:rsid w:val="00E21B8A"/>
    <w:rsid w:val="00E223BF"/>
    <w:rsid w:val="00E2286F"/>
    <w:rsid w:val="00E22924"/>
    <w:rsid w:val="00E232D6"/>
    <w:rsid w:val="00E2359B"/>
    <w:rsid w:val="00E237A3"/>
    <w:rsid w:val="00E24E9F"/>
    <w:rsid w:val="00E26779"/>
    <w:rsid w:val="00E270E2"/>
    <w:rsid w:val="00E27C28"/>
    <w:rsid w:val="00E30323"/>
    <w:rsid w:val="00E30BCA"/>
    <w:rsid w:val="00E30F35"/>
    <w:rsid w:val="00E312F1"/>
    <w:rsid w:val="00E32DD9"/>
    <w:rsid w:val="00E33FE3"/>
    <w:rsid w:val="00E34296"/>
    <w:rsid w:val="00E36D5F"/>
    <w:rsid w:val="00E36D88"/>
    <w:rsid w:val="00E378E4"/>
    <w:rsid w:val="00E40217"/>
    <w:rsid w:val="00E4070F"/>
    <w:rsid w:val="00E41596"/>
    <w:rsid w:val="00E41695"/>
    <w:rsid w:val="00E42B60"/>
    <w:rsid w:val="00E437F3"/>
    <w:rsid w:val="00E43D9F"/>
    <w:rsid w:val="00E44027"/>
    <w:rsid w:val="00E44256"/>
    <w:rsid w:val="00E4431E"/>
    <w:rsid w:val="00E44649"/>
    <w:rsid w:val="00E44FB7"/>
    <w:rsid w:val="00E457E3"/>
    <w:rsid w:val="00E45F63"/>
    <w:rsid w:val="00E46630"/>
    <w:rsid w:val="00E46EE7"/>
    <w:rsid w:val="00E50DF6"/>
    <w:rsid w:val="00E512E7"/>
    <w:rsid w:val="00E51CCF"/>
    <w:rsid w:val="00E53B7B"/>
    <w:rsid w:val="00E5434D"/>
    <w:rsid w:val="00E54921"/>
    <w:rsid w:val="00E55C24"/>
    <w:rsid w:val="00E55DB1"/>
    <w:rsid w:val="00E5791E"/>
    <w:rsid w:val="00E6024D"/>
    <w:rsid w:val="00E6108F"/>
    <w:rsid w:val="00E6227F"/>
    <w:rsid w:val="00E64BAB"/>
    <w:rsid w:val="00E64DB4"/>
    <w:rsid w:val="00E65301"/>
    <w:rsid w:val="00E65315"/>
    <w:rsid w:val="00E67FF1"/>
    <w:rsid w:val="00E721E4"/>
    <w:rsid w:val="00E72374"/>
    <w:rsid w:val="00E735BF"/>
    <w:rsid w:val="00E73ACD"/>
    <w:rsid w:val="00E73C46"/>
    <w:rsid w:val="00E73C80"/>
    <w:rsid w:val="00E740EF"/>
    <w:rsid w:val="00E74783"/>
    <w:rsid w:val="00E75CD3"/>
    <w:rsid w:val="00E76369"/>
    <w:rsid w:val="00E82D07"/>
    <w:rsid w:val="00E84633"/>
    <w:rsid w:val="00E84A48"/>
    <w:rsid w:val="00E85062"/>
    <w:rsid w:val="00E85D46"/>
    <w:rsid w:val="00E87B98"/>
    <w:rsid w:val="00E90767"/>
    <w:rsid w:val="00E90909"/>
    <w:rsid w:val="00E924F0"/>
    <w:rsid w:val="00E951E6"/>
    <w:rsid w:val="00E95407"/>
    <w:rsid w:val="00E95C74"/>
    <w:rsid w:val="00E96A79"/>
    <w:rsid w:val="00EA08F0"/>
    <w:rsid w:val="00EA0BF0"/>
    <w:rsid w:val="00EA1928"/>
    <w:rsid w:val="00EA27E5"/>
    <w:rsid w:val="00EA2BA5"/>
    <w:rsid w:val="00EA2F18"/>
    <w:rsid w:val="00EA469B"/>
    <w:rsid w:val="00EA4AF0"/>
    <w:rsid w:val="00EA50FC"/>
    <w:rsid w:val="00EA75D1"/>
    <w:rsid w:val="00EA7F3F"/>
    <w:rsid w:val="00EB4363"/>
    <w:rsid w:val="00EB4AE0"/>
    <w:rsid w:val="00EB4B6B"/>
    <w:rsid w:val="00EB4FDC"/>
    <w:rsid w:val="00EB5080"/>
    <w:rsid w:val="00EB512E"/>
    <w:rsid w:val="00EB5819"/>
    <w:rsid w:val="00EB5D68"/>
    <w:rsid w:val="00EB6580"/>
    <w:rsid w:val="00EB6DA7"/>
    <w:rsid w:val="00EB74C4"/>
    <w:rsid w:val="00EB7508"/>
    <w:rsid w:val="00EB75F7"/>
    <w:rsid w:val="00EB7B1A"/>
    <w:rsid w:val="00EB7EC1"/>
    <w:rsid w:val="00EC0226"/>
    <w:rsid w:val="00EC271E"/>
    <w:rsid w:val="00EC2EF0"/>
    <w:rsid w:val="00EC305C"/>
    <w:rsid w:val="00EC35C6"/>
    <w:rsid w:val="00EC3BEC"/>
    <w:rsid w:val="00EC48D5"/>
    <w:rsid w:val="00EC5722"/>
    <w:rsid w:val="00EC5803"/>
    <w:rsid w:val="00EC62B3"/>
    <w:rsid w:val="00EC691D"/>
    <w:rsid w:val="00EC6C73"/>
    <w:rsid w:val="00EC715C"/>
    <w:rsid w:val="00ED0D8F"/>
    <w:rsid w:val="00ED13E6"/>
    <w:rsid w:val="00ED396B"/>
    <w:rsid w:val="00ED54AD"/>
    <w:rsid w:val="00ED6351"/>
    <w:rsid w:val="00ED786A"/>
    <w:rsid w:val="00EE19A2"/>
    <w:rsid w:val="00EE1AE1"/>
    <w:rsid w:val="00EE27B6"/>
    <w:rsid w:val="00EE300B"/>
    <w:rsid w:val="00EE3ABF"/>
    <w:rsid w:val="00EE6CBD"/>
    <w:rsid w:val="00EE7944"/>
    <w:rsid w:val="00EF073D"/>
    <w:rsid w:val="00EF1CBB"/>
    <w:rsid w:val="00EF1EAF"/>
    <w:rsid w:val="00EF2790"/>
    <w:rsid w:val="00EF375B"/>
    <w:rsid w:val="00EF37DA"/>
    <w:rsid w:val="00EF3EE7"/>
    <w:rsid w:val="00EF471D"/>
    <w:rsid w:val="00EF4CBC"/>
    <w:rsid w:val="00EF5C61"/>
    <w:rsid w:val="00EF6DE5"/>
    <w:rsid w:val="00EF797F"/>
    <w:rsid w:val="00EF79FE"/>
    <w:rsid w:val="00F017B6"/>
    <w:rsid w:val="00F0227D"/>
    <w:rsid w:val="00F05123"/>
    <w:rsid w:val="00F053D5"/>
    <w:rsid w:val="00F06F68"/>
    <w:rsid w:val="00F079DC"/>
    <w:rsid w:val="00F1076B"/>
    <w:rsid w:val="00F1157C"/>
    <w:rsid w:val="00F1211C"/>
    <w:rsid w:val="00F12271"/>
    <w:rsid w:val="00F12C85"/>
    <w:rsid w:val="00F13897"/>
    <w:rsid w:val="00F13A60"/>
    <w:rsid w:val="00F1413B"/>
    <w:rsid w:val="00F141B8"/>
    <w:rsid w:val="00F1667D"/>
    <w:rsid w:val="00F171CE"/>
    <w:rsid w:val="00F17818"/>
    <w:rsid w:val="00F20E93"/>
    <w:rsid w:val="00F2379C"/>
    <w:rsid w:val="00F242D9"/>
    <w:rsid w:val="00F243B0"/>
    <w:rsid w:val="00F248CE"/>
    <w:rsid w:val="00F24E93"/>
    <w:rsid w:val="00F25743"/>
    <w:rsid w:val="00F27824"/>
    <w:rsid w:val="00F31120"/>
    <w:rsid w:val="00F31B2A"/>
    <w:rsid w:val="00F34E11"/>
    <w:rsid w:val="00F35B05"/>
    <w:rsid w:val="00F36522"/>
    <w:rsid w:val="00F36F9B"/>
    <w:rsid w:val="00F3744F"/>
    <w:rsid w:val="00F379A1"/>
    <w:rsid w:val="00F4398E"/>
    <w:rsid w:val="00F43DCE"/>
    <w:rsid w:val="00F43F22"/>
    <w:rsid w:val="00F440ED"/>
    <w:rsid w:val="00F45542"/>
    <w:rsid w:val="00F4691A"/>
    <w:rsid w:val="00F46F5E"/>
    <w:rsid w:val="00F504B8"/>
    <w:rsid w:val="00F5173D"/>
    <w:rsid w:val="00F52617"/>
    <w:rsid w:val="00F53B1A"/>
    <w:rsid w:val="00F54F18"/>
    <w:rsid w:val="00F5602A"/>
    <w:rsid w:val="00F561A7"/>
    <w:rsid w:val="00F56870"/>
    <w:rsid w:val="00F57476"/>
    <w:rsid w:val="00F5772C"/>
    <w:rsid w:val="00F57988"/>
    <w:rsid w:val="00F60682"/>
    <w:rsid w:val="00F60F67"/>
    <w:rsid w:val="00F621E1"/>
    <w:rsid w:val="00F6237B"/>
    <w:rsid w:val="00F625C2"/>
    <w:rsid w:val="00F6353D"/>
    <w:rsid w:val="00F64644"/>
    <w:rsid w:val="00F65600"/>
    <w:rsid w:val="00F6731F"/>
    <w:rsid w:val="00F676F0"/>
    <w:rsid w:val="00F705A3"/>
    <w:rsid w:val="00F72A01"/>
    <w:rsid w:val="00F75660"/>
    <w:rsid w:val="00F766B3"/>
    <w:rsid w:val="00F768C8"/>
    <w:rsid w:val="00F802D8"/>
    <w:rsid w:val="00F8066E"/>
    <w:rsid w:val="00F81491"/>
    <w:rsid w:val="00F815DD"/>
    <w:rsid w:val="00F81A91"/>
    <w:rsid w:val="00F83245"/>
    <w:rsid w:val="00F836FF"/>
    <w:rsid w:val="00F83733"/>
    <w:rsid w:val="00F83B37"/>
    <w:rsid w:val="00F83E2A"/>
    <w:rsid w:val="00F8588A"/>
    <w:rsid w:val="00F8732F"/>
    <w:rsid w:val="00F87C18"/>
    <w:rsid w:val="00F87D46"/>
    <w:rsid w:val="00F909B4"/>
    <w:rsid w:val="00F90B8C"/>
    <w:rsid w:val="00F90CA7"/>
    <w:rsid w:val="00F90E47"/>
    <w:rsid w:val="00F9136B"/>
    <w:rsid w:val="00F91489"/>
    <w:rsid w:val="00F92135"/>
    <w:rsid w:val="00F92444"/>
    <w:rsid w:val="00F92589"/>
    <w:rsid w:val="00F929CF"/>
    <w:rsid w:val="00F931E5"/>
    <w:rsid w:val="00F93364"/>
    <w:rsid w:val="00F934AC"/>
    <w:rsid w:val="00F943AD"/>
    <w:rsid w:val="00F94461"/>
    <w:rsid w:val="00F9452E"/>
    <w:rsid w:val="00F94780"/>
    <w:rsid w:val="00F970AC"/>
    <w:rsid w:val="00F97369"/>
    <w:rsid w:val="00F97500"/>
    <w:rsid w:val="00FA22DB"/>
    <w:rsid w:val="00FA28D7"/>
    <w:rsid w:val="00FA4516"/>
    <w:rsid w:val="00FA50C4"/>
    <w:rsid w:val="00FA5BE0"/>
    <w:rsid w:val="00FA6784"/>
    <w:rsid w:val="00FA7DB2"/>
    <w:rsid w:val="00FB0A2C"/>
    <w:rsid w:val="00FB370D"/>
    <w:rsid w:val="00FB3EC5"/>
    <w:rsid w:val="00FB4AA9"/>
    <w:rsid w:val="00FB4FEC"/>
    <w:rsid w:val="00FB7D84"/>
    <w:rsid w:val="00FC0634"/>
    <w:rsid w:val="00FC0E05"/>
    <w:rsid w:val="00FC3336"/>
    <w:rsid w:val="00FC354B"/>
    <w:rsid w:val="00FC422B"/>
    <w:rsid w:val="00FC4FFE"/>
    <w:rsid w:val="00FC72CF"/>
    <w:rsid w:val="00FD2048"/>
    <w:rsid w:val="00FD27BE"/>
    <w:rsid w:val="00FD3762"/>
    <w:rsid w:val="00FD38C2"/>
    <w:rsid w:val="00FD4C08"/>
    <w:rsid w:val="00FD4FF4"/>
    <w:rsid w:val="00FD505F"/>
    <w:rsid w:val="00FD540B"/>
    <w:rsid w:val="00FD567B"/>
    <w:rsid w:val="00FD586A"/>
    <w:rsid w:val="00FD6378"/>
    <w:rsid w:val="00FE06A5"/>
    <w:rsid w:val="00FE0C46"/>
    <w:rsid w:val="00FE4CC4"/>
    <w:rsid w:val="00FE6B2D"/>
    <w:rsid w:val="00FE7F7C"/>
    <w:rsid w:val="00FF106B"/>
    <w:rsid w:val="00FF22AF"/>
    <w:rsid w:val="00FF2A11"/>
    <w:rsid w:val="00FF4330"/>
    <w:rsid w:val="00FF46BE"/>
    <w:rsid w:val="00FF6275"/>
    <w:rsid w:val="00FF74CB"/>
    <w:rsid w:val="00FF7587"/>
    <w:rsid w:val="01C34DA1"/>
    <w:rsid w:val="01F47ED3"/>
    <w:rsid w:val="020E49E8"/>
    <w:rsid w:val="02D0721C"/>
    <w:rsid w:val="031A7816"/>
    <w:rsid w:val="03752FED"/>
    <w:rsid w:val="053A2B78"/>
    <w:rsid w:val="054E1D75"/>
    <w:rsid w:val="07BE7AF8"/>
    <w:rsid w:val="08D624CF"/>
    <w:rsid w:val="091747CA"/>
    <w:rsid w:val="0950239F"/>
    <w:rsid w:val="095A3BF8"/>
    <w:rsid w:val="0A60541B"/>
    <w:rsid w:val="0B1D1A1E"/>
    <w:rsid w:val="0DCF3422"/>
    <w:rsid w:val="0E70265E"/>
    <w:rsid w:val="0EE36FBB"/>
    <w:rsid w:val="1043552F"/>
    <w:rsid w:val="11655116"/>
    <w:rsid w:val="11784B15"/>
    <w:rsid w:val="13E25931"/>
    <w:rsid w:val="14911BE4"/>
    <w:rsid w:val="14D709E3"/>
    <w:rsid w:val="15B035A4"/>
    <w:rsid w:val="1642507E"/>
    <w:rsid w:val="169A3EDE"/>
    <w:rsid w:val="16E6314C"/>
    <w:rsid w:val="181F5466"/>
    <w:rsid w:val="18EE21DA"/>
    <w:rsid w:val="19B60EE9"/>
    <w:rsid w:val="1A7840BB"/>
    <w:rsid w:val="1B3E123B"/>
    <w:rsid w:val="1B594B80"/>
    <w:rsid w:val="1BC34FB1"/>
    <w:rsid w:val="1C8C4075"/>
    <w:rsid w:val="1CD263EC"/>
    <w:rsid w:val="1D3B0E09"/>
    <w:rsid w:val="1F692024"/>
    <w:rsid w:val="1FA42791"/>
    <w:rsid w:val="2005400F"/>
    <w:rsid w:val="20640D4B"/>
    <w:rsid w:val="214E3B02"/>
    <w:rsid w:val="216719FE"/>
    <w:rsid w:val="21993467"/>
    <w:rsid w:val="230E78C5"/>
    <w:rsid w:val="2336423C"/>
    <w:rsid w:val="243B39E7"/>
    <w:rsid w:val="246668E5"/>
    <w:rsid w:val="24D33F03"/>
    <w:rsid w:val="25431B3C"/>
    <w:rsid w:val="258B4B71"/>
    <w:rsid w:val="259C7F06"/>
    <w:rsid w:val="25F35D03"/>
    <w:rsid w:val="261F286B"/>
    <w:rsid w:val="274B77BF"/>
    <w:rsid w:val="2A374561"/>
    <w:rsid w:val="2B250653"/>
    <w:rsid w:val="2BC977C0"/>
    <w:rsid w:val="2CB928D8"/>
    <w:rsid w:val="2D626C3E"/>
    <w:rsid w:val="2F257280"/>
    <w:rsid w:val="32FC5988"/>
    <w:rsid w:val="36200CAA"/>
    <w:rsid w:val="36994233"/>
    <w:rsid w:val="37592CC2"/>
    <w:rsid w:val="38883C0B"/>
    <w:rsid w:val="3955252A"/>
    <w:rsid w:val="39F1058C"/>
    <w:rsid w:val="3BC768BF"/>
    <w:rsid w:val="3C0E66F7"/>
    <w:rsid w:val="3C72041F"/>
    <w:rsid w:val="3CB334BB"/>
    <w:rsid w:val="3CBA3E9A"/>
    <w:rsid w:val="3D795DC9"/>
    <w:rsid w:val="3DF90817"/>
    <w:rsid w:val="3E8D791E"/>
    <w:rsid w:val="3F531994"/>
    <w:rsid w:val="3F995E8F"/>
    <w:rsid w:val="3FBA7DAF"/>
    <w:rsid w:val="40164D0E"/>
    <w:rsid w:val="40F64DB0"/>
    <w:rsid w:val="41923866"/>
    <w:rsid w:val="42F70A46"/>
    <w:rsid w:val="431661EB"/>
    <w:rsid w:val="43846B10"/>
    <w:rsid w:val="447C528C"/>
    <w:rsid w:val="44AD63E9"/>
    <w:rsid w:val="45355156"/>
    <w:rsid w:val="45610DC1"/>
    <w:rsid w:val="459D593E"/>
    <w:rsid w:val="46E45ABF"/>
    <w:rsid w:val="47150728"/>
    <w:rsid w:val="474976D9"/>
    <w:rsid w:val="48385242"/>
    <w:rsid w:val="486134F5"/>
    <w:rsid w:val="4A4C0CA0"/>
    <w:rsid w:val="4BE25407"/>
    <w:rsid w:val="4BE66785"/>
    <w:rsid w:val="4C523EBC"/>
    <w:rsid w:val="4E9B7322"/>
    <w:rsid w:val="4EB77251"/>
    <w:rsid w:val="4F2A09EE"/>
    <w:rsid w:val="4F8D1DDB"/>
    <w:rsid w:val="4FA22128"/>
    <w:rsid w:val="503C11E0"/>
    <w:rsid w:val="51045568"/>
    <w:rsid w:val="51480C8C"/>
    <w:rsid w:val="51547A40"/>
    <w:rsid w:val="52733EC8"/>
    <w:rsid w:val="52942DFB"/>
    <w:rsid w:val="53964D5A"/>
    <w:rsid w:val="53D578E8"/>
    <w:rsid w:val="54C331A7"/>
    <w:rsid w:val="5507572F"/>
    <w:rsid w:val="55847FE7"/>
    <w:rsid w:val="55C71477"/>
    <w:rsid w:val="56067385"/>
    <w:rsid w:val="57B8364E"/>
    <w:rsid w:val="587D050C"/>
    <w:rsid w:val="587D0513"/>
    <w:rsid w:val="58A942AF"/>
    <w:rsid w:val="5930388B"/>
    <w:rsid w:val="59CE4966"/>
    <w:rsid w:val="5C386204"/>
    <w:rsid w:val="5CE1155A"/>
    <w:rsid w:val="5CFB6F29"/>
    <w:rsid w:val="5D2519B0"/>
    <w:rsid w:val="5DB86B4C"/>
    <w:rsid w:val="5F154352"/>
    <w:rsid w:val="5F2B3E04"/>
    <w:rsid w:val="600E477C"/>
    <w:rsid w:val="60BD3C59"/>
    <w:rsid w:val="61B34FA6"/>
    <w:rsid w:val="61E87A07"/>
    <w:rsid w:val="635051A2"/>
    <w:rsid w:val="642F2E71"/>
    <w:rsid w:val="64B67287"/>
    <w:rsid w:val="65622F6B"/>
    <w:rsid w:val="657F07B9"/>
    <w:rsid w:val="662E345F"/>
    <w:rsid w:val="66AD68DD"/>
    <w:rsid w:val="66FB16D6"/>
    <w:rsid w:val="675165A0"/>
    <w:rsid w:val="68DE343C"/>
    <w:rsid w:val="69161C13"/>
    <w:rsid w:val="691E53FA"/>
    <w:rsid w:val="69DC448D"/>
    <w:rsid w:val="6A5A4916"/>
    <w:rsid w:val="6AB53800"/>
    <w:rsid w:val="6AB6634D"/>
    <w:rsid w:val="6B3E6D43"/>
    <w:rsid w:val="6BC91921"/>
    <w:rsid w:val="6C161C8F"/>
    <w:rsid w:val="6C5E14BF"/>
    <w:rsid w:val="6CB2557D"/>
    <w:rsid w:val="6D5B140F"/>
    <w:rsid w:val="6E387C87"/>
    <w:rsid w:val="6F0E7E9B"/>
    <w:rsid w:val="6FD635E5"/>
    <w:rsid w:val="71765265"/>
    <w:rsid w:val="71BC188D"/>
    <w:rsid w:val="72B31699"/>
    <w:rsid w:val="73651E74"/>
    <w:rsid w:val="73C80983"/>
    <w:rsid w:val="73C9276A"/>
    <w:rsid w:val="754E7067"/>
    <w:rsid w:val="757B3977"/>
    <w:rsid w:val="75C42265"/>
    <w:rsid w:val="75F43D5B"/>
    <w:rsid w:val="76634D94"/>
    <w:rsid w:val="76BD44A5"/>
    <w:rsid w:val="783C72B9"/>
    <w:rsid w:val="78A00402"/>
    <w:rsid w:val="78E026CC"/>
    <w:rsid w:val="795D746A"/>
    <w:rsid w:val="79DA536E"/>
    <w:rsid w:val="7A6D710C"/>
    <w:rsid w:val="7ACC7EAD"/>
    <w:rsid w:val="7B282AAC"/>
    <w:rsid w:val="7B897F9A"/>
    <w:rsid w:val="7BEF00A2"/>
    <w:rsid w:val="7C604707"/>
    <w:rsid w:val="7CE44C56"/>
    <w:rsid w:val="7D2B7614"/>
    <w:rsid w:val="7D6258EC"/>
    <w:rsid w:val="7D8F646F"/>
    <w:rsid w:val="7D940258"/>
    <w:rsid w:val="7E70004F"/>
    <w:rsid w:val="7E8D0C00"/>
    <w:rsid w:val="7F70369B"/>
    <w:rsid w:val="7FEE22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ocked="1"/>
    <w:lsdException w:qFormat="1" w:unhideWhenUsed="0" w:uiPriority="0" w:semiHidden="0" w:name="heading 5" w:locked="1"/>
    <w:lsdException w:qFormat="1" w:unhideWhenUsed="0" w:uiPriority="0" w:semiHidden="0" w:name="heading 6" w:locked="1"/>
    <w:lsdException w:qFormat="1" w:unhideWhenUsed="0" w:uiPriority="0" w:semiHidden="0" w:name="heading 7" w:locked="1"/>
    <w:lsdException w:qFormat="1" w:unhideWhenUsed="0" w:uiPriority="0" w:semiHidden="0" w:name="heading 8" w:locked="1"/>
    <w:lsdException w:qFormat="1" w:unhideWhenUsed="0" w:uiPriority="0" w:semiHidden="0" w:name="heading 9" w:locked="1"/>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0" w:semiHidden="0"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nhideWhenUsed="0" w:uiPriority="0" w:semiHidden="0" w:name="List Number" w:locked="1"/>
    <w:lsdException w:uiPriority="99" w:name="List 2"/>
    <w:lsdException w:uiPriority="99" w:name="List 3"/>
    <w:lsdException w:uiPriority="0" w:name="List 4" w:locked="1"/>
    <w:lsdException w:uiPriority="0" w:name="List 5" w:locked="1"/>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0" w:name="Salutation" w:locked="1"/>
    <w:lsdException w:qFormat="1" w:unhideWhenUsed="0" w:uiPriority="0" w:semiHidden="0" w:name="Date" w:locked="1"/>
    <w:lsdException w:qFormat="1" w:unhideWhenUsed="0" w:uiPriority="0" w:semiHidden="0" w:name="Body Text First Indent" w:locked="1"/>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ocked="1"/>
    <w:lsdException w:qFormat="1" w:unhideWhenUsed="0" w:uiPriority="0" w:semiHidden="0" w:name="Emphasis" w:locked="1"/>
    <w:lsdException w:qFormat="1"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3"/>
    <w:qFormat/>
    <w:uiPriority w:val="9"/>
    <w:pPr>
      <w:keepNext/>
      <w:keepLines/>
      <w:spacing w:before="340" w:after="330" w:line="578" w:lineRule="auto"/>
      <w:outlineLvl w:val="0"/>
    </w:pPr>
    <w:rPr>
      <w:rFonts w:ascii="Calibri" w:hAnsi="Calibri"/>
      <w:b/>
      <w:bCs/>
      <w:kern w:val="44"/>
      <w:sz w:val="44"/>
      <w:szCs w:val="44"/>
    </w:rPr>
  </w:style>
  <w:style w:type="paragraph" w:styleId="3">
    <w:name w:val="heading 2"/>
    <w:basedOn w:val="1"/>
    <w:next w:val="1"/>
    <w:link w:val="54"/>
    <w:qFormat/>
    <w:uiPriority w:val="9"/>
    <w:pPr>
      <w:keepNext/>
      <w:keepLines/>
      <w:spacing w:before="260" w:after="260" w:line="416" w:lineRule="auto"/>
      <w:outlineLvl w:val="1"/>
    </w:pPr>
    <w:rPr>
      <w:rFonts w:ascii="Cambria" w:hAnsi="Cambria"/>
      <w:b/>
      <w:bCs/>
      <w:kern w:val="0"/>
      <w:sz w:val="32"/>
      <w:szCs w:val="32"/>
    </w:rPr>
  </w:style>
  <w:style w:type="paragraph" w:styleId="4">
    <w:name w:val="heading 3"/>
    <w:basedOn w:val="1"/>
    <w:next w:val="1"/>
    <w:link w:val="55"/>
    <w:qFormat/>
    <w:uiPriority w:val="9"/>
    <w:pPr>
      <w:keepNext/>
      <w:keepLines/>
      <w:spacing w:before="260" w:after="260" w:line="416" w:lineRule="auto"/>
      <w:outlineLvl w:val="2"/>
    </w:pPr>
    <w:rPr>
      <w:rFonts w:ascii="Calibri" w:hAnsi="Calibri"/>
      <w:b/>
      <w:bCs/>
      <w:kern w:val="0"/>
      <w:sz w:val="32"/>
      <w:szCs w:val="32"/>
    </w:rPr>
  </w:style>
  <w:style w:type="paragraph" w:styleId="5">
    <w:name w:val="heading 4"/>
    <w:basedOn w:val="1"/>
    <w:next w:val="1"/>
    <w:link w:val="56"/>
    <w:qFormat/>
    <w:locked/>
    <w:uiPriority w:val="0"/>
    <w:pPr>
      <w:keepNext/>
      <w:keepLines/>
      <w:spacing w:before="280" w:after="290" w:line="376" w:lineRule="auto"/>
      <w:ind w:firstLine="0" w:firstLineChars="0"/>
      <w:outlineLvl w:val="3"/>
    </w:pPr>
    <w:rPr>
      <w:rFonts w:ascii="Cambria" w:hAnsi="Cambria"/>
      <w:b/>
      <w:bCs/>
      <w:sz w:val="28"/>
      <w:szCs w:val="28"/>
    </w:rPr>
  </w:style>
  <w:style w:type="paragraph" w:styleId="6">
    <w:name w:val="heading 5"/>
    <w:basedOn w:val="1"/>
    <w:next w:val="1"/>
    <w:link w:val="57"/>
    <w:qFormat/>
    <w:locked/>
    <w:uiPriority w:val="0"/>
    <w:pPr>
      <w:keepNext/>
      <w:keepLines/>
      <w:tabs>
        <w:tab w:val="left" w:pos="432"/>
        <w:tab w:val="left" w:pos="1008"/>
      </w:tabs>
      <w:ind w:left="1008" w:right="210" w:hanging="1008" w:firstLineChars="0"/>
      <w:outlineLvl w:val="4"/>
    </w:pPr>
    <w:rPr>
      <w:b/>
      <w:bCs/>
      <w:kern w:val="44"/>
      <w:sz w:val="28"/>
      <w:szCs w:val="28"/>
    </w:rPr>
  </w:style>
  <w:style w:type="paragraph" w:styleId="7">
    <w:name w:val="heading 6"/>
    <w:basedOn w:val="1"/>
    <w:next w:val="1"/>
    <w:link w:val="58"/>
    <w:qFormat/>
    <w:locked/>
    <w:uiPriority w:val="0"/>
    <w:pPr>
      <w:keepNext/>
      <w:keepLines/>
      <w:tabs>
        <w:tab w:val="left" w:pos="432"/>
        <w:tab w:val="left" w:pos="1151"/>
      </w:tabs>
      <w:spacing w:before="240" w:after="64" w:line="320" w:lineRule="auto"/>
      <w:ind w:left="1151" w:hanging="1151" w:firstLineChars="0"/>
      <w:outlineLvl w:val="5"/>
    </w:pPr>
    <w:rPr>
      <w:rFonts w:ascii="Arial" w:hAnsi="Arial" w:eastAsia="黑体"/>
      <w:b/>
      <w:bCs/>
      <w:sz w:val="24"/>
    </w:rPr>
  </w:style>
  <w:style w:type="paragraph" w:styleId="8">
    <w:name w:val="heading 7"/>
    <w:basedOn w:val="1"/>
    <w:next w:val="1"/>
    <w:link w:val="59"/>
    <w:qFormat/>
    <w:locked/>
    <w:uiPriority w:val="0"/>
    <w:pPr>
      <w:tabs>
        <w:tab w:val="left" w:pos="432"/>
        <w:tab w:val="left" w:pos="1296"/>
      </w:tabs>
      <w:adjustRightInd w:val="0"/>
      <w:spacing w:line="288" w:lineRule="auto"/>
      <w:ind w:left="1296" w:hanging="1296" w:firstLineChars="0"/>
      <w:textAlignment w:val="baseline"/>
      <w:outlineLvl w:val="6"/>
    </w:pPr>
    <w:rPr>
      <w:kern w:val="0"/>
      <w:sz w:val="24"/>
      <w:szCs w:val="20"/>
    </w:rPr>
  </w:style>
  <w:style w:type="paragraph" w:styleId="9">
    <w:name w:val="heading 8"/>
    <w:basedOn w:val="1"/>
    <w:next w:val="1"/>
    <w:link w:val="60"/>
    <w:qFormat/>
    <w:locked/>
    <w:uiPriority w:val="0"/>
    <w:pPr>
      <w:keepNext/>
      <w:keepLines/>
      <w:tabs>
        <w:tab w:val="left" w:pos="432"/>
        <w:tab w:val="left" w:pos="1440"/>
      </w:tabs>
      <w:adjustRightInd w:val="0"/>
      <w:spacing w:before="240" w:after="64" w:line="320" w:lineRule="atLeast"/>
      <w:ind w:left="1440" w:hanging="1440" w:firstLineChars="0"/>
      <w:textAlignment w:val="baseline"/>
      <w:outlineLvl w:val="7"/>
    </w:pPr>
    <w:rPr>
      <w:rFonts w:ascii="Arial" w:hAnsi="Arial"/>
      <w:kern w:val="0"/>
      <w:sz w:val="24"/>
      <w:szCs w:val="20"/>
    </w:rPr>
  </w:style>
  <w:style w:type="paragraph" w:styleId="10">
    <w:name w:val="heading 9"/>
    <w:basedOn w:val="1"/>
    <w:next w:val="1"/>
    <w:link w:val="61"/>
    <w:qFormat/>
    <w:locked/>
    <w:uiPriority w:val="0"/>
    <w:pPr>
      <w:keepNext/>
      <w:keepLines/>
      <w:tabs>
        <w:tab w:val="left" w:pos="432"/>
        <w:tab w:val="left" w:pos="1584"/>
      </w:tabs>
      <w:adjustRightInd w:val="0"/>
      <w:spacing w:before="240" w:after="64" w:line="320" w:lineRule="atLeast"/>
      <w:ind w:left="1583" w:hanging="1583" w:firstLineChars="0"/>
      <w:textAlignment w:val="baseline"/>
      <w:outlineLvl w:val="8"/>
    </w:pPr>
    <w:rPr>
      <w:rFonts w:ascii="Arial" w:hAnsi="Arial" w:eastAsia="黑体"/>
      <w:kern w:val="0"/>
      <w:sz w:val="24"/>
      <w:szCs w:val="20"/>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line="240" w:lineRule="auto"/>
      <w:ind w:left="2520" w:leftChars="1200" w:firstLine="0" w:firstLineChars="0"/>
    </w:pPr>
    <w:rPr>
      <w:rFonts w:ascii="等线" w:hAnsi="等线" w:eastAsia="等线"/>
      <w:szCs w:val="22"/>
    </w:rPr>
  </w:style>
  <w:style w:type="paragraph" w:styleId="12">
    <w:name w:val="Note Heading"/>
    <w:basedOn w:val="1"/>
    <w:next w:val="1"/>
    <w:link w:val="62"/>
    <w:qFormat/>
    <w:uiPriority w:val="0"/>
    <w:pPr>
      <w:jc w:val="center"/>
    </w:pPr>
    <w:rPr>
      <w:kern w:val="0"/>
      <w:sz w:val="20"/>
    </w:rPr>
  </w:style>
  <w:style w:type="paragraph" w:styleId="13">
    <w:name w:val="Normal Indent"/>
    <w:basedOn w:val="1"/>
    <w:link w:val="63"/>
    <w:qFormat/>
    <w:uiPriority w:val="0"/>
    <w:pPr>
      <w:adjustRightInd w:val="0"/>
      <w:spacing w:line="312" w:lineRule="atLeast"/>
      <w:ind w:firstLine="420"/>
      <w:textAlignment w:val="baseline"/>
    </w:pPr>
    <w:rPr>
      <w:kern w:val="0"/>
      <w:sz w:val="20"/>
      <w:szCs w:val="20"/>
    </w:rPr>
  </w:style>
  <w:style w:type="paragraph" w:styleId="14">
    <w:name w:val="Document Map"/>
    <w:basedOn w:val="1"/>
    <w:link w:val="64"/>
    <w:unhideWhenUsed/>
    <w:qFormat/>
    <w:uiPriority w:val="99"/>
    <w:rPr>
      <w:rFonts w:ascii="宋体" w:hAnsi="Calibri"/>
      <w:sz w:val="18"/>
      <w:szCs w:val="18"/>
    </w:rPr>
  </w:style>
  <w:style w:type="paragraph" w:styleId="15">
    <w:name w:val="annotation text"/>
    <w:basedOn w:val="1"/>
    <w:link w:val="65"/>
    <w:qFormat/>
    <w:uiPriority w:val="0"/>
    <w:pPr>
      <w:jc w:val="left"/>
    </w:pPr>
    <w:rPr>
      <w:rFonts w:ascii="Calibri" w:hAnsi="Calibri"/>
      <w:kern w:val="0"/>
      <w:sz w:val="28"/>
    </w:rPr>
  </w:style>
  <w:style w:type="paragraph" w:styleId="16">
    <w:name w:val="Body Text 3"/>
    <w:basedOn w:val="1"/>
    <w:link w:val="66"/>
    <w:qFormat/>
    <w:uiPriority w:val="0"/>
    <w:pPr>
      <w:ind w:left="400" w:leftChars="400"/>
    </w:pPr>
    <w:rPr>
      <w:kern w:val="0"/>
      <w:sz w:val="24"/>
      <w:szCs w:val="16"/>
    </w:rPr>
  </w:style>
  <w:style w:type="paragraph" w:styleId="17">
    <w:name w:val="Body Text"/>
    <w:basedOn w:val="1"/>
    <w:link w:val="67"/>
    <w:unhideWhenUsed/>
    <w:qFormat/>
    <w:uiPriority w:val="0"/>
    <w:pPr>
      <w:spacing w:after="120"/>
    </w:pPr>
  </w:style>
  <w:style w:type="paragraph" w:styleId="18">
    <w:name w:val="Body Text Indent"/>
    <w:basedOn w:val="1"/>
    <w:link w:val="68"/>
    <w:qFormat/>
    <w:uiPriority w:val="0"/>
    <w:pPr>
      <w:spacing w:after="120"/>
      <w:ind w:left="420" w:leftChars="200"/>
    </w:pPr>
  </w:style>
  <w:style w:type="paragraph" w:styleId="19">
    <w:name w:val="index 4"/>
    <w:basedOn w:val="1"/>
    <w:next w:val="1"/>
    <w:unhideWhenUsed/>
    <w:qFormat/>
    <w:uiPriority w:val="99"/>
    <w:pPr>
      <w:spacing w:line="240" w:lineRule="auto"/>
      <w:ind w:left="600" w:leftChars="600" w:firstLine="0" w:firstLineChars="0"/>
    </w:pPr>
  </w:style>
  <w:style w:type="paragraph" w:styleId="20">
    <w:name w:val="toc 5"/>
    <w:basedOn w:val="1"/>
    <w:next w:val="1"/>
    <w:unhideWhenUsed/>
    <w:qFormat/>
    <w:uiPriority w:val="39"/>
    <w:pPr>
      <w:spacing w:line="240" w:lineRule="auto"/>
      <w:ind w:left="1680" w:leftChars="800" w:firstLine="0" w:firstLineChars="0"/>
    </w:pPr>
    <w:rPr>
      <w:rFonts w:ascii="等线" w:hAnsi="等线" w:eastAsia="等线"/>
      <w:szCs w:val="22"/>
    </w:rPr>
  </w:style>
  <w:style w:type="paragraph" w:styleId="21">
    <w:name w:val="toc 3"/>
    <w:basedOn w:val="1"/>
    <w:next w:val="1"/>
    <w:qFormat/>
    <w:uiPriority w:val="39"/>
    <w:pPr>
      <w:ind w:left="840" w:leftChars="400"/>
    </w:pPr>
  </w:style>
  <w:style w:type="paragraph" w:styleId="22">
    <w:name w:val="Plain Text"/>
    <w:basedOn w:val="1"/>
    <w:link w:val="69"/>
    <w:qFormat/>
    <w:uiPriority w:val="99"/>
    <w:rPr>
      <w:rFonts w:ascii="宋体" w:hAnsi="Courier New"/>
      <w:kern w:val="0"/>
      <w:sz w:val="20"/>
      <w:szCs w:val="21"/>
    </w:rPr>
  </w:style>
  <w:style w:type="paragraph" w:styleId="23">
    <w:name w:val="toc 8"/>
    <w:basedOn w:val="1"/>
    <w:next w:val="1"/>
    <w:unhideWhenUsed/>
    <w:qFormat/>
    <w:uiPriority w:val="39"/>
    <w:pPr>
      <w:spacing w:line="240" w:lineRule="auto"/>
      <w:ind w:left="2940" w:leftChars="1400" w:firstLine="0" w:firstLineChars="0"/>
    </w:pPr>
    <w:rPr>
      <w:rFonts w:ascii="等线" w:hAnsi="等线" w:eastAsia="等线"/>
      <w:szCs w:val="22"/>
    </w:rPr>
  </w:style>
  <w:style w:type="paragraph" w:styleId="24">
    <w:name w:val="Date"/>
    <w:basedOn w:val="1"/>
    <w:next w:val="1"/>
    <w:link w:val="70"/>
    <w:qFormat/>
    <w:locked/>
    <w:uiPriority w:val="0"/>
    <w:pPr>
      <w:spacing w:line="240" w:lineRule="auto"/>
      <w:ind w:left="100" w:leftChars="2500" w:firstLine="0" w:firstLineChars="0"/>
    </w:pPr>
    <w:rPr>
      <w:rFonts w:ascii="幼圆" w:eastAsia="幼圆"/>
      <w:sz w:val="24"/>
    </w:rPr>
  </w:style>
  <w:style w:type="paragraph" w:styleId="25">
    <w:name w:val="Body Text Indent 2"/>
    <w:basedOn w:val="1"/>
    <w:link w:val="71"/>
    <w:qFormat/>
    <w:uiPriority w:val="99"/>
    <w:pPr>
      <w:spacing w:after="120" w:line="480" w:lineRule="auto"/>
      <w:ind w:left="420" w:leftChars="200"/>
    </w:pPr>
    <w:rPr>
      <w:rFonts w:ascii="Calibri" w:hAnsi="Calibri"/>
      <w:kern w:val="0"/>
      <w:sz w:val="28"/>
    </w:rPr>
  </w:style>
  <w:style w:type="paragraph" w:styleId="26">
    <w:name w:val="Balloon Text"/>
    <w:basedOn w:val="1"/>
    <w:link w:val="72"/>
    <w:qFormat/>
    <w:uiPriority w:val="99"/>
    <w:rPr>
      <w:rFonts w:ascii="Calibri" w:hAnsi="Calibri"/>
      <w:sz w:val="18"/>
      <w:szCs w:val="18"/>
    </w:rPr>
  </w:style>
  <w:style w:type="paragraph" w:styleId="27">
    <w:name w:val="footer"/>
    <w:basedOn w:val="1"/>
    <w:link w:val="73"/>
    <w:qFormat/>
    <w:uiPriority w:val="0"/>
    <w:pPr>
      <w:tabs>
        <w:tab w:val="center" w:pos="4153"/>
        <w:tab w:val="right" w:pos="8306"/>
      </w:tabs>
      <w:snapToGrid w:val="0"/>
      <w:jc w:val="left"/>
    </w:pPr>
    <w:rPr>
      <w:rFonts w:ascii="Calibri" w:hAnsi="Calibri"/>
      <w:kern w:val="0"/>
      <w:sz w:val="18"/>
      <w:szCs w:val="18"/>
    </w:rPr>
  </w:style>
  <w:style w:type="paragraph" w:styleId="28">
    <w:name w:val="header"/>
    <w:basedOn w:val="1"/>
    <w:link w:val="74"/>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29">
    <w:name w:val="toc 1"/>
    <w:basedOn w:val="1"/>
    <w:next w:val="1"/>
    <w:qFormat/>
    <w:uiPriority w:val="39"/>
    <w:pPr>
      <w:spacing w:before="120" w:after="120"/>
      <w:ind w:left="100" w:leftChars="100" w:right="100" w:rightChars="100"/>
      <w:jc w:val="left"/>
    </w:pPr>
  </w:style>
  <w:style w:type="paragraph" w:styleId="30">
    <w:name w:val="toc 4"/>
    <w:basedOn w:val="1"/>
    <w:next w:val="1"/>
    <w:unhideWhenUsed/>
    <w:qFormat/>
    <w:uiPriority w:val="39"/>
    <w:pPr>
      <w:spacing w:line="240" w:lineRule="auto"/>
      <w:ind w:left="1260" w:leftChars="600" w:firstLine="0" w:firstLineChars="0"/>
    </w:pPr>
    <w:rPr>
      <w:rFonts w:ascii="等线" w:hAnsi="等线" w:eastAsia="等线"/>
      <w:szCs w:val="22"/>
    </w:rPr>
  </w:style>
  <w:style w:type="paragraph" w:styleId="31">
    <w:name w:val="Subtitle"/>
    <w:basedOn w:val="1"/>
    <w:link w:val="75"/>
    <w:qFormat/>
    <w:locked/>
    <w:uiPriority w:val="0"/>
    <w:pPr>
      <w:widowControl/>
      <w:overflowPunct w:val="0"/>
      <w:autoSpaceDE w:val="0"/>
      <w:autoSpaceDN w:val="0"/>
      <w:adjustRightInd w:val="0"/>
      <w:spacing w:after="60" w:line="240" w:lineRule="auto"/>
      <w:ind w:firstLine="0" w:firstLineChars="0"/>
      <w:jc w:val="right"/>
      <w:textAlignment w:val="baseline"/>
    </w:pPr>
    <w:rPr>
      <w:rFonts w:ascii="Arial" w:hAnsi="Arial"/>
      <w:i/>
      <w:kern w:val="0"/>
      <w:sz w:val="24"/>
      <w:lang w:eastAsia="en-US"/>
    </w:rPr>
  </w:style>
  <w:style w:type="paragraph" w:styleId="32">
    <w:name w:val="List"/>
    <w:basedOn w:val="1"/>
    <w:qFormat/>
    <w:uiPriority w:val="0"/>
    <w:pPr>
      <w:tabs>
        <w:tab w:val="left" w:pos="770"/>
      </w:tabs>
      <w:ind w:left="200" w:hanging="200" w:hangingChars="200"/>
    </w:pPr>
    <w:rPr>
      <w:sz w:val="24"/>
    </w:rPr>
  </w:style>
  <w:style w:type="paragraph" w:styleId="33">
    <w:name w:val="footnote text"/>
    <w:basedOn w:val="1"/>
    <w:link w:val="76"/>
    <w:qFormat/>
    <w:uiPriority w:val="0"/>
    <w:pPr>
      <w:adjustRightInd w:val="0"/>
      <w:snapToGrid w:val="0"/>
      <w:spacing w:line="420" w:lineRule="atLeast"/>
      <w:ind w:firstLine="454" w:firstLineChars="0"/>
      <w:jc w:val="left"/>
      <w:textAlignment w:val="baseline"/>
    </w:pPr>
    <w:rPr>
      <w:kern w:val="0"/>
      <w:sz w:val="18"/>
      <w:szCs w:val="20"/>
    </w:rPr>
  </w:style>
  <w:style w:type="paragraph" w:styleId="34">
    <w:name w:val="toc 6"/>
    <w:basedOn w:val="1"/>
    <w:next w:val="1"/>
    <w:unhideWhenUsed/>
    <w:qFormat/>
    <w:uiPriority w:val="39"/>
    <w:pPr>
      <w:spacing w:line="240" w:lineRule="auto"/>
      <w:ind w:left="2100" w:leftChars="1000" w:firstLine="0" w:firstLineChars="0"/>
    </w:pPr>
    <w:rPr>
      <w:rFonts w:ascii="等线" w:hAnsi="等线" w:eastAsia="等线"/>
      <w:szCs w:val="22"/>
    </w:rPr>
  </w:style>
  <w:style w:type="paragraph" w:styleId="35">
    <w:name w:val="Body Text Indent 3"/>
    <w:basedOn w:val="1"/>
    <w:link w:val="77"/>
    <w:qFormat/>
    <w:uiPriority w:val="99"/>
    <w:pPr>
      <w:spacing w:line="600" w:lineRule="exact"/>
      <w:ind w:firstLine="720" w:firstLineChars="225"/>
    </w:pPr>
    <w:rPr>
      <w:rFonts w:ascii="Calibri" w:hAnsi="Calibri"/>
      <w:kern w:val="0"/>
      <w:sz w:val="16"/>
      <w:szCs w:val="16"/>
    </w:rPr>
  </w:style>
  <w:style w:type="paragraph" w:styleId="36">
    <w:name w:val="toc 2"/>
    <w:basedOn w:val="1"/>
    <w:next w:val="1"/>
    <w:qFormat/>
    <w:uiPriority w:val="39"/>
    <w:pPr>
      <w:ind w:left="420" w:leftChars="200"/>
    </w:pPr>
  </w:style>
  <w:style w:type="paragraph" w:styleId="37">
    <w:name w:val="toc 9"/>
    <w:basedOn w:val="1"/>
    <w:next w:val="1"/>
    <w:unhideWhenUsed/>
    <w:qFormat/>
    <w:uiPriority w:val="39"/>
    <w:pPr>
      <w:spacing w:line="240" w:lineRule="auto"/>
      <w:ind w:left="3360" w:leftChars="1600" w:firstLine="0" w:firstLineChars="0"/>
    </w:pPr>
    <w:rPr>
      <w:rFonts w:ascii="等线" w:hAnsi="等线" w:eastAsia="等线"/>
      <w:szCs w:val="22"/>
    </w:rPr>
  </w:style>
  <w:style w:type="paragraph" w:styleId="38">
    <w:name w:val="Body Text 2"/>
    <w:basedOn w:val="1"/>
    <w:link w:val="78"/>
    <w:qFormat/>
    <w:uiPriority w:val="0"/>
    <w:pPr>
      <w:ind w:left="200" w:leftChars="200"/>
    </w:pPr>
    <w:rPr>
      <w:kern w:val="0"/>
      <w:sz w:val="24"/>
    </w:rPr>
  </w:style>
  <w:style w:type="paragraph" w:styleId="39">
    <w:name w:val="Normal (Web)"/>
    <w:basedOn w:val="1"/>
    <w:qFormat/>
    <w:uiPriority w:val="0"/>
    <w:pPr>
      <w:widowControl/>
      <w:spacing w:before="100" w:beforeAutospacing="1" w:after="100" w:afterAutospacing="1"/>
      <w:jc w:val="left"/>
    </w:pPr>
    <w:rPr>
      <w:rFonts w:ascii="宋体" w:hAnsi="宋体"/>
      <w:kern w:val="0"/>
      <w:sz w:val="24"/>
    </w:rPr>
  </w:style>
  <w:style w:type="paragraph" w:styleId="40">
    <w:name w:val="Title"/>
    <w:basedOn w:val="1"/>
    <w:link w:val="79"/>
    <w:qFormat/>
    <w:locked/>
    <w:uiPriority w:val="0"/>
    <w:pPr>
      <w:spacing w:before="240" w:after="60"/>
      <w:ind w:left="720" w:right="210" w:rightChars="100" w:hanging="720" w:firstLineChars="0"/>
      <w:jc w:val="center"/>
      <w:outlineLvl w:val="0"/>
    </w:pPr>
    <w:rPr>
      <w:rFonts w:ascii="Arial" w:hAnsi="Arial"/>
      <w:b/>
      <w:bCs/>
      <w:kern w:val="0"/>
      <w:sz w:val="44"/>
      <w:szCs w:val="32"/>
    </w:rPr>
  </w:style>
  <w:style w:type="paragraph" w:styleId="41">
    <w:name w:val="annotation subject"/>
    <w:basedOn w:val="15"/>
    <w:next w:val="15"/>
    <w:link w:val="80"/>
    <w:unhideWhenUsed/>
    <w:qFormat/>
    <w:uiPriority w:val="99"/>
    <w:rPr>
      <w:b/>
      <w:bCs/>
      <w:kern w:val="2"/>
    </w:rPr>
  </w:style>
  <w:style w:type="paragraph" w:styleId="42">
    <w:name w:val="Body Text First Indent"/>
    <w:basedOn w:val="17"/>
    <w:link w:val="81"/>
    <w:qFormat/>
    <w:locked/>
    <w:uiPriority w:val="0"/>
    <w:pPr>
      <w:spacing w:line="240" w:lineRule="auto"/>
      <w:ind w:firstLine="420" w:firstLineChars="100"/>
    </w:pPr>
    <w:rPr>
      <w:kern w:val="0"/>
      <w:sz w:val="20"/>
    </w:rPr>
  </w:style>
  <w:style w:type="paragraph" w:styleId="43">
    <w:name w:val="Body Text First Indent 2"/>
    <w:basedOn w:val="18"/>
    <w:link w:val="82"/>
    <w:qFormat/>
    <w:uiPriority w:val="0"/>
    <w:pPr>
      <w:spacing w:line="240" w:lineRule="auto"/>
      <w:ind w:firstLine="420"/>
    </w:pPr>
    <w:rPr>
      <w:rFonts w:ascii="幼圆" w:eastAsia="幼圆"/>
      <w:sz w:val="24"/>
    </w:rPr>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locked/>
    <w:uiPriority w:val="0"/>
    <w:rPr>
      <w:b/>
      <w:bCs/>
    </w:rPr>
  </w:style>
  <w:style w:type="character" w:styleId="48">
    <w:name w:val="page number"/>
    <w:qFormat/>
    <w:uiPriority w:val="0"/>
    <w:rPr>
      <w:rFonts w:cs="Times New Roman"/>
    </w:rPr>
  </w:style>
  <w:style w:type="character" w:styleId="49">
    <w:name w:val="FollowedHyperlink"/>
    <w:qFormat/>
    <w:uiPriority w:val="0"/>
    <w:rPr>
      <w:color w:val="800080"/>
      <w:u w:val="single"/>
    </w:rPr>
  </w:style>
  <w:style w:type="character" w:styleId="50">
    <w:name w:val="Hyperlink"/>
    <w:qFormat/>
    <w:uiPriority w:val="99"/>
    <w:rPr>
      <w:rFonts w:cs="Times New Roman"/>
      <w:color w:val="0000FF"/>
      <w:u w:val="single"/>
    </w:rPr>
  </w:style>
  <w:style w:type="character" w:styleId="51">
    <w:name w:val="annotation reference"/>
    <w:unhideWhenUsed/>
    <w:qFormat/>
    <w:uiPriority w:val="0"/>
    <w:rPr>
      <w:sz w:val="21"/>
      <w:szCs w:val="21"/>
    </w:rPr>
  </w:style>
  <w:style w:type="character" w:styleId="52">
    <w:name w:val="footnote reference"/>
    <w:qFormat/>
    <w:uiPriority w:val="0"/>
    <w:rPr>
      <w:vertAlign w:val="superscript"/>
    </w:rPr>
  </w:style>
  <w:style w:type="character" w:customStyle="1" w:styleId="53">
    <w:name w:val="标题 1 字符1"/>
    <w:link w:val="2"/>
    <w:qFormat/>
    <w:uiPriority w:val="9"/>
    <w:rPr>
      <w:rFonts w:ascii="Calibri" w:hAnsi="Calibri"/>
      <w:b/>
      <w:bCs/>
      <w:kern w:val="44"/>
      <w:sz w:val="44"/>
      <w:szCs w:val="44"/>
    </w:rPr>
  </w:style>
  <w:style w:type="character" w:customStyle="1" w:styleId="54">
    <w:name w:val="标题 2 字符1"/>
    <w:link w:val="3"/>
    <w:semiHidden/>
    <w:qFormat/>
    <w:uiPriority w:val="9"/>
    <w:rPr>
      <w:rFonts w:ascii="Cambria" w:hAnsi="Cambria" w:eastAsia="宋体" w:cs="Times New Roman"/>
      <w:b/>
      <w:bCs/>
      <w:sz w:val="32"/>
      <w:szCs w:val="32"/>
    </w:rPr>
  </w:style>
  <w:style w:type="character" w:customStyle="1" w:styleId="55">
    <w:name w:val="标题 3 字符1"/>
    <w:link w:val="4"/>
    <w:qFormat/>
    <w:uiPriority w:val="9"/>
    <w:rPr>
      <w:rFonts w:ascii="Calibri" w:hAnsi="Calibri"/>
      <w:b/>
      <w:bCs/>
      <w:sz w:val="32"/>
      <w:szCs w:val="32"/>
    </w:rPr>
  </w:style>
  <w:style w:type="character" w:customStyle="1" w:styleId="56">
    <w:name w:val="标题 4 字符"/>
    <w:link w:val="5"/>
    <w:qFormat/>
    <w:uiPriority w:val="0"/>
    <w:rPr>
      <w:rFonts w:ascii="Cambria" w:hAnsi="Cambria"/>
      <w:b/>
      <w:bCs/>
      <w:kern w:val="2"/>
      <w:sz w:val="28"/>
      <w:szCs w:val="28"/>
    </w:rPr>
  </w:style>
  <w:style w:type="character" w:customStyle="1" w:styleId="57">
    <w:name w:val="标题 5 字符"/>
    <w:link w:val="6"/>
    <w:qFormat/>
    <w:uiPriority w:val="0"/>
    <w:rPr>
      <w:b/>
      <w:bCs/>
      <w:kern w:val="44"/>
      <w:sz w:val="28"/>
      <w:szCs w:val="28"/>
    </w:rPr>
  </w:style>
  <w:style w:type="character" w:customStyle="1" w:styleId="58">
    <w:name w:val="标题 6 字符"/>
    <w:link w:val="7"/>
    <w:qFormat/>
    <w:uiPriority w:val="0"/>
    <w:rPr>
      <w:rFonts w:ascii="Arial" w:hAnsi="Arial" w:eastAsia="黑体"/>
      <w:b/>
      <w:bCs/>
      <w:kern w:val="2"/>
      <w:sz w:val="24"/>
      <w:szCs w:val="24"/>
    </w:rPr>
  </w:style>
  <w:style w:type="character" w:customStyle="1" w:styleId="59">
    <w:name w:val="标题 7 字符"/>
    <w:link w:val="8"/>
    <w:qFormat/>
    <w:uiPriority w:val="0"/>
    <w:rPr>
      <w:sz w:val="24"/>
    </w:rPr>
  </w:style>
  <w:style w:type="character" w:customStyle="1" w:styleId="60">
    <w:name w:val="标题 8 字符"/>
    <w:link w:val="9"/>
    <w:qFormat/>
    <w:uiPriority w:val="0"/>
    <w:rPr>
      <w:rFonts w:ascii="Arial" w:hAnsi="Arial"/>
      <w:sz w:val="24"/>
    </w:rPr>
  </w:style>
  <w:style w:type="character" w:customStyle="1" w:styleId="61">
    <w:name w:val="标题 9 字符"/>
    <w:link w:val="10"/>
    <w:qFormat/>
    <w:uiPriority w:val="0"/>
    <w:rPr>
      <w:rFonts w:ascii="Arial" w:hAnsi="Arial" w:eastAsia="黑体"/>
      <w:sz w:val="24"/>
    </w:rPr>
  </w:style>
  <w:style w:type="character" w:customStyle="1" w:styleId="62">
    <w:name w:val="注释标题 字符"/>
    <w:link w:val="12"/>
    <w:qFormat/>
    <w:uiPriority w:val="0"/>
    <w:rPr>
      <w:szCs w:val="24"/>
    </w:rPr>
  </w:style>
  <w:style w:type="character" w:customStyle="1" w:styleId="63">
    <w:name w:val="正文缩进 字符"/>
    <w:link w:val="13"/>
    <w:qFormat/>
    <w:locked/>
    <w:uiPriority w:val="0"/>
  </w:style>
  <w:style w:type="character" w:customStyle="1" w:styleId="64">
    <w:name w:val="文档结构图 字符1"/>
    <w:link w:val="14"/>
    <w:semiHidden/>
    <w:qFormat/>
    <w:uiPriority w:val="99"/>
    <w:rPr>
      <w:rFonts w:ascii="宋体" w:hAnsi="Calibri"/>
      <w:kern w:val="2"/>
      <w:sz w:val="18"/>
      <w:szCs w:val="18"/>
    </w:rPr>
  </w:style>
  <w:style w:type="character" w:customStyle="1" w:styleId="65">
    <w:name w:val="批注文字 字符1"/>
    <w:link w:val="15"/>
    <w:qFormat/>
    <w:uiPriority w:val="99"/>
    <w:rPr>
      <w:rFonts w:ascii="Calibri" w:hAnsi="Calibri"/>
      <w:sz w:val="28"/>
      <w:szCs w:val="24"/>
    </w:rPr>
  </w:style>
  <w:style w:type="character" w:customStyle="1" w:styleId="66">
    <w:name w:val="正文文本 3 字符"/>
    <w:link w:val="16"/>
    <w:qFormat/>
    <w:uiPriority w:val="0"/>
    <w:rPr>
      <w:sz w:val="24"/>
      <w:szCs w:val="16"/>
    </w:rPr>
  </w:style>
  <w:style w:type="character" w:customStyle="1" w:styleId="67">
    <w:name w:val="正文文本 字符"/>
    <w:link w:val="17"/>
    <w:qFormat/>
    <w:uiPriority w:val="0"/>
    <w:rPr>
      <w:kern w:val="2"/>
      <w:sz w:val="21"/>
      <w:szCs w:val="24"/>
    </w:rPr>
  </w:style>
  <w:style w:type="character" w:customStyle="1" w:styleId="68">
    <w:name w:val="正文文本缩进 字符"/>
    <w:link w:val="18"/>
    <w:qFormat/>
    <w:uiPriority w:val="0"/>
    <w:rPr>
      <w:kern w:val="2"/>
      <w:sz w:val="21"/>
      <w:szCs w:val="24"/>
    </w:rPr>
  </w:style>
  <w:style w:type="character" w:customStyle="1" w:styleId="69">
    <w:name w:val="纯文本 字符1"/>
    <w:link w:val="22"/>
    <w:qFormat/>
    <w:uiPriority w:val="99"/>
    <w:rPr>
      <w:rFonts w:ascii="宋体" w:hAnsi="Courier New" w:cs="Courier New"/>
      <w:szCs w:val="21"/>
    </w:rPr>
  </w:style>
  <w:style w:type="character" w:customStyle="1" w:styleId="70">
    <w:name w:val="日期 字符"/>
    <w:link w:val="24"/>
    <w:qFormat/>
    <w:uiPriority w:val="0"/>
    <w:rPr>
      <w:rFonts w:ascii="幼圆" w:eastAsia="幼圆"/>
      <w:kern w:val="2"/>
      <w:sz w:val="24"/>
      <w:szCs w:val="24"/>
    </w:rPr>
  </w:style>
  <w:style w:type="character" w:customStyle="1" w:styleId="71">
    <w:name w:val="正文文本缩进 2 字符1"/>
    <w:link w:val="25"/>
    <w:semiHidden/>
    <w:qFormat/>
    <w:uiPriority w:val="99"/>
    <w:rPr>
      <w:rFonts w:ascii="Calibri" w:hAnsi="Calibri"/>
      <w:sz w:val="28"/>
      <w:szCs w:val="24"/>
    </w:rPr>
  </w:style>
  <w:style w:type="character" w:customStyle="1" w:styleId="72">
    <w:name w:val="批注框文本 字符1"/>
    <w:link w:val="26"/>
    <w:qFormat/>
    <w:locked/>
    <w:uiPriority w:val="99"/>
    <w:rPr>
      <w:rFonts w:ascii="Calibri" w:hAnsi="Calibri" w:eastAsia="宋体" w:cs="Times New Roman"/>
      <w:kern w:val="2"/>
      <w:sz w:val="18"/>
      <w:szCs w:val="18"/>
    </w:rPr>
  </w:style>
  <w:style w:type="character" w:customStyle="1" w:styleId="73">
    <w:name w:val="页脚 字符2"/>
    <w:link w:val="27"/>
    <w:semiHidden/>
    <w:qFormat/>
    <w:uiPriority w:val="99"/>
    <w:rPr>
      <w:rFonts w:ascii="Calibri" w:hAnsi="Calibri"/>
      <w:sz w:val="18"/>
      <w:szCs w:val="18"/>
    </w:rPr>
  </w:style>
  <w:style w:type="character" w:customStyle="1" w:styleId="74">
    <w:name w:val="页眉 字符2"/>
    <w:link w:val="28"/>
    <w:semiHidden/>
    <w:qFormat/>
    <w:uiPriority w:val="99"/>
    <w:rPr>
      <w:rFonts w:ascii="Calibri" w:hAnsi="Calibri"/>
      <w:sz w:val="18"/>
      <w:szCs w:val="18"/>
    </w:rPr>
  </w:style>
  <w:style w:type="character" w:customStyle="1" w:styleId="75">
    <w:name w:val="副标题 字符"/>
    <w:link w:val="31"/>
    <w:qFormat/>
    <w:uiPriority w:val="0"/>
    <w:rPr>
      <w:rFonts w:ascii="Arial" w:hAnsi="Arial"/>
      <w:i/>
      <w:sz w:val="24"/>
      <w:szCs w:val="24"/>
      <w:lang w:eastAsia="en-US"/>
    </w:rPr>
  </w:style>
  <w:style w:type="character" w:customStyle="1" w:styleId="76">
    <w:name w:val="脚注文本 字符"/>
    <w:link w:val="33"/>
    <w:qFormat/>
    <w:uiPriority w:val="0"/>
    <w:rPr>
      <w:sz w:val="18"/>
    </w:rPr>
  </w:style>
  <w:style w:type="character" w:customStyle="1" w:styleId="77">
    <w:name w:val="正文文本缩进 3 字符1"/>
    <w:link w:val="35"/>
    <w:semiHidden/>
    <w:qFormat/>
    <w:uiPriority w:val="99"/>
    <w:rPr>
      <w:rFonts w:ascii="Calibri" w:hAnsi="Calibri"/>
      <w:sz w:val="16"/>
      <w:szCs w:val="16"/>
    </w:rPr>
  </w:style>
  <w:style w:type="character" w:customStyle="1" w:styleId="78">
    <w:name w:val="正文文本 2 字符"/>
    <w:link w:val="38"/>
    <w:qFormat/>
    <w:uiPriority w:val="0"/>
    <w:rPr>
      <w:sz w:val="24"/>
      <w:szCs w:val="24"/>
    </w:rPr>
  </w:style>
  <w:style w:type="character" w:customStyle="1" w:styleId="79">
    <w:name w:val="标题 字符1"/>
    <w:link w:val="40"/>
    <w:qFormat/>
    <w:uiPriority w:val="0"/>
    <w:rPr>
      <w:rFonts w:ascii="Arial" w:hAnsi="Arial"/>
      <w:b/>
      <w:bCs/>
      <w:sz w:val="44"/>
      <w:szCs w:val="32"/>
    </w:rPr>
  </w:style>
  <w:style w:type="character" w:customStyle="1" w:styleId="80">
    <w:name w:val="批注主题 字符1"/>
    <w:link w:val="41"/>
    <w:semiHidden/>
    <w:qFormat/>
    <w:uiPriority w:val="99"/>
    <w:rPr>
      <w:rFonts w:ascii="Calibri" w:hAnsi="Calibri"/>
      <w:b/>
      <w:bCs/>
      <w:kern w:val="2"/>
      <w:sz w:val="28"/>
      <w:szCs w:val="24"/>
    </w:rPr>
  </w:style>
  <w:style w:type="character" w:customStyle="1" w:styleId="81">
    <w:name w:val="正文首行缩进 字符"/>
    <w:link w:val="42"/>
    <w:qFormat/>
    <w:uiPriority w:val="0"/>
  </w:style>
  <w:style w:type="character" w:customStyle="1" w:styleId="82">
    <w:name w:val="正文首行缩进 2 字符"/>
    <w:link w:val="43"/>
    <w:qFormat/>
    <w:uiPriority w:val="0"/>
    <w:rPr>
      <w:rFonts w:ascii="幼圆" w:eastAsia="幼圆"/>
      <w:kern w:val="2"/>
      <w:sz w:val="24"/>
      <w:szCs w:val="24"/>
    </w:rPr>
  </w:style>
  <w:style w:type="character" w:customStyle="1" w:styleId="83">
    <w:name w:val="font41"/>
    <w:qFormat/>
    <w:uiPriority w:val="0"/>
    <w:rPr>
      <w:rFonts w:hint="eastAsia" w:ascii="宋体" w:hAnsi="宋体" w:eastAsia="宋体" w:cs="宋体"/>
      <w:color w:val="000000"/>
      <w:sz w:val="22"/>
      <w:szCs w:val="22"/>
      <w:u w:val="none"/>
    </w:rPr>
  </w:style>
  <w:style w:type="character" w:customStyle="1" w:styleId="84">
    <w:name w:val="font11"/>
    <w:qFormat/>
    <w:uiPriority w:val="0"/>
    <w:rPr>
      <w:rFonts w:hint="eastAsia" w:ascii="宋体" w:hAnsi="宋体" w:eastAsia="宋体" w:cs="宋体"/>
      <w:color w:val="000000"/>
      <w:sz w:val="24"/>
      <w:szCs w:val="24"/>
      <w:u w:val="none"/>
    </w:rPr>
  </w:style>
  <w:style w:type="character" w:customStyle="1" w:styleId="85">
    <w:name w:val="列出段落 字符"/>
    <w:qFormat/>
    <w:uiPriority w:val="34"/>
    <w:rPr>
      <w:rFonts w:ascii="Calibri" w:hAnsi="Calibri"/>
      <w:kern w:val="2"/>
      <w:sz w:val="21"/>
      <w:szCs w:val="22"/>
    </w:rPr>
  </w:style>
  <w:style w:type="character" w:customStyle="1" w:styleId="86">
    <w:name w:val="正文文本缩进 3 字符"/>
    <w:qFormat/>
    <w:locked/>
    <w:uiPriority w:val="0"/>
    <w:rPr>
      <w:rFonts w:ascii="宋体" w:hAnsi="宋体"/>
      <w:color w:val="000000"/>
      <w:sz w:val="24"/>
      <w:szCs w:val="24"/>
    </w:rPr>
  </w:style>
  <w:style w:type="character" w:customStyle="1" w:styleId="87">
    <w:name w:val="标题 3 Char"/>
    <w:qFormat/>
    <w:uiPriority w:val="9"/>
    <w:rPr>
      <w:b/>
      <w:bCs/>
      <w:kern w:val="2"/>
      <w:sz w:val="32"/>
      <w:szCs w:val="32"/>
    </w:rPr>
  </w:style>
  <w:style w:type="character" w:customStyle="1" w:styleId="88">
    <w:name w:val="批注文字 字符"/>
    <w:qFormat/>
    <w:uiPriority w:val="99"/>
    <w:rPr>
      <w:kern w:val="2"/>
      <w:sz w:val="21"/>
      <w:szCs w:val="24"/>
    </w:rPr>
  </w:style>
  <w:style w:type="character" w:customStyle="1" w:styleId="89">
    <w:name w:val="正文文本缩进 2 字符"/>
    <w:qFormat/>
    <w:locked/>
    <w:uiPriority w:val="0"/>
    <w:rPr>
      <w:rFonts w:eastAsia="仿宋_GB2312"/>
      <w:kern w:val="2"/>
      <w:sz w:val="28"/>
      <w:szCs w:val="28"/>
    </w:rPr>
  </w:style>
  <w:style w:type="character" w:customStyle="1" w:styleId="90">
    <w:name w:val="未处理的提及1"/>
    <w:unhideWhenUsed/>
    <w:qFormat/>
    <w:uiPriority w:val="99"/>
    <w:rPr>
      <w:color w:val="605E5C"/>
      <w:shd w:val="clear" w:color="auto" w:fill="E1DFDD"/>
    </w:rPr>
  </w:style>
  <w:style w:type="character" w:customStyle="1" w:styleId="91">
    <w:name w:val="正文文本缩进 2 Char"/>
    <w:qFormat/>
    <w:uiPriority w:val="0"/>
    <w:rPr>
      <w:kern w:val="2"/>
      <w:sz w:val="21"/>
      <w:szCs w:val="24"/>
    </w:rPr>
  </w:style>
  <w:style w:type="character" w:customStyle="1" w:styleId="92">
    <w:name w:val="font161"/>
    <w:qFormat/>
    <w:uiPriority w:val="0"/>
    <w:rPr>
      <w:b/>
      <w:bCs/>
      <w:sz w:val="32"/>
      <w:szCs w:val="32"/>
    </w:rPr>
  </w:style>
  <w:style w:type="character" w:customStyle="1" w:styleId="93">
    <w:name w:val="彩色列表 - 着色 1 字符"/>
    <w:link w:val="94"/>
    <w:qFormat/>
    <w:uiPriority w:val="0"/>
    <w:rPr>
      <w:kern w:val="2"/>
      <w:sz w:val="21"/>
      <w:szCs w:val="24"/>
    </w:rPr>
  </w:style>
  <w:style w:type="paragraph" w:customStyle="1" w:styleId="94">
    <w:name w:val="彩色列表 - 强调文字颜色 11"/>
    <w:basedOn w:val="1"/>
    <w:link w:val="93"/>
    <w:qFormat/>
    <w:uiPriority w:val="0"/>
    <w:pPr>
      <w:spacing w:line="240" w:lineRule="auto"/>
      <w:ind w:firstLine="420"/>
    </w:pPr>
  </w:style>
  <w:style w:type="character" w:customStyle="1" w:styleId="95">
    <w:name w:val="标题 2 Char Char"/>
    <w:qFormat/>
    <w:uiPriority w:val="0"/>
    <w:rPr>
      <w:rFonts w:ascii="Arial" w:hAnsi="Arial" w:eastAsia="黑体"/>
      <w:b/>
      <w:bCs/>
      <w:kern w:val="2"/>
      <w:sz w:val="32"/>
      <w:szCs w:val="32"/>
      <w:lang w:val="en-US" w:eastAsia="zh-CN" w:bidi="ar-SA"/>
    </w:rPr>
  </w:style>
  <w:style w:type="character" w:customStyle="1" w:styleId="96">
    <w:name w:val="页脚 字符"/>
    <w:qFormat/>
    <w:locked/>
    <w:uiPriority w:val="0"/>
    <w:rPr>
      <w:kern w:val="2"/>
      <w:sz w:val="18"/>
      <w:szCs w:val="18"/>
    </w:rPr>
  </w:style>
  <w:style w:type="character" w:customStyle="1" w:styleId="97">
    <w:name w:val="正文首行缩进二字，宋体小四号 Char"/>
    <w:link w:val="98"/>
    <w:qFormat/>
    <w:locked/>
    <w:uiPriority w:val="0"/>
    <w:rPr>
      <w:sz w:val="24"/>
    </w:rPr>
  </w:style>
  <w:style w:type="paragraph" w:customStyle="1" w:styleId="98">
    <w:name w:val="正文首行缩进二字，宋体小四号"/>
    <w:basedOn w:val="1"/>
    <w:link w:val="97"/>
    <w:qFormat/>
    <w:uiPriority w:val="0"/>
    <w:pPr>
      <w:widowControl/>
      <w:spacing w:before="156" w:line="300" w:lineRule="auto"/>
      <w:ind w:firstLine="560"/>
    </w:pPr>
    <w:rPr>
      <w:kern w:val="0"/>
      <w:sz w:val="24"/>
      <w:szCs w:val="20"/>
    </w:rPr>
  </w:style>
  <w:style w:type="character" w:customStyle="1" w:styleId="99">
    <w:name w:val="标题 4 Char"/>
    <w:qFormat/>
    <w:uiPriority w:val="0"/>
    <w:rPr>
      <w:rFonts w:ascii="Arial" w:hAnsi="Arial" w:eastAsia="黑体"/>
      <w:b/>
      <w:bCs/>
      <w:kern w:val="2"/>
      <w:sz w:val="28"/>
      <w:szCs w:val="28"/>
    </w:rPr>
  </w:style>
  <w:style w:type="character" w:customStyle="1" w:styleId="100">
    <w:name w:val="apple-style-span"/>
    <w:qFormat/>
    <w:uiPriority w:val="0"/>
    <w:rPr>
      <w:rFonts w:cs="Times New Roman"/>
    </w:rPr>
  </w:style>
  <w:style w:type="character" w:customStyle="1" w:styleId="101">
    <w:name w:val="font131"/>
    <w:qFormat/>
    <w:uiPriority w:val="0"/>
    <w:rPr>
      <w:rFonts w:hint="default" w:ascii="Times New Roman" w:hAnsi="Times New Roman" w:cs="Times New Roman"/>
      <w:color w:val="000000"/>
      <w:sz w:val="22"/>
      <w:szCs w:val="22"/>
      <w:u w:val="none"/>
    </w:rPr>
  </w:style>
  <w:style w:type="character" w:customStyle="1" w:styleId="102">
    <w:name w:val="Char Char"/>
    <w:qFormat/>
    <w:uiPriority w:val="0"/>
    <w:rPr>
      <w:rFonts w:ascii="Arial" w:hAnsi="Arial" w:eastAsia="黑体"/>
      <w:b/>
      <w:bCs/>
      <w:kern w:val="2"/>
      <w:sz w:val="32"/>
      <w:szCs w:val="32"/>
      <w:lang w:val="en-US" w:eastAsia="zh-CN" w:bidi="ar-SA"/>
    </w:rPr>
  </w:style>
  <w:style w:type="character" w:customStyle="1" w:styleId="103">
    <w:name w:val="无间隔 Char"/>
    <w:qFormat/>
    <w:uiPriority w:val="1"/>
    <w:rPr>
      <w:rFonts w:ascii="Calibri" w:hAnsi="Calibri"/>
      <w:sz w:val="22"/>
      <w:szCs w:val="22"/>
    </w:rPr>
  </w:style>
  <w:style w:type="character" w:customStyle="1" w:styleId="104">
    <w:name w:val="font21"/>
    <w:qFormat/>
    <w:uiPriority w:val="0"/>
    <w:rPr>
      <w:rFonts w:hint="default" w:ascii="Times New Roman" w:hAnsi="Times New Roman" w:cs="Times New Roman"/>
      <w:b/>
      <w:color w:val="000000"/>
      <w:sz w:val="24"/>
      <w:szCs w:val="24"/>
      <w:u w:val="none"/>
    </w:rPr>
  </w:style>
  <w:style w:type="character" w:customStyle="1" w:styleId="105">
    <w:name w:val="标题 字符"/>
    <w:qFormat/>
    <w:uiPriority w:val="0"/>
    <w:rPr>
      <w:rFonts w:ascii="等线 Light" w:hAnsi="等线 Light" w:cs="Times New Roman"/>
      <w:b/>
      <w:bCs/>
      <w:kern w:val="2"/>
      <w:sz w:val="32"/>
      <w:szCs w:val="32"/>
    </w:rPr>
  </w:style>
  <w:style w:type="character" w:customStyle="1" w:styleId="106">
    <w:name w:val="脚注文本 Char1"/>
    <w:semiHidden/>
    <w:qFormat/>
    <w:uiPriority w:val="99"/>
    <w:rPr>
      <w:kern w:val="2"/>
      <w:sz w:val="18"/>
      <w:szCs w:val="18"/>
    </w:rPr>
  </w:style>
  <w:style w:type="character" w:customStyle="1" w:styleId="107">
    <w:name w:val="日期 Char"/>
    <w:qFormat/>
    <w:uiPriority w:val="0"/>
    <w:rPr>
      <w:kern w:val="2"/>
      <w:sz w:val="24"/>
    </w:rPr>
  </w:style>
  <w:style w:type="character" w:customStyle="1" w:styleId="108">
    <w:name w:val="Char Char2"/>
    <w:qFormat/>
    <w:locked/>
    <w:uiPriority w:val="0"/>
    <w:rPr>
      <w:rFonts w:ascii="宋体" w:hAnsi="Courier New" w:eastAsia="宋体" w:cs="Courier New"/>
      <w:kern w:val="2"/>
      <w:sz w:val="21"/>
      <w:szCs w:val="21"/>
      <w:lang w:val="en-US" w:eastAsia="zh-CN" w:bidi="ar-SA"/>
    </w:rPr>
  </w:style>
  <w:style w:type="character" w:customStyle="1" w:styleId="109">
    <w:name w:val="my正文 Char"/>
    <w:link w:val="110"/>
    <w:qFormat/>
    <w:uiPriority w:val="0"/>
    <w:rPr>
      <w:rFonts w:ascii="Arial" w:hAnsi="Arial"/>
      <w:kern w:val="2"/>
      <w:sz w:val="24"/>
      <w:szCs w:val="24"/>
    </w:rPr>
  </w:style>
  <w:style w:type="paragraph" w:customStyle="1" w:styleId="110">
    <w:name w:val="my正文"/>
    <w:basedOn w:val="1"/>
    <w:link w:val="109"/>
    <w:qFormat/>
    <w:uiPriority w:val="0"/>
    <w:rPr>
      <w:rFonts w:ascii="Arial" w:hAnsi="Arial"/>
      <w:sz w:val="24"/>
    </w:rPr>
  </w:style>
  <w:style w:type="character" w:customStyle="1" w:styleId="111">
    <w:name w:val="正文文本缩进 3 Char1"/>
    <w:semiHidden/>
    <w:qFormat/>
    <w:uiPriority w:val="99"/>
    <w:rPr>
      <w:kern w:val="2"/>
      <w:sz w:val="16"/>
      <w:szCs w:val="16"/>
    </w:rPr>
  </w:style>
  <w:style w:type="character" w:customStyle="1" w:styleId="112">
    <w:name w:val="帮助正文 Char"/>
    <w:link w:val="113"/>
    <w:qFormat/>
    <w:locked/>
    <w:uiPriority w:val="0"/>
    <w:rPr>
      <w:rFonts w:ascii="微软雅黑" w:hAnsi="微软雅黑" w:eastAsia="微软雅黑"/>
      <w:kern w:val="2"/>
      <w:sz w:val="21"/>
      <w:szCs w:val="22"/>
    </w:rPr>
  </w:style>
  <w:style w:type="paragraph" w:customStyle="1" w:styleId="113">
    <w:name w:val="帮助正文"/>
    <w:basedOn w:val="1"/>
    <w:link w:val="112"/>
    <w:qFormat/>
    <w:uiPriority w:val="0"/>
    <w:pPr>
      <w:spacing w:line="240" w:lineRule="auto"/>
      <w:ind w:firstLine="0" w:firstLineChars="0"/>
    </w:pPr>
    <w:rPr>
      <w:rFonts w:ascii="微软雅黑" w:hAnsi="微软雅黑" w:eastAsia="微软雅黑"/>
      <w:szCs w:val="22"/>
    </w:rPr>
  </w:style>
  <w:style w:type="character" w:customStyle="1" w:styleId="114">
    <w:name w:val="样式 标题 2正文二级标题PIM2H2Heading 2 HiddenHeading 2 CCBSheading 2...2 Char"/>
    <w:link w:val="115"/>
    <w:qFormat/>
    <w:locked/>
    <w:uiPriority w:val="0"/>
    <w:rPr>
      <w:rFonts w:ascii="Arial" w:hAnsi="Arial"/>
      <w:bCs/>
      <w:color w:val="003300"/>
      <w:sz w:val="30"/>
      <w:szCs w:val="24"/>
    </w:rPr>
  </w:style>
  <w:style w:type="paragraph" w:customStyle="1" w:styleId="115">
    <w:name w:val="样式 标题 2正文二级标题PIM2H2Heading 2 HiddenHeading 2 CCBSheading 2...2"/>
    <w:basedOn w:val="3"/>
    <w:link w:val="114"/>
    <w:qFormat/>
    <w:uiPriority w:val="0"/>
    <w:pPr>
      <w:widowControl/>
      <w:tabs>
        <w:tab w:val="left" w:pos="567"/>
      </w:tabs>
      <w:ind w:left="567" w:hanging="567" w:firstLineChars="0"/>
      <w:jc w:val="left"/>
    </w:pPr>
    <w:rPr>
      <w:rFonts w:ascii="Arial" w:hAnsi="Arial"/>
      <w:b w:val="0"/>
      <w:color w:val="003300"/>
      <w:sz w:val="30"/>
      <w:szCs w:val="24"/>
    </w:rPr>
  </w:style>
  <w:style w:type="character" w:customStyle="1" w:styleId="116">
    <w:name w:val="标题 1 字符"/>
    <w:qFormat/>
    <w:locked/>
    <w:uiPriority w:val="0"/>
    <w:rPr>
      <w:rFonts w:ascii="幼圆" w:hAnsi="Symbol" w:eastAsia="幼圆"/>
      <w:b/>
      <w:bCs/>
      <w:spacing w:val="40"/>
      <w:kern w:val="2"/>
      <w:sz w:val="28"/>
      <w:szCs w:val="44"/>
    </w:rPr>
  </w:style>
  <w:style w:type="character" w:customStyle="1" w:styleId="117">
    <w:name w:val="active"/>
    <w:qFormat/>
    <w:uiPriority w:val="99"/>
    <w:rPr>
      <w:rFonts w:cs="Times New Roman"/>
      <w:color w:val="FFFFFF"/>
    </w:rPr>
  </w:style>
  <w:style w:type="character" w:customStyle="1" w:styleId="118">
    <w:name w:val="font91"/>
    <w:qFormat/>
    <w:uiPriority w:val="0"/>
    <w:rPr>
      <w:rFonts w:hint="default" w:ascii="Times New Roman" w:hAnsi="Times New Roman" w:cs="Times New Roman"/>
      <w:color w:val="000000"/>
      <w:sz w:val="24"/>
      <w:szCs w:val="24"/>
      <w:u w:val="none"/>
    </w:rPr>
  </w:style>
  <w:style w:type="character" w:styleId="119">
    <w:name w:val="Placeholder Text"/>
    <w:unhideWhenUsed/>
    <w:qFormat/>
    <w:uiPriority w:val="99"/>
    <w:rPr>
      <w:color w:val="808080"/>
    </w:rPr>
  </w:style>
  <w:style w:type="character" w:customStyle="1" w:styleId="120">
    <w:name w:val="font71"/>
    <w:qFormat/>
    <w:uiPriority w:val="0"/>
    <w:rPr>
      <w:rFonts w:hint="eastAsia" w:ascii="宋体" w:hAnsi="宋体" w:eastAsia="宋体" w:cs="宋体"/>
      <w:color w:val="000000"/>
      <w:sz w:val="24"/>
      <w:szCs w:val="24"/>
      <w:u w:val="none"/>
    </w:rPr>
  </w:style>
  <w:style w:type="character" w:customStyle="1" w:styleId="121">
    <w:name w:val="标题 Char"/>
    <w:qFormat/>
    <w:uiPriority w:val="0"/>
    <w:rPr>
      <w:rFonts w:ascii="Arial" w:hAnsi="Arial"/>
      <w:b/>
      <w:sz w:val="32"/>
    </w:rPr>
  </w:style>
  <w:style w:type="character" w:customStyle="1" w:styleId="122">
    <w:name w:val="文档结构图 Char1"/>
    <w:semiHidden/>
    <w:qFormat/>
    <w:uiPriority w:val="99"/>
    <w:rPr>
      <w:rFonts w:ascii="宋体"/>
      <w:kern w:val="2"/>
      <w:sz w:val="18"/>
      <w:szCs w:val="18"/>
    </w:rPr>
  </w:style>
  <w:style w:type="character" w:customStyle="1" w:styleId="123">
    <w:name w:val="样式 标题 6节内4级标记H6h6Third SubheadingPIM 6Bullet listLegal Le... Char"/>
    <w:link w:val="124"/>
    <w:qFormat/>
    <w:locked/>
    <w:uiPriority w:val="0"/>
    <w:rPr>
      <w:b/>
      <w:bCs/>
      <w:sz w:val="24"/>
      <w:szCs w:val="24"/>
    </w:rPr>
  </w:style>
  <w:style w:type="paragraph" w:customStyle="1" w:styleId="124">
    <w:name w:val="样式 标题 6节内4级标记H6h6Third SubheadingPIM 6Bullet listLegal Le..."/>
    <w:basedOn w:val="7"/>
    <w:link w:val="123"/>
    <w:qFormat/>
    <w:uiPriority w:val="0"/>
    <w:rPr>
      <w:rFonts w:ascii="Times New Roman" w:hAnsi="Times New Roman" w:eastAsia="宋体"/>
      <w:kern w:val="0"/>
    </w:rPr>
  </w:style>
  <w:style w:type="character" w:customStyle="1" w:styleId="125">
    <w:name w:val="标题 2 字符"/>
    <w:qFormat/>
    <w:uiPriority w:val="0"/>
    <w:rPr>
      <w:rFonts w:ascii="Cambria" w:hAnsi="Cambria" w:eastAsia="宋体" w:cs="Times New Roman"/>
      <w:b/>
      <w:bCs/>
      <w:kern w:val="2"/>
      <w:sz w:val="32"/>
      <w:szCs w:val="32"/>
    </w:rPr>
  </w:style>
  <w:style w:type="character" w:customStyle="1" w:styleId="126">
    <w:name w:val="font141"/>
    <w:qFormat/>
    <w:uiPriority w:val="0"/>
    <w:rPr>
      <w:rFonts w:hint="eastAsia" w:ascii="宋体" w:hAnsi="宋体" w:eastAsia="宋体" w:cs="宋体"/>
      <w:color w:val="000000"/>
      <w:sz w:val="22"/>
      <w:szCs w:val="22"/>
      <w:u w:val="none"/>
    </w:rPr>
  </w:style>
  <w:style w:type="character" w:customStyle="1" w:styleId="127">
    <w:name w:val="正文文本缩进 2 Char1"/>
    <w:semiHidden/>
    <w:qFormat/>
    <w:uiPriority w:val="99"/>
    <w:rPr>
      <w:kern w:val="2"/>
      <w:sz w:val="21"/>
      <w:szCs w:val="24"/>
    </w:rPr>
  </w:style>
  <w:style w:type="character" w:customStyle="1" w:styleId="128">
    <w:name w:val="批注文字 Char1"/>
    <w:semiHidden/>
    <w:qFormat/>
    <w:uiPriority w:val="99"/>
    <w:rPr>
      <w:kern w:val="2"/>
      <w:sz w:val="21"/>
      <w:szCs w:val="24"/>
    </w:rPr>
  </w:style>
  <w:style w:type="character" w:customStyle="1" w:styleId="129">
    <w:name w:val="标题 2 Char"/>
    <w:qFormat/>
    <w:uiPriority w:val="0"/>
    <w:rPr>
      <w:b/>
      <w:bCs/>
      <w:kern w:val="2"/>
      <w:sz w:val="28"/>
    </w:rPr>
  </w:style>
  <w:style w:type="character" w:customStyle="1" w:styleId="130">
    <w:name w:val="font51"/>
    <w:qFormat/>
    <w:uiPriority w:val="0"/>
    <w:rPr>
      <w:rFonts w:hint="eastAsia" w:ascii="宋体" w:hAnsi="宋体" w:eastAsia="宋体" w:cs="宋体"/>
      <w:color w:val="000000"/>
      <w:sz w:val="20"/>
      <w:szCs w:val="20"/>
      <w:u w:val="none"/>
    </w:rPr>
  </w:style>
  <w:style w:type="character" w:customStyle="1" w:styleId="131">
    <w:name w:val="样式 标题 6节内4级标记H6h6Third SubheadingPIM 6Bullet listLegal Le...1 Char"/>
    <w:link w:val="132"/>
    <w:qFormat/>
    <w:locked/>
    <w:uiPriority w:val="0"/>
    <w:rPr>
      <w:rFonts w:eastAsia="黑体"/>
      <w:b/>
      <w:bCs/>
      <w:kern w:val="2"/>
      <w:sz w:val="24"/>
      <w:szCs w:val="24"/>
    </w:rPr>
  </w:style>
  <w:style w:type="paragraph" w:customStyle="1" w:styleId="132">
    <w:name w:val="样式 标题 6节内4级标记H6h6Third SubheadingPIM 6Bullet listLegal Le...1"/>
    <w:basedOn w:val="7"/>
    <w:link w:val="131"/>
    <w:qFormat/>
    <w:uiPriority w:val="0"/>
    <w:rPr>
      <w:rFonts w:ascii="Times New Roman" w:hAnsi="Times New Roman"/>
    </w:rPr>
  </w:style>
  <w:style w:type="character" w:customStyle="1" w:styleId="133">
    <w:name w:val="批注框文本 字符"/>
    <w:semiHidden/>
    <w:qFormat/>
    <w:locked/>
    <w:uiPriority w:val="0"/>
    <w:rPr>
      <w:kern w:val="2"/>
      <w:sz w:val="18"/>
      <w:szCs w:val="18"/>
    </w:rPr>
  </w:style>
  <w:style w:type="character" w:customStyle="1" w:styleId="134">
    <w:name w:val="正文文本 Char1"/>
    <w:semiHidden/>
    <w:qFormat/>
    <w:uiPriority w:val="99"/>
    <w:rPr>
      <w:kern w:val="2"/>
      <w:sz w:val="21"/>
      <w:szCs w:val="24"/>
    </w:rPr>
  </w:style>
  <w:style w:type="character" w:customStyle="1" w:styleId="135">
    <w:name w:val="标题 3 字符"/>
    <w:qFormat/>
    <w:uiPriority w:val="9"/>
    <w:rPr>
      <w:b/>
      <w:bCs/>
      <w:kern w:val="2"/>
      <w:sz w:val="32"/>
      <w:szCs w:val="32"/>
    </w:rPr>
  </w:style>
  <w:style w:type="character" w:customStyle="1" w:styleId="136">
    <w:name w:val="正文文本 3 Char"/>
    <w:qFormat/>
    <w:uiPriority w:val="0"/>
    <w:rPr>
      <w:rFonts w:ascii="宋体"/>
      <w:kern w:val="2"/>
      <w:sz w:val="24"/>
    </w:rPr>
  </w:style>
  <w:style w:type="character" w:customStyle="1" w:styleId="137">
    <w:name w:val="批注主题 字符"/>
    <w:qFormat/>
    <w:uiPriority w:val="0"/>
    <w:rPr>
      <w:b/>
      <w:bCs/>
      <w:kern w:val="2"/>
      <w:sz w:val="21"/>
      <w:szCs w:val="24"/>
    </w:rPr>
  </w:style>
  <w:style w:type="character" w:customStyle="1" w:styleId="138">
    <w:name w:val="font81"/>
    <w:qFormat/>
    <w:uiPriority w:val="0"/>
    <w:rPr>
      <w:rFonts w:hint="eastAsia" w:ascii="宋体" w:hAnsi="宋体" w:eastAsia="宋体" w:cs="宋体"/>
      <w:b/>
      <w:color w:val="000000"/>
      <w:sz w:val="18"/>
      <w:szCs w:val="18"/>
      <w:u w:val="none"/>
    </w:rPr>
  </w:style>
  <w:style w:type="character" w:customStyle="1" w:styleId="139">
    <w:name w:val="标题 8 Char"/>
    <w:qFormat/>
    <w:uiPriority w:val="0"/>
    <w:rPr>
      <w:rFonts w:ascii="Arial" w:hAnsi="Arial" w:eastAsia="黑体"/>
      <w:sz w:val="24"/>
      <w:szCs w:val="24"/>
    </w:rPr>
  </w:style>
  <w:style w:type="character" w:customStyle="1" w:styleId="140">
    <w:name w:val="Char Char3"/>
    <w:qFormat/>
    <w:locked/>
    <w:uiPriority w:val="0"/>
    <w:rPr>
      <w:rFonts w:ascii="宋体" w:hAnsi="Courier New" w:eastAsia="宋体" w:cs="Courier New"/>
      <w:kern w:val="2"/>
      <w:sz w:val="21"/>
      <w:szCs w:val="21"/>
      <w:lang w:val="en-US" w:eastAsia="zh-CN" w:bidi="ar-SA"/>
    </w:rPr>
  </w:style>
  <w:style w:type="character" w:customStyle="1" w:styleId="141">
    <w:name w:val="标题 Char1"/>
    <w:qFormat/>
    <w:uiPriority w:val="10"/>
    <w:rPr>
      <w:rFonts w:ascii="Cambria" w:hAnsi="Cambria" w:cs="Times New Roman"/>
      <w:b/>
      <w:bCs/>
      <w:kern w:val="2"/>
      <w:sz w:val="32"/>
      <w:szCs w:val="32"/>
    </w:rPr>
  </w:style>
  <w:style w:type="character" w:customStyle="1" w:styleId="142">
    <w:name w:val="批注文字 Char"/>
    <w:semiHidden/>
    <w:qFormat/>
    <w:uiPriority w:val="0"/>
    <w:rPr>
      <w:kern w:val="2"/>
      <w:sz w:val="21"/>
      <w:szCs w:val="24"/>
    </w:rPr>
  </w:style>
  <w:style w:type="character" w:customStyle="1" w:styleId="143">
    <w:name w:val="纯文本 字符"/>
    <w:qFormat/>
    <w:uiPriority w:val="0"/>
    <w:rPr>
      <w:rFonts w:ascii="宋体" w:hAnsi="Courier New"/>
      <w:szCs w:val="21"/>
    </w:rPr>
  </w:style>
  <w:style w:type="character" w:customStyle="1" w:styleId="144">
    <w:name w:val="页眉 Char1"/>
    <w:semiHidden/>
    <w:qFormat/>
    <w:uiPriority w:val="99"/>
    <w:rPr>
      <w:kern w:val="2"/>
      <w:sz w:val="18"/>
      <w:szCs w:val="18"/>
    </w:rPr>
  </w:style>
  <w:style w:type="character" w:customStyle="1" w:styleId="145">
    <w:name w:val="纯文本 Char1"/>
    <w:semiHidden/>
    <w:qFormat/>
    <w:uiPriority w:val="99"/>
    <w:rPr>
      <w:rFonts w:ascii="宋体" w:hAnsi="Courier New" w:cs="Courier New"/>
      <w:kern w:val="2"/>
      <w:sz w:val="21"/>
      <w:szCs w:val="21"/>
    </w:rPr>
  </w:style>
  <w:style w:type="character" w:customStyle="1" w:styleId="146">
    <w:name w:val="批注主题 Char"/>
    <w:qFormat/>
    <w:uiPriority w:val="0"/>
  </w:style>
  <w:style w:type="character" w:customStyle="1" w:styleId="147">
    <w:name w:val="文档结构图 字符"/>
    <w:qFormat/>
    <w:uiPriority w:val="0"/>
    <w:rPr>
      <w:rFonts w:ascii="宋体"/>
      <w:sz w:val="18"/>
      <w:szCs w:val="18"/>
    </w:rPr>
  </w:style>
  <w:style w:type="character" w:customStyle="1" w:styleId="148">
    <w:name w:val="正文文本 3 Char1"/>
    <w:semiHidden/>
    <w:qFormat/>
    <w:uiPriority w:val="99"/>
    <w:rPr>
      <w:kern w:val="2"/>
      <w:sz w:val="16"/>
      <w:szCs w:val="16"/>
    </w:rPr>
  </w:style>
  <w:style w:type="character" w:customStyle="1" w:styleId="149">
    <w:name w:val="正文文本 Char"/>
    <w:qFormat/>
    <w:uiPriority w:val="0"/>
    <w:rPr>
      <w:rFonts w:ascii="宋体"/>
      <w:sz w:val="28"/>
    </w:rPr>
  </w:style>
  <w:style w:type="character" w:customStyle="1" w:styleId="150">
    <w:name w:val="无间隔 字符"/>
    <w:link w:val="151"/>
    <w:qFormat/>
    <w:uiPriority w:val="1"/>
    <w:rPr>
      <w:rFonts w:ascii="Arial" w:hAnsi="Arial"/>
      <w:sz w:val="22"/>
      <w:szCs w:val="22"/>
      <w:lang w:val="en-US" w:eastAsia="zh-CN" w:bidi="ar-SA"/>
    </w:rPr>
  </w:style>
  <w:style w:type="paragraph" w:styleId="151">
    <w:name w:val="No Spacing"/>
    <w:link w:val="150"/>
    <w:qFormat/>
    <w:uiPriority w:val="1"/>
    <w:pPr>
      <w:tabs>
        <w:tab w:val="left" w:pos="1106"/>
        <w:tab w:val="left" w:pos="2211"/>
        <w:tab w:val="left" w:pos="3317"/>
        <w:tab w:val="left" w:pos="4423"/>
        <w:tab w:val="left" w:pos="5528"/>
        <w:tab w:val="left" w:pos="6634"/>
        <w:tab w:val="left" w:pos="7740"/>
      </w:tabs>
      <w:ind w:left="1106"/>
    </w:pPr>
    <w:rPr>
      <w:rFonts w:ascii="Arial" w:hAnsi="Arial" w:eastAsia="宋体" w:cs="Times New Roman"/>
      <w:sz w:val="22"/>
      <w:szCs w:val="22"/>
      <w:lang w:val="en-US" w:eastAsia="zh-CN" w:bidi="ar-SA"/>
    </w:rPr>
  </w:style>
  <w:style w:type="character" w:customStyle="1" w:styleId="152">
    <w:name w:val="font112"/>
    <w:qFormat/>
    <w:uiPriority w:val="0"/>
    <w:rPr>
      <w:rFonts w:hint="eastAsia" w:ascii="宋体" w:hAnsi="宋体" w:eastAsia="宋体" w:cs="宋体"/>
      <w:color w:val="000000"/>
      <w:sz w:val="20"/>
      <w:szCs w:val="20"/>
      <w:u w:val="none"/>
    </w:rPr>
  </w:style>
  <w:style w:type="character" w:customStyle="1" w:styleId="153">
    <w:name w:val="标题 6 Char"/>
    <w:qFormat/>
    <w:uiPriority w:val="0"/>
    <w:rPr>
      <w:rFonts w:ascii="Arial" w:hAnsi="Arial" w:eastAsia="黑体"/>
      <w:b/>
      <w:bCs/>
      <w:sz w:val="24"/>
      <w:szCs w:val="24"/>
    </w:rPr>
  </w:style>
  <w:style w:type="character" w:customStyle="1" w:styleId="154">
    <w:name w:val="标题5 Char"/>
    <w:link w:val="155"/>
    <w:qFormat/>
    <w:locked/>
    <w:uiPriority w:val="0"/>
    <w:rPr>
      <w:rFonts w:ascii="宋体" w:hAnsi="宋体" w:eastAsia="黑体"/>
      <w:b/>
      <w:kern w:val="44"/>
      <w:sz w:val="24"/>
      <w:szCs w:val="24"/>
    </w:rPr>
  </w:style>
  <w:style w:type="paragraph" w:customStyle="1" w:styleId="155">
    <w:name w:val="标题5"/>
    <w:basedOn w:val="6"/>
    <w:next w:val="43"/>
    <w:link w:val="154"/>
    <w:qFormat/>
    <w:uiPriority w:val="0"/>
    <w:rPr>
      <w:rFonts w:ascii="宋体" w:hAnsi="宋体" w:eastAsia="黑体"/>
      <w:bCs w:val="0"/>
      <w:sz w:val="24"/>
      <w:szCs w:val="24"/>
    </w:rPr>
  </w:style>
  <w:style w:type="character" w:customStyle="1" w:styleId="156">
    <w:name w:val="正文文本缩进 Char1"/>
    <w:semiHidden/>
    <w:qFormat/>
    <w:uiPriority w:val="99"/>
    <w:rPr>
      <w:kern w:val="2"/>
      <w:sz w:val="21"/>
      <w:szCs w:val="24"/>
    </w:rPr>
  </w:style>
  <w:style w:type="character" w:customStyle="1" w:styleId="157">
    <w:name w:val="批注框文本 Char"/>
    <w:semiHidden/>
    <w:qFormat/>
    <w:uiPriority w:val="0"/>
    <w:rPr>
      <w:kern w:val="2"/>
      <w:sz w:val="18"/>
      <w:szCs w:val="18"/>
    </w:rPr>
  </w:style>
  <w:style w:type="character" w:customStyle="1" w:styleId="158">
    <w:name w:val="文档结构图 Char"/>
    <w:semiHidden/>
    <w:qFormat/>
    <w:uiPriority w:val="0"/>
    <w:rPr>
      <w:kern w:val="2"/>
      <w:sz w:val="21"/>
      <w:szCs w:val="24"/>
      <w:shd w:val="clear" w:color="auto" w:fill="000080"/>
    </w:rPr>
  </w:style>
  <w:style w:type="character" w:customStyle="1" w:styleId="159">
    <w:name w:val="标题 7 Char"/>
    <w:qFormat/>
    <w:uiPriority w:val="0"/>
    <w:rPr>
      <w:b/>
      <w:bCs/>
      <w:sz w:val="24"/>
      <w:szCs w:val="24"/>
    </w:rPr>
  </w:style>
  <w:style w:type="character" w:customStyle="1" w:styleId="160">
    <w:name w:val="标准文本 Char"/>
    <w:link w:val="161"/>
    <w:qFormat/>
    <w:uiPriority w:val="0"/>
    <w:rPr>
      <w:rFonts w:eastAsia="仿宋"/>
      <w:kern w:val="2"/>
      <w:sz w:val="24"/>
    </w:rPr>
  </w:style>
  <w:style w:type="paragraph" w:customStyle="1" w:styleId="161">
    <w:name w:val="标准文本"/>
    <w:basedOn w:val="1"/>
    <w:link w:val="160"/>
    <w:qFormat/>
    <w:uiPriority w:val="0"/>
    <w:pPr>
      <w:ind w:firstLine="480"/>
    </w:pPr>
    <w:rPr>
      <w:rFonts w:eastAsia="仿宋"/>
      <w:sz w:val="24"/>
      <w:szCs w:val="20"/>
    </w:rPr>
  </w:style>
  <w:style w:type="character" w:customStyle="1" w:styleId="162">
    <w:name w:val="日期 Char1"/>
    <w:semiHidden/>
    <w:qFormat/>
    <w:uiPriority w:val="99"/>
    <w:rPr>
      <w:kern w:val="2"/>
      <w:sz w:val="21"/>
      <w:szCs w:val="24"/>
    </w:rPr>
  </w:style>
  <w:style w:type="character" w:customStyle="1" w:styleId="163">
    <w:name w:val="标题 1 Char"/>
    <w:qFormat/>
    <w:uiPriority w:val="0"/>
    <w:rPr>
      <w:b/>
      <w:bCs/>
      <w:kern w:val="2"/>
      <w:sz w:val="24"/>
    </w:rPr>
  </w:style>
  <w:style w:type="character" w:customStyle="1" w:styleId="164">
    <w:name w:val="页眉 字符1"/>
    <w:qFormat/>
    <w:locked/>
    <w:uiPriority w:val="0"/>
    <w:rPr>
      <w:kern w:val="2"/>
      <w:sz w:val="18"/>
      <w:szCs w:val="18"/>
    </w:rPr>
  </w:style>
  <w:style w:type="character" w:customStyle="1" w:styleId="165">
    <w:name w:val="批注框文本 Char1"/>
    <w:semiHidden/>
    <w:qFormat/>
    <w:uiPriority w:val="99"/>
    <w:rPr>
      <w:kern w:val="2"/>
      <w:sz w:val="18"/>
      <w:szCs w:val="18"/>
    </w:rPr>
  </w:style>
  <w:style w:type="character" w:customStyle="1" w:styleId="166">
    <w:name w:val="标题 9 Char"/>
    <w:qFormat/>
    <w:uiPriority w:val="0"/>
    <w:rPr>
      <w:rFonts w:ascii="Arial" w:hAnsi="Arial" w:eastAsia="黑体"/>
      <w:sz w:val="21"/>
      <w:szCs w:val="21"/>
    </w:rPr>
  </w:style>
  <w:style w:type="character" w:customStyle="1" w:styleId="167">
    <w:name w:val="font31"/>
    <w:qFormat/>
    <w:uiPriority w:val="0"/>
    <w:rPr>
      <w:rFonts w:ascii="等线" w:hAnsi="等线" w:eastAsia="等线" w:cs="等线"/>
      <w:color w:val="000000"/>
      <w:sz w:val="22"/>
      <w:szCs w:val="22"/>
      <w:u w:val="none"/>
    </w:rPr>
  </w:style>
  <w:style w:type="character" w:customStyle="1" w:styleId="168">
    <w:name w:val="页脚 Char1"/>
    <w:semiHidden/>
    <w:qFormat/>
    <w:uiPriority w:val="99"/>
    <w:rPr>
      <w:kern w:val="2"/>
      <w:sz w:val="18"/>
      <w:szCs w:val="18"/>
    </w:rPr>
  </w:style>
  <w:style w:type="character" w:customStyle="1" w:styleId="169">
    <w:name w:val="页脚 Char"/>
    <w:qFormat/>
    <w:uiPriority w:val="99"/>
    <w:rPr>
      <w:kern w:val="2"/>
      <w:sz w:val="18"/>
    </w:rPr>
  </w:style>
  <w:style w:type="character" w:customStyle="1" w:styleId="170">
    <w:name w:val="font01"/>
    <w:qFormat/>
    <w:uiPriority w:val="0"/>
    <w:rPr>
      <w:rFonts w:hint="default" w:ascii="Times New Roman" w:hAnsi="Times New Roman" w:cs="Times New Roman"/>
      <w:color w:val="000000"/>
      <w:sz w:val="24"/>
      <w:szCs w:val="24"/>
      <w:u w:val="none"/>
    </w:rPr>
  </w:style>
  <w:style w:type="character" w:customStyle="1" w:styleId="171">
    <w:name w:val="Char Char16"/>
    <w:qFormat/>
    <w:uiPriority w:val="0"/>
    <w:rPr>
      <w:rFonts w:ascii="Courier New" w:hAnsi="Courier New"/>
      <w:kern w:val="2"/>
      <w:sz w:val="21"/>
    </w:rPr>
  </w:style>
  <w:style w:type="character" w:customStyle="1" w:styleId="172">
    <w:name w:val="页眉 字符"/>
    <w:qFormat/>
    <w:locked/>
    <w:uiPriority w:val="0"/>
    <w:rPr>
      <w:kern w:val="2"/>
      <w:sz w:val="18"/>
      <w:szCs w:val="18"/>
    </w:rPr>
  </w:style>
  <w:style w:type="character" w:customStyle="1" w:styleId="173">
    <w:name w:val="正文文本缩进 Char"/>
    <w:qFormat/>
    <w:locked/>
    <w:uiPriority w:val="0"/>
    <w:rPr>
      <w:rFonts w:eastAsia="宋体"/>
      <w:szCs w:val="24"/>
      <w:lang w:val="en-US" w:eastAsia="zh-CN" w:bidi="ar-SA"/>
    </w:rPr>
  </w:style>
  <w:style w:type="character" w:customStyle="1" w:styleId="174">
    <w:name w:val="列出段落 Char"/>
    <w:link w:val="175"/>
    <w:qFormat/>
    <w:uiPriority w:val="34"/>
    <w:rPr>
      <w:rFonts w:ascii="Calibri" w:hAnsi="Calibri"/>
      <w:kern w:val="2"/>
      <w:sz w:val="21"/>
      <w:szCs w:val="24"/>
    </w:rPr>
  </w:style>
  <w:style w:type="paragraph" w:customStyle="1" w:styleId="175">
    <w:name w:val="列出段落2"/>
    <w:basedOn w:val="1"/>
    <w:link w:val="174"/>
    <w:qFormat/>
    <w:uiPriority w:val="34"/>
    <w:pPr>
      <w:spacing w:line="240" w:lineRule="auto"/>
      <w:ind w:firstLine="420"/>
    </w:pPr>
    <w:rPr>
      <w:rFonts w:ascii="Calibri" w:hAnsi="Calibri"/>
    </w:rPr>
  </w:style>
  <w:style w:type="character" w:customStyle="1" w:styleId="176">
    <w:name w:val="页脚 字符1"/>
    <w:qFormat/>
    <w:locked/>
    <w:uiPriority w:val="99"/>
    <w:rPr>
      <w:kern w:val="2"/>
      <w:sz w:val="18"/>
      <w:szCs w:val="18"/>
    </w:rPr>
  </w:style>
  <w:style w:type="character" w:customStyle="1" w:styleId="177">
    <w:name w:val="font101"/>
    <w:qFormat/>
    <w:uiPriority w:val="0"/>
    <w:rPr>
      <w:rFonts w:hint="default" w:ascii="Times New Roman" w:hAnsi="Times New Roman" w:cs="Times New Roman"/>
      <w:color w:val="000000"/>
      <w:sz w:val="22"/>
      <w:szCs w:val="22"/>
      <w:u w:val="none"/>
    </w:rPr>
  </w:style>
  <w:style w:type="character" w:customStyle="1" w:styleId="178">
    <w:name w:val="样式4"/>
    <w:qFormat/>
    <w:uiPriority w:val="0"/>
    <w:rPr>
      <w:rFonts w:eastAsia="仿宋_GB2312"/>
      <w:sz w:val="24"/>
    </w:rPr>
  </w:style>
  <w:style w:type="character" w:customStyle="1" w:styleId="179">
    <w:name w:val="纯文本 Char"/>
    <w:qFormat/>
    <w:uiPriority w:val="0"/>
    <w:rPr>
      <w:rFonts w:ascii="宋体" w:hAnsi="Courier New"/>
      <w:kern w:val="2"/>
      <w:sz w:val="21"/>
      <w:szCs w:val="21"/>
    </w:rPr>
  </w:style>
  <w:style w:type="character" w:customStyle="1" w:styleId="180">
    <w:name w:val="批注主题 Char1"/>
    <w:semiHidden/>
    <w:qFormat/>
    <w:uiPriority w:val="99"/>
    <w:rPr>
      <w:b/>
      <w:bCs/>
      <w:kern w:val="2"/>
      <w:sz w:val="21"/>
      <w:szCs w:val="24"/>
    </w:rPr>
  </w:style>
  <w:style w:type="character" w:customStyle="1" w:styleId="181">
    <w:name w:val="正文文本缩进 3 Char"/>
    <w:qFormat/>
    <w:uiPriority w:val="0"/>
    <w:rPr>
      <w:kern w:val="2"/>
      <w:sz w:val="28"/>
    </w:rPr>
  </w:style>
  <w:style w:type="character" w:customStyle="1" w:styleId="182">
    <w:name w:val="font61"/>
    <w:qFormat/>
    <w:uiPriority w:val="0"/>
    <w:rPr>
      <w:rFonts w:hint="eastAsia" w:ascii="宋体" w:hAnsi="宋体" w:eastAsia="宋体" w:cs="宋体"/>
      <w:color w:val="000000"/>
      <w:sz w:val="22"/>
      <w:szCs w:val="22"/>
      <w:u w:val="none"/>
    </w:rPr>
  </w:style>
  <w:style w:type="character" w:customStyle="1" w:styleId="183">
    <w:name w:val="页眉 Char"/>
    <w:qFormat/>
    <w:uiPriority w:val="99"/>
    <w:rPr>
      <w:kern w:val="2"/>
      <w:sz w:val="18"/>
    </w:rPr>
  </w:style>
  <w:style w:type="paragraph" w:customStyle="1" w:styleId="184">
    <w:name w:val="1"/>
    <w:basedOn w:val="1"/>
    <w:next w:val="1"/>
    <w:qFormat/>
    <w:uiPriority w:val="0"/>
    <w:pPr>
      <w:spacing w:line="240" w:lineRule="auto"/>
      <w:ind w:firstLine="0" w:firstLineChars="0"/>
    </w:pPr>
  </w:style>
  <w:style w:type="paragraph" w:customStyle="1" w:styleId="185">
    <w:name w:val="Char2"/>
    <w:basedOn w:val="1"/>
    <w:qFormat/>
    <w:uiPriority w:val="0"/>
    <w:pPr>
      <w:spacing w:line="240" w:lineRule="auto"/>
      <w:ind w:firstLine="0" w:firstLineChars="0"/>
    </w:pPr>
    <w:rPr>
      <w:rFonts w:ascii="Tahoma" w:hAnsi="Tahoma"/>
      <w:sz w:val="24"/>
      <w:szCs w:val="20"/>
    </w:rPr>
  </w:style>
  <w:style w:type="paragraph" w:customStyle="1" w:styleId="186">
    <w:name w:val="列出段落1"/>
    <w:basedOn w:val="1"/>
    <w:qFormat/>
    <w:uiPriority w:val="34"/>
    <w:pPr>
      <w:ind w:firstLine="420"/>
    </w:pPr>
  </w:style>
  <w:style w:type="paragraph" w:customStyle="1" w:styleId="187">
    <w:name w:val="浅色网格 - 强调文字颜色 31"/>
    <w:basedOn w:val="1"/>
    <w:qFormat/>
    <w:uiPriority w:val="34"/>
    <w:pPr>
      <w:ind w:firstLine="420"/>
    </w:pPr>
    <w:rPr>
      <w:szCs w:val="20"/>
    </w:rPr>
  </w:style>
  <w:style w:type="paragraph" w:customStyle="1" w:styleId="188">
    <w:name w:val="样式 标题 2 + Times New Roman 四号 非加粗 段前: 5 磅 段后: 0 磅 行距: 固定值 20..."/>
    <w:basedOn w:val="3"/>
    <w:qFormat/>
    <w:uiPriority w:val="0"/>
    <w:pPr>
      <w:spacing w:before="100" w:after="0" w:line="400" w:lineRule="exact"/>
      <w:ind w:firstLine="0" w:firstLineChars="0"/>
    </w:pPr>
    <w:rPr>
      <w:rFonts w:ascii="Times New Roman" w:hAnsi="Times New Roman" w:eastAsia="黑体" w:cs="宋体"/>
      <w:b w:val="0"/>
      <w:bCs w:val="0"/>
      <w:kern w:val="2"/>
      <w:sz w:val="28"/>
      <w:szCs w:val="20"/>
    </w:rPr>
  </w:style>
  <w:style w:type="paragraph" w:customStyle="1" w:styleId="189">
    <w:name w:val="6'"/>
    <w:basedOn w:val="1"/>
    <w:qFormat/>
    <w:uiPriority w:val="0"/>
    <w:pPr>
      <w:autoSpaceDE w:val="0"/>
      <w:autoSpaceDN w:val="0"/>
      <w:adjustRightInd w:val="0"/>
      <w:snapToGrid w:val="0"/>
      <w:spacing w:line="320" w:lineRule="exact"/>
      <w:ind w:firstLine="0" w:firstLineChars="0"/>
      <w:jc w:val="center"/>
      <w:textAlignment w:val="baseline"/>
    </w:pPr>
    <w:rPr>
      <w:spacing w:val="20"/>
      <w:kern w:val="28"/>
      <w:szCs w:val="20"/>
    </w:rPr>
  </w:style>
  <w:style w:type="paragraph" w:customStyle="1" w:styleId="190">
    <w:name w:val="表头"/>
    <w:basedOn w:val="1"/>
    <w:qFormat/>
    <w:uiPriority w:val="0"/>
    <w:pPr>
      <w:adjustRightInd w:val="0"/>
      <w:spacing w:before="60" w:after="60" w:line="420" w:lineRule="atLeast"/>
      <w:ind w:firstLine="0" w:firstLineChars="0"/>
      <w:jc w:val="left"/>
      <w:textAlignment w:val="baseline"/>
    </w:pPr>
    <w:rPr>
      <w:rFonts w:ascii="黑体" w:eastAsia="黑体"/>
      <w:b/>
      <w:kern w:val="0"/>
      <w:szCs w:val="20"/>
    </w:rPr>
  </w:style>
  <w:style w:type="paragraph" w:customStyle="1" w:styleId="191">
    <w:name w:val="列出段落4"/>
    <w:basedOn w:val="1"/>
    <w:qFormat/>
    <w:uiPriority w:val="99"/>
    <w:pPr>
      <w:ind w:firstLine="420"/>
    </w:pPr>
  </w:style>
  <w:style w:type="paragraph" w:customStyle="1" w:styleId="192">
    <w:name w:val="表中"/>
    <w:basedOn w:val="1"/>
    <w:qFormat/>
    <w:uiPriority w:val="0"/>
    <w:pPr>
      <w:adjustRightInd w:val="0"/>
      <w:spacing w:line="360" w:lineRule="atLeast"/>
      <w:ind w:firstLine="0" w:firstLineChars="0"/>
      <w:jc w:val="center"/>
      <w:textAlignment w:val="baseline"/>
    </w:pPr>
    <w:rPr>
      <w:kern w:val="0"/>
      <w:szCs w:val="20"/>
    </w:rPr>
  </w:style>
  <w:style w:type="paragraph" w:customStyle="1" w:styleId="193">
    <w:name w:val="Char Char Char Char Char Char Char"/>
    <w:basedOn w:val="1"/>
    <w:qFormat/>
    <w:uiPriority w:val="0"/>
    <w:pPr>
      <w:spacing w:line="240" w:lineRule="auto"/>
      <w:ind w:firstLine="0" w:firstLineChars="0"/>
    </w:pPr>
    <w:rPr>
      <w:rFonts w:ascii="Tahoma" w:hAnsi="Tahoma" w:cs="仿宋_GB2312"/>
      <w:sz w:val="24"/>
      <w:szCs w:val="28"/>
    </w:rPr>
  </w:style>
  <w:style w:type="paragraph" w:customStyle="1" w:styleId="194">
    <w:name w:val="List Paragraph1"/>
    <w:basedOn w:val="1"/>
    <w:qFormat/>
    <w:uiPriority w:val="0"/>
    <w:pPr>
      <w:spacing w:line="240" w:lineRule="auto"/>
      <w:ind w:firstLine="0" w:firstLineChars="0"/>
    </w:pPr>
  </w:style>
  <w:style w:type="paragraph" w:customStyle="1" w:styleId="195">
    <w:name w:val="p0"/>
    <w:basedOn w:val="1"/>
    <w:qFormat/>
    <w:uiPriority w:val="0"/>
    <w:pPr>
      <w:widowControl/>
      <w:spacing w:line="240" w:lineRule="auto"/>
      <w:ind w:firstLine="0" w:firstLineChars="0"/>
      <w:jc w:val="left"/>
    </w:pPr>
    <w:rPr>
      <w:rFonts w:ascii="Calibri" w:hAnsi="Calibri"/>
      <w:kern w:val="0"/>
      <w:szCs w:val="21"/>
    </w:rPr>
  </w:style>
  <w:style w:type="paragraph" w:customStyle="1" w:styleId="196">
    <w:name w:val="列出段落11"/>
    <w:basedOn w:val="1"/>
    <w:qFormat/>
    <w:uiPriority w:val="34"/>
    <w:pPr>
      <w:ind w:firstLine="420"/>
    </w:pPr>
  </w:style>
  <w:style w:type="paragraph" w:customStyle="1" w:styleId="197">
    <w:name w:val="正文内文"/>
    <w:basedOn w:val="1"/>
    <w:qFormat/>
    <w:uiPriority w:val="0"/>
    <w:pPr>
      <w:adjustRightInd w:val="0"/>
      <w:snapToGrid w:val="0"/>
      <w:spacing w:line="400" w:lineRule="exact"/>
    </w:pPr>
    <w:rPr>
      <w:rFonts w:ascii="Arial" w:hAnsi="Arial" w:cs="Arial"/>
      <w:szCs w:val="21"/>
    </w:rPr>
  </w:style>
  <w:style w:type="paragraph" w:customStyle="1" w:styleId="198">
    <w:name w:val="p15"/>
    <w:basedOn w:val="1"/>
    <w:qFormat/>
    <w:uiPriority w:val="0"/>
    <w:pPr>
      <w:widowControl/>
      <w:spacing w:before="100" w:after="100" w:line="240" w:lineRule="auto"/>
      <w:ind w:firstLine="0" w:firstLineChars="0"/>
      <w:jc w:val="left"/>
    </w:pPr>
    <w:rPr>
      <w:rFonts w:ascii="宋体" w:hAnsi="宋体" w:cs="宋体"/>
      <w:color w:val="000000"/>
      <w:kern w:val="0"/>
      <w:sz w:val="24"/>
    </w:rPr>
  </w:style>
  <w:style w:type="paragraph" w:styleId="199">
    <w:name w:val="List Paragraph"/>
    <w:basedOn w:val="1"/>
    <w:qFormat/>
    <w:uiPriority w:val="99"/>
    <w:pPr>
      <w:spacing w:line="240" w:lineRule="auto"/>
      <w:ind w:firstLine="420"/>
    </w:pPr>
  </w:style>
  <w:style w:type="paragraph" w:customStyle="1" w:styleId="200">
    <w:name w:val="_Style 5"/>
    <w:basedOn w:val="1"/>
    <w:qFormat/>
    <w:uiPriority w:val="99"/>
    <w:pPr>
      <w:ind w:firstLine="420"/>
    </w:pPr>
  </w:style>
  <w:style w:type="paragraph" w:customStyle="1" w:styleId="201">
    <w:name w:val="样式2"/>
    <w:basedOn w:val="1"/>
    <w:qFormat/>
    <w:uiPriority w:val="0"/>
    <w:pPr>
      <w:spacing w:line="240" w:lineRule="auto"/>
      <w:ind w:firstLine="0" w:firstLineChars="0"/>
    </w:pPr>
    <w:rPr>
      <w:sz w:val="32"/>
      <w:szCs w:val="32"/>
    </w:rPr>
  </w:style>
  <w:style w:type="paragraph" w:customStyle="1" w:styleId="202">
    <w:name w:val="TOC Heading1"/>
    <w:basedOn w:val="2"/>
    <w:next w:val="1"/>
    <w:semiHidden/>
    <w:qFormat/>
    <w:uiPriority w:val="0"/>
    <w:pPr>
      <w:widowControl/>
      <w:spacing w:before="480" w:after="0" w:line="276" w:lineRule="auto"/>
      <w:ind w:firstLine="0" w:firstLineChars="0"/>
      <w:jc w:val="left"/>
      <w:outlineLvl w:val="9"/>
    </w:pPr>
    <w:rPr>
      <w:rFonts w:ascii="Cambria" w:hAnsi="Cambria"/>
      <w:color w:val="365F91"/>
      <w:kern w:val="0"/>
      <w:sz w:val="28"/>
      <w:szCs w:val="28"/>
    </w:rPr>
  </w:style>
  <w:style w:type="paragraph" w:customStyle="1" w:styleId="203">
    <w:name w:val="标准"/>
    <w:basedOn w:val="1"/>
    <w:qFormat/>
    <w:uiPriority w:val="0"/>
    <w:pPr>
      <w:ind w:firstLine="540" w:firstLineChars="225"/>
      <w:jc w:val="left"/>
    </w:pPr>
    <w:rPr>
      <w:rFonts w:hAnsi="宋体" w:cs="宋体"/>
      <w:sz w:val="24"/>
      <w:szCs w:val="20"/>
    </w:rPr>
  </w:style>
  <w:style w:type="paragraph" w:customStyle="1" w:styleId="204">
    <w:name w:val="样式1"/>
    <w:basedOn w:val="1"/>
    <w:qFormat/>
    <w:uiPriority w:val="0"/>
    <w:pPr>
      <w:numPr>
        <w:ilvl w:val="0"/>
        <w:numId w:val="1"/>
      </w:numPr>
      <w:tabs>
        <w:tab w:val="left" w:pos="709"/>
      </w:tabs>
      <w:adjustRightInd w:val="0"/>
      <w:spacing w:line="240" w:lineRule="auto"/>
      <w:ind w:firstLine="0" w:firstLineChars="0"/>
      <w:textAlignment w:val="baseline"/>
    </w:pPr>
    <w:rPr>
      <w:rFonts w:ascii="宋体" w:hAnsi="宋体"/>
      <w:kern w:val="0"/>
      <w:szCs w:val="21"/>
    </w:rPr>
  </w:style>
  <w:style w:type="paragraph" w:customStyle="1" w:styleId="205">
    <w:name w:val="Char Char Char Char Char Char Char1"/>
    <w:basedOn w:val="14"/>
    <w:qFormat/>
    <w:uiPriority w:val="0"/>
    <w:pPr>
      <w:shd w:val="clear" w:color="auto" w:fill="000080"/>
      <w:adjustRightInd w:val="0"/>
      <w:spacing w:line="436" w:lineRule="exact"/>
      <w:ind w:left="357" w:firstLine="0" w:firstLineChars="0"/>
      <w:jc w:val="left"/>
      <w:outlineLvl w:val="3"/>
    </w:pPr>
    <w:rPr>
      <w:rFonts w:ascii="Times New Roman" w:hAnsi="Times New Roman"/>
      <w:sz w:val="28"/>
      <w:szCs w:val="24"/>
    </w:rPr>
  </w:style>
  <w:style w:type="paragraph" w:customStyle="1" w:styleId="206">
    <w:name w:val="表格"/>
    <w:basedOn w:val="1"/>
    <w:qFormat/>
    <w:uiPriority w:val="0"/>
    <w:pPr>
      <w:spacing w:line="240" w:lineRule="auto"/>
      <w:ind w:firstLine="0" w:firstLineChars="0"/>
      <w:jc w:val="center"/>
      <w:textAlignment w:val="center"/>
    </w:pPr>
    <w:rPr>
      <w:rFonts w:ascii="华文细黑" w:hAnsi="华文细黑"/>
      <w:kern w:val="0"/>
      <w:szCs w:val="20"/>
    </w:rPr>
  </w:style>
  <w:style w:type="paragraph" w:customStyle="1" w:styleId="207">
    <w:name w:val="样式 标题 1 + 黑体 三号 非加粗 居中 段前: 6 磅 段后: 6 磅 行距: 固定值 20 磅"/>
    <w:basedOn w:val="2"/>
    <w:qFormat/>
    <w:uiPriority w:val="0"/>
    <w:pPr>
      <w:spacing w:before="120" w:after="120" w:line="400" w:lineRule="exact"/>
      <w:ind w:firstLine="0" w:firstLineChars="0"/>
      <w:jc w:val="center"/>
    </w:pPr>
    <w:rPr>
      <w:rFonts w:ascii="黑体" w:hAnsi="黑体" w:eastAsia="黑体" w:cs="宋体"/>
      <w:b w:val="0"/>
      <w:bCs w:val="0"/>
      <w:sz w:val="32"/>
      <w:szCs w:val="20"/>
    </w:rPr>
  </w:style>
  <w:style w:type="paragraph" w:customStyle="1" w:styleId="208">
    <w:name w:val="[基本段落]"/>
    <w:basedOn w:val="209"/>
    <w:qFormat/>
    <w:uiPriority w:val="0"/>
  </w:style>
  <w:style w:type="paragraph" w:customStyle="1" w:styleId="209">
    <w:name w:val="[无段落样式]"/>
    <w:qFormat/>
    <w:uiPriority w:val="0"/>
    <w:pPr>
      <w:widowControl w:val="0"/>
      <w:autoSpaceDE w:val="0"/>
      <w:autoSpaceDN w:val="0"/>
      <w:adjustRightInd w:val="0"/>
      <w:spacing w:line="288" w:lineRule="auto"/>
      <w:jc w:val="both"/>
      <w:textAlignment w:val="center"/>
    </w:pPr>
    <w:rPr>
      <w:rFonts w:ascii="宋体" w:hAnsi="Times New Roman" w:eastAsia="宋体" w:cs="Times New Roman"/>
      <w:color w:val="000000"/>
      <w:sz w:val="24"/>
      <w:szCs w:val="24"/>
      <w:lang w:val="zh-CN" w:eastAsia="zh-CN" w:bidi="ar-SA"/>
    </w:rPr>
  </w:style>
  <w:style w:type="paragraph" w:customStyle="1" w:styleId="210">
    <w:name w:val="_Style 414"/>
    <w:basedOn w:val="1"/>
    <w:qFormat/>
    <w:uiPriority w:val="0"/>
    <w:pPr>
      <w:spacing w:before="100" w:after="100" w:line="480" w:lineRule="auto"/>
      <w:ind w:firstLine="0" w:firstLineChars="0"/>
    </w:pPr>
    <w:rPr>
      <w:rFonts w:ascii="宋体" w:hAnsi="宋体" w:eastAsia="黑体" w:cs="宋体"/>
      <w:sz w:val="28"/>
    </w:rPr>
  </w:style>
  <w:style w:type="paragraph" w:customStyle="1" w:styleId="211">
    <w:name w:val="_Style 48"/>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2">
    <w:name w:val="reader-word-layer reader-word-s1-13"/>
    <w:basedOn w:val="1"/>
    <w:qFormat/>
    <w:uiPriority w:val="0"/>
    <w:pPr>
      <w:widowControl/>
      <w:spacing w:before="100" w:beforeAutospacing="1" w:after="100" w:afterAutospacing="1" w:line="240" w:lineRule="auto"/>
      <w:ind w:firstLine="0" w:firstLineChars="0"/>
      <w:jc w:val="left"/>
    </w:pPr>
    <w:rPr>
      <w:rFonts w:ascii="宋体" w:hAnsi="宋体" w:cs="宋体"/>
      <w:kern w:val="0"/>
      <w:sz w:val="24"/>
    </w:rPr>
  </w:style>
  <w:style w:type="paragraph" w:customStyle="1" w:styleId="213">
    <w:name w:val="Default"/>
    <w:qFormat/>
    <w:uiPriority w:val="0"/>
    <w:pPr>
      <w:widowControl w:val="0"/>
      <w:autoSpaceDE w:val="0"/>
      <w:autoSpaceDN w:val="0"/>
      <w:adjustRightInd w:val="0"/>
      <w:jc w:val="both"/>
    </w:pPr>
    <w:rPr>
      <w:rFonts w:ascii="宋体" w:hAnsi="宋体" w:eastAsia="宋体" w:cs="宋体"/>
      <w:color w:val="000000"/>
      <w:sz w:val="24"/>
      <w:szCs w:val="24"/>
      <w:lang w:val="en-US" w:eastAsia="zh-CN" w:bidi="ar-SA"/>
    </w:rPr>
  </w:style>
  <w:style w:type="paragraph" w:customStyle="1" w:styleId="214">
    <w:name w:val="样式 标题 3 + (中文) 黑体 小四 非加粗 段前: 7.8 磅 段后: 0 磅 行距: 固定值 20 磅"/>
    <w:basedOn w:val="4"/>
    <w:qFormat/>
    <w:uiPriority w:val="0"/>
    <w:pPr>
      <w:spacing w:before="0" w:after="0" w:line="400" w:lineRule="exact"/>
      <w:ind w:firstLine="0" w:firstLineChars="0"/>
    </w:pPr>
    <w:rPr>
      <w:rFonts w:ascii="Times New Roman" w:hAnsi="Times New Roman" w:eastAsia="黑体" w:cs="宋体"/>
      <w:b w:val="0"/>
      <w:bCs w:val="0"/>
      <w:kern w:val="2"/>
      <w:sz w:val="24"/>
      <w:szCs w:val="20"/>
    </w:rPr>
  </w:style>
  <w:style w:type="paragraph" w:customStyle="1" w:styleId="215">
    <w:name w:val="居中黑体"/>
    <w:basedOn w:val="1"/>
    <w:qFormat/>
    <w:uiPriority w:val="0"/>
    <w:pPr>
      <w:autoSpaceDE w:val="0"/>
      <w:autoSpaceDN w:val="0"/>
      <w:adjustRightInd w:val="0"/>
      <w:spacing w:before="227" w:after="113" w:line="400" w:lineRule="atLeast"/>
      <w:ind w:firstLine="0" w:firstLineChars="0"/>
      <w:jc w:val="center"/>
      <w:textAlignment w:val="center"/>
    </w:pPr>
    <w:rPr>
      <w:rFonts w:ascii="方正兰亭黑_GBK" w:eastAsia="方正兰亭黑_GBK" w:cs="方正兰亭黑_GBK"/>
      <w:color w:val="000000"/>
      <w:kern w:val="0"/>
      <w:sz w:val="26"/>
      <w:szCs w:val="26"/>
      <w:lang w:val="zh-CN"/>
    </w:rPr>
  </w:style>
  <w:style w:type="paragraph" w:customStyle="1" w:styleId="216">
    <w:name w:val="Char"/>
    <w:basedOn w:val="14"/>
    <w:qFormat/>
    <w:uiPriority w:val="0"/>
    <w:pPr>
      <w:shd w:val="clear" w:color="auto" w:fill="000080"/>
      <w:spacing w:line="240" w:lineRule="auto"/>
      <w:ind w:firstLine="0" w:firstLineChars="0"/>
    </w:pPr>
    <w:rPr>
      <w:rFonts w:hAnsi="宋体"/>
      <w:sz w:val="24"/>
      <w:szCs w:val="24"/>
    </w:rPr>
  </w:style>
  <w:style w:type="paragraph" w:customStyle="1" w:styleId="217">
    <w:name w:val="表格文字"/>
    <w:basedOn w:val="1"/>
    <w:qFormat/>
    <w:uiPriority w:val="0"/>
    <w:pPr>
      <w:adjustRightInd w:val="0"/>
      <w:spacing w:line="420" w:lineRule="atLeast"/>
      <w:ind w:firstLine="0" w:firstLineChars="0"/>
      <w:jc w:val="left"/>
      <w:textAlignment w:val="baseline"/>
    </w:pPr>
    <w:rPr>
      <w:kern w:val="0"/>
      <w:szCs w:val="20"/>
    </w:rPr>
  </w:style>
  <w:style w:type="paragraph" w:customStyle="1" w:styleId="218">
    <w:name w:val="reader-word-layer reader-word-s1-11"/>
    <w:basedOn w:val="1"/>
    <w:qFormat/>
    <w:uiPriority w:val="0"/>
    <w:pPr>
      <w:widowControl/>
      <w:spacing w:before="100" w:beforeAutospacing="1" w:after="100" w:afterAutospacing="1" w:line="240" w:lineRule="auto"/>
      <w:ind w:firstLine="0" w:firstLineChars="0"/>
      <w:jc w:val="left"/>
    </w:pPr>
    <w:rPr>
      <w:rFonts w:ascii="宋体" w:hAnsi="宋体" w:cs="宋体"/>
      <w:kern w:val="0"/>
      <w:sz w:val="24"/>
    </w:rPr>
  </w:style>
  <w:style w:type="table" w:customStyle="1" w:styleId="219">
    <w:name w:val="网格型1"/>
    <w:basedOn w:val="44"/>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20">
    <w:name w:val="15"/>
    <w:basedOn w:val="46"/>
    <w:qFormat/>
    <w:uiPriority w:val="0"/>
    <w:rPr>
      <w:rFonts w:hint="eastAsia" w:ascii="宋体" w:hAnsi="宋体" w:eastAsia="宋体"/>
      <w:b/>
      <w:bCs/>
      <w:sz w:val="18"/>
      <w:szCs w:val="18"/>
    </w:rPr>
  </w:style>
  <w:style w:type="character" w:customStyle="1" w:styleId="221">
    <w:name w:val="16"/>
    <w:basedOn w:val="46"/>
    <w:qFormat/>
    <w:uiPriority w:val="0"/>
    <w:rPr>
      <w:rFonts w:hint="eastAsia" w:ascii="宋体" w:hAnsi="宋体" w:eastAsia="宋体"/>
      <w:sz w:val="18"/>
      <w:szCs w:val="18"/>
    </w:rPr>
  </w:style>
  <w:style w:type="paragraph" w:customStyle="1" w:styleId="222">
    <w:name w:val="列出段落3"/>
    <w:basedOn w:val="1"/>
    <w:semiHidden/>
    <w:qFormat/>
    <w:uiPriority w:val="0"/>
    <w:pPr>
      <w:spacing w:line="240" w:lineRule="auto"/>
      <w:ind w:firstLine="420"/>
    </w:pPr>
    <w:rPr>
      <w:rFonts w:ascii="Calibri" w:hAnsi="Calibri"/>
      <w:szCs w:val="21"/>
    </w:rPr>
  </w:style>
  <w:style w:type="paragraph" w:customStyle="1" w:styleId="223">
    <w:name w:val="修订1"/>
    <w:hidden/>
    <w:semiHidden/>
    <w:qFormat/>
    <w:uiPriority w:val="99"/>
    <w:rPr>
      <w:rFonts w:ascii="Times New Roman" w:hAnsi="Times New Roman" w:eastAsia="宋体" w:cs="Times New Roman"/>
      <w:kern w:val="2"/>
      <w:sz w:val="21"/>
      <w:szCs w:val="24"/>
      <w:lang w:val="en-US" w:eastAsia="zh-CN" w:bidi="ar-SA"/>
    </w:rPr>
  </w:style>
  <w:style w:type="table" w:customStyle="1" w:styleId="224">
    <w:name w:val="网格型2"/>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25">
    <w:name w:val="Table Paragraph"/>
    <w:basedOn w:val="1"/>
    <w:qFormat/>
    <w:uiPriority w:val="1"/>
    <w:pPr>
      <w:autoSpaceDE w:val="0"/>
      <w:autoSpaceDN w:val="0"/>
      <w:spacing w:line="240" w:lineRule="auto"/>
      <w:ind w:firstLine="0" w:firstLineChars="0"/>
      <w:jc w:val="left"/>
    </w:pPr>
    <w:rPr>
      <w:rFonts w:ascii="Arial" w:hAnsi="Arial" w:eastAsia="Arial" w:cs="Arial"/>
      <w:kern w:val="0"/>
      <w:sz w:val="22"/>
      <w:szCs w:val="22"/>
      <w:lang w:eastAsia="en-US"/>
    </w:rPr>
  </w:style>
  <w:style w:type="paragraph" w:customStyle="1" w:styleId="226">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227">
    <w:name w:val="Table Text"/>
    <w:basedOn w:val="1"/>
    <w:semiHidden/>
    <w:qFormat/>
    <w:uiPriority w:val="0"/>
    <w:pPr>
      <w:widowControl/>
      <w:kinsoku w:val="0"/>
      <w:autoSpaceDE w:val="0"/>
      <w:autoSpaceDN w:val="0"/>
      <w:adjustRightInd w:val="0"/>
      <w:snapToGrid w:val="0"/>
      <w:spacing w:line="240" w:lineRule="auto"/>
      <w:ind w:firstLine="0" w:firstLineChars="0"/>
      <w:jc w:val="left"/>
      <w:textAlignment w:val="baseline"/>
    </w:pPr>
    <w:rPr>
      <w:rFonts w:ascii="宋体" w:hAnsi="宋体" w:cs="宋体"/>
      <w:snapToGrid w:val="0"/>
      <w:color w:val="000000"/>
      <w:kern w:val="0"/>
      <w:sz w:val="23"/>
      <w:szCs w:val="23"/>
      <w:lang w:eastAsia="en-US"/>
    </w:rPr>
  </w:style>
  <w:style w:type="table" w:customStyle="1" w:styleId="228">
    <w:name w:val="Table Normal"/>
    <w:basedOn w:val="44"/>
    <w:qFormat/>
    <w:uiPriority w:val="0"/>
    <w:rPr>
      <w:rFonts w:eastAsia="Times New Roman"/>
    </w:rPr>
    <w:tblPr>
      <w:tblCellMar>
        <w:left w:w="0" w:type="dxa"/>
        <w:right w:w="0" w:type="dxa"/>
      </w:tblCellMar>
    </w:tblPr>
  </w:style>
  <w:style w:type="paragraph" w:customStyle="1" w:styleId="229">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0EF6EA-3920-4884-8DFC-107E5FE4F315}">
  <ds:schemaRefs/>
</ds:datastoreItem>
</file>

<file path=docProps/app.xml><?xml version="1.0" encoding="utf-8"?>
<Properties xmlns="http://schemas.openxmlformats.org/officeDocument/2006/extended-properties" xmlns:vt="http://schemas.openxmlformats.org/officeDocument/2006/docPropsVTypes">
  <Template>Normal</Template>
  <Pages>69</Pages>
  <Words>14305</Words>
  <Characters>15445</Characters>
  <Lines>285</Lines>
  <Paragraphs>80</Paragraphs>
  <TotalTime>257</TotalTime>
  <ScaleCrop>false</ScaleCrop>
  <LinksUpToDate>false</LinksUpToDate>
  <CharactersWithSpaces>15500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2023-04-26T10:49:00Z</dcterms:created>
  <dc:creator>Administrator</dc:creator>
  <cp:lastModifiedBy>谭韫</cp:lastModifiedBy>
  <cp:lastPrinted>2024-01-18T03:30:00Z</cp:lastPrinted>
  <dcterms:modified xsi:type="dcterms:W3CDTF">2025-01-21T02:45:16Z</dcterms:modified>
  <cp:revision>717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D7B1D25624964463A8AB3C1F052C3EBB</vt:lpwstr>
  </property>
  <property fmtid="{D5CDD505-2E9C-101B-9397-08002B2CF9AE}" pid="4" name="KSOTemplateDocerSaveRecord">
    <vt:lpwstr>eyJoZGlkIjoiY2Y2OTFkNjNmNzgxMjRjNzkwMzc0NTNjNzA5M2FlZWMiLCJ1c2VySWQiOiIxNDc5ODMyMTkzIn0=</vt:lpwstr>
  </property>
</Properties>
</file>