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C7B5C5">
      <w:pPr>
        <w:spacing w:before="50"/>
      </w:pPr>
    </w:p>
    <w:tbl>
      <w:tblPr>
        <w:tblStyle w:val="5"/>
        <w:tblW w:w="14177" w:type="dxa"/>
        <w:tblInd w:w="4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8"/>
        <w:gridCol w:w="1603"/>
        <w:gridCol w:w="2155"/>
        <w:gridCol w:w="2191"/>
        <w:gridCol w:w="1394"/>
        <w:gridCol w:w="1112"/>
        <w:gridCol w:w="4974"/>
      </w:tblGrid>
      <w:tr w14:paraId="45F457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14177" w:type="dxa"/>
            <w:gridSpan w:val="7"/>
            <w:vAlign w:val="top"/>
          </w:tcPr>
          <w:p w14:paraId="12E30285">
            <w:pPr>
              <w:pStyle w:val="6"/>
              <w:spacing w:before="174" w:line="224" w:lineRule="auto"/>
              <w:ind w:left="56"/>
              <w:rPr>
                <w:sz w:val="31"/>
                <w:szCs w:val="31"/>
              </w:rPr>
            </w:pPr>
            <w:r>
              <w:rPr>
                <w:b/>
                <w:bCs/>
                <w:spacing w:val="5"/>
                <w:sz w:val="31"/>
                <w:szCs w:val="31"/>
              </w:rPr>
              <w:t>中标（成交）供应商的中标（成交）原因</w:t>
            </w:r>
          </w:p>
        </w:tc>
      </w:tr>
      <w:tr w14:paraId="53B5FC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trPr>
        <w:tc>
          <w:tcPr>
            <w:tcW w:w="748" w:type="dxa"/>
            <w:vAlign w:val="top"/>
          </w:tcPr>
          <w:p w14:paraId="21D98EB0">
            <w:pPr>
              <w:pStyle w:val="6"/>
              <w:spacing w:before="209" w:line="221" w:lineRule="auto"/>
              <w:ind w:left="138"/>
            </w:pPr>
            <w:r>
              <w:rPr>
                <w:b/>
                <w:bCs/>
                <w:spacing w:val="-8"/>
              </w:rPr>
              <w:t>包号</w:t>
            </w:r>
          </w:p>
        </w:tc>
        <w:tc>
          <w:tcPr>
            <w:tcW w:w="1603" w:type="dxa"/>
            <w:vAlign w:val="top"/>
          </w:tcPr>
          <w:p w14:paraId="318EAAF5">
            <w:pPr>
              <w:pStyle w:val="6"/>
              <w:spacing w:before="209" w:line="219" w:lineRule="auto"/>
              <w:ind w:left="323"/>
            </w:pPr>
            <w:r>
              <w:rPr>
                <w:b/>
                <w:bCs/>
                <w:spacing w:val="-5"/>
              </w:rPr>
              <w:t>采购名称</w:t>
            </w:r>
          </w:p>
        </w:tc>
        <w:tc>
          <w:tcPr>
            <w:tcW w:w="2155" w:type="dxa"/>
            <w:vAlign w:val="top"/>
          </w:tcPr>
          <w:p w14:paraId="484B2093">
            <w:pPr>
              <w:pStyle w:val="6"/>
              <w:spacing w:before="209" w:line="219" w:lineRule="auto"/>
              <w:ind w:left="480"/>
            </w:pPr>
            <w:r>
              <w:rPr>
                <w:b/>
                <w:bCs/>
                <w:spacing w:val="-4"/>
              </w:rPr>
              <w:t>供应商名称</w:t>
            </w:r>
          </w:p>
        </w:tc>
        <w:tc>
          <w:tcPr>
            <w:tcW w:w="2191" w:type="dxa"/>
            <w:vAlign w:val="top"/>
          </w:tcPr>
          <w:p w14:paraId="5091CA27">
            <w:pPr>
              <w:pStyle w:val="6"/>
              <w:spacing w:before="53" w:line="223" w:lineRule="auto"/>
              <w:ind w:left="859" w:right="13" w:hanging="817"/>
            </w:pPr>
            <w:r>
              <w:rPr>
                <w:b/>
                <w:bCs/>
                <w:spacing w:val="-6"/>
              </w:rPr>
              <w:t>中标（成交）供应商</w:t>
            </w:r>
            <w:r>
              <w:t xml:space="preserve"> </w:t>
            </w:r>
            <w:r>
              <w:rPr>
                <w:b/>
                <w:bCs/>
                <w:spacing w:val="-8"/>
              </w:rPr>
              <w:t>地址</w:t>
            </w:r>
          </w:p>
        </w:tc>
        <w:tc>
          <w:tcPr>
            <w:tcW w:w="1394" w:type="dxa"/>
            <w:vAlign w:val="top"/>
          </w:tcPr>
          <w:p w14:paraId="56853A34">
            <w:pPr>
              <w:pStyle w:val="6"/>
              <w:spacing w:before="53" w:line="223" w:lineRule="auto"/>
              <w:ind w:left="203" w:right="154" w:firstLine="17"/>
            </w:pPr>
            <w:r>
              <w:rPr>
                <w:b/>
                <w:bCs/>
                <w:spacing w:val="-5"/>
              </w:rPr>
              <w:t>服务费率</w:t>
            </w:r>
            <w:r>
              <w:rPr>
                <w:spacing w:val="1"/>
              </w:rPr>
              <w:t xml:space="preserve"> </w:t>
            </w:r>
            <w:r>
              <w:rPr>
                <w:b/>
                <w:bCs/>
                <w:spacing w:val="-11"/>
              </w:rPr>
              <w:t>(单位：%)</w:t>
            </w:r>
          </w:p>
        </w:tc>
        <w:tc>
          <w:tcPr>
            <w:tcW w:w="1112" w:type="dxa"/>
            <w:vAlign w:val="top"/>
          </w:tcPr>
          <w:p w14:paraId="1DA76C07">
            <w:pPr>
              <w:pStyle w:val="6"/>
              <w:spacing w:before="53" w:line="223" w:lineRule="auto"/>
              <w:ind w:left="81" w:right="71" w:firstLine="3"/>
            </w:pPr>
            <w:r>
              <w:rPr>
                <w:b/>
                <w:bCs/>
                <w:spacing w:val="-5"/>
              </w:rPr>
              <w:t>综合评审</w:t>
            </w:r>
            <w:r>
              <w:t xml:space="preserve"> </w:t>
            </w:r>
            <w:r>
              <w:rPr>
                <w:b/>
                <w:bCs/>
                <w:spacing w:val="-5"/>
              </w:rPr>
              <w:t>平均得分</w:t>
            </w:r>
          </w:p>
        </w:tc>
        <w:tc>
          <w:tcPr>
            <w:tcW w:w="4974" w:type="dxa"/>
            <w:vAlign w:val="top"/>
          </w:tcPr>
          <w:p w14:paraId="2D3E8F5D">
            <w:pPr>
              <w:pStyle w:val="6"/>
              <w:spacing w:before="209" w:line="220" w:lineRule="auto"/>
              <w:ind w:left="1551"/>
            </w:pPr>
            <w:r>
              <w:rPr>
                <w:b/>
                <w:bCs/>
                <w:spacing w:val="-6"/>
              </w:rPr>
              <w:t>中标（成交）理由</w:t>
            </w:r>
          </w:p>
        </w:tc>
      </w:tr>
      <w:tr w14:paraId="445C33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7" w:hRule="atLeast"/>
        </w:trPr>
        <w:tc>
          <w:tcPr>
            <w:tcW w:w="748" w:type="dxa"/>
            <w:vAlign w:val="top"/>
          </w:tcPr>
          <w:p w14:paraId="30B17851">
            <w:pPr>
              <w:spacing w:line="287" w:lineRule="auto"/>
              <w:rPr>
                <w:rFonts w:ascii="Arial"/>
                <w:sz w:val="21"/>
              </w:rPr>
            </w:pPr>
          </w:p>
          <w:p w14:paraId="0CAB759E">
            <w:pPr>
              <w:spacing w:line="287" w:lineRule="auto"/>
              <w:rPr>
                <w:rFonts w:ascii="Arial"/>
                <w:sz w:val="21"/>
              </w:rPr>
            </w:pPr>
          </w:p>
          <w:p w14:paraId="4D539851">
            <w:pPr>
              <w:pStyle w:val="6"/>
              <w:spacing w:before="78" w:line="227" w:lineRule="auto"/>
              <w:ind w:left="109"/>
            </w:pPr>
            <w:r>
              <w:rPr>
                <w:spacing w:val="-7"/>
              </w:rPr>
              <w:t>包</w:t>
            </w:r>
            <w:r>
              <w:rPr>
                <w:spacing w:val="-49"/>
              </w:rPr>
              <w:t xml:space="preserve"> </w:t>
            </w:r>
            <w:r>
              <w:rPr>
                <w:spacing w:val="-7"/>
              </w:rPr>
              <w:t>01</w:t>
            </w:r>
          </w:p>
        </w:tc>
        <w:tc>
          <w:tcPr>
            <w:tcW w:w="1603" w:type="dxa"/>
            <w:vAlign w:val="top"/>
          </w:tcPr>
          <w:p w14:paraId="041A34E1">
            <w:pPr>
              <w:pStyle w:val="6"/>
              <w:spacing w:before="187" w:line="235" w:lineRule="auto"/>
              <w:ind w:left="38" w:right="20" w:firstLine="59"/>
            </w:pPr>
            <w:r>
              <w:rPr>
                <w:rFonts w:hint="eastAsia" w:ascii="宋体" w:hAnsi="宋体" w:eastAsia="宋体" w:cs="宋体"/>
                <w:kern w:val="0"/>
                <w:sz w:val="24"/>
                <w:szCs w:val="24"/>
                <w:vertAlign w:val="baseline"/>
                <w:lang w:val="en-US" w:eastAsia="zh-CN" w:bidi="ar"/>
              </w:rPr>
              <w:t>医用耗材供应链延伸（SPD）及集中配送服务</w:t>
            </w:r>
          </w:p>
        </w:tc>
        <w:tc>
          <w:tcPr>
            <w:tcW w:w="2155" w:type="dxa"/>
            <w:vAlign w:val="top"/>
          </w:tcPr>
          <w:p w14:paraId="1D4F6320">
            <w:pPr>
              <w:spacing w:line="419" w:lineRule="auto"/>
              <w:rPr>
                <w:rFonts w:ascii="Arial"/>
                <w:sz w:val="21"/>
              </w:rPr>
            </w:pPr>
          </w:p>
          <w:p w14:paraId="6BDC4A78">
            <w:pPr>
              <w:pStyle w:val="6"/>
              <w:spacing w:before="78" w:line="230" w:lineRule="auto"/>
              <w:ind w:left="36" w:right="219" w:firstLine="4"/>
            </w:pPr>
            <w:r>
              <w:rPr>
                <w:rFonts w:hint="eastAsia" w:ascii="宋体" w:hAnsi="宋体" w:eastAsia="宋体" w:cs="宋体"/>
                <w:kern w:val="0"/>
                <w:sz w:val="24"/>
                <w:szCs w:val="24"/>
                <w:vertAlign w:val="baseline"/>
                <w:lang w:val="en-US" w:eastAsia="zh-CN" w:bidi="ar"/>
              </w:rPr>
              <w:t>国药集团青岛医疗器械有限公司</w:t>
            </w:r>
          </w:p>
        </w:tc>
        <w:tc>
          <w:tcPr>
            <w:tcW w:w="2191" w:type="dxa"/>
            <w:vAlign w:val="top"/>
          </w:tcPr>
          <w:p w14:paraId="6EE16796">
            <w:pPr>
              <w:spacing w:line="418" w:lineRule="auto"/>
              <w:rPr>
                <w:rFonts w:ascii="Arial"/>
                <w:sz w:val="21"/>
              </w:rPr>
            </w:pPr>
          </w:p>
          <w:p w14:paraId="380AAD0A">
            <w:pPr>
              <w:pStyle w:val="6"/>
              <w:spacing w:before="78" w:line="230" w:lineRule="auto"/>
              <w:ind w:left="380" w:right="13" w:hanging="337"/>
              <w:jc w:val="both"/>
              <w:rPr>
                <w:rFonts w:hint="eastAsia"/>
              </w:rPr>
            </w:pPr>
            <w:r>
              <w:rPr>
                <w:rFonts w:hint="eastAsia"/>
              </w:rPr>
              <w:t>山东省青岛市高新区锦汇路1号蓝湾创业园B1楼</w:t>
            </w:r>
          </w:p>
          <w:p w14:paraId="67D0303D">
            <w:pPr>
              <w:pStyle w:val="6"/>
              <w:spacing w:before="78" w:line="230" w:lineRule="auto"/>
              <w:ind w:left="380" w:right="13" w:hanging="337"/>
              <w:jc w:val="both"/>
            </w:pPr>
          </w:p>
        </w:tc>
        <w:tc>
          <w:tcPr>
            <w:tcW w:w="1394" w:type="dxa"/>
            <w:vAlign w:val="top"/>
          </w:tcPr>
          <w:p w14:paraId="21E13FDD">
            <w:pPr>
              <w:spacing w:line="306" w:lineRule="auto"/>
              <w:rPr>
                <w:rFonts w:ascii="Arial"/>
                <w:sz w:val="21"/>
              </w:rPr>
            </w:pPr>
          </w:p>
          <w:p w14:paraId="16C57A27">
            <w:pPr>
              <w:spacing w:line="306" w:lineRule="auto"/>
              <w:rPr>
                <w:rFonts w:ascii="Arial"/>
                <w:sz w:val="21"/>
              </w:rPr>
            </w:pPr>
          </w:p>
          <w:p w14:paraId="4001457F">
            <w:pPr>
              <w:pStyle w:val="6"/>
              <w:spacing w:before="78" w:line="183" w:lineRule="auto"/>
              <w:ind w:left="468"/>
              <w:rPr>
                <w:rFonts w:hint="default" w:eastAsia="宋体"/>
                <w:lang w:val="en-US" w:eastAsia="zh-CN"/>
              </w:rPr>
            </w:pPr>
            <w:r>
              <w:rPr>
                <w:rFonts w:hint="eastAsia"/>
                <w:spacing w:val="-4"/>
                <w:lang w:val="en-US" w:eastAsia="zh-CN"/>
              </w:rPr>
              <w:t>4.0%</w:t>
            </w:r>
          </w:p>
        </w:tc>
        <w:tc>
          <w:tcPr>
            <w:tcW w:w="1112" w:type="dxa"/>
            <w:vAlign w:val="top"/>
          </w:tcPr>
          <w:p w14:paraId="31FBEACF">
            <w:pPr>
              <w:spacing w:line="308" w:lineRule="auto"/>
              <w:rPr>
                <w:rFonts w:ascii="Arial"/>
                <w:sz w:val="21"/>
              </w:rPr>
            </w:pPr>
          </w:p>
          <w:p w14:paraId="62F6B4AF">
            <w:pPr>
              <w:spacing w:line="308" w:lineRule="auto"/>
              <w:rPr>
                <w:rFonts w:ascii="Arial"/>
                <w:sz w:val="21"/>
              </w:rPr>
            </w:pPr>
          </w:p>
          <w:p w14:paraId="7662FCB6">
            <w:pPr>
              <w:spacing w:before="78" w:line="180" w:lineRule="auto"/>
              <w:ind w:left="262"/>
              <w:rPr>
                <w:rFonts w:ascii="仿宋" w:hAnsi="仿宋" w:eastAsia="仿宋" w:cs="仿宋"/>
                <w:sz w:val="24"/>
                <w:szCs w:val="24"/>
              </w:rPr>
            </w:pPr>
            <w:r>
              <w:rPr>
                <w:rFonts w:hint="eastAsia" w:ascii="仿宋" w:hAnsi="仿宋" w:eastAsia="仿宋" w:cs="仿宋"/>
                <w:sz w:val="24"/>
                <w:szCs w:val="24"/>
                <w:lang w:val="en-US" w:eastAsia="zh-CN"/>
              </w:rPr>
              <w:t>87.00</w:t>
            </w:r>
          </w:p>
        </w:tc>
        <w:tc>
          <w:tcPr>
            <w:tcW w:w="4974" w:type="dxa"/>
            <w:vAlign w:val="top"/>
          </w:tcPr>
          <w:p w14:paraId="2F6177B9">
            <w:pPr>
              <w:spacing w:line="264" w:lineRule="auto"/>
              <w:rPr>
                <w:rFonts w:ascii="Arial"/>
                <w:sz w:val="21"/>
              </w:rPr>
            </w:pPr>
          </w:p>
          <w:p w14:paraId="0AE1AD4D">
            <w:pPr>
              <w:pStyle w:val="6"/>
              <w:spacing w:before="78" w:line="218" w:lineRule="auto"/>
              <w:ind w:left="96"/>
            </w:pPr>
            <w:r>
              <w:rPr>
                <w:spacing w:val="-1"/>
              </w:rPr>
              <w:t>经磋商小组采用综合评分法对提交投标报价供</w:t>
            </w:r>
          </w:p>
          <w:p w14:paraId="0FD5BE00">
            <w:pPr>
              <w:pStyle w:val="6"/>
              <w:spacing w:before="27" w:line="230" w:lineRule="auto"/>
              <w:ind w:left="2136" w:right="14" w:hanging="2114"/>
            </w:pPr>
            <w:r>
              <w:rPr>
                <w:spacing w:val="-6"/>
              </w:rPr>
              <w:t>应商的响应文件和投标报价进行综合评分，得分</w:t>
            </w:r>
            <w:r>
              <w:rPr>
                <w:spacing w:val="17"/>
              </w:rPr>
              <w:t xml:space="preserve"> </w:t>
            </w:r>
            <w:r>
              <w:rPr>
                <w:spacing w:val="-5"/>
              </w:rPr>
              <w:t>最高。</w:t>
            </w:r>
          </w:p>
        </w:tc>
      </w:tr>
    </w:tbl>
    <w:p w14:paraId="62C5FEC0">
      <w:pPr>
        <w:spacing w:before="71"/>
      </w:pPr>
    </w:p>
    <w:p w14:paraId="1640A258">
      <w:pPr>
        <w:spacing w:before="70"/>
      </w:pPr>
    </w:p>
    <w:tbl>
      <w:tblPr>
        <w:tblStyle w:val="5"/>
        <w:tblW w:w="142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8"/>
        <w:gridCol w:w="4769"/>
        <w:gridCol w:w="8537"/>
      </w:tblGrid>
      <w:tr w14:paraId="02647B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14264" w:type="dxa"/>
            <w:gridSpan w:val="3"/>
            <w:vAlign w:val="top"/>
          </w:tcPr>
          <w:p w14:paraId="5A38C8FB">
            <w:pPr>
              <w:pStyle w:val="6"/>
              <w:spacing w:before="309" w:line="224" w:lineRule="auto"/>
              <w:ind w:left="31"/>
              <w:rPr>
                <w:sz w:val="31"/>
                <w:szCs w:val="31"/>
              </w:rPr>
            </w:pPr>
            <w:r>
              <w:rPr>
                <w:b/>
                <w:bCs/>
                <w:spacing w:val="6"/>
                <w:sz w:val="31"/>
                <w:szCs w:val="31"/>
              </w:rPr>
              <w:t>未中标（成交）供应商的未中标（成交）原因</w:t>
            </w:r>
          </w:p>
        </w:tc>
      </w:tr>
      <w:tr w14:paraId="20D289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958" w:type="dxa"/>
            <w:vAlign w:val="top"/>
          </w:tcPr>
          <w:p w14:paraId="7C5124E3">
            <w:pPr>
              <w:pStyle w:val="6"/>
              <w:spacing w:before="226" w:line="221" w:lineRule="auto"/>
              <w:ind w:left="244"/>
            </w:pPr>
            <w:r>
              <w:rPr>
                <w:b/>
                <w:bCs/>
                <w:spacing w:val="-8"/>
              </w:rPr>
              <w:t>包号</w:t>
            </w:r>
          </w:p>
        </w:tc>
        <w:tc>
          <w:tcPr>
            <w:tcW w:w="4769" w:type="dxa"/>
            <w:vAlign w:val="top"/>
          </w:tcPr>
          <w:p w14:paraId="44076AB3">
            <w:pPr>
              <w:pStyle w:val="6"/>
              <w:spacing w:before="226" w:line="219" w:lineRule="auto"/>
              <w:ind w:left="1786"/>
            </w:pPr>
            <w:r>
              <w:rPr>
                <w:b/>
                <w:bCs/>
                <w:spacing w:val="-4"/>
              </w:rPr>
              <w:t>供应商名称</w:t>
            </w:r>
          </w:p>
        </w:tc>
        <w:tc>
          <w:tcPr>
            <w:tcW w:w="8537" w:type="dxa"/>
            <w:vAlign w:val="top"/>
          </w:tcPr>
          <w:p w14:paraId="11C77B18">
            <w:pPr>
              <w:pStyle w:val="6"/>
              <w:spacing w:before="226" w:line="220" w:lineRule="auto"/>
              <w:ind w:left="3194"/>
            </w:pPr>
            <w:r>
              <w:rPr>
                <w:b/>
                <w:bCs/>
                <w:spacing w:val="-4"/>
              </w:rPr>
              <w:t>未中标（成交）理由</w:t>
            </w:r>
          </w:p>
        </w:tc>
      </w:tr>
      <w:tr w14:paraId="2B265C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4" w:hRule="atLeast"/>
        </w:trPr>
        <w:tc>
          <w:tcPr>
            <w:tcW w:w="958" w:type="dxa"/>
            <w:vMerge w:val="restart"/>
            <w:tcBorders>
              <w:bottom w:val="nil"/>
            </w:tcBorders>
            <w:vAlign w:val="top"/>
          </w:tcPr>
          <w:p w14:paraId="697D5255">
            <w:pPr>
              <w:spacing w:line="297" w:lineRule="auto"/>
              <w:rPr>
                <w:rFonts w:ascii="Arial"/>
                <w:sz w:val="21"/>
              </w:rPr>
            </w:pPr>
          </w:p>
          <w:p w14:paraId="1BEED20A">
            <w:pPr>
              <w:spacing w:line="298" w:lineRule="auto"/>
              <w:rPr>
                <w:rFonts w:ascii="Arial"/>
                <w:sz w:val="21"/>
              </w:rPr>
            </w:pPr>
          </w:p>
          <w:p w14:paraId="6EC77EC2">
            <w:pPr>
              <w:spacing w:line="298" w:lineRule="auto"/>
              <w:rPr>
                <w:rFonts w:ascii="Arial"/>
                <w:sz w:val="21"/>
              </w:rPr>
            </w:pPr>
          </w:p>
          <w:p w14:paraId="6C843789">
            <w:pPr>
              <w:spacing w:line="298" w:lineRule="auto"/>
              <w:rPr>
                <w:rFonts w:ascii="Arial"/>
                <w:sz w:val="21"/>
              </w:rPr>
            </w:pPr>
          </w:p>
          <w:p w14:paraId="6E030F84">
            <w:pPr>
              <w:pStyle w:val="6"/>
              <w:spacing w:before="78" w:line="227" w:lineRule="auto"/>
              <w:ind w:left="215"/>
            </w:pPr>
            <w:r>
              <w:rPr>
                <w:spacing w:val="-7"/>
              </w:rPr>
              <w:t>包</w:t>
            </w:r>
            <w:r>
              <w:rPr>
                <w:spacing w:val="-49"/>
              </w:rPr>
              <w:t xml:space="preserve"> </w:t>
            </w:r>
            <w:r>
              <w:rPr>
                <w:spacing w:val="-7"/>
              </w:rPr>
              <w:t>01</w:t>
            </w:r>
          </w:p>
        </w:tc>
        <w:tc>
          <w:tcPr>
            <w:tcW w:w="4769" w:type="dxa"/>
            <w:vAlign w:val="center"/>
          </w:tcPr>
          <w:p w14:paraId="7146E90C">
            <w:pPr>
              <w:pStyle w:val="6"/>
              <w:spacing w:before="188" w:line="218" w:lineRule="auto"/>
              <w:ind w:left="21"/>
              <w:rPr>
                <w:rFonts w:ascii="宋体" w:hAnsi="宋体" w:eastAsia="宋体" w:cs="宋体"/>
                <w:spacing w:val="-1"/>
              </w:rPr>
            </w:pPr>
            <w:r>
              <w:rPr>
                <w:rFonts w:hint="eastAsia" w:ascii="宋体" w:hAnsi="宋体" w:eastAsia="宋体" w:cs="宋体"/>
                <w:spacing w:val="-1"/>
                <w:lang w:val="en-US" w:eastAsia="zh-CN"/>
              </w:rPr>
              <w:t>临沂九州通医药有限公司</w:t>
            </w:r>
          </w:p>
        </w:tc>
        <w:tc>
          <w:tcPr>
            <w:tcW w:w="8537" w:type="dxa"/>
            <w:vAlign w:val="top"/>
          </w:tcPr>
          <w:p w14:paraId="02F2EDCB">
            <w:pPr>
              <w:pStyle w:val="6"/>
              <w:spacing w:before="188" w:line="218" w:lineRule="auto"/>
              <w:ind w:left="21"/>
            </w:pPr>
            <w:r>
              <w:rPr>
                <w:spacing w:val="-1"/>
              </w:rPr>
              <w:t>磋商小组采用综合评分法对提交投标报价供应商的响应文件进行综合评分， 得分</w:t>
            </w:r>
          </w:p>
          <w:p w14:paraId="6CE6D1FB">
            <w:pPr>
              <w:pStyle w:val="6"/>
              <w:spacing w:before="29" w:line="219" w:lineRule="auto"/>
              <w:ind w:left="26"/>
            </w:pPr>
            <w:r>
              <w:rPr>
                <w:spacing w:val="-3"/>
              </w:rPr>
              <w:t>不是最高。</w:t>
            </w:r>
            <w:bookmarkStart w:id="0" w:name="_GoBack"/>
            <w:bookmarkEnd w:id="0"/>
          </w:p>
        </w:tc>
      </w:tr>
      <w:tr w14:paraId="1B705D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7" w:hRule="atLeast"/>
        </w:trPr>
        <w:tc>
          <w:tcPr>
            <w:tcW w:w="958" w:type="dxa"/>
            <w:vMerge w:val="continue"/>
            <w:tcBorders>
              <w:top w:val="nil"/>
              <w:bottom w:val="nil"/>
            </w:tcBorders>
            <w:vAlign w:val="top"/>
          </w:tcPr>
          <w:p w14:paraId="0E7CAEF9">
            <w:pPr>
              <w:rPr>
                <w:rFonts w:ascii="Arial"/>
                <w:sz w:val="21"/>
              </w:rPr>
            </w:pPr>
          </w:p>
        </w:tc>
        <w:tc>
          <w:tcPr>
            <w:tcW w:w="4769" w:type="dxa"/>
            <w:vAlign w:val="center"/>
          </w:tcPr>
          <w:p w14:paraId="4928CDAC">
            <w:pPr>
              <w:pStyle w:val="6"/>
              <w:spacing w:before="188" w:line="218" w:lineRule="auto"/>
              <w:ind w:left="21"/>
              <w:rPr>
                <w:rFonts w:ascii="宋体" w:hAnsi="宋体" w:eastAsia="宋体" w:cs="宋体"/>
                <w:spacing w:val="-1"/>
              </w:rPr>
            </w:pPr>
            <w:r>
              <w:rPr>
                <w:rFonts w:hint="eastAsia" w:ascii="宋体" w:hAnsi="宋体" w:eastAsia="宋体" w:cs="宋体"/>
                <w:spacing w:val="-1"/>
                <w:lang w:val="en-US" w:eastAsia="zh-CN"/>
              </w:rPr>
              <w:t>青岛风畅医疗服务有限公司</w:t>
            </w:r>
          </w:p>
        </w:tc>
        <w:tc>
          <w:tcPr>
            <w:tcW w:w="8537" w:type="dxa"/>
            <w:vAlign w:val="top"/>
          </w:tcPr>
          <w:p w14:paraId="37AA8032">
            <w:pPr>
              <w:pStyle w:val="6"/>
              <w:spacing w:before="195" w:line="218" w:lineRule="auto"/>
              <w:ind w:left="21"/>
            </w:pPr>
            <w:r>
              <w:rPr>
                <w:spacing w:val="-1"/>
              </w:rPr>
              <w:t>磋商小组采用综合评分法对提交投标报价供应商的响应文件进行综合评分， 得分</w:t>
            </w:r>
          </w:p>
          <w:p w14:paraId="0069009D">
            <w:pPr>
              <w:pStyle w:val="6"/>
              <w:spacing w:before="29" w:line="219" w:lineRule="auto"/>
              <w:ind w:left="26"/>
            </w:pPr>
            <w:r>
              <w:rPr>
                <w:spacing w:val="-3"/>
              </w:rPr>
              <w:t>不是最高。</w:t>
            </w:r>
          </w:p>
        </w:tc>
      </w:tr>
    </w:tbl>
    <w:p w14:paraId="68A75EE8">
      <w:pPr>
        <w:rPr>
          <w:rFonts w:ascii="Arial"/>
          <w:sz w:val="21"/>
        </w:rPr>
      </w:pPr>
    </w:p>
    <w:sectPr>
      <w:pgSz w:w="16839" w:h="11906"/>
      <w:pgMar w:top="1012" w:right="1284" w:bottom="0" w:left="1284"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ODViY2JkMjU3NGYzZTEwMzZmMGFkZWViYmNkYWU3NDIifQ=="/>
  </w:docVars>
  <w:rsids>
    <w:rsidRoot w:val="00000000"/>
    <w:rsid w:val="5D04179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353</Words>
  <Characters>367</Characters>
  <TotalTime>0</TotalTime>
  <ScaleCrop>false</ScaleCrop>
  <LinksUpToDate>false</LinksUpToDate>
  <CharactersWithSpaces>384</CharactersWithSpaces>
  <Application>WPS Office_12.1.0.18276_F1E327BC-269C-435d-A152-05C5408002CA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2024-09-23T17:43:00Z</dcterms:created>
  <dc:creator>Administrator</dc:creator>
  <cp:lastModifiedBy>颜</cp:lastModifiedBy>
  <dcterms:modified xsi:type="dcterms:W3CDTF">2024-09-26T09:24:12Z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2024-09-26T17:21:49Z</vt:filetime>
  </property>
  <property fmtid="{D5CDD505-2E9C-101B-9397-08002B2CF9AE}" pid="4" name="KSOProductBuildVer">
    <vt:lpwstr>2052-12.1.0.18276</vt:lpwstr>
  </property>
  <property fmtid="{D5CDD505-2E9C-101B-9397-08002B2CF9AE}" pid="5" name="ICV">
    <vt:lpwstr>CFA9987B7B354A2DBB0658597E562A39_13</vt:lpwstr>
  </property>
</Properties>
</file>