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7D097B">
      <w:pPr>
        <w:spacing w:line="360" w:lineRule="auto"/>
        <w:jc w:val="center"/>
        <w:rPr>
          <w:rFonts w:ascii="仿宋" w:hAnsi="仿宋" w:eastAsia="仿宋"/>
          <w:color w:val="auto"/>
          <w:sz w:val="32"/>
          <w:szCs w:val="32"/>
          <w:highlight w:val="none"/>
        </w:rPr>
      </w:pPr>
    </w:p>
    <w:p w14:paraId="1B0D655B">
      <w:pPr>
        <w:spacing w:line="360" w:lineRule="auto"/>
        <w:jc w:val="center"/>
        <w:rPr>
          <w:rFonts w:ascii="仿宋" w:hAnsi="仿宋" w:eastAsia="仿宋"/>
          <w:color w:val="auto"/>
          <w:sz w:val="30"/>
          <w:szCs w:val="30"/>
          <w:highlight w:val="none"/>
        </w:rPr>
      </w:pPr>
      <w:r>
        <w:rPr>
          <w:rFonts w:hint="eastAsia" w:ascii="仿宋" w:hAnsi="仿宋" w:eastAsia="仿宋"/>
          <w:color w:val="auto"/>
          <w:sz w:val="32"/>
          <w:szCs w:val="32"/>
          <w:highlight w:val="none"/>
        </w:rPr>
        <w:t>采购编号：SMU-WT2026054</w:t>
      </w:r>
    </w:p>
    <w:p w14:paraId="321CEA3F">
      <w:pPr>
        <w:spacing w:after="120"/>
        <w:rPr>
          <w:rFonts w:ascii="仿宋" w:hAnsi="仿宋" w:eastAsia="仿宋"/>
          <w:color w:val="auto"/>
          <w:highlight w:val="none"/>
        </w:rPr>
      </w:pPr>
    </w:p>
    <w:p w14:paraId="0F880930">
      <w:pPr>
        <w:spacing w:line="360" w:lineRule="auto"/>
        <w:jc w:val="center"/>
        <w:rPr>
          <w:rFonts w:ascii="仿宋" w:hAnsi="仿宋" w:eastAsia="仿宋"/>
          <w:b/>
          <w:bCs/>
          <w:color w:val="auto"/>
          <w:spacing w:val="-23"/>
          <w:sz w:val="48"/>
          <w:szCs w:val="52"/>
          <w:highlight w:val="none"/>
        </w:rPr>
      </w:pPr>
      <w:r>
        <w:rPr>
          <w:rFonts w:hint="eastAsia" w:ascii="仿宋" w:hAnsi="仿宋" w:eastAsia="仿宋"/>
          <w:b/>
          <w:bCs/>
          <w:color w:val="auto"/>
          <w:spacing w:val="-23"/>
          <w:sz w:val="48"/>
          <w:szCs w:val="52"/>
          <w:highlight w:val="none"/>
        </w:rPr>
        <w:t>西南民族大学食堂及校医院基础设施维修改造</w:t>
      </w:r>
    </w:p>
    <w:p w14:paraId="3DC8A82D">
      <w:pPr>
        <w:spacing w:after="120"/>
        <w:rPr>
          <w:rFonts w:ascii="仿宋" w:hAnsi="仿宋" w:eastAsia="仿宋"/>
          <w:color w:val="auto"/>
          <w:highlight w:val="none"/>
        </w:rPr>
      </w:pPr>
    </w:p>
    <w:p w14:paraId="5A4E697E">
      <w:pPr>
        <w:spacing w:after="120"/>
        <w:rPr>
          <w:rFonts w:ascii="仿宋" w:hAnsi="仿宋" w:eastAsia="仿宋"/>
          <w:color w:val="auto"/>
          <w:highlight w:val="none"/>
        </w:rPr>
      </w:pPr>
    </w:p>
    <w:p w14:paraId="124DA009">
      <w:pPr>
        <w:spacing w:line="360" w:lineRule="auto"/>
        <w:jc w:val="center"/>
        <w:rPr>
          <w:rFonts w:ascii="仿宋" w:hAnsi="仿宋" w:eastAsia="仿宋"/>
          <w:color w:val="auto"/>
          <w:sz w:val="52"/>
          <w:szCs w:val="52"/>
          <w:highlight w:val="none"/>
        </w:rPr>
      </w:pPr>
      <w:r>
        <w:rPr>
          <w:rFonts w:hint="eastAsia" w:ascii="仿宋" w:hAnsi="仿宋" w:eastAsia="仿宋"/>
          <w:color w:val="auto"/>
          <w:sz w:val="52"/>
          <w:szCs w:val="52"/>
          <w:highlight w:val="none"/>
        </w:rPr>
        <w:t>竞</w:t>
      </w:r>
    </w:p>
    <w:p w14:paraId="6BF3B9C6">
      <w:pPr>
        <w:spacing w:line="360" w:lineRule="auto"/>
        <w:jc w:val="center"/>
        <w:rPr>
          <w:rFonts w:ascii="仿宋" w:hAnsi="仿宋" w:eastAsia="仿宋"/>
          <w:color w:val="auto"/>
          <w:sz w:val="52"/>
          <w:szCs w:val="52"/>
          <w:highlight w:val="none"/>
        </w:rPr>
      </w:pPr>
      <w:r>
        <w:rPr>
          <w:rFonts w:hint="eastAsia" w:ascii="仿宋" w:hAnsi="仿宋" w:eastAsia="仿宋"/>
          <w:color w:val="auto"/>
          <w:sz w:val="52"/>
          <w:szCs w:val="52"/>
          <w:highlight w:val="none"/>
        </w:rPr>
        <w:t>争</w:t>
      </w:r>
    </w:p>
    <w:p w14:paraId="68B60187">
      <w:pPr>
        <w:spacing w:line="360" w:lineRule="auto"/>
        <w:jc w:val="center"/>
        <w:rPr>
          <w:rFonts w:ascii="仿宋" w:hAnsi="仿宋" w:eastAsia="仿宋"/>
          <w:color w:val="auto"/>
          <w:sz w:val="52"/>
          <w:szCs w:val="52"/>
          <w:highlight w:val="none"/>
        </w:rPr>
      </w:pPr>
      <w:r>
        <w:rPr>
          <w:rFonts w:hint="eastAsia" w:ascii="仿宋" w:hAnsi="仿宋" w:eastAsia="仿宋"/>
          <w:color w:val="auto"/>
          <w:sz w:val="52"/>
          <w:szCs w:val="52"/>
          <w:highlight w:val="none"/>
        </w:rPr>
        <w:t>性</w:t>
      </w:r>
    </w:p>
    <w:p w14:paraId="28B3219F">
      <w:pPr>
        <w:spacing w:line="360" w:lineRule="auto"/>
        <w:jc w:val="center"/>
        <w:rPr>
          <w:rFonts w:ascii="仿宋" w:hAnsi="仿宋" w:eastAsia="仿宋"/>
          <w:color w:val="auto"/>
          <w:sz w:val="52"/>
          <w:szCs w:val="52"/>
          <w:highlight w:val="none"/>
        </w:rPr>
      </w:pPr>
      <w:r>
        <w:rPr>
          <w:rFonts w:hint="eastAsia" w:ascii="仿宋" w:hAnsi="仿宋" w:eastAsia="仿宋"/>
          <w:color w:val="auto"/>
          <w:sz w:val="52"/>
          <w:szCs w:val="52"/>
          <w:highlight w:val="none"/>
        </w:rPr>
        <w:t>磋</w:t>
      </w:r>
    </w:p>
    <w:p w14:paraId="2DB7F51A">
      <w:pPr>
        <w:spacing w:line="360" w:lineRule="auto"/>
        <w:jc w:val="center"/>
        <w:rPr>
          <w:rFonts w:ascii="仿宋" w:hAnsi="仿宋" w:eastAsia="仿宋"/>
          <w:color w:val="auto"/>
          <w:sz w:val="52"/>
          <w:szCs w:val="52"/>
          <w:highlight w:val="none"/>
        </w:rPr>
      </w:pPr>
      <w:r>
        <w:rPr>
          <w:rFonts w:hint="eastAsia" w:ascii="仿宋" w:hAnsi="仿宋" w:eastAsia="仿宋"/>
          <w:color w:val="auto"/>
          <w:sz w:val="52"/>
          <w:szCs w:val="52"/>
          <w:highlight w:val="none"/>
        </w:rPr>
        <w:t>商</w:t>
      </w:r>
    </w:p>
    <w:p w14:paraId="7E68DBFD">
      <w:pPr>
        <w:spacing w:line="360" w:lineRule="auto"/>
        <w:jc w:val="center"/>
        <w:rPr>
          <w:rFonts w:ascii="仿宋" w:hAnsi="仿宋" w:eastAsia="仿宋"/>
          <w:color w:val="auto"/>
          <w:sz w:val="52"/>
          <w:szCs w:val="52"/>
          <w:highlight w:val="none"/>
        </w:rPr>
      </w:pPr>
      <w:r>
        <w:rPr>
          <w:rFonts w:hint="eastAsia" w:ascii="仿宋" w:hAnsi="仿宋" w:eastAsia="仿宋"/>
          <w:color w:val="auto"/>
          <w:sz w:val="52"/>
          <w:szCs w:val="52"/>
          <w:highlight w:val="none"/>
        </w:rPr>
        <w:t>文</w:t>
      </w:r>
    </w:p>
    <w:p w14:paraId="46D67871">
      <w:pPr>
        <w:spacing w:line="360" w:lineRule="auto"/>
        <w:jc w:val="center"/>
        <w:rPr>
          <w:rFonts w:ascii="仿宋" w:hAnsi="仿宋" w:eastAsia="仿宋"/>
          <w:color w:val="auto"/>
          <w:sz w:val="52"/>
          <w:szCs w:val="52"/>
          <w:highlight w:val="none"/>
        </w:rPr>
      </w:pPr>
      <w:r>
        <w:rPr>
          <w:rFonts w:hint="eastAsia" w:ascii="仿宋" w:hAnsi="仿宋" w:eastAsia="仿宋"/>
          <w:color w:val="auto"/>
          <w:sz w:val="52"/>
          <w:szCs w:val="52"/>
          <w:highlight w:val="none"/>
        </w:rPr>
        <w:t>件</w:t>
      </w:r>
    </w:p>
    <w:p w14:paraId="0742EEA1">
      <w:pPr>
        <w:spacing w:after="120"/>
        <w:rPr>
          <w:rFonts w:ascii="仿宋" w:hAnsi="仿宋" w:eastAsia="仿宋"/>
          <w:color w:val="auto"/>
          <w:highlight w:val="none"/>
        </w:rPr>
      </w:pPr>
    </w:p>
    <w:p w14:paraId="453AFABF">
      <w:pPr>
        <w:spacing w:line="360" w:lineRule="auto"/>
        <w:jc w:val="center"/>
        <w:rPr>
          <w:rFonts w:ascii="仿宋" w:hAnsi="仿宋" w:eastAsia="仿宋"/>
          <w:b/>
          <w:color w:val="auto"/>
          <w:sz w:val="32"/>
          <w:szCs w:val="32"/>
          <w:highlight w:val="none"/>
        </w:rPr>
      </w:pPr>
      <w:r>
        <w:rPr>
          <w:rFonts w:hint="eastAsia" w:ascii="仿宋" w:hAnsi="仿宋" w:eastAsia="仿宋"/>
          <w:b/>
          <w:color w:val="auto"/>
          <w:sz w:val="32"/>
          <w:szCs w:val="32"/>
          <w:highlight w:val="none"/>
        </w:rPr>
        <w:t>西南民族大学</w:t>
      </w:r>
    </w:p>
    <w:p w14:paraId="09C98399">
      <w:pPr>
        <w:spacing w:line="360" w:lineRule="auto"/>
        <w:jc w:val="center"/>
        <w:rPr>
          <w:rFonts w:ascii="仿宋" w:hAnsi="仿宋" w:eastAsia="仿宋"/>
          <w:b/>
          <w:color w:val="auto"/>
          <w:sz w:val="32"/>
          <w:szCs w:val="32"/>
          <w:highlight w:val="none"/>
        </w:rPr>
      </w:pPr>
      <w:r>
        <w:rPr>
          <w:rFonts w:hint="eastAsia" w:ascii="仿宋" w:hAnsi="仿宋" w:eastAsia="仿宋"/>
          <w:b/>
          <w:color w:val="auto"/>
          <w:sz w:val="32"/>
          <w:szCs w:val="32"/>
          <w:highlight w:val="none"/>
        </w:rPr>
        <w:t>四川成与诚招标代理有限公司</w:t>
      </w:r>
    </w:p>
    <w:p w14:paraId="5C0D9C24">
      <w:pPr>
        <w:spacing w:line="360" w:lineRule="auto"/>
        <w:jc w:val="center"/>
        <w:rPr>
          <w:rFonts w:ascii="仿宋" w:hAnsi="仿宋" w:eastAsia="仿宋"/>
          <w:b/>
          <w:color w:val="auto"/>
          <w:sz w:val="32"/>
          <w:szCs w:val="32"/>
          <w:highlight w:val="none"/>
        </w:rPr>
      </w:pPr>
      <w:r>
        <w:rPr>
          <w:rFonts w:hint="eastAsia" w:ascii="仿宋" w:hAnsi="仿宋" w:eastAsia="仿宋"/>
          <w:b/>
          <w:color w:val="auto"/>
          <w:sz w:val="32"/>
          <w:szCs w:val="32"/>
          <w:highlight w:val="none"/>
        </w:rPr>
        <w:t>共同编制</w:t>
      </w:r>
    </w:p>
    <w:p w14:paraId="346F846A">
      <w:pPr>
        <w:spacing w:line="360" w:lineRule="auto"/>
        <w:jc w:val="center"/>
        <w:rPr>
          <w:rFonts w:ascii="仿宋" w:hAnsi="仿宋" w:eastAsia="仿宋"/>
          <w:b/>
          <w:color w:val="auto"/>
          <w:sz w:val="32"/>
          <w:szCs w:val="32"/>
          <w:highlight w:val="none"/>
        </w:rPr>
      </w:pPr>
      <w:r>
        <w:rPr>
          <w:rFonts w:hint="eastAsia" w:ascii="仿宋" w:hAnsi="仿宋" w:eastAsia="仿宋" w:cs="仿宋"/>
          <w:b/>
          <w:color w:val="auto"/>
          <w:spacing w:val="40"/>
          <w:sz w:val="32"/>
          <w:highlight w:val="none"/>
        </w:rPr>
        <w:t>二〇二</w:t>
      </w:r>
      <w:r>
        <w:rPr>
          <w:rFonts w:hint="eastAsia" w:ascii="仿宋" w:hAnsi="仿宋" w:eastAsia="仿宋" w:cs="仿宋"/>
          <w:b/>
          <w:color w:val="auto"/>
          <w:spacing w:val="40"/>
          <w:sz w:val="32"/>
          <w:highlight w:val="none"/>
          <w:lang w:val="en-US" w:eastAsia="zh-CN"/>
        </w:rPr>
        <w:t>六</w:t>
      </w:r>
      <w:r>
        <w:rPr>
          <w:rFonts w:hint="eastAsia" w:ascii="仿宋" w:hAnsi="仿宋" w:eastAsia="仿宋" w:cs="仿宋"/>
          <w:b/>
          <w:color w:val="auto"/>
          <w:spacing w:val="40"/>
          <w:sz w:val="32"/>
          <w:highlight w:val="none"/>
        </w:rPr>
        <w:t>年四</w:t>
      </w:r>
      <w:r>
        <w:rPr>
          <w:rFonts w:hint="eastAsia" w:ascii="仿宋" w:hAnsi="仿宋" w:eastAsia="仿宋"/>
          <w:b/>
          <w:color w:val="auto"/>
          <w:sz w:val="32"/>
          <w:szCs w:val="32"/>
          <w:highlight w:val="none"/>
        </w:rPr>
        <w:t>月</w:t>
      </w:r>
    </w:p>
    <w:p w14:paraId="0BC5B775">
      <w:pPr>
        <w:rPr>
          <w:rFonts w:ascii="仿宋" w:hAnsi="仿宋" w:eastAsia="仿宋"/>
          <w:color w:val="auto"/>
          <w:highlight w:val="none"/>
        </w:rPr>
      </w:pPr>
      <w:r>
        <w:rPr>
          <w:rFonts w:hint="eastAsia" w:ascii="仿宋" w:hAnsi="仿宋" w:eastAsia="仿宋"/>
          <w:color w:val="auto"/>
          <w:highlight w:val="none"/>
        </w:rPr>
        <w:br w:type="page"/>
      </w:r>
    </w:p>
    <w:p w14:paraId="0AF15173">
      <w:pPr>
        <w:rPr>
          <w:rFonts w:ascii="仿宋" w:hAnsi="仿宋" w:eastAsia="仿宋"/>
          <w:color w:val="auto"/>
          <w:highlight w:val="none"/>
        </w:rPr>
      </w:pPr>
    </w:p>
    <w:p w14:paraId="3B8BA28B">
      <w:pPr>
        <w:jc w:val="center"/>
        <w:rPr>
          <w:rFonts w:ascii="仿宋" w:hAnsi="仿宋" w:eastAsia="仿宋" w:cs="仿宋"/>
          <w:color w:val="auto"/>
          <w:sz w:val="36"/>
          <w:szCs w:val="44"/>
          <w:highlight w:val="none"/>
        </w:rPr>
      </w:pPr>
      <w:r>
        <w:rPr>
          <w:rFonts w:hint="eastAsia" w:ascii="仿宋" w:hAnsi="仿宋" w:eastAsia="仿宋" w:cs="仿宋"/>
          <w:color w:val="auto"/>
          <w:sz w:val="36"/>
          <w:szCs w:val="44"/>
          <w:highlight w:val="none"/>
        </w:rPr>
        <w:t>廉洁自律承诺书</w:t>
      </w:r>
    </w:p>
    <w:p w14:paraId="517A93C9">
      <w:pPr>
        <w:spacing w:line="480" w:lineRule="auto"/>
        <w:ind w:firstLine="480" w:firstLineChars="200"/>
        <w:rPr>
          <w:rFonts w:ascii="仿宋" w:hAnsi="仿宋" w:eastAsia="仿宋" w:cs="仿宋"/>
          <w:color w:val="auto"/>
          <w:sz w:val="24"/>
          <w:highlight w:val="none"/>
        </w:rPr>
      </w:pPr>
    </w:p>
    <w:p w14:paraId="46943632">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为进一步规范四川成与诚招标代理有限公司采购行为，维护采购制度，净化采购市场环境。四川成与诚招标代理有限公司在代理采购事务过程中郑重承诺：</w:t>
      </w:r>
    </w:p>
    <w:p w14:paraId="48060BF6">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一、坚持公开、公平、公正原则，严格按照法律法规和委托代理协议的约定办理采购事宜，恪守职业道德，规范代理行为，努力提高专业能力，确保服务质量；诚实守信，勤勉尽责，积极维护国家利益、社会公共利益和采购相关当事人的合法权益。</w:t>
      </w:r>
    </w:p>
    <w:p w14:paraId="40889012">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二、公司员工遵纪守法，不得以不正当手段争取、承揽代理采购事务和向任何单位和个人支付现金、实物或其他利益的行为。</w:t>
      </w:r>
    </w:p>
    <w:p w14:paraId="269CFD4A">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三、公司员工自觉抵制商业贿赂，不得接受供应商的礼金、有价证券和贵重物品，不得在供应商报销任何应由个人支付的费用，不得以任何形式向供应商索要和收受回扣或变相收受贿赂，不得参加可能对公正执行采购工作有影响的宴请或娱乐活动。</w:t>
      </w:r>
    </w:p>
    <w:p w14:paraId="2967BF97">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四、公司员工不得与供应商存在任何商业上的利害关系，不得在供应商单位兼职和任职，不得泄露采购过程中的机密。</w:t>
      </w:r>
    </w:p>
    <w:p w14:paraId="62A87E91">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五、公司员工在业务交往中，不得故意刁难供应商，影响正常的业务开展。公司全体员工接受来自社会各界的监督、举报，请各位采购参与者充分了解并自觉践行本准则，共同营造廉洁诚信的政采环境，共同推动阳光透明的采购。</w:t>
      </w:r>
    </w:p>
    <w:p w14:paraId="4988442C">
      <w:pPr>
        <w:spacing w:line="48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举报电话：028-85259928</w:t>
      </w:r>
    </w:p>
    <w:p w14:paraId="530962C4">
      <w:pPr>
        <w:rPr>
          <w:rFonts w:ascii="仿宋" w:hAnsi="仿宋" w:eastAsia="仿宋" w:cs="仿宋"/>
          <w:color w:val="auto"/>
          <w:sz w:val="24"/>
          <w:highlight w:val="none"/>
        </w:rPr>
      </w:pPr>
    </w:p>
    <w:p w14:paraId="34F2BC23">
      <w:pPr>
        <w:jc w:val="right"/>
        <w:rPr>
          <w:rFonts w:ascii="仿宋" w:hAnsi="仿宋" w:eastAsia="仿宋" w:cs="仿宋"/>
          <w:color w:val="auto"/>
          <w:sz w:val="36"/>
          <w:szCs w:val="44"/>
          <w:highlight w:val="none"/>
        </w:rPr>
      </w:pPr>
      <w:r>
        <w:rPr>
          <w:rFonts w:hint="eastAsia" w:ascii="仿宋" w:hAnsi="仿宋" w:eastAsia="仿宋" w:cs="仿宋"/>
          <w:color w:val="auto"/>
          <w:sz w:val="24"/>
          <w:highlight w:val="none"/>
        </w:rPr>
        <w:t>四川成与诚招标代理有限公司</w:t>
      </w:r>
      <w:r>
        <w:rPr>
          <w:rFonts w:hint="eastAsia" w:ascii="仿宋" w:hAnsi="仿宋" w:eastAsia="仿宋" w:cs="仿宋"/>
          <w:color w:val="auto"/>
          <w:sz w:val="36"/>
          <w:szCs w:val="44"/>
          <w:highlight w:val="none"/>
        </w:rPr>
        <w:br w:type="page"/>
      </w:r>
    </w:p>
    <w:p w14:paraId="00CA1E1C">
      <w:pPr>
        <w:spacing w:line="480" w:lineRule="auto"/>
        <w:jc w:val="center"/>
        <w:rPr>
          <w:rFonts w:ascii="仿宋" w:hAnsi="仿宋" w:eastAsia="仿宋" w:cs="仿宋"/>
          <w:color w:val="auto"/>
          <w:sz w:val="24"/>
          <w:szCs w:val="32"/>
          <w:highlight w:val="none"/>
        </w:rPr>
      </w:pPr>
      <w:r>
        <w:rPr>
          <w:rFonts w:hint="eastAsia" w:ascii="仿宋" w:hAnsi="仿宋" w:eastAsia="仿宋" w:cs="仿宋"/>
          <w:b/>
          <w:bCs/>
          <w:color w:val="auto"/>
          <w:sz w:val="36"/>
          <w:szCs w:val="36"/>
          <w:highlight w:val="none"/>
        </w:rPr>
        <w:t>交通指引</w:t>
      </w:r>
    </w:p>
    <w:p w14:paraId="23DB36CD">
      <w:pPr>
        <w:spacing w:line="300" w:lineRule="auto"/>
        <w:ind w:firstLine="480" w:firstLineChars="20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四川成与诚招标代理有限公司位于</w:t>
      </w:r>
      <w:r>
        <w:rPr>
          <w:rFonts w:hint="eastAsia" w:ascii="仿宋" w:hAnsi="仿宋" w:eastAsia="仿宋"/>
          <w:color w:val="auto"/>
          <w:spacing w:val="-6"/>
          <w:sz w:val="24"/>
          <w:highlight w:val="none"/>
        </w:rPr>
        <w:t>中国（四川）自由贸易试验区</w:t>
      </w:r>
      <w:r>
        <w:rPr>
          <w:rFonts w:hint="eastAsia" w:ascii="仿宋" w:hAnsi="仿宋" w:eastAsia="仿宋" w:cs="仿宋"/>
          <w:color w:val="auto"/>
          <w:sz w:val="24"/>
          <w:szCs w:val="32"/>
          <w:highlight w:val="none"/>
        </w:rPr>
        <w:t>成都高新区天府大道北段1700号新世纪</w:t>
      </w:r>
      <w:r>
        <w:rPr>
          <w:rFonts w:hint="eastAsia" w:ascii="仿宋" w:hAnsi="仿宋" w:eastAsia="仿宋" w:cs="仿宋"/>
          <w:b/>
          <w:bCs/>
          <w:color w:val="auto"/>
          <w:sz w:val="24"/>
          <w:szCs w:val="32"/>
          <w:highlight w:val="none"/>
        </w:rPr>
        <w:t>环球中心W6区16楼1622号</w:t>
      </w:r>
      <w:r>
        <w:rPr>
          <w:rFonts w:hint="eastAsia" w:ascii="仿宋" w:hAnsi="仿宋" w:eastAsia="仿宋" w:cs="仿宋"/>
          <w:color w:val="auto"/>
          <w:sz w:val="24"/>
          <w:szCs w:val="32"/>
          <w:highlight w:val="none"/>
        </w:rPr>
        <w:t>，可采用以下交通方式：</w:t>
      </w:r>
    </w:p>
    <w:p w14:paraId="04A97DDE">
      <w:pPr>
        <w:spacing w:line="300" w:lineRule="auto"/>
        <w:ind w:firstLine="480" w:firstLineChars="20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1、地铁：1号线锦城广场地铁站A口，步行600米即可到达；18号线锦城广场东地铁站B口，步行1200米即可到达。</w:t>
      </w:r>
    </w:p>
    <w:p w14:paraId="2DD3F6DF">
      <w:pPr>
        <w:spacing w:line="300" w:lineRule="auto"/>
        <w:ind w:firstLine="480" w:firstLineChars="20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2、自驾：通过高德、百度、腾讯地图软件搜索“四川成与诚招标代理有限公司”进行导航，可将车停在地面车位或地下停车场。</w:t>
      </w:r>
    </w:p>
    <w:p w14:paraId="6E4E4F1A">
      <w:pPr>
        <w:spacing w:line="480" w:lineRule="auto"/>
        <w:jc w:val="center"/>
        <w:rPr>
          <w:rFonts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4060825" cy="2738120"/>
            <wp:effectExtent l="0" t="0" r="15875" b="5080"/>
            <wp:docPr id="3" name="图片 1" descr="C:\Users\HP\Desktop\公司导图_00.jpg公司导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HP\Desktop\公司导图_00.jpg公司导图_00"/>
                    <pic:cNvPicPr>
                      <a:picLocks noChangeAspect="1"/>
                    </pic:cNvPicPr>
                  </pic:nvPicPr>
                  <pic:blipFill>
                    <a:blip r:embed="rId10"/>
                    <a:srcRect l="3915" t="6131" r="3671" b="5743"/>
                    <a:stretch>
                      <a:fillRect/>
                    </a:stretch>
                  </pic:blipFill>
                  <pic:spPr>
                    <a:xfrm>
                      <a:off x="0" y="0"/>
                      <a:ext cx="4060825" cy="2738120"/>
                    </a:xfrm>
                    <a:prstGeom prst="rect">
                      <a:avLst/>
                    </a:prstGeom>
                    <a:noFill/>
                    <a:ln>
                      <a:noFill/>
                    </a:ln>
                  </pic:spPr>
                </pic:pic>
              </a:graphicData>
            </a:graphic>
          </wp:inline>
        </w:drawing>
      </w:r>
    </w:p>
    <w:p w14:paraId="5C6DC4A1">
      <w:pPr>
        <w:spacing w:line="480" w:lineRule="auto"/>
        <w:jc w:val="center"/>
        <w:rPr>
          <w:rFonts w:ascii="仿宋" w:hAnsi="仿宋" w:eastAsia="仿宋" w:cs="仿宋"/>
          <w:b/>
          <w:bCs/>
          <w:color w:val="auto"/>
          <w:sz w:val="22"/>
          <w:szCs w:val="32"/>
          <w:highlight w:val="none"/>
        </w:rPr>
      </w:pPr>
      <w:r>
        <w:rPr>
          <w:rFonts w:hint="eastAsia" w:ascii="仿宋" w:hAnsi="仿宋" w:eastAsia="仿宋" w:cs="仿宋"/>
          <w:b/>
          <w:bCs/>
          <w:color w:val="auto"/>
          <w:sz w:val="22"/>
          <w:szCs w:val="32"/>
          <w:highlight w:val="none"/>
        </w:rPr>
        <w:t>公众号交通导视-二维码</w:t>
      </w:r>
    </w:p>
    <w:p w14:paraId="687B5686">
      <w:pPr>
        <w:pStyle w:val="6"/>
        <w:spacing w:after="0"/>
        <w:jc w:val="center"/>
        <w:rPr>
          <w:rFonts w:ascii="仿宋" w:hAnsi="仿宋" w:eastAsia="仿宋" w:cs="仿宋"/>
          <w:color w:val="auto"/>
          <w:sz w:val="24"/>
          <w:highlight w:val="none"/>
        </w:rPr>
      </w:pPr>
      <w:r>
        <w:rPr>
          <w:rFonts w:hint="eastAsia" w:ascii="仿宋" w:hAnsi="仿宋" w:eastAsia="仿宋" w:cs="仿宋"/>
          <w:color w:val="auto"/>
          <w:sz w:val="24"/>
          <w:highlight w:val="none"/>
        </w:rPr>
        <w:drawing>
          <wp:inline distT="0" distB="0" distL="114300" distR="114300">
            <wp:extent cx="1172845" cy="1198245"/>
            <wp:effectExtent l="0" t="0" r="8255" b="1905"/>
            <wp:docPr id="4" name="图片 2" descr="C:\Users\HP\Desktop\公司公众号二维码.png公司公众号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Users\HP\Desktop\公司公众号二维码.png公司公众号二维码"/>
                    <pic:cNvPicPr>
                      <a:picLocks noChangeAspect="1"/>
                    </pic:cNvPicPr>
                  </pic:nvPicPr>
                  <pic:blipFill>
                    <a:blip r:embed="rId11"/>
                    <a:stretch>
                      <a:fillRect/>
                    </a:stretch>
                  </pic:blipFill>
                  <pic:spPr>
                    <a:xfrm>
                      <a:off x="0" y="0"/>
                      <a:ext cx="1172845" cy="1198245"/>
                    </a:xfrm>
                    <a:prstGeom prst="rect">
                      <a:avLst/>
                    </a:prstGeom>
                    <a:noFill/>
                    <a:ln>
                      <a:noFill/>
                    </a:ln>
                  </pic:spPr>
                </pic:pic>
              </a:graphicData>
            </a:graphic>
          </wp:inline>
        </w:drawing>
      </w:r>
    </w:p>
    <w:p w14:paraId="090E82FC">
      <w:pPr>
        <w:rPr>
          <w:rFonts w:ascii="仿宋" w:hAnsi="仿宋" w:eastAsia="仿宋" w:cs="仿宋"/>
          <w:color w:val="auto"/>
          <w:sz w:val="36"/>
          <w:szCs w:val="44"/>
          <w:highlight w:val="none"/>
        </w:rPr>
      </w:pPr>
      <w:r>
        <w:rPr>
          <w:rFonts w:hint="eastAsia" w:ascii="仿宋" w:hAnsi="仿宋" w:eastAsia="仿宋" w:cs="仿宋"/>
          <w:color w:val="auto"/>
          <w:sz w:val="36"/>
          <w:szCs w:val="44"/>
          <w:highlight w:val="none"/>
        </w:rPr>
        <w:br w:type="page"/>
      </w:r>
    </w:p>
    <w:p w14:paraId="0B0FEF98">
      <w:pPr>
        <w:spacing w:line="480" w:lineRule="auto"/>
        <w:jc w:val="center"/>
        <w:rPr>
          <w:rFonts w:ascii="仿宋" w:hAnsi="仿宋" w:eastAsia="仿宋" w:cs="仿宋"/>
          <w:color w:val="auto"/>
          <w:sz w:val="24"/>
          <w:szCs w:val="32"/>
          <w:highlight w:val="none"/>
        </w:rPr>
      </w:pPr>
      <w:bookmarkStart w:id="0" w:name="_Toc7878"/>
      <w:r>
        <w:rPr>
          <w:rFonts w:hint="eastAsia" w:ascii="仿宋" w:hAnsi="仿宋" w:eastAsia="仿宋" w:cs="仿宋"/>
          <w:b/>
          <w:bCs/>
          <w:color w:val="auto"/>
          <w:sz w:val="36"/>
          <w:szCs w:val="36"/>
          <w:highlight w:val="none"/>
        </w:rPr>
        <w:t>温馨提示</w:t>
      </w:r>
      <w:bookmarkEnd w:id="0"/>
    </w:p>
    <w:p w14:paraId="3416E092">
      <w:pPr>
        <w:spacing w:line="360" w:lineRule="auto"/>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各供应商：</w:t>
      </w:r>
    </w:p>
    <w:p w14:paraId="1A50F7AA">
      <w:pPr>
        <w:spacing w:line="360" w:lineRule="auto"/>
        <w:ind w:firstLine="480" w:firstLineChars="200"/>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欢迎参与本次采购活动，为优化营商环境，减少供应商参加采购活动成本，温馨提示如下：</w:t>
      </w:r>
    </w:p>
    <w:p w14:paraId="48B0ED12">
      <w:pPr>
        <w:spacing w:line="360" w:lineRule="auto"/>
        <w:ind w:firstLine="480" w:firstLineChars="200"/>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一、报名：注意报名的截止时间、报名的方式以及需要提供的资料，任何一项不满足的将拒绝接收。</w:t>
      </w:r>
    </w:p>
    <w:p w14:paraId="07DDD8FC">
      <w:pPr>
        <w:spacing w:line="360" w:lineRule="auto"/>
        <w:ind w:firstLine="480" w:firstLineChars="200"/>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二、保证金：如项目收取保证金，供应商应在规定截止时间前足额缴纳，以到账时间为准。未中标（成交）供应商的保证金将在结果公告后5个工作日内原路径退还，中标（成交）供应商应将采购合同发送我司指定邮箱后办理保证金退还，我司将在5个工作日内原路径退还。</w:t>
      </w:r>
    </w:p>
    <w:p w14:paraId="0B04E6EE">
      <w:pPr>
        <w:spacing w:line="360" w:lineRule="auto"/>
        <w:ind w:firstLine="480" w:firstLineChars="200"/>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三、制作投标（响应）文件：注意采购文件中的资格要求和实质性要求，任何一条不满足的将作无效处理。注意采购文件中的评分要求，未按要求提供证明材料的将不予认可。</w:t>
      </w:r>
    </w:p>
    <w:p w14:paraId="60B23686">
      <w:pPr>
        <w:spacing w:line="360" w:lineRule="auto"/>
        <w:ind w:firstLine="480" w:firstLineChars="200"/>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四、投标（响应）：注意投标（响应）截止时间和递交文件的地点，未按要求密封或逾期送达的将拒绝接收。</w:t>
      </w:r>
    </w:p>
    <w:p w14:paraId="78352A05">
      <w:pPr>
        <w:spacing w:line="360" w:lineRule="auto"/>
        <w:ind w:firstLine="480" w:firstLineChars="200"/>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五、结果查询：结果公告将在发布采购公告的同一网站进行公布，供应商应自行关注，任何询问项目评审情况和中标（成交）情况的行为都将被拒绝。</w:t>
      </w:r>
    </w:p>
    <w:p w14:paraId="31DD5DCB">
      <w:pPr>
        <w:spacing w:line="360" w:lineRule="auto"/>
        <w:ind w:firstLine="480" w:firstLineChars="200"/>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六、服务费：中标（成交）结果公布后，中标（成交）人应及时足额缴纳服务费，我司在收到服务费后才可开具发票。</w:t>
      </w:r>
    </w:p>
    <w:p w14:paraId="3B814BD0">
      <w:pPr>
        <w:spacing w:line="360" w:lineRule="auto"/>
        <w:ind w:firstLine="480" w:firstLineChars="200"/>
        <w:jc w:val="left"/>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七、中标（成交）通知书：我司工作人员将在项目结果公告发布时通知中标（成交）的供应商领取中标（成交）通知书，中标（成交）人应携带单位介绍信原件及领取人身份证复印件（原件备查）前往我司办理领取手续。</w:t>
      </w:r>
    </w:p>
    <w:p w14:paraId="3DD829FA">
      <w:pP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szCs w:val="32"/>
          <w:highlight w:val="none"/>
        </w:rPr>
        <w:t>八、采购合同：中标（成交）人应在采购文件规定的期限内凭中标（成交）通知书与采购人签订采购合同。</w:t>
      </w:r>
    </w:p>
    <w:p w14:paraId="18784D6F">
      <w:pPr>
        <w:spacing w:after="120" w:line="480" w:lineRule="auto"/>
        <w:ind w:firstLine="480" w:firstLineChars="200"/>
        <w:rPr>
          <w:rFonts w:ascii="仿宋" w:hAnsi="仿宋" w:eastAsia="仿宋" w:cs="宋体"/>
          <w:color w:val="auto"/>
          <w:sz w:val="24"/>
          <w:highlight w:val="none"/>
        </w:rPr>
      </w:pPr>
      <w:r>
        <w:rPr>
          <w:rFonts w:ascii="仿宋" w:hAnsi="仿宋" w:eastAsia="仿宋" w:cs="仿宋"/>
          <w:color w:val="auto"/>
          <w:sz w:val="24"/>
          <w:szCs w:val="32"/>
          <w:highlight w:val="none"/>
        </w:rPr>
        <w:br w:type="page"/>
      </w:r>
    </w:p>
    <w:p w14:paraId="34EF40D1">
      <w:pPr>
        <w:spacing w:after="120"/>
        <w:rPr>
          <w:rFonts w:ascii="仿宋" w:hAnsi="仿宋" w:eastAsia="仿宋"/>
          <w:color w:val="auto"/>
          <w:highlight w:val="none"/>
        </w:rPr>
      </w:pPr>
    </w:p>
    <w:p w14:paraId="0017ED7C">
      <w:pPr>
        <w:spacing w:before="260" w:after="260" w:line="360" w:lineRule="auto"/>
        <w:jc w:val="center"/>
        <w:outlineLvl w:val="1"/>
        <w:rPr>
          <w:rFonts w:ascii="仿宋" w:hAnsi="仿宋" w:eastAsia="仿宋"/>
          <w:b/>
          <w:bCs/>
          <w:color w:val="auto"/>
          <w:sz w:val="32"/>
          <w:szCs w:val="32"/>
          <w:highlight w:val="none"/>
        </w:rPr>
      </w:pPr>
      <w:bookmarkStart w:id="1" w:name="_Toc32717"/>
      <w:r>
        <w:rPr>
          <w:rFonts w:hint="eastAsia" w:ascii="仿宋" w:hAnsi="仿宋" w:eastAsia="仿宋"/>
          <w:b/>
          <w:color w:val="auto"/>
          <w:sz w:val="36"/>
          <w:szCs w:val="32"/>
          <w:highlight w:val="none"/>
        </w:rPr>
        <w:t>目    录</w:t>
      </w:r>
      <w:bookmarkEnd w:id="1"/>
    </w:p>
    <w:p w14:paraId="3797D465">
      <w:pPr>
        <w:pStyle w:val="14"/>
        <w:tabs>
          <w:tab w:val="right" w:leader="dot" w:pos="9638"/>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"_Toc11526" </w:instrText>
      </w:r>
      <w:r>
        <w:rPr>
          <w:color w:val="auto"/>
          <w:highlight w:val="none"/>
        </w:rPr>
        <w:fldChar w:fldCharType="separate"/>
      </w:r>
      <w:r>
        <w:rPr>
          <w:rFonts w:hint="eastAsia" w:ascii="仿宋" w:hAnsi="仿宋" w:eastAsia="仿宋" w:cs="仿宋"/>
          <w:color w:val="auto"/>
          <w:highlight w:val="none"/>
        </w:rPr>
        <w:t>第一章  磋商邀请</w:t>
      </w:r>
      <w:r>
        <w:rPr>
          <w:color w:val="auto"/>
          <w:highlight w:val="none"/>
        </w:rPr>
        <w:tab/>
      </w:r>
      <w:r>
        <w:rPr>
          <w:color w:val="auto"/>
          <w:highlight w:val="none"/>
        </w:rPr>
        <w:fldChar w:fldCharType="begin"/>
      </w:r>
      <w:r>
        <w:rPr>
          <w:color w:val="auto"/>
          <w:highlight w:val="none"/>
        </w:rPr>
        <w:instrText xml:space="preserve"> PAGEREF _Toc11526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0B63E7FB">
      <w:pPr>
        <w:pStyle w:val="14"/>
        <w:tabs>
          <w:tab w:val="right" w:leader="dot" w:pos="9638"/>
        </w:tabs>
        <w:rPr>
          <w:color w:val="auto"/>
          <w:highlight w:val="none"/>
        </w:rPr>
      </w:pPr>
      <w:r>
        <w:rPr>
          <w:color w:val="auto"/>
          <w:highlight w:val="none"/>
        </w:rPr>
        <w:fldChar w:fldCharType="begin"/>
      </w:r>
      <w:r>
        <w:rPr>
          <w:color w:val="auto"/>
          <w:highlight w:val="none"/>
        </w:rPr>
        <w:instrText xml:space="preserve"> HYPERLINK \l "_Toc32449" </w:instrText>
      </w:r>
      <w:r>
        <w:rPr>
          <w:color w:val="auto"/>
          <w:highlight w:val="none"/>
        </w:rPr>
        <w:fldChar w:fldCharType="separate"/>
      </w:r>
      <w:r>
        <w:rPr>
          <w:rFonts w:hint="eastAsia" w:ascii="仿宋" w:hAnsi="仿宋" w:eastAsia="仿宋" w:cs="仿宋"/>
          <w:color w:val="auto"/>
          <w:highlight w:val="none"/>
        </w:rPr>
        <w:t>第二章  磋商须知</w:t>
      </w:r>
      <w:r>
        <w:rPr>
          <w:color w:val="auto"/>
          <w:highlight w:val="none"/>
        </w:rPr>
        <w:tab/>
      </w:r>
      <w:r>
        <w:rPr>
          <w:color w:val="auto"/>
          <w:highlight w:val="none"/>
        </w:rPr>
        <w:fldChar w:fldCharType="begin"/>
      </w:r>
      <w:r>
        <w:rPr>
          <w:color w:val="auto"/>
          <w:highlight w:val="none"/>
        </w:rPr>
        <w:instrText xml:space="preserve"> PAGEREF _Toc32449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4D0A845F">
      <w:pPr>
        <w:pStyle w:val="14"/>
        <w:tabs>
          <w:tab w:val="right" w:leader="dot" w:pos="9638"/>
        </w:tabs>
        <w:rPr>
          <w:color w:val="auto"/>
          <w:highlight w:val="none"/>
        </w:rPr>
      </w:pPr>
      <w:r>
        <w:rPr>
          <w:color w:val="auto"/>
          <w:highlight w:val="none"/>
        </w:rPr>
        <w:fldChar w:fldCharType="begin"/>
      </w:r>
      <w:r>
        <w:rPr>
          <w:color w:val="auto"/>
          <w:highlight w:val="none"/>
        </w:rPr>
        <w:instrText xml:space="preserve"> HYPERLINK \l "_Toc26137" </w:instrText>
      </w:r>
      <w:r>
        <w:rPr>
          <w:color w:val="auto"/>
          <w:highlight w:val="none"/>
        </w:rPr>
        <w:fldChar w:fldCharType="separate"/>
      </w:r>
      <w:r>
        <w:rPr>
          <w:rFonts w:hint="eastAsia" w:ascii="仿宋" w:hAnsi="仿宋" w:eastAsia="仿宋" w:cs="仿宋"/>
          <w:color w:val="auto"/>
          <w:highlight w:val="none"/>
        </w:rPr>
        <w:t>第三章  采购项目技术、服务、采购合同内容条款及其他要求</w:t>
      </w:r>
      <w:r>
        <w:rPr>
          <w:color w:val="auto"/>
          <w:highlight w:val="none"/>
        </w:rPr>
        <w:tab/>
      </w:r>
      <w:r>
        <w:rPr>
          <w:color w:val="auto"/>
          <w:highlight w:val="none"/>
        </w:rPr>
        <w:fldChar w:fldCharType="begin"/>
      </w:r>
      <w:r>
        <w:rPr>
          <w:color w:val="auto"/>
          <w:highlight w:val="none"/>
        </w:rPr>
        <w:instrText xml:space="preserve"> PAGEREF _Toc26137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51BD2ED0">
      <w:pPr>
        <w:pStyle w:val="14"/>
        <w:tabs>
          <w:tab w:val="right" w:leader="dot" w:pos="9638"/>
        </w:tabs>
        <w:rPr>
          <w:color w:val="auto"/>
          <w:highlight w:val="none"/>
        </w:rPr>
      </w:pPr>
      <w:r>
        <w:rPr>
          <w:color w:val="auto"/>
          <w:highlight w:val="none"/>
        </w:rPr>
        <w:fldChar w:fldCharType="begin"/>
      </w:r>
      <w:r>
        <w:rPr>
          <w:color w:val="auto"/>
          <w:highlight w:val="none"/>
        </w:rPr>
        <w:instrText xml:space="preserve"> HYPERLINK \l "_Toc29032" </w:instrText>
      </w:r>
      <w:r>
        <w:rPr>
          <w:color w:val="auto"/>
          <w:highlight w:val="none"/>
        </w:rPr>
        <w:fldChar w:fldCharType="separate"/>
      </w:r>
      <w:r>
        <w:rPr>
          <w:rFonts w:hint="eastAsia" w:ascii="仿宋" w:hAnsi="仿宋" w:eastAsia="仿宋" w:cs="仿宋"/>
          <w:color w:val="auto"/>
          <w:highlight w:val="none"/>
        </w:rPr>
        <w:t>第四章  磋商内容、磋商过程中可实质性变动的内容</w:t>
      </w:r>
      <w:r>
        <w:rPr>
          <w:color w:val="auto"/>
          <w:highlight w:val="none"/>
        </w:rPr>
        <w:tab/>
      </w:r>
      <w:r>
        <w:rPr>
          <w:color w:val="auto"/>
          <w:highlight w:val="none"/>
        </w:rPr>
        <w:fldChar w:fldCharType="begin"/>
      </w:r>
      <w:r>
        <w:rPr>
          <w:color w:val="auto"/>
          <w:highlight w:val="none"/>
        </w:rPr>
        <w:instrText xml:space="preserve"> PAGEREF _Toc29032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34218942">
      <w:pPr>
        <w:pStyle w:val="14"/>
        <w:tabs>
          <w:tab w:val="right" w:leader="dot" w:pos="9638"/>
        </w:tabs>
        <w:rPr>
          <w:color w:val="auto"/>
          <w:highlight w:val="none"/>
        </w:rPr>
      </w:pPr>
      <w:r>
        <w:rPr>
          <w:color w:val="auto"/>
          <w:highlight w:val="none"/>
        </w:rPr>
        <w:fldChar w:fldCharType="begin"/>
      </w:r>
      <w:r>
        <w:rPr>
          <w:color w:val="auto"/>
          <w:highlight w:val="none"/>
        </w:rPr>
        <w:instrText xml:space="preserve"> HYPERLINK \l "_Toc18092" </w:instrText>
      </w:r>
      <w:r>
        <w:rPr>
          <w:color w:val="auto"/>
          <w:highlight w:val="none"/>
        </w:rPr>
        <w:fldChar w:fldCharType="separate"/>
      </w:r>
      <w:r>
        <w:rPr>
          <w:rFonts w:hint="eastAsia" w:ascii="仿宋" w:hAnsi="仿宋" w:eastAsia="仿宋" w:cs="仿宋"/>
          <w:color w:val="auto"/>
          <w:highlight w:val="none"/>
        </w:rPr>
        <w:t>第五章  供应商应当提供的资格、资质性及其他类似效力要求及相关证明材料</w:t>
      </w:r>
      <w:r>
        <w:rPr>
          <w:color w:val="auto"/>
          <w:highlight w:val="none"/>
        </w:rPr>
        <w:tab/>
      </w:r>
      <w:r>
        <w:rPr>
          <w:color w:val="auto"/>
          <w:highlight w:val="none"/>
        </w:rPr>
        <w:fldChar w:fldCharType="begin"/>
      </w:r>
      <w:r>
        <w:rPr>
          <w:color w:val="auto"/>
          <w:highlight w:val="none"/>
        </w:rPr>
        <w:instrText xml:space="preserve"> PAGEREF _Toc18092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5BFA47E2">
      <w:pPr>
        <w:pStyle w:val="14"/>
        <w:tabs>
          <w:tab w:val="right" w:leader="dot" w:pos="9638"/>
        </w:tabs>
        <w:rPr>
          <w:color w:val="auto"/>
          <w:highlight w:val="none"/>
        </w:rPr>
      </w:pPr>
      <w:r>
        <w:rPr>
          <w:color w:val="auto"/>
          <w:highlight w:val="none"/>
        </w:rPr>
        <w:fldChar w:fldCharType="begin"/>
      </w:r>
      <w:r>
        <w:rPr>
          <w:color w:val="auto"/>
          <w:highlight w:val="none"/>
        </w:rPr>
        <w:instrText xml:space="preserve"> HYPERLINK \l "_Toc28605" </w:instrText>
      </w:r>
      <w:r>
        <w:rPr>
          <w:color w:val="auto"/>
          <w:highlight w:val="none"/>
        </w:rPr>
        <w:fldChar w:fldCharType="separate"/>
      </w:r>
      <w:r>
        <w:rPr>
          <w:rFonts w:hint="eastAsia" w:ascii="仿宋" w:hAnsi="仿宋" w:eastAsia="仿宋" w:cs="仿宋"/>
          <w:color w:val="auto"/>
          <w:highlight w:val="none"/>
        </w:rPr>
        <w:t>第六章  评审方法</w:t>
      </w:r>
      <w:r>
        <w:rPr>
          <w:color w:val="auto"/>
          <w:highlight w:val="none"/>
        </w:rPr>
        <w:tab/>
      </w:r>
      <w:r>
        <w:rPr>
          <w:color w:val="auto"/>
          <w:highlight w:val="none"/>
        </w:rPr>
        <w:fldChar w:fldCharType="begin"/>
      </w:r>
      <w:r>
        <w:rPr>
          <w:color w:val="auto"/>
          <w:highlight w:val="none"/>
        </w:rPr>
        <w:instrText xml:space="preserve"> PAGEREF _Toc28605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2865D26B">
      <w:pPr>
        <w:pStyle w:val="14"/>
        <w:tabs>
          <w:tab w:val="right" w:leader="dot" w:pos="9638"/>
        </w:tabs>
        <w:rPr>
          <w:color w:val="auto"/>
          <w:highlight w:val="none"/>
        </w:rPr>
      </w:pPr>
      <w:r>
        <w:rPr>
          <w:color w:val="auto"/>
          <w:highlight w:val="none"/>
        </w:rPr>
        <w:fldChar w:fldCharType="begin"/>
      </w:r>
      <w:r>
        <w:rPr>
          <w:color w:val="auto"/>
          <w:highlight w:val="none"/>
        </w:rPr>
        <w:instrText xml:space="preserve"> HYPERLINK \l "_Toc3744" </w:instrText>
      </w:r>
      <w:r>
        <w:rPr>
          <w:color w:val="auto"/>
          <w:highlight w:val="none"/>
        </w:rPr>
        <w:fldChar w:fldCharType="separate"/>
      </w:r>
      <w:r>
        <w:rPr>
          <w:rFonts w:hint="eastAsia" w:ascii="仿宋" w:hAnsi="仿宋" w:eastAsia="仿宋" w:cs="仿宋"/>
          <w:bCs/>
          <w:color w:val="auto"/>
          <w:szCs w:val="32"/>
          <w:highlight w:val="none"/>
        </w:rPr>
        <w:t>第七章  合同条款（草案）</w:t>
      </w:r>
      <w:r>
        <w:rPr>
          <w:color w:val="auto"/>
          <w:highlight w:val="none"/>
        </w:rPr>
        <w:tab/>
      </w:r>
      <w:r>
        <w:rPr>
          <w:color w:val="auto"/>
          <w:highlight w:val="none"/>
        </w:rPr>
        <w:fldChar w:fldCharType="begin"/>
      </w:r>
      <w:r>
        <w:rPr>
          <w:color w:val="auto"/>
          <w:highlight w:val="none"/>
        </w:rPr>
        <w:instrText xml:space="preserve"> PAGEREF _Toc3744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4D7998F7">
      <w:pPr>
        <w:pStyle w:val="14"/>
        <w:tabs>
          <w:tab w:val="right" w:leader="dot" w:pos="9638"/>
        </w:tabs>
        <w:rPr>
          <w:color w:val="auto"/>
          <w:highlight w:val="none"/>
        </w:rPr>
      </w:pPr>
      <w:r>
        <w:rPr>
          <w:color w:val="auto"/>
          <w:highlight w:val="none"/>
        </w:rPr>
        <w:fldChar w:fldCharType="begin"/>
      </w:r>
      <w:r>
        <w:rPr>
          <w:color w:val="auto"/>
          <w:highlight w:val="none"/>
        </w:rPr>
        <w:instrText xml:space="preserve"> HYPERLINK \l "_Toc26017" </w:instrText>
      </w:r>
      <w:r>
        <w:rPr>
          <w:color w:val="auto"/>
          <w:highlight w:val="none"/>
        </w:rPr>
        <w:fldChar w:fldCharType="separate"/>
      </w:r>
      <w:r>
        <w:rPr>
          <w:rFonts w:hint="eastAsia" w:ascii="仿宋" w:hAnsi="仿宋" w:eastAsia="仿宋" w:cs="仿宋"/>
          <w:color w:val="auto"/>
          <w:highlight w:val="none"/>
        </w:rPr>
        <w:t>第八章  响应文件格式</w:t>
      </w:r>
      <w:r>
        <w:rPr>
          <w:color w:val="auto"/>
          <w:highlight w:val="none"/>
        </w:rPr>
        <w:tab/>
      </w:r>
      <w:r>
        <w:rPr>
          <w:color w:val="auto"/>
          <w:highlight w:val="none"/>
        </w:rPr>
        <w:fldChar w:fldCharType="begin"/>
      </w:r>
      <w:r>
        <w:rPr>
          <w:color w:val="auto"/>
          <w:highlight w:val="none"/>
        </w:rPr>
        <w:instrText xml:space="preserve"> PAGEREF _Toc26017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14:paraId="0DFF8FA0">
      <w:pPr>
        <w:rPr>
          <w:color w:val="auto"/>
          <w:highlight w:val="none"/>
        </w:rPr>
      </w:pPr>
      <w:r>
        <w:rPr>
          <w:color w:val="auto"/>
          <w:highlight w:val="none"/>
        </w:rPr>
        <w:fldChar w:fldCharType="end"/>
      </w:r>
    </w:p>
    <w:p w14:paraId="49526EF1">
      <w:pPr>
        <w:pStyle w:val="16"/>
        <w:rPr>
          <w:rFonts w:hint="eastAsia" w:ascii="仿宋" w:hAnsi="仿宋" w:eastAsia="仿宋" w:cs="仿宋"/>
          <w:color w:val="auto"/>
          <w:highlight w:val="none"/>
        </w:rPr>
        <w:sectPr>
          <w:headerReference r:id="rId3" w:type="default"/>
          <w:footerReference r:id="rId4" w:type="default"/>
          <w:pgSz w:w="11906" w:h="16838"/>
          <w:pgMar w:top="1134" w:right="1134" w:bottom="1134" w:left="1134" w:header="568" w:footer="686" w:gutter="0"/>
          <w:cols w:space="720" w:num="1"/>
          <w:docGrid w:linePitch="326" w:charSpace="0"/>
        </w:sectPr>
      </w:pPr>
      <w:bookmarkStart w:id="2" w:name="_Toc11526"/>
      <w:bookmarkStart w:id="3" w:name="_Toc6025"/>
      <w:bookmarkStart w:id="4" w:name="_Toc509579140"/>
    </w:p>
    <w:p w14:paraId="07CB46F1">
      <w:pPr>
        <w:pStyle w:val="16"/>
        <w:rPr>
          <w:rFonts w:ascii="仿宋" w:hAnsi="仿宋" w:eastAsia="仿宋" w:cs="仿宋"/>
          <w:color w:val="auto"/>
          <w:highlight w:val="none"/>
        </w:rPr>
      </w:pPr>
      <w:r>
        <w:rPr>
          <w:rFonts w:hint="eastAsia" w:ascii="仿宋" w:hAnsi="仿宋" w:eastAsia="仿宋" w:cs="仿宋"/>
          <w:color w:val="auto"/>
          <w:highlight w:val="none"/>
        </w:rPr>
        <w:t>第一章  磋商邀请</w:t>
      </w:r>
      <w:bookmarkEnd w:id="2"/>
      <w:bookmarkEnd w:id="3"/>
      <w:bookmarkEnd w:id="4"/>
    </w:p>
    <w:p w14:paraId="59CD1AE7">
      <w:pPr>
        <w:spacing w:line="360" w:lineRule="auto"/>
        <w:ind w:firstLine="720" w:firstLineChars="300"/>
        <w:jc w:val="left"/>
        <w:rPr>
          <w:rFonts w:ascii="仿宋" w:hAnsi="仿宋" w:eastAsia="仿宋"/>
          <w:color w:val="auto"/>
          <w:sz w:val="24"/>
          <w:highlight w:val="none"/>
        </w:rPr>
      </w:pPr>
    </w:p>
    <w:p w14:paraId="3300FF31">
      <w:pPr>
        <w:spacing w:line="360" w:lineRule="auto"/>
        <w:ind w:firstLine="720" w:firstLineChars="300"/>
        <w:jc w:val="left"/>
        <w:rPr>
          <w:rFonts w:ascii="仿宋" w:hAnsi="仿宋" w:eastAsia="仿宋" w:cs="仿宋"/>
          <w:color w:val="auto"/>
          <w:sz w:val="24"/>
          <w:szCs w:val="28"/>
          <w:highlight w:val="none"/>
        </w:rPr>
      </w:pPr>
      <w:r>
        <w:rPr>
          <w:rFonts w:hint="eastAsia" w:ascii="仿宋" w:hAnsi="仿宋" w:eastAsia="仿宋"/>
          <w:color w:val="auto"/>
          <w:sz w:val="24"/>
          <w:highlight w:val="none"/>
          <w:u w:val="single"/>
        </w:rPr>
        <w:t>四川成与诚招标代理有限公司</w:t>
      </w:r>
      <w:r>
        <w:rPr>
          <w:rFonts w:hint="eastAsia" w:ascii="仿宋" w:hAnsi="仿宋" w:eastAsia="仿宋" w:cs="仿宋"/>
          <w:color w:val="auto"/>
          <w:sz w:val="24"/>
          <w:highlight w:val="none"/>
        </w:rPr>
        <w:t>受</w:t>
      </w:r>
      <w:r>
        <w:rPr>
          <w:rFonts w:hint="eastAsia" w:ascii="仿宋" w:hAnsi="仿宋" w:eastAsia="仿宋"/>
          <w:color w:val="auto"/>
          <w:sz w:val="24"/>
          <w:highlight w:val="none"/>
          <w:u w:val="single"/>
        </w:rPr>
        <w:t>西南民族大学</w:t>
      </w:r>
      <w:r>
        <w:rPr>
          <w:rFonts w:hint="eastAsia" w:ascii="仿宋" w:hAnsi="仿宋" w:eastAsia="仿宋" w:cs="仿宋"/>
          <w:color w:val="auto"/>
          <w:sz w:val="24"/>
          <w:highlight w:val="none"/>
        </w:rPr>
        <w:t>委托，拟对</w:t>
      </w:r>
      <w:bookmarkStart w:id="5" w:name="PO_默认文件内容_1"/>
      <w:r>
        <w:rPr>
          <w:rFonts w:hint="eastAsia" w:ascii="仿宋" w:hAnsi="仿宋" w:eastAsia="仿宋"/>
          <w:color w:val="auto"/>
          <w:sz w:val="24"/>
          <w:highlight w:val="none"/>
          <w:u w:val="single"/>
          <w:lang w:eastAsia="zh-CN"/>
        </w:rPr>
        <w:t>西南民族大学食堂及校医院基础设施维修改造</w:t>
      </w:r>
      <w:r>
        <w:rPr>
          <w:rFonts w:hint="eastAsia" w:ascii="仿宋" w:hAnsi="仿宋" w:eastAsia="仿宋" w:cs="仿宋"/>
          <w:color w:val="auto"/>
          <w:sz w:val="24"/>
          <w:szCs w:val="32"/>
          <w:highlight w:val="none"/>
        </w:rPr>
        <w:t>采用竞争性磋商方式</w:t>
      </w:r>
      <w:r>
        <w:rPr>
          <w:rFonts w:hint="eastAsia" w:ascii="仿宋" w:hAnsi="仿宋" w:eastAsia="仿宋" w:cs="仿宋"/>
          <w:color w:val="auto"/>
          <w:sz w:val="24"/>
          <w:highlight w:val="none"/>
        </w:rPr>
        <w:t>进行采购，特</w:t>
      </w:r>
      <w:r>
        <w:rPr>
          <w:rFonts w:hint="eastAsia" w:ascii="仿宋" w:hAnsi="仿宋" w:eastAsia="仿宋" w:cs="仿宋"/>
          <w:color w:val="auto"/>
          <w:sz w:val="24"/>
          <w:szCs w:val="28"/>
          <w:highlight w:val="none"/>
        </w:rPr>
        <w:t>邀请符合本次采购要求的供应商参加</w:t>
      </w:r>
      <w:r>
        <w:rPr>
          <w:rFonts w:hint="eastAsia" w:ascii="仿宋" w:hAnsi="仿宋" w:eastAsia="仿宋" w:cs="仿宋"/>
          <w:color w:val="auto"/>
          <w:sz w:val="24"/>
          <w:highlight w:val="none"/>
        </w:rPr>
        <w:t>本项目的</w:t>
      </w:r>
      <w:r>
        <w:rPr>
          <w:rFonts w:hint="eastAsia" w:ascii="仿宋" w:hAnsi="仿宋" w:eastAsia="仿宋" w:cs="仿宋"/>
          <w:bCs/>
          <w:color w:val="auto"/>
          <w:sz w:val="24"/>
          <w:highlight w:val="none"/>
        </w:rPr>
        <w:t>竞争性磋商</w:t>
      </w:r>
      <w:r>
        <w:rPr>
          <w:rFonts w:hint="eastAsia" w:ascii="仿宋" w:hAnsi="仿宋" w:eastAsia="仿宋" w:cs="仿宋"/>
          <w:color w:val="auto"/>
          <w:sz w:val="24"/>
          <w:szCs w:val="28"/>
          <w:highlight w:val="none"/>
        </w:rPr>
        <w:t>。</w:t>
      </w:r>
      <w:bookmarkEnd w:id="5"/>
    </w:p>
    <w:p w14:paraId="2BB48E70">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一、采购项目基本情况</w:t>
      </w:r>
    </w:p>
    <w:p w14:paraId="2214A0E9">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1.项目编号：</w:t>
      </w:r>
      <w:r>
        <w:rPr>
          <w:rFonts w:hint="eastAsia" w:ascii="仿宋" w:hAnsi="仿宋" w:eastAsia="仿宋"/>
          <w:color w:val="auto"/>
          <w:sz w:val="24"/>
          <w:highlight w:val="none"/>
        </w:rPr>
        <w:t>SMU-WT2026054</w:t>
      </w:r>
    </w:p>
    <w:p w14:paraId="19D14837">
      <w:pPr>
        <w:spacing w:line="360" w:lineRule="auto"/>
        <w:ind w:firstLine="456" w:firstLineChars="200"/>
        <w:rPr>
          <w:rFonts w:ascii="仿宋" w:hAnsi="仿宋" w:eastAsia="仿宋"/>
          <w:color w:val="auto"/>
          <w:spacing w:val="-6"/>
          <w:sz w:val="24"/>
          <w:highlight w:val="none"/>
        </w:rPr>
      </w:pPr>
      <w:r>
        <w:rPr>
          <w:rFonts w:hint="eastAsia" w:ascii="仿宋" w:hAnsi="仿宋" w:eastAsia="仿宋" w:cs="仿宋"/>
          <w:color w:val="auto"/>
          <w:spacing w:val="-6"/>
          <w:sz w:val="24"/>
          <w:highlight w:val="none"/>
        </w:rPr>
        <w:t>2.采购项目名称：西南民族大学食堂及校医院基础设施维修改造</w:t>
      </w:r>
    </w:p>
    <w:p w14:paraId="03350D1A">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二、资金情况</w:t>
      </w:r>
    </w:p>
    <w:p w14:paraId="24B8DB89">
      <w:pPr>
        <w:spacing w:line="360" w:lineRule="auto"/>
        <w:ind w:right="31" w:rightChars="15" w:firstLine="480" w:firstLineChars="200"/>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资金来源：资金已落实  </w:t>
      </w:r>
    </w:p>
    <w:p w14:paraId="73377CE9">
      <w:pPr>
        <w:numPr>
          <w:ilvl w:val="0"/>
          <w:numId w:val="1"/>
        </w:num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采购项目简介：</w:t>
      </w:r>
    </w:p>
    <w:p w14:paraId="1B4B950E">
      <w:pPr>
        <w:tabs>
          <w:tab w:val="left" w:pos="7665"/>
        </w:tabs>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1.建设地点：西南民族大学食堂及校医院；</w:t>
      </w:r>
    </w:p>
    <w:p w14:paraId="3F1D1F4D">
      <w:pPr>
        <w:tabs>
          <w:tab w:val="left" w:pos="7665"/>
        </w:tabs>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2.建设规模：详见本项目工程量清单及施工图纸（另册）所示全部内容；</w:t>
      </w:r>
    </w:p>
    <w:p w14:paraId="658A461A">
      <w:pPr>
        <w:tabs>
          <w:tab w:val="left" w:pos="7665"/>
        </w:tabs>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3.质量标准：符合设计要求并达到国家现行施工验收规范合格标准；</w:t>
      </w:r>
    </w:p>
    <w:p w14:paraId="1B4AC41B">
      <w:pPr>
        <w:tabs>
          <w:tab w:val="left" w:pos="7665"/>
        </w:tabs>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4.计划工期：</w:t>
      </w:r>
      <w:r>
        <w:rPr>
          <w:rFonts w:hint="eastAsia" w:ascii="仿宋" w:hAnsi="仿宋" w:eastAsia="仿宋" w:cs="仿宋"/>
          <w:color w:val="auto"/>
          <w:sz w:val="24"/>
          <w:highlight w:val="none"/>
          <w:lang w:val="en-US" w:eastAsia="zh-CN"/>
        </w:rPr>
        <w:t>50</w:t>
      </w:r>
      <w:r>
        <w:rPr>
          <w:rFonts w:hint="eastAsia" w:ascii="仿宋" w:hAnsi="仿宋" w:eastAsia="仿宋" w:cs="仿宋"/>
          <w:color w:val="auto"/>
          <w:sz w:val="24"/>
          <w:highlight w:val="none"/>
        </w:rPr>
        <w:t>个日历天。自采购人签署开工报告之日起开始计算。</w:t>
      </w:r>
    </w:p>
    <w:p w14:paraId="5EEEA6B5">
      <w:pPr>
        <w:spacing w:after="120" w:line="360" w:lineRule="auto"/>
        <w:ind w:firstLine="482" w:firstLineChars="200"/>
        <w:rPr>
          <w:rFonts w:ascii="仿宋" w:hAnsi="仿宋" w:eastAsia="仿宋"/>
          <w:b/>
          <w:bCs/>
          <w:color w:val="auto"/>
          <w:sz w:val="24"/>
          <w:highlight w:val="none"/>
        </w:rPr>
      </w:pPr>
      <w:r>
        <w:rPr>
          <w:rFonts w:hint="eastAsia" w:ascii="仿宋" w:hAnsi="仿宋" w:eastAsia="仿宋"/>
          <w:b/>
          <w:bCs/>
          <w:color w:val="auto"/>
          <w:sz w:val="24"/>
          <w:highlight w:val="none"/>
        </w:rPr>
        <w:t>四、供应商邀请方式</w:t>
      </w:r>
    </w:p>
    <w:p w14:paraId="775AB5B7">
      <w:pPr>
        <w:pStyle w:val="24"/>
        <w:spacing w:line="440" w:lineRule="exact"/>
        <w:ind w:firstLine="480"/>
        <w:rPr>
          <w:rFonts w:ascii="仿宋" w:hAnsi="仿宋" w:eastAsia="仿宋" w:cs="仿宋"/>
          <w:color w:val="auto"/>
          <w:sz w:val="24"/>
          <w:highlight w:val="none"/>
        </w:rPr>
      </w:pPr>
      <w:bookmarkStart w:id="6" w:name="PO_默认文件内容_3"/>
      <w:r>
        <w:rPr>
          <w:rFonts w:hint="eastAsia" w:ascii="仿宋" w:hAnsi="仿宋" w:eastAsia="仿宋" w:cs="仿宋"/>
          <w:color w:val="auto"/>
          <w:sz w:val="24"/>
          <w:highlight w:val="none"/>
        </w:rPr>
        <w:t>本次采购采取公告方式邀请参加磋商的供应商。</w:t>
      </w:r>
    </w:p>
    <w:p w14:paraId="4CA6D8EE">
      <w:pPr>
        <w:pStyle w:val="24"/>
        <w:spacing w:line="440" w:lineRule="exact"/>
        <w:ind w:firstLine="480"/>
        <w:rPr>
          <w:rFonts w:ascii="仿宋" w:hAnsi="仿宋" w:eastAsia="仿宋"/>
          <w:b/>
          <w:bCs/>
          <w:color w:val="auto"/>
          <w:sz w:val="24"/>
          <w:highlight w:val="none"/>
        </w:rPr>
      </w:pPr>
      <w:r>
        <w:rPr>
          <w:rFonts w:hint="eastAsia" w:ascii="仿宋" w:hAnsi="仿宋" w:eastAsia="仿宋" w:cs="仿宋"/>
          <w:color w:val="auto"/>
          <w:sz w:val="24"/>
          <w:highlight w:val="none"/>
        </w:rPr>
        <w:t>本次竞争性磋商邀请在中国政府采购网上以公告形式发布</w:t>
      </w:r>
      <w:r>
        <w:rPr>
          <w:rFonts w:hint="eastAsia" w:ascii="仿宋" w:hAnsi="仿宋" w:eastAsia="仿宋"/>
          <w:bCs/>
          <w:color w:val="auto"/>
          <w:sz w:val="24"/>
          <w:highlight w:val="none"/>
        </w:rPr>
        <w:t>。</w:t>
      </w:r>
      <w:bookmarkEnd w:id="6"/>
    </w:p>
    <w:p w14:paraId="40C376DA">
      <w:pPr>
        <w:spacing w:after="120" w:line="360" w:lineRule="auto"/>
        <w:ind w:firstLine="482" w:firstLineChars="200"/>
        <w:rPr>
          <w:rFonts w:ascii="仿宋" w:hAnsi="仿宋" w:eastAsia="仿宋"/>
          <w:b/>
          <w:bCs/>
          <w:color w:val="auto"/>
          <w:sz w:val="24"/>
          <w:highlight w:val="none"/>
        </w:rPr>
      </w:pPr>
      <w:r>
        <w:rPr>
          <w:rFonts w:hint="eastAsia" w:ascii="仿宋" w:hAnsi="仿宋" w:eastAsia="仿宋"/>
          <w:b/>
          <w:bCs/>
          <w:color w:val="auto"/>
          <w:sz w:val="24"/>
          <w:highlight w:val="none"/>
        </w:rPr>
        <w:t>五、供应商参加本次采购活动应具备下列条件</w:t>
      </w:r>
    </w:p>
    <w:p w14:paraId="62E5469E">
      <w:pPr>
        <w:pStyle w:val="24"/>
        <w:spacing w:line="440" w:lineRule="exact"/>
        <w:ind w:firstLine="480"/>
        <w:rPr>
          <w:rFonts w:ascii="仿宋" w:hAnsi="仿宋" w:eastAsia="仿宋" w:cs="仿宋"/>
          <w:color w:val="auto"/>
          <w:sz w:val="24"/>
          <w:highlight w:val="none"/>
        </w:rPr>
      </w:pPr>
      <w:bookmarkStart w:id="7" w:name="PO_供应商资格条件_1"/>
      <w:r>
        <w:rPr>
          <w:rFonts w:hint="eastAsia" w:ascii="仿宋" w:hAnsi="仿宋" w:eastAsia="仿宋" w:cs="仿宋"/>
          <w:color w:val="auto"/>
          <w:sz w:val="24"/>
          <w:highlight w:val="none"/>
        </w:rPr>
        <w:t>1.具有独立承担民事责任的能力；</w:t>
      </w:r>
    </w:p>
    <w:p w14:paraId="4E44975C">
      <w:pPr>
        <w:tabs>
          <w:tab w:val="left" w:pos="7665"/>
        </w:tabs>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2.具有良好的商业信誉和健全的财务会计制度；</w:t>
      </w:r>
    </w:p>
    <w:p w14:paraId="2E6E2866">
      <w:pPr>
        <w:tabs>
          <w:tab w:val="left" w:pos="7665"/>
        </w:tabs>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w:t>
      </w:r>
    </w:p>
    <w:p w14:paraId="3DBA857C">
      <w:pPr>
        <w:tabs>
          <w:tab w:val="left" w:pos="7665"/>
        </w:tabs>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w:t>
      </w:r>
    </w:p>
    <w:p w14:paraId="5A5840FF">
      <w:pPr>
        <w:tabs>
          <w:tab w:val="left" w:pos="7665"/>
        </w:tabs>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5.参加本次采购活动前三年内，在经营活动中没有重大违法记录；</w:t>
      </w:r>
    </w:p>
    <w:p w14:paraId="4EA75BA6">
      <w:pPr>
        <w:pStyle w:val="24"/>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6.法律、行政法规规定的其他条件；</w:t>
      </w:r>
    </w:p>
    <w:p w14:paraId="3C1D4450">
      <w:pPr>
        <w:pStyle w:val="24"/>
        <w:spacing w:line="440" w:lineRule="exact"/>
        <w:ind w:firstLine="48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落实政府采购政策需满足的资格要求：</w:t>
      </w:r>
      <w:r>
        <w:rPr>
          <w:rFonts w:hint="eastAsia" w:ascii="仿宋" w:hAnsi="仿宋" w:eastAsia="仿宋" w:cs="仿宋"/>
          <w:color w:val="auto"/>
          <w:sz w:val="24"/>
          <w:szCs w:val="24"/>
          <w:highlight w:val="none"/>
          <w:lang w:eastAsia="zh-CN"/>
        </w:rPr>
        <w:t>本项目专门面向中小企业采购，供应商应为中小微企业(监狱企业、残疾人福利性单位均视同小微企业，</w:t>
      </w:r>
      <w:r>
        <w:rPr>
          <w:rFonts w:hint="eastAsia" w:ascii="仿宋" w:hAnsi="仿宋" w:eastAsia="仿宋" w:cs="仿宋"/>
          <w:color w:val="auto"/>
          <w:sz w:val="24"/>
          <w:szCs w:val="24"/>
          <w:highlight w:val="none"/>
        </w:rPr>
        <w:t>符合中小企业划分标准的个体工商户视同中小企业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11B48D74">
      <w:pPr>
        <w:pStyle w:val="24"/>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8.具有</w:t>
      </w:r>
      <w:r>
        <w:rPr>
          <w:rFonts w:hint="eastAsia" w:ascii="仿宋" w:hAnsi="仿宋" w:eastAsia="仿宋" w:cs="仿宋"/>
          <w:color w:val="auto"/>
          <w:sz w:val="24"/>
          <w:highlight w:val="none"/>
        </w:rPr>
        <w:t>行政主管部门颁发</w:t>
      </w:r>
      <w:r>
        <w:rPr>
          <w:rFonts w:hint="eastAsia" w:ascii="仿宋" w:hAnsi="仿宋" w:eastAsia="仿宋" w:cs="仿宋"/>
          <w:color w:val="auto"/>
          <w:sz w:val="24"/>
          <w:highlight w:val="none"/>
          <w:lang w:val="en-US" w:eastAsia="zh-CN"/>
        </w:rPr>
        <w:t>的有效的建筑工程施工总承包三级及以上资质证书，并具有有效的安全生产许可证</w:t>
      </w:r>
      <w:r>
        <w:rPr>
          <w:rFonts w:hint="eastAsia" w:ascii="仿宋" w:hAnsi="仿宋" w:eastAsia="仿宋" w:cs="仿宋"/>
          <w:color w:val="auto"/>
          <w:sz w:val="24"/>
          <w:highlight w:val="none"/>
        </w:rPr>
        <w:t>。</w:t>
      </w:r>
    </w:p>
    <w:p w14:paraId="35722105">
      <w:pPr>
        <w:pStyle w:val="24"/>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.项目负责人要求：项目经理具备行政主管部门颁发的建筑工程专业二级及以上建造师注册证书,同时具备有效的安全生产考核合格证书（</w:t>
      </w:r>
      <w:r>
        <w:rPr>
          <w:rFonts w:hint="eastAsia" w:ascii="仿宋" w:hAnsi="仿宋" w:eastAsia="仿宋" w:cs="仿宋"/>
          <w:color w:val="auto"/>
          <w:sz w:val="24"/>
          <w:highlight w:val="none"/>
          <w:lang w:val="en-US" w:eastAsia="zh-CN"/>
        </w:rPr>
        <w:t>建安</w:t>
      </w:r>
      <w:r>
        <w:rPr>
          <w:rFonts w:hint="eastAsia" w:ascii="仿宋" w:hAnsi="仿宋" w:eastAsia="仿宋" w:cs="仿宋"/>
          <w:color w:val="auto"/>
          <w:sz w:val="24"/>
          <w:highlight w:val="none"/>
        </w:rPr>
        <w:t>B证）且供应商需书面承诺取得成交资格后将拟派本项目的项目经理在本工程完工前不得担任其他项目的项目经理。</w:t>
      </w:r>
    </w:p>
    <w:bookmarkEnd w:id="7"/>
    <w:p w14:paraId="2900DAA6">
      <w:pPr>
        <w:pStyle w:val="24"/>
        <w:spacing w:line="440" w:lineRule="exact"/>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六、禁止参加本次采购活动的供应商</w:t>
      </w:r>
    </w:p>
    <w:p w14:paraId="2EFB6ACE">
      <w:pPr>
        <w:pStyle w:val="24"/>
        <w:spacing w:line="420" w:lineRule="exact"/>
        <w:ind w:firstLine="480"/>
        <w:rPr>
          <w:rFonts w:ascii="仿宋" w:hAnsi="仿宋" w:eastAsia="仿宋"/>
          <w:b/>
          <w:color w:val="auto"/>
          <w:sz w:val="24"/>
          <w:highlight w:val="none"/>
        </w:rPr>
      </w:pPr>
      <w:r>
        <w:rPr>
          <w:rFonts w:hint="eastAsia" w:ascii="仿宋" w:hAnsi="仿宋" w:eastAsia="仿宋" w:cs="仿宋"/>
          <w:color w:val="auto"/>
          <w:sz w:val="24"/>
          <w:highlight w:val="none"/>
        </w:rPr>
        <w:t>根据《关于在政府采购活动中查询及使用信用记录有关问题的通知》（财库〔2016〕125号）的要求，采购人/采购代理机构将通过“信用中国”网站、“中国政府采购网”网站等渠道对供应商进行信用记录查询，并将查询记录存档。凡被列入失信被执行人、</w:t>
      </w:r>
      <w:r>
        <w:rPr>
          <w:rFonts w:hint="eastAsia" w:ascii="仿宋" w:hAnsi="仿宋" w:eastAsia="仿宋" w:cs="仿宋"/>
          <w:color w:val="auto"/>
          <w:sz w:val="24"/>
          <w:highlight w:val="none"/>
          <w:lang w:eastAsia="zh-CN"/>
        </w:rPr>
        <w:t>重大税收违法失信主体名单、严重失信主体名单</w:t>
      </w:r>
      <w:r>
        <w:rPr>
          <w:rFonts w:hint="eastAsia" w:ascii="仿宋" w:hAnsi="仿宋" w:eastAsia="仿宋" w:cs="仿宋"/>
          <w:color w:val="auto"/>
          <w:sz w:val="24"/>
          <w:highlight w:val="none"/>
        </w:rPr>
        <w:t>、政府采购严重违法失信行为记录名单的，视为存在不良信用记录，参与本项目的将被视为无效响应。</w:t>
      </w:r>
    </w:p>
    <w:p w14:paraId="31385495">
      <w:pPr>
        <w:spacing w:line="360" w:lineRule="auto"/>
        <w:ind w:firstLine="482" w:firstLineChars="200"/>
        <w:rPr>
          <w:rFonts w:ascii="仿宋" w:hAnsi="仿宋" w:eastAsia="仿宋"/>
          <w:b/>
          <w:color w:val="auto"/>
          <w:sz w:val="24"/>
          <w:highlight w:val="none"/>
        </w:rPr>
      </w:pPr>
      <w:r>
        <w:rPr>
          <w:rFonts w:hint="eastAsia" w:ascii="仿宋" w:hAnsi="仿宋" w:eastAsia="仿宋"/>
          <w:b/>
          <w:color w:val="auto"/>
          <w:sz w:val="24"/>
          <w:highlight w:val="none"/>
        </w:rPr>
        <w:t>七、磋商文件获取方式、时间、地点：</w:t>
      </w:r>
    </w:p>
    <w:p w14:paraId="21B2ED72">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磋商文件自2026年</w:t>
      </w:r>
      <w:r>
        <w:rPr>
          <w:rFonts w:hint="eastAsia" w:ascii="仿宋" w:hAnsi="仿宋" w:eastAsia="仿宋" w:cs="仿宋"/>
          <w:color w:val="auto"/>
          <w:sz w:val="24"/>
          <w:highlight w:val="none"/>
          <w:lang w:val="en-US" w:eastAsia="zh-CN"/>
        </w:rPr>
        <w:t>04</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17</w:t>
      </w:r>
      <w:r>
        <w:rPr>
          <w:rFonts w:hint="eastAsia" w:ascii="仿宋" w:hAnsi="仿宋" w:eastAsia="仿宋" w:cs="仿宋"/>
          <w:color w:val="auto"/>
          <w:sz w:val="24"/>
          <w:highlight w:val="none"/>
        </w:rPr>
        <w:t>日至2026年</w:t>
      </w:r>
      <w:r>
        <w:rPr>
          <w:rFonts w:hint="eastAsia" w:ascii="仿宋" w:hAnsi="仿宋" w:eastAsia="仿宋" w:cs="仿宋"/>
          <w:color w:val="auto"/>
          <w:sz w:val="24"/>
          <w:highlight w:val="none"/>
          <w:lang w:val="en-US" w:eastAsia="zh-CN"/>
        </w:rPr>
        <w:t>04</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23</w:t>
      </w:r>
      <w:r>
        <w:rPr>
          <w:rFonts w:hint="eastAsia" w:ascii="仿宋" w:hAnsi="仿宋" w:eastAsia="仿宋" w:cs="仿宋"/>
          <w:color w:val="auto"/>
          <w:sz w:val="24"/>
          <w:highlight w:val="none"/>
        </w:rPr>
        <w:t>日每天上午9:00-12:00，下午14:00-17:00（北京时间，节假日除外），在四川成与诚招标代理有限公司获取。</w:t>
      </w:r>
    </w:p>
    <w:p w14:paraId="117BD935">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1、文件获取方式：</w:t>
      </w:r>
    </w:p>
    <w:p w14:paraId="5E7E4D04">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线上办理：登录我司指定网站（http://www.sccyczb.cn）免费注册后查询到相应项目在线报名并获取文件。</w:t>
      </w:r>
    </w:p>
    <w:p w14:paraId="77D966BD">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2、获取文件时需要提供的资料：</w:t>
      </w:r>
    </w:p>
    <w:p w14:paraId="45BE31BF">
      <w:pPr>
        <w:spacing w:after="120" w:line="360" w:lineRule="auto"/>
        <w:ind w:firstLine="456" w:firstLineChars="200"/>
        <w:jc w:val="lef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2.1若供应商为法人或者其他组织的，只需提供单位介绍信、经办人身份证明；</w:t>
      </w:r>
    </w:p>
    <w:p w14:paraId="560E9A0C">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2.2若供应商为自然人的，只需提供本人身份证明。</w:t>
      </w:r>
    </w:p>
    <w:p w14:paraId="4F104E5A">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注：提供加盖公章的扫描件，供应商为自然人的应由本人签字。</w:t>
      </w:r>
    </w:p>
    <w:p w14:paraId="2A7C2904">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报名系统技术服务费300元，服务费不退，磋商申请资格不能转让。</w:t>
      </w:r>
    </w:p>
    <w:p w14:paraId="272E4FCA">
      <w:pPr>
        <w:spacing w:after="120" w:line="360" w:lineRule="auto"/>
        <w:ind w:firstLine="482" w:firstLineChars="200"/>
        <w:jc w:val="left"/>
        <w:rPr>
          <w:rFonts w:ascii="仿宋" w:hAnsi="仿宋" w:eastAsia="仿宋" w:cs="仿宋"/>
          <w:color w:val="auto"/>
          <w:sz w:val="24"/>
          <w:szCs w:val="28"/>
          <w:highlight w:val="none"/>
        </w:rPr>
      </w:pPr>
      <w:r>
        <w:rPr>
          <w:rFonts w:hint="eastAsia" w:ascii="仿宋" w:hAnsi="仿宋" w:eastAsia="仿宋" w:cs="仿宋"/>
          <w:b/>
          <w:color w:val="auto"/>
          <w:sz w:val="24"/>
          <w:szCs w:val="28"/>
          <w:highlight w:val="none"/>
        </w:rPr>
        <w:t>八</w:t>
      </w:r>
      <w:r>
        <w:rPr>
          <w:rFonts w:hint="eastAsia" w:ascii="仿宋" w:hAnsi="仿宋" w:eastAsia="仿宋" w:cs="仿宋"/>
          <w:b/>
          <w:color w:val="auto"/>
          <w:sz w:val="24"/>
          <w:highlight w:val="none"/>
        </w:rPr>
        <w:t>、递交响应文件地点：</w:t>
      </w:r>
      <w:bookmarkStart w:id="8" w:name="PO_默认文件内容_7"/>
      <w:r>
        <w:rPr>
          <w:rFonts w:hint="eastAsia" w:ascii="仿宋" w:hAnsi="仿宋" w:eastAsia="仿宋" w:cs="仿宋"/>
          <w:color w:val="auto"/>
          <w:sz w:val="24"/>
          <w:highlight w:val="none"/>
        </w:rPr>
        <w:t>响应文件必须在递交响应文件截止时间前送达磋商地点。逾期送达或没有密封的响应文件恕不接收。本次采购不接收邮寄的响应文件。</w:t>
      </w:r>
      <w:bookmarkEnd w:id="8"/>
      <w:r>
        <w:rPr>
          <w:rFonts w:hint="eastAsia" w:ascii="仿宋" w:hAnsi="仿宋" w:eastAsia="仿宋" w:cs="仿宋"/>
          <w:b/>
          <w:bCs/>
          <w:color w:val="auto"/>
          <w:sz w:val="24"/>
          <w:highlight w:val="none"/>
        </w:rPr>
        <w:t>（响应文件接收时间：</w:t>
      </w:r>
      <w:r>
        <w:rPr>
          <w:rFonts w:hint="eastAsia" w:ascii="仿宋" w:hAnsi="仿宋" w:eastAsia="仿宋" w:cs="仿宋"/>
          <w:color w:val="auto"/>
          <w:sz w:val="24"/>
          <w:highlight w:val="none"/>
        </w:rPr>
        <w:t>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04</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28</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00</w:t>
      </w:r>
      <w:r>
        <w:rPr>
          <w:rFonts w:hint="eastAsia" w:ascii="仿宋" w:hAnsi="仿宋" w:eastAsia="仿宋" w:cs="仿宋"/>
          <w:b/>
          <w:bCs/>
          <w:color w:val="auto"/>
          <w:sz w:val="24"/>
          <w:highlight w:val="none"/>
        </w:rPr>
        <w:t xml:space="preserve"> –</w:t>
      </w:r>
      <w:bookmarkStart w:id="9" w:name="PO_投标文件递交截止时间_1"/>
      <w:r>
        <w:rPr>
          <w:rFonts w:hint="eastAsia" w:ascii="仿宋" w:hAnsi="仿宋" w:eastAsia="仿宋" w:cs="仿宋"/>
          <w:b/>
          <w:bCs/>
          <w:color w:val="auto"/>
          <w:sz w:val="24"/>
          <w:highlight w:val="none"/>
        </w:rPr>
        <w:t>递交响应文件截止时间</w:t>
      </w:r>
      <w:bookmarkEnd w:id="9"/>
      <w:r>
        <w:rPr>
          <w:rFonts w:hint="eastAsia" w:ascii="仿宋" w:hAnsi="仿宋" w:eastAsia="仿宋" w:cs="仿宋"/>
          <w:b/>
          <w:bCs/>
          <w:color w:val="auto"/>
          <w:sz w:val="24"/>
          <w:highlight w:val="none"/>
        </w:rPr>
        <w:t>）</w:t>
      </w:r>
    </w:p>
    <w:p w14:paraId="0037F5FD">
      <w:pPr>
        <w:spacing w:after="120" w:line="440" w:lineRule="exact"/>
        <w:ind w:firstLine="458" w:firstLineChars="200"/>
        <w:rPr>
          <w:rFonts w:ascii="仿宋" w:hAnsi="仿宋" w:eastAsia="仿宋" w:cs="仿宋"/>
          <w:color w:val="auto"/>
          <w:spacing w:val="-6"/>
          <w:sz w:val="24"/>
          <w:szCs w:val="28"/>
          <w:highlight w:val="none"/>
        </w:rPr>
      </w:pPr>
      <w:r>
        <w:rPr>
          <w:rFonts w:hint="eastAsia" w:ascii="仿宋" w:hAnsi="仿宋" w:eastAsia="仿宋" w:cs="仿宋"/>
          <w:b/>
          <w:color w:val="auto"/>
          <w:spacing w:val="-6"/>
          <w:sz w:val="24"/>
          <w:szCs w:val="28"/>
          <w:highlight w:val="none"/>
        </w:rPr>
        <w:t>九、响应文件开启时间：2026年04月28日11：</w:t>
      </w:r>
      <w:r>
        <w:rPr>
          <w:rFonts w:hint="eastAsia" w:ascii="仿宋" w:hAnsi="仿宋" w:eastAsia="仿宋" w:cs="仿宋"/>
          <w:b/>
          <w:color w:val="auto"/>
          <w:spacing w:val="-6"/>
          <w:sz w:val="24"/>
          <w:szCs w:val="28"/>
          <w:highlight w:val="none"/>
          <w:lang w:val="en-US" w:eastAsia="zh-CN"/>
        </w:rPr>
        <w:t>30</w:t>
      </w:r>
      <w:r>
        <w:rPr>
          <w:rFonts w:hint="eastAsia" w:ascii="仿宋" w:hAnsi="仿宋" w:eastAsia="仿宋" w:cs="仿宋"/>
          <w:color w:val="auto"/>
          <w:spacing w:val="-6"/>
          <w:sz w:val="24"/>
          <w:szCs w:val="28"/>
          <w:highlight w:val="none"/>
        </w:rPr>
        <w:t>（北京时间）。在磋商地点开启。</w:t>
      </w:r>
    </w:p>
    <w:p w14:paraId="11083AF3">
      <w:pPr>
        <w:spacing w:line="440" w:lineRule="exact"/>
        <w:ind w:firstLine="489" w:firstLineChars="203"/>
        <w:rPr>
          <w:rFonts w:ascii="仿宋" w:hAnsi="仿宋" w:eastAsia="仿宋" w:cs="仿宋"/>
          <w:color w:val="auto"/>
          <w:sz w:val="24"/>
          <w:szCs w:val="28"/>
          <w:highlight w:val="none"/>
        </w:rPr>
      </w:pPr>
      <w:r>
        <w:rPr>
          <w:rFonts w:hint="eastAsia" w:ascii="仿宋" w:hAnsi="仿宋" w:eastAsia="仿宋" w:cs="仿宋"/>
          <w:b/>
          <w:color w:val="auto"/>
          <w:sz w:val="24"/>
          <w:szCs w:val="28"/>
          <w:highlight w:val="none"/>
        </w:rPr>
        <w:t>十、磋商地点：</w:t>
      </w:r>
      <w:r>
        <w:rPr>
          <w:rFonts w:hint="eastAsia" w:ascii="黑体" w:hAnsi="黑体" w:eastAsia="黑体" w:cs="黑体"/>
          <w:bCs/>
          <w:color w:val="auto"/>
          <w:sz w:val="24"/>
          <w:highlight w:val="none"/>
        </w:rPr>
        <w:t>四川成与诚招标代理有限公司开标厅[中国（四川）自由贸易试验区成都高新区天府大道北段1700号新世纪环球中心W6区16楼1622号]。</w:t>
      </w:r>
    </w:p>
    <w:p w14:paraId="54E99868">
      <w:pPr>
        <w:spacing w:line="360" w:lineRule="auto"/>
        <w:ind w:firstLine="482" w:firstLineChars="200"/>
        <w:rPr>
          <w:rFonts w:ascii="仿宋" w:hAnsi="仿宋" w:eastAsia="仿宋"/>
          <w:b/>
          <w:color w:val="auto"/>
          <w:sz w:val="24"/>
          <w:highlight w:val="none"/>
        </w:rPr>
      </w:pPr>
      <w:r>
        <w:rPr>
          <w:rFonts w:hint="eastAsia" w:ascii="仿宋" w:hAnsi="仿宋" w:eastAsia="仿宋"/>
          <w:b/>
          <w:color w:val="auto"/>
          <w:sz w:val="24"/>
          <w:highlight w:val="none"/>
        </w:rPr>
        <w:t>十一、联系方式</w:t>
      </w:r>
    </w:p>
    <w:p w14:paraId="7E374B7E">
      <w:pPr>
        <w:pStyle w:val="24"/>
        <w:spacing w:line="420" w:lineRule="exact"/>
        <w:ind w:firstLine="482"/>
        <w:rPr>
          <w:rFonts w:ascii="仿宋" w:hAnsi="仿宋" w:eastAsia="仿宋" w:cs="仿宋"/>
          <w:b/>
          <w:bCs/>
          <w:color w:val="auto"/>
          <w:sz w:val="24"/>
          <w:highlight w:val="none"/>
        </w:rPr>
      </w:pPr>
      <w:bookmarkStart w:id="10" w:name="_Toc213496267"/>
      <w:bookmarkStart w:id="11" w:name="_Toc213397009"/>
      <w:bookmarkStart w:id="12" w:name="_Toc217446031"/>
      <w:bookmarkStart w:id="13" w:name="_Toc509579141"/>
      <w:bookmarkStart w:id="14" w:name="_Toc213396945"/>
      <w:bookmarkStart w:id="15" w:name="_Toc213396759"/>
      <w:r>
        <w:rPr>
          <w:rFonts w:hint="eastAsia" w:ascii="仿宋" w:hAnsi="仿宋" w:eastAsia="仿宋" w:cs="仿宋"/>
          <w:b/>
          <w:bCs/>
          <w:color w:val="auto"/>
          <w:sz w:val="24"/>
          <w:highlight w:val="none"/>
        </w:rPr>
        <w:t>采 购 人</w:t>
      </w:r>
      <w:r>
        <w:rPr>
          <w:rFonts w:hint="eastAsia" w:ascii="仿宋" w:hAnsi="仿宋" w:eastAsia="仿宋" w:cs="仿宋"/>
          <w:b/>
          <w:color w:val="auto"/>
          <w:sz w:val="24"/>
          <w:highlight w:val="none"/>
        </w:rPr>
        <w:t>：西南民族大学</w:t>
      </w:r>
    </w:p>
    <w:p w14:paraId="20F12A86">
      <w:pPr>
        <w:pStyle w:val="24"/>
        <w:spacing w:line="420" w:lineRule="exact"/>
        <w:ind w:firstLine="480"/>
        <w:rPr>
          <w:rFonts w:hint="eastAsia" w:ascii="仿宋" w:hAnsi="仿宋" w:eastAsia="仿宋" w:cs="仿宋"/>
          <w:color w:val="auto"/>
          <w:sz w:val="24"/>
          <w:highlight w:val="none"/>
          <w:lang w:eastAsia="zh-Hans"/>
        </w:rPr>
      </w:pPr>
      <w:r>
        <w:rPr>
          <w:rFonts w:hint="eastAsia" w:ascii="仿宋" w:hAnsi="仿宋" w:eastAsia="仿宋" w:cs="仿宋"/>
          <w:color w:val="auto"/>
          <w:sz w:val="24"/>
          <w:highlight w:val="none"/>
          <w:lang w:eastAsia="zh-Hans"/>
        </w:rPr>
        <w:t>地    址：成都市双流区航空港开发区大件路文星段168号</w:t>
      </w:r>
    </w:p>
    <w:p w14:paraId="1AA6B0D3">
      <w:pPr>
        <w:pStyle w:val="24"/>
        <w:spacing w:line="420"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Hans"/>
        </w:rPr>
        <w:t>联 系 人：</w:t>
      </w:r>
      <w:r>
        <w:rPr>
          <w:rFonts w:hint="eastAsia" w:ascii="仿宋" w:hAnsi="仿宋" w:eastAsia="仿宋" w:cs="仿宋"/>
          <w:color w:val="auto"/>
          <w:sz w:val="24"/>
          <w:highlight w:val="none"/>
          <w:lang w:val="en-US" w:eastAsia="zh-CN"/>
        </w:rPr>
        <w:t>晏老师</w:t>
      </w:r>
    </w:p>
    <w:p w14:paraId="1C72365C">
      <w:pPr>
        <w:spacing w:line="420" w:lineRule="exact"/>
        <w:ind w:firstLine="480" w:firstLineChars="200"/>
        <w:rPr>
          <w:rFonts w:hint="eastAsia" w:ascii="仿宋" w:hAnsi="仿宋" w:eastAsia="仿宋" w:cs="仿宋"/>
          <w:color w:val="auto"/>
          <w:sz w:val="24"/>
          <w:highlight w:val="none"/>
          <w:lang w:eastAsia="zh-Hans"/>
        </w:rPr>
      </w:pPr>
      <w:r>
        <w:rPr>
          <w:rFonts w:hint="eastAsia" w:ascii="仿宋" w:hAnsi="仿宋" w:eastAsia="仿宋" w:cs="仿宋"/>
          <w:color w:val="auto"/>
          <w:sz w:val="24"/>
          <w:highlight w:val="none"/>
          <w:lang w:eastAsia="zh-Hans"/>
        </w:rPr>
        <w:t>联系电话：</w:t>
      </w:r>
      <w:r>
        <w:rPr>
          <w:rFonts w:hint="eastAsia" w:ascii="仿宋" w:hAnsi="仿宋" w:eastAsia="仿宋" w:cs="仿宋"/>
          <w:color w:val="auto"/>
          <w:sz w:val="24"/>
          <w:highlight w:val="none"/>
          <w:lang w:val="en-US" w:eastAsia="zh-CN"/>
        </w:rPr>
        <w:t>028-</w:t>
      </w:r>
      <w:r>
        <w:rPr>
          <w:rFonts w:hint="eastAsia" w:ascii="仿宋" w:hAnsi="仿宋" w:eastAsia="仿宋" w:cs="仿宋"/>
          <w:color w:val="auto"/>
          <w:sz w:val="24"/>
          <w:highlight w:val="none"/>
          <w:lang w:eastAsia="zh-Hans"/>
        </w:rPr>
        <w:t>85522936</w:t>
      </w:r>
    </w:p>
    <w:p w14:paraId="26E37B74">
      <w:pPr>
        <w:spacing w:line="420" w:lineRule="exact"/>
        <w:ind w:firstLine="482" w:firstLineChars="200"/>
        <w:rPr>
          <w:rFonts w:ascii="仿宋" w:hAnsi="仿宋" w:eastAsia="仿宋" w:cs="仿宋"/>
          <w:b/>
          <w:color w:val="auto"/>
          <w:sz w:val="24"/>
          <w:highlight w:val="none"/>
        </w:rPr>
      </w:pPr>
      <w:r>
        <w:rPr>
          <w:rFonts w:hint="eastAsia" w:ascii="仿宋" w:hAnsi="仿宋" w:eastAsia="仿宋" w:cs="仿宋"/>
          <w:b/>
          <w:bCs/>
          <w:color w:val="auto"/>
          <w:sz w:val="24"/>
          <w:highlight w:val="none"/>
        </w:rPr>
        <w:t>采购代理机构：</w:t>
      </w:r>
      <w:r>
        <w:rPr>
          <w:rFonts w:hint="eastAsia" w:ascii="仿宋" w:hAnsi="仿宋" w:eastAsia="仿宋" w:cs="仿宋"/>
          <w:b/>
          <w:color w:val="auto"/>
          <w:sz w:val="24"/>
          <w:highlight w:val="none"/>
        </w:rPr>
        <w:t>四川成与诚招标代理有限公司</w:t>
      </w:r>
    </w:p>
    <w:p w14:paraId="242F429D">
      <w:pPr>
        <w:spacing w:line="42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地    址：中国（四川）自由贸易试验区成都高新区天府大道北段1700号新世纪环球中心S1区16楼1625号</w:t>
      </w:r>
    </w:p>
    <w:p w14:paraId="534D674F">
      <w:pPr>
        <w:spacing w:line="42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邮    编：</w:t>
      </w:r>
      <w:r>
        <w:rPr>
          <w:rFonts w:ascii="仿宋" w:hAnsi="仿宋" w:eastAsia="仿宋"/>
          <w:color w:val="auto"/>
          <w:sz w:val="24"/>
          <w:highlight w:val="none"/>
        </w:rPr>
        <w:t>6100</w:t>
      </w:r>
      <w:r>
        <w:rPr>
          <w:rFonts w:hint="eastAsia" w:ascii="仿宋" w:hAnsi="仿宋" w:eastAsia="仿宋"/>
          <w:color w:val="auto"/>
          <w:sz w:val="24"/>
          <w:highlight w:val="none"/>
        </w:rPr>
        <w:t>95</w:t>
      </w:r>
    </w:p>
    <w:p w14:paraId="1391403A">
      <w:pPr>
        <w:spacing w:line="420" w:lineRule="exact"/>
        <w:ind w:firstLine="480" w:firstLineChars="200"/>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联 系 人：刘燕 </w:t>
      </w:r>
      <w:r>
        <w:rPr>
          <w:rFonts w:hint="eastAsia" w:ascii="仿宋" w:hAnsi="仿宋" w:eastAsia="仿宋"/>
          <w:color w:val="auto"/>
          <w:sz w:val="24"/>
          <w:highlight w:val="none"/>
          <w:lang w:val="en-US" w:eastAsia="zh-CN"/>
        </w:rPr>
        <w:t>王九龙</w:t>
      </w:r>
      <w:r>
        <w:rPr>
          <w:rFonts w:hint="eastAsia" w:ascii="仿宋" w:hAnsi="仿宋" w:eastAsia="仿宋"/>
          <w:color w:val="auto"/>
          <w:sz w:val="24"/>
          <w:highlight w:val="none"/>
        </w:rPr>
        <w:t xml:space="preserve"> 蒋德林 兰岚</w:t>
      </w:r>
      <w:r>
        <w:rPr>
          <w:rFonts w:hint="eastAsia" w:ascii="仿宋" w:hAnsi="仿宋" w:eastAsia="仿宋"/>
          <w:color w:val="auto"/>
          <w:sz w:val="24"/>
          <w:highlight w:val="none"/>
          <w:lang w:val="en-US" w:eastAsia="zh-CN"/>
        </w:rPr>
        <w:t xml:space="preserve"> 闫雪芳</w:t>
      </w:r>
    </w:p>
    <w:p w14:paraId="19277D21">
      <w:pPr>
        <w:spacing w:line="420" w:lineRule="exact"/>
        <w:ind w:firstLine="480" w:firstLineChars="200"/>
        <w:rPr>
          <w:rFonts w:ascii="仿宋" w:hAnsi="仿宋" w:eastAsia="仿宋"/>
          <w:color w:val="auto"/>
          <w:kern w:val="0"/>
          <w:sz w:val="24"/>
          <w:highlight w:val="none"/>
        </w:rPr>
      </w:pPr>
      <w:r>
        <w:rPr>
          <w:rFonts w:hint="eastAsia" w:ascii="仿宋" w:hAnsi="仿宋" w:eastAsia="仿宋"/>
          <w:color w:val="auto"/>
          <w:sz w:val="24"/>
          <w:highlight w:val="none"/>
        </w:rPr>
        <w:t>联系电话：028-85259928、</w:t>
      </w:r>
      <w:r>
        <w:rPr>
          <w:rFonts w:hint="eastAsia" w:ascii="仿宋" w:hAnsi="仿宋" w:eastAsia="仿宋"/>
          <w:color w:val="auto"/>
          <w:sz w:val="24"/>
          <w:highlight w:val="none"/>
          <w:lang w:val="en-US" w:eastAsia="zh-CN"/>
        </w:rPr>
        <w:t>19938592949</w:t>
      </w:r>
      <w:r>
        <w:rPr>
          <w:rFonts w:ascii="仿宋" w:hAnsi="仿宋" w:eastAsia="仿宋"/>
          <w:b/>
          <w:bCs/>
          <w:color w:val="auto"/>
          <w:kern w:val="0"/>
          <w:sz w:val="24"/>
          <w:highlight w:val="none"/>
        </w:rPr>
        <w:br w:type="page"/>
      </w:r>
    </w:p>
    <w:p w14:paraId="478240C9">
      <w:pPr>
        <w:pStyle w:val="16"/>
        <w:rPr>
          <w:rFonts w:ascii="仿宋" w:hAnsi="仿宋" w:eastAsia="仿宋" w:cs="仿宋"/>
          <w:color w:val="auto"/>
          <w:highlight w:val="none"/>
        </w:rPr>
      </w:pPr>
      <w:bookmarkStart w:id="16" w:name="_Toc15306"/>
      <w:bookmarkStart w:id="17" w:name="_Toc32449"/>
      <w:r>
        <w:rPr>
          <w:rFonts w:hint="eastAsia" w:ascii="仿宋" w:hAnsi="仿宋" w:eastAsia="仿宋" w:cs="仿宋"/>
          <w:color w:val="auto"/>
          <w:highlight w:val="none"/>
        </w:rPr>
        <w:t>第二章  磋商须知</w:t>
      </w:r>
      <w:bookmarkEnd w:id="10"/>
      <w:bookmarkEnd w:id="11"/>
      <w:bookmarkEnd w:id="12"/>
      <w:bookmarkEnd w:id="13"/>
      <w:bookmarkEnd w:id="14"/>
      <w:bookmarkEnd w:id="15"/>
      <w:bookmarkEnd w:id="16"/>
      <w:bookmarkEnd w:id="17"/>
    </w:p>
    <w:p w14:paraId="303CE062">
      <w:pPr>
        <w:spacing w:before="260" w:after="260"/>
        <w:jc w:val="center"/>
        <w:outlineLvl w:val="1"/>
        <w:rPr>
          <w:rFonts w:ascii="仿宋" w:hAnsi="仿宋" w:eastAsia="仿宋"/>
          <w:b/>
          <w:bCs/>
          <w:color w:val="auto"/>
          <w:sz w:val="32"/>
          <w:szCs w:val="32"/>
          <w:highlight w:val="none"/>
        </w:rPr>
      </w:pPr>
      <w:bookmarkStart w:id="18" w:name="_Toc5661"/>
      <w:r>
        <w:rPr>
          <w:rFonts w:hint="eastAsia" w:ascii="仿宋" w:hAnsi="仿宋" w:eastAsia="仿宋"/>
          <w:b/>
          <w:bCs/>
          <w:color w:val="auto"/>
          <w:sz w:val="32"/>
          <w:szCs w:val="32"/>
          <w:highlight w:val="none"/>
        </w:rPr>
        <w:t>一、供应商须知附表</w:t>
      </w:r>
      <w:bookmarkEnd w:id="18"/>
    </w:p>
    <w:tbl>
      <w:tblPr>
        <w:tblStyle w:val="18"/>
        <w:tblW w:w="9506"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0" w:type="dxa"/>
          <w:bottom w:w="0" w:type="dxa"/>
          <w:right w:w="0" w:type="dxa"/>
        </w:tblCellMar>
      </w:tblPr>
      <w:tblGrid>
        <w:gridCol w:w="1013"/>
        <w:gridCol w:w="2409"/>
        <w:gridCol w:w="6084"/>
      </w:tblGrid>
      <w:tr w14:paraId="7F4B770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20" w:hRule="atLeast"/>
          <w:tblHeader/>
          <w:jc w:val="center"/>
        </w:trPr>
        <w:tc>
          <w:tcPr>
            <w:tcW w:w="1013" w:type="dxa"/>
            <w:tcBorders>
              <w:tl2br w:val="nil"/>
              <w:tr2bl w:val="nil"/>
            </w:tcBorders>
            <w:vAlign w:val="center"/>
          </w:tcPr>
          <w:p w14:paraId="6BFAF7A0">
            <w:pPr>
              <w:autoSpaceDE w:val="0"/>
              <w:autoSpaceDN w:val="0"/>
              <w:adjustRightInd w:val="0"/>
              <w:spacing w:line="360" w:lineRule="auto"/>
              <w:ind w:left="9"/>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序号</w:t>
            </w:r>
          </w:p>
        </w:tc>
        <w:tc>
          <w:tcPr>
            <w:tcW w:w="2409" w:type="dxa"/>
            <w:tcBorders>
              <w:tl2br w:val="nil"/>
              <w:tr2bl w:val="nil"/>
            </w:tcBorders>
            <w:vAlign w:val="center"/>
          </w:tcPr>
          <w:p w14:paraId="0C3CC368">
            <w:pPr>
              <w:autoSpaceDE w:val="0"/>
              <w:autoSpaceDN w:val="0"/>
              <w:adjustRightInd w:val="0"/>
              <w:spacing w:line="360" w:lineRule="auto"/>
              <w:ind w:left="38"/>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应知事项</w:t>
            </w:r>
          </w:p>
        </w:tc>
        <w:tc>
          <w:tcPr>
            <w:tcW w:w="6084" w:type="dxa"/>
            <w:tcBorders>
              <w:tl2br w:val="nil"/>
              <w:tr2bl w:val="nil"/>
            </w:tcBorders>
            <w:vAlign w:val="center"/>
          </w:tcPr>
          <w:p w14:paraId="6DC8713A">
            <w:pPr>
              <w:autoSpaceDE w:val="0"/>
              <w:autoSpaceDN w:val="0"/>
              <w:adjustRightInd w:val="0"/>
              <w:spacing w:line="360" w:lineRule="auto"/>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说明和要求</w:t>
            </w:r>
          </w:p>
        </w:tc>
      </w:tr>
      <w:tr w14:paraId="5E3940D6">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1013" w:type="dxa"/>
            <w:tcBorders>
              <w:tl2br w:val="nil"/>
              <w:tr2bl w:val="nil"/>
            </w:tcBorders>
            <w:vAlign w:val="center"/>
          </w:tcPr>
          <w:p w14:paraId="1618494D">
            <w:pPr>
              <w:autoSpaceDE w:val="0"/>
              <w:autoSpaceDN w:val="0"/>
              <w:adjustRightInd w:val="0"/>
              <w:spacing w:line="360" w:lineRule="auto"/>
              <w:ind w:right="230"/>
              <w:jc w:val="center"/>
              <w:rPr>
                <w:rFonts w:ascii="仿宋" w:hAnsi="仿宋" w:eastAsia="仿宋" w:cs="Courier New"/>
                <w:color w:val="auto"/>
                <w:szCs w:val="21"/>
                <w:highlight w:val="none"/>
                <w:lang w:val="zh-CN"/>
              </w:rPr>
            </w:pPr>
            <w:r>
              <w:rPr>
                <w:rFonts w:hint="eastAsia" w:ascii="仿宋" w:hAnsi="仿宋" w:eastAsia="仿宋" w:cs="Courier New"/>
                <w:color w:val="auto"/>
                <w:szCs w:val="21"/>
                <w:highlight w:val="none"/>
                <w:lang w:val="zh-CN"/>
              </w:rPr>
              <w:t>1</w:t>
            </w:r>
          </w:p>
        </w:tc>
        <w:tc>
          <w:tcPr>
            <w:tcW w:w="2409" w:type="dxa"/>
            <w:tcBorders>
              <w:tl2br w:val="nil"/>
              <w:tr2bl w:val="nil"/>
            </w:tcBorders>
            <w:vAlign w:val="center"/>
          </w:tcPr>
          <w:p w14:paraId="589759A5">
            <w:pPr>
              <w:autoSpaceDE w:val="0"/>
              <w:autoSpaceDN w:val="0"/>
              <w:adjustRightInd w:val="0"/>
              <w:spacing w:line="360" w:lineRule="auto"/>
              <w:ind w:left="38"/>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采购预算</w:t>
            </w:r>
          </w:p>
          <w:p w14:paraId="58C77485">
            <w:pPr>
              <w:autoSpaceDE w:val="0"/>
              <w:autoSpaceDN w:val="0"/>
              <w:adjustRightInd w:val="0"/>
              <w:spacing w:line="360" w:lineRule="auto"/>
              <w:ind w:left="38"/>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（实质性要求）</w:t>
            </w:r>
          </w:p>
        </w:tc>
        <w:tc>
          <w:tcPr>
            <w:tcW w:w="6084" w:type="dxa"/>
            <w:tcBorders>
              <w:tl2br w:val="nil"/>
              <w:tr2bl w:val="nil"/>
            </w:tcBorders>
            <w:shd w:val="clear" w:color="auto" w:fill="auto"/>
            <w:vAlign w:val="center"/>
          </w:tcPr>
          <w:p w14:paraId="551939F3">
            <w:pPr>
              <w:autoSpaceDE w:val="0"/>
              <w:autoSpaceDN w:val="0"/>
              <w:adjustRightInd w:val="0"/>
              <w:spacing w:line="360" w:lineRule="auto"/>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en-US" w:eastAsia="zh-CN"/>
              </w:rPr>
              <w:t>94</w:t>
            </w:r>
            <w:r>
              <w:rPr>
                <w:rFonts w:hint="eastAsia" w:ascii="仿宋" w:hAnsi="仿宋" w:eastAsia="仿宋" w:cs="宋体"/>
                <w:color w:val="auto"/>
                <w:szCs w:val="21"/>
                <w:highlight w:val="none"/>
              </w:rPr>
              <w:t>0000元，</w:t>
            </w:r>
            <w:r>
              <w:rPr>
                <w:rFonts w:hint="eastAsia" w:ascii="仿宋" w:hAnsi="仿宋" w:eastAsia="仿宋" w:cs="宋体"/>
                <w:color w:val="auto"/>
                <w:szCs w:val="21"/>
                <w:highlight w:val="none"/>
                <w:lang w:val="zh-CN"/>
              </w:rPr>
              <w:t>报价超过采购预算，其响应文件按无效处理。</w:t>
            </w:r>
          </w:p>
        </w:tc>
      </w:tr>
      <w:tr w14:paraId="6F2881F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1013" w:type="dxa"/>
            <w:tcBorders>
              <w:tl2br w:val="nil"/>
              <w:tr2bl w:val="nil"/>
            </w:tcBorders>
            <w:vAlign w:val="center"/>
          </w:tcPr>
          <w:p w14:paraId="787F1A2A">
            <w:pPr>
              <w:autoSpaceDE w:val="0"/>
              <w:autoSpaceDN w:val="0"/>
              <w:adjustRightInd w:val="0"/>
              <w:spacing w:line="360" w:lineRule="auto"/>
              <w:ind w:right="230"/>
              <w:jc w:val="center"/>
              <w:rPr>
                <w:rFonts w:ascii="仿宋" w:hAnsi="仿宋" w:eastAsia="仿宋" w:cs="Courier New"/>
                <w:color w:val="auto"/>
                <w:szCs w:val="21"/>
                <w:highlight w:val="none"/>
                <w:lang w:val="zh-CN"/>
              </w:rPr>
            </w:pPr>
            <w:r>
              <w:rPr>
                <w:rFonts w:hint="eastAsia" w:ascii="仿宋" w:hAnsi="仿宋" w:eastAsia="仿宋" w:cs="Courier New"/>
                <w:color w:val="auto"/>
                <w:szCs w:val="21"/>
                <w:highlight w:val="none"/>
                <w:lang w:val="zh-CN"/>
              </w:rPr>
              <w:t>2</w:t>
            </w:r>
          </w:p>
        </w:tc>
        <w:tc>
          <w:tcPr>
            <w:tcW w:w="2409" w:type="dxa"/>
            <w:tcBorders>
              <w:tl2br w:val="nil"/>
              <w:tr2bl w:val="nil"/>
            </w:tcBorders>
            <w:vAlign w:val="center"/>
          </w:tcPr>
          <w:p w14:paraId="02AB4047">
            <w:pPr>
              <w:autoSpaceDE w:val="0"/>
              <w:autoSpaceDN w:val="0"/>
              <w:adjustRightInd w:val="0"/>
              <w:spacing w:line="360" w:lineRule="auto"/>
              <w:ind w:left="38"/>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最高限价</w:t>
            </w:r>
          </w:p>
          <w:p w14:paraId="28C0E8E4">
            <w:pPr>
              <w:autoSpaceDE w:val="0"/>
              <w:autoSpaceDN w:val="0"/>
              <w:adjustRightInd w:val="0"/>
              <w:spacing w:line="360" w:lineRule="auto"/>
              <w:ind w:left="38"/>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（实质性要求）</w:t>
            </w:r>
          </w:p>
        </w:tc>
        <w:tc>
          <w:tcPr>
            <w:tcW w:w="6084" w:type="dxa"/>
            <w:tcBorders>
              <w:tl2br w:val="nil"/>
              <w:tr2bl w:val="nil"/>
            </w:tcBorders>
            <w:shd w:val="clear" w:color="auto" w:fill="auto"/>
            <w:vAlign w:val="center"/>
          </w:tcPr>
          <w:p w14:paraId="695129A0">
            <w:pPr>
              <w:autoSpaceDE w:val="0"/>
              <w:autoSpaceDN w:val="0"/>
              <w:adjustRightInd w:val="0"/>
              <w:spacing w:line="360" w:lineRule="auto"/>
              <w:rPr>
                <w:rFonts w:ascii="仿宋" w:hAnsi="仿宋" w:eastAsia="仿宋" w:cs="宋体"/>
                <w:color w:val="auto"/>
                <w:szCs w:val="21"/>
                <w:highlight w:val="none"/>
                <w:lang w:val="zh-CN"/>
              </w:rPr>
            </w:pPr>
            <w:bookmarkStart w:id="19" w:name="PO_默认文件内容_8"/>
            <w:r>
              <w:rPr>
                <w:rFonts w:hint="eastAsia" w:ascii="仿宋" w:hAnsi="仿宋" w:eastAsia="仿宋" w:cs="宋体"/>
                <w:color w:val="auto"/>
                <w:szCs w:val="21"/>
                <w:highlight w:val="none"/>
                <w:lang w:val="en-US" w:eastAsia="zh-CN"/>
              </w:rPr>
              <w:t>939971.69元</w:t>
            </w: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lang w:val="en-US" w:eastAsia="zh-CN"/>
              </w:rPr>
              <w:t>其中安全文明施工费49686.54元，暂列金额76932.52元，规费11802.64元）</w:t>
            </w:r>
            <w:r>
              <w:rPr>
                <w:rFonts w:hint="eastAsia" w:ascii="仿宋" w:hAnsi="仿宋" w:eastAsia="仿宋" w:cs="宋体"/>
                <w:color w:val="auto"/>
                <w:szCs w:val="21"/>
                <w:highlight w:val="none"/>
              </w:rPr>
              <w:t>，</w:t>
            </w:r>
            <w:r>
              <w:rPr>
                <w:rFonts w:hint="eastAsia" w:ascii="仿宋" w:hAnsi="仿宋" w:eastAsia="仿宋" w:cs="宋体"/>
                <w:color w:val="auto"/>
                <w:szCs w:val="21"/>
                <w:highlight w:val="none"/>
                <w:lang w:val="zh-CN"/>
              </w:rPr>
              <w:t>报价超过最高限价，其响应文件按无效处理。</w:t>
            </w:r>
            <w:bookmarkEnd w:id="19"/>
          </w:p>
        </w:tc>
      </w:tr>
      <w:tr w14:paraId="3497415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1013" w:type="dxa"/>
            <w:tcBorders>
              <w:tl2br w:val="nil"/>
              <w:tr2bl w:val="nil"/>
            </w:tcBorders>
            <w:vAlign w:val="center"/>
          </w:tcPr>
          <w:p w14:paraId="5ED2102B">
            <w:pPr>
              <w:autoSpaceDE w:val="0"/>
              <w:autoSpaceDN w:val="0"/>
              <w:adjustRightInd w:val="0"/>
              <w:spacing w:line="360" w:lineRule="auto"/>
              <w:ind w:right="230"/>
              <w:jc w:val="center"/>
              <w:rPr>
                <w:rFonts w:ascii="仿宋" w:hAnsi="仿宋" w:eastAsia="仿宋" w:cs="Courier New"/>
                <w:color w:val="auto"/>
                <w:szCs w:val="21"/>
                <w:highlight w:val="none"/>
              </w:rPr>
            </w:pPr>
            <w:r>
              <w:rPr>
                <w:rFonts w:hint="eastAsia" w:ascii="仿宋" w:hAnsi="仿宋" w:eastAsia="仿宋" w:cs="Courier New"/>
                <w:color w:val="auto"/>
                <w:szCs w:val="21"/>
                <w:highlight w:val="none"/>
              </w:rPr>
              <w:t>3</w:t>
            </w:r>
          </w:p>
        </w:tc>
        <w:tc>
          <w:tcPr>
            <w:tcW w:w="2409" w:type="dxa"/>
            <w:tcBorders>
              <w:tl2br w:val="nil"/>
              <w:tr2bl w:val="nil"/>
            </w:tcBorders>
            <w:vAlign w:val="center"/>
          </w:tcPr>
          <w:p w14:paraId="5DFD4E4D">
            <w:pPr>
              <w:autoSpaceDE w:val="0"/>
              <w:autoSpaceDN w:val="0"/>
              <w:adjustRightInd w:val="0"/>
              <w:spacing w:line="360" w:lineRule="auto"/>
              <w:ind w:left="38"/>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磋商情况公告</w:t>
            </w:r>
          </w:p>
        </w:tc>
        <w:tc>
          <w:tcPr>
            <w:tcW w:w="6084" w:type="dxa"/>
            <w:tcBorders>
              <w:tl2br w:val="nil"/>
              <w:tr2bl w:val="nil"/>
            </w:tcBorders>
            <w:shd w:val="clear" w:color="auto" w:fill="auto"/>
            <w:vAlign w:val="center"/>
          </w:tcPr>
          <w:p w14:paraId="0011ED1F">
            <w:pPr>
              <w:autoSpaceDE w:val="0"/>
              <w:autoSpaceDN w:val="0"/>
              <w:adjustRightInd w:val="0"/>
              <w:spacing w:line="360" w:lineRule="auto"/>
              <w:rPr>
                <w:rFonts w:ascii="仿宋" w:hAnsi="仿宋" w:eastAsia="仿宋" w:cs="宋体"/>
                <w:color w:val="auto"/>
                <w:szCs w:val="21"/>
                <w:highlight w:val="none"/>
              </w:rPr>
            </w:pPr>
            <w:r>
              <w:rPr>
                <w:rFonts w:hint="eastAsia" w:ascii="仿宋" w:hAnsi="仿宋" w:eastAsia="仿宋" w:cs="宋体"/>
                <w:color w:val="auto"/>
                <w:szCs w:val="21"/>
                <w:highlight w:val="none"/>
                <w:lang w:val="zh-CN"/>
              </w:rPr>
              <w:t>供应商资格审查情况、磋商情况、报价情况、磋商结果等在中国政府采购网上采购结果公告栏中予以公告。</w:t>
            </w:r>
          </w:p>
        </w:tc>
      </w:tr>
      <w:tr w14:paraId="67FB378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1952" w:hRule="atLeast"/>
          <w:jc w:val="center"/>
        </w:trPr>
        <w:tc>
          <w:tcPr>
            <w:tcW w:w="1013" w:type="dxa"/>
            <w:tcBorders>
              <w:tl2br w:val="nil"/>
              <w:tr2bl w:val="nil"/>
            </w:tcBorders>
            <w:vAlign w:val="center"/>
          </w:tcPr>
          <w:p w14:paraId="4914DBAA">
            <w:pPr>
              <w:autoSpaceDE w:val="0"/>
              <w:autoSpaceDN w:val="0"/>
              <w:adjustRightInd w:val="0"/>
              <w:spacing w:line="360" w:lineRule="auto"/>
              <w:ind w:right="230"/>
              <w:jc w:val="center"/>
              <w:rPr>
                <w:rFonts w:ascii="仿宋" w:hAnsi="仿宋" w:eastAsia="仿宋" w:cs="Courier New"/>
                <w:color w:val="auto"/>
                <w:szCs w:val="21"/>
                <w:highlight w:val="none"/>
              </w:rPr>
            </w:pPr>
            <w:r>
              <w:rPr>
                <w:rFonts w:hint="eastAsia" w:ascii="仿宋" w:hAnsi="仿宋" w:eastAsia="仿宋" w:cs="Courier New"/>
                <w:color w:val="auto"/>
                <w:szCs w:val="21"/>
                <w:highlight w:val="none"/>
              </w:rPr>
              <w:t>4</w:t>
            </w:r>
          </w:p>
        </w:tc>
        <w:tc>
          <w:tcPr>
            <w:tcW w:w="2409" w:type="dxa"/>
            <w:tcBorders>
              <w:tl2br w:val="nil"/>
              <w:tr2bl w:val="nil"/>
            </w:tcBorders>
            <w:vAlign w:val="center"/>
          </w:tcPr>
          <w:p w14:paraId="45E51DE2">
            <w:pPr>
              <w:autoSpaceDE w:val="0"/>
              <w:autoSpaceDN w:val="0"/>
              <w:adjustRightInd w:val="0"/>
              <w:spacing w:line="360" w:lineRule="auto"/>
              <w:ind w:left="38"/>
              <w:jc w:val="center"/>
              <w:rPr>
                <w:rFonts w:ascii="仿宋" w:hAnsi="仿宋" w:eastAsia="仿宋" w:cs="宋体"/>
                <w:color w:val="auto"/>
                <w:szCs w:val="21"/>
                <w:highlight w:val="none"/>
              </w:rPr>
            </w:pPr>
            <w:r>
              <w:rPr>
                <w:rFonts w:hint="eastAsia" w:ascii="仿宋" w:hAnsi="仿宋" w:eastAsia="仿宋" w:cs="宋体"/>
                <w:color w:val="auto"/>
                <w:szCs w:val="21"/>
                <w:highlight w:val="none"/>
              </w:rPr>
              <w:t>低于成本价</w:t>
            </w:r>
          </w:p>
          <w:p w14:paraId="4AD1D11F">
            <w:pPr>
              <w:autoSpaceDE w:val="0"/>
              <w:autoSpaceDN w:val="0"/>
              <w:adjustRightInd w:val="0"/>
              <w:spacing w:line="360" w:lineRule="auto"/>
              <w:ind w:left="38"/>
              <w:jc w:val="center"/>
              <w:rPr>
                <w:rFonts w:ascii="仿宋" w:hAnsi="仿宋" w:eastAsia="仿宋" w:cs="宋体"/>
                <w:color w:val="auto"/>
                <w:szCs w:val="21"/>
                <w:highlight w:val="none"/>
              </w:rPr>
            </w:pPr>
            <w:r>
              <w:rPr>
                <w:rFonts w:hint="eastAsia" w:ascii="仿宋" w:hAnsi="仿宋" w:eastAsia="仿宋" w:cs="宋体"/>
                <w:color w:val="auto"/>
                <w:szCs w:val="21"/>
                <w:highlight w:val="none"/>
              </w:rPr>
              <w:t>不正当竞争预防措施</w:t>
            </w:r>
          </w:p>
          <w:p w14:paraId="3503333D">
            <w:pPr>
              <w:autoSpaceDE w:val="0"/>
              <w:autoSpaceDN w:val="0"/>
              <w:adjustRightInd w:val="0"/>
              <w:spacing w:line="360" w:lineRule="auto"/>
              <w:ind w:left="38"/>
              <w:jc w:val="center"/>
              <w:rPr>
                <w:rFonts w:ascii="仿宋" w:hAnsi="仿宋" w:eastAsia="仿宋" w:cs="宋体"/>
                <w:color w:val="auto"/>
                <w:szCs w:val="21"/>
                <w:highlight w:val="none"/>
              </w:rPr>
            </w:pPr>
            <w:r>
              <w:rPr>
                <w:rFonts w:hint="eastAsia" w:ascii="仿宋" w:hAnsi="仿宋" w:eastAsia="仿宋" w:cs="宋体"/>
                <w:color w:val="auto"/>
                <w:szCs w:val="21"/>
                <w:highlight w:val="none"/>
              </w:rPr>
              <w:t>（实质性要求）</w:t>
            </w:r>
          </w:p>
        </w:tc>
        <w:tc>
          <w:tcPr>
            <w:tcW w:w="6084" w:type="dxa"/>
            <w:tcBorders>
              <w:tl2br w:val="nil"/>
              <w:tr2bl w:val="nil"/>
            </w:tcBorders>
            <w:vAlign w:val="center"/>
          </w:tcPr>
          <w:p w14:paraId="264B9DFA">
            <w:pPr>
              <w:spacing w:line="360" w:lineRule="auto"/>
              <w:ind w:right="105" w:rightChars="50"/>
              <w:rPr>
                <w:rFonts w:ascii="仿宋" w:hAnsi="仿宋" w:eastAsia="仿宋" w:cs="宋体"/>
                <w:color w:val="auto"/>
                <w:kern w:val="0"/>
                <w:szCs w:val="21"/>
                <w:highlight w:val="none"/>
              </w:rPr>
            </w:pPr>
            <w:r>
              <w:rPr>
                <w:rFonts w:hint="eastAsia" w:ascii="仿宋" w:hAnsi="仿宋" w:eastAsia="仿宋" w:cs="宋体"/>
                <w:color w:val="auto"/>
                <w:kern w:val="0"/>
                <w:szCs w:val="21"/>
                <w:highlight w:val="none"/>
              </w:rPr>
              <w:t>（1）</w:t>
            </w:r>
            <w:r>
              <w:rPr>
                <w:rFonts w:ascii="仿宋" w:hAnsi="仿宋" w:eastAsia="仿宋" w:cs="宋体"/>
                <w:color w:val="auto"/>
                <w:kern w:val="0"/>
                <w:szCs w:val="21"/>
                <w:highlight w:val="none"/>
              </w:rPr>
              <w:t>供应商的报价低于最高限价的</w:t>
            </w:r>
            <w:r>
              <w:rPr>
                <w:rFonts w:hint="eastAsia" w:ascii="仿宋" w:hAnsi="仿宋" w:eastAsia="仿宋" w:cs="宋体"/>
                <w:color w:val="auto"/>
                <w:kern w:val="0"/>
                <w:szCs w:val="21"/>
                <w:highlight w:val="none"/>
              </w:rPr>
              <w:t>90</w:t>
            </w:r>
            <w:r>
              <w:rPr>
                <w:rFonts w:ascii="仿宋" w:hAnsi="仿宋" w:eastAsia="仿宋" w:cs="宋体"/>
                <w:color w:val="auto"/>
                <w:kern w:val="0"/>
                <w:szCs w:val="21"/>
                <w:highlight w:val="none"/>
              </w:rPr>
              <w:t>%，并且低于</w:t>
            </w:r>
            <w:r>
              <w:rPr>
                <w:rFonts w:hint="eastAsia" w:ascii="仿宋" w:hAnsi="仿宋" w:eastAsia="仿宋" w:cs="宋体"/>
                <w:color w:val="auto"/>
                <w:kern w:val="0"/>
                <w:szCs w:val="21"/>
                <w:highlight w:val="none"/>
              </w:rPr>
              <w:t>所有</w:t>
            </w:r>
            <w:r>
              <w:rPr>
                <w:rFonts w:ascii="仿宋" w:hAnsi="仿宋" w:eastAsia="仿宋" w:cs="宋体"/>
                <w:color w:val="auto"/>
                <w:kern w:val="0"/>
                <w:szCs w:val="21"/>
                <w:highlight w:val="none"/>
              </w:rPr>
              <w:t>有效报价（通过资格审查及符合性审查）的算术平均值的</w:t>
            </w:r>
            <w:r>
              <w:rPr>
                <w:rFonts w:hint="eastAsia" w:ascii="仿宋" w:hAnsi="仿宋" w:eastAsia="仿宋" w:cs="宋体"/>
                <w:color w:val="auto"/>
                <w:kern w:val="0"/>
                <w:szCs w:val="21"/>
                <w:highlight w:val="none"/>
              </w:rPr>
              <w:t>95</w:t>
            </w:r>
            <w:r>
              <w:rPr>
                <w:rFonts w:ascii="仿宋" w:hAnsi="仿宋" w:eastAsia="仿宋" w:cs="宋体"/>
                <w:color w:val="auto"/>
                <w:kern w:val="0"/>
                <w:szCs w:val="21"/>
                <w:highlight w:val="none"/>
              </w:rPr>
              <w:t>%</w:t>
            </w:r>
            <w:r>
              <w:rPr>
                <w:rFonts w:hint="eastAsia" w:ascii="仿宋" w:hAnsi="仿宋" w:eastAsia="仿宋" w:cs="宋体"/>
                <w:color w:val="auto"/>
                <w:kern w:val="0"/>
                <w:szCs w:val="21"/>
                <w:highlight w:val="none"/>
              </w:rPr>
              <w:t>。</w:t>
            </w:r>
          </w:p>
          <w:p w14:paraId="764D5B20">
            <w:pPr>
              <w:spacing w:line="360" w:lineRule="auto"/>
              <w:ind w:right="105" w:rightChars="50"/>
              <w:rPr>
                <w:rFonts w:ascii="仿宋" w:hAnsi="仿宋" w:eastAsia="仿宋"/>
                <w:color w:val="auto"/>
                <w:highlight w:val="none"/>
              </w:rPr>
            </w:pPr>
            <w:r>
              <w:rPr>
                <w:rFonts w:hint="eastAsia" w:ascii="仿宋" w:hAnsi="仿宋" w:eastAsia="仿宋" w:cs="宋体"/>
                <w:color w:val="auto"/>
                <w:kern w:val="0"/>
                <w:szCs w:val="21"/>
                <w:highlight w:val="none"/>
              </w:rPr>
              <w:t>（2）</w:t>
            </w:r>
            <w:r>
              <w:rPr>
                <w:rFonts w:ascii="仿宋" w:hAnsi="仿宋" w:eastAsia="仿宋" w:cs="宋体"/>
                <w:color w:val="auto"/>
                <w:kern w:val="0"/>
                <w:szCs w:val="21"/>
                <w:highlight w:val="none"/>
              </w:rPr>
              <w:t>评审委员会发现供应商的报价低于最高限价的</w:t>
            </w:r>
            <w:r>
              <w:rPr>
                <w:rFonts w:hint="eastAsia" w:ascii="仿宋" w:hAnsi="仿宋" w:eastAsia="仿宋" w:cs="宋体"/>
                <w:color w:val="auto"/>
                <w:kern w:val="0"/>
                <w:szCs w:val="21"/>
                <w:highlight w:val="none"/>
              </w:rPr>
              <w:t>85</w:t>
            </w:r>
            <w:r>
              <w:rPr>
                <w:rFonts w:ascii="仿宋" w:hAnsi="仿宋" w:eastAsia="仿宋" w:cs="宋体"/>
                <w:color w:val="auto"/>
                <w:kern w:val="0"/>
                <w:szCs w:val="21"/>
                <w:highlight w:val="none"/>
              </w:rPr>
              <w:t>%</w:t>
            </w:r>
            <w:r>
              <w:rPr>
                <w:rFonts w:hint="eastAsia" w:ascii="仿宋" w:hAnsi="仿宋" w:eastAsia="仿宋" w:cs="宋体"/>
                <w:color w:val="auto"/>
                <w:kern w:val="0"/>
                <w:szCs w:val="21"/>
                <w:highlight w:val="none"/>
              </w:rPr>
              <w:t>。出现以上两种任意一种情形</w:t>
            </w:r>
            <w:r>
              <w:rPr>
                <w:rFonts w:ascii="仿宋" w:hAnsi="仿宋" w:eastAsia="仿宋" w:cs="宋体"/>
                <w:color w:val="auto"/>
                <w:kern w:val="0"/>
                <w:szCs w:val="21"/>
                <w:highlight w:val="none"/>
              </w:rPr>
              <w:t>评审委员会应当要求该供应商作出书面说明，由评标委员会对该</w:t>
            </w:r>
            <w:r>
              <w:rPr>
                <w:rFonts w:hint="eastAsia" w:ascii="仿宋" w:hAnsi="仿宋" w:eastAsia="仿宋" w:cs="宋体"/>
                <w:color w:val="auto"/>
                <w:kern w:val="0"/>
                <w:szCs w:val="21"/>
                <w:highlight w:val="none"/>
              </w:rPr>
              <w:t>施工</w:t>
            </w:r>
            <w:r>
              <w:rPr>
                <w:rFonts w:ascii="仿宋" w:hAnsi="仿宋" w:eastAsia="仿宋" w:cs="宋体"/>
                <w:color w:val="auto"/>
                <w:kern w:val="0"/>
                <w:szCs w:val="21"/>
                <w:highlight w:val="none"/>
              </w:rPr>
              <w:t>投标报价是否低于成本进行评审认定，供应商不能说明或者评审委员会认为说明不合理的，评标委员会认定该供应商以低于成本报价竞争，其响应文件应作否决处理。</w:t>
            </w:r>
          </w:p>
        </w:tc>
      </w:tr>
      <w:tr w14:paraId="744F6138">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1013" w:type="dxa"/>
            <w:tcBorders>
              <w:tl2br w:val="nil"/>
              <w:tr2bl w:val="nil"/>
            </w:tcBorders>
            <w:vAlign w:val="center"/>
          </w:tcPr>
          <w:p w14:paraId="7B1325F5">
            <w:pPr>
              <w:pStyle w:val="25"/>
              <w:spacing w:line="264" w:lineRule="auto"/>
              <w:ind w:right="230"/>
              <w:jc w:val="center"/>
              <w:rPr>
                <w:rFonts w:ascii="仿宋" w:hAnsi="仿宋" w:eastAsia="仿宋" w:cs="Courier New"/>
                <w:color w:val="auto"/>
                <w:sz w:val="21"/>
                <w:szCs w:val="21"/>
                <w:highlight w:val="none"/>
              </w:rPr>
            </w:pPr>
            <w:r>
              <w:rPr>
                <w:rFonts w:hint="eastAsia" w:ascii="仿宋" w:hAnsi="仿宋" w:eastAsia="仿宋" w:cs="仿宋"/>
                <w:color w:val="auto"/>
                <w:sz w:val="21"/>
                <w:szCs w:val="21"/>
                <w:highlight w:val="none"/>
                <w:lang w:val="zh-CN"/>
              </w:rPr>
              <w:t>5</w:t>
            </w:r>
          </w:p>
        </w:tc>
        <w:tc>
          <w:tcPr>
            <w:tcW w:w="2409" w:type="dxa"/>
            <w:tcBorders>
              <w:tl2br w:val="nil"/>
              <w:tr2bl w:val="nil"/>
            </w:tcBorders>
            <w:vAlign w:val="center"/>
          </w:tcPr>
          <w:p w14:paraId="123DA454">
            <w:pPr>
              <w:spacing w:line="264" w:lineRule="auto"/>
              <w:ind w:right="105" w:rightChars="50"/>
              <w:jc w:val="center"/>
              <w:rPr>
                <w:rFonts w:ascii="仿宋" w:hAnsi="仿宋" w:eastAsia="仿宋" w:cs="宋体"/>
                <w:color w:val="auto"/>
                <w:szCs w:val="21"/>
                <w:highlight w:val="none"/>
              </w:rPr>
            </w:pPr>
            <w:r>
              <w:rPr>
                <w:rFonts w:hint="eastAsia" w:ascii="仿宋" w:hAnsi="仿宋" w:eastAsia="仿宋" w:cs="仿宋"/>
                <w:color w:val="auto"/>
                <w:szCs w:val="21"/>
                <w:highlight w:val="none"/>
              </w:rPr>
              <w:t>促进中小企业发展政府采购政策（监狱企业、残疾人福利性单位均视同小微企业，符合中小企业划分标准的个体工商户视同中小企业）</w:t>
            </w:r>
          </w:p>
        </w:tc>
        <w:tc>
          <w:tcPr>
            <w:tcW w:w="6084" w:type="dxa"/>
            <w:tcBorders>
              <w:tl2br w:val="nil"/>
              <w:tr2bl w:val="nil"/>
            </w:tcBorders>
            <w:vAlign w:val="center"/>
          </w:tcPr>
          <w:p w14:paraId="17D412FB">
            <w:pPr>
              <w:adjustRightInd w:val="0"/>
              <w:snapToGrid w:val="0"/>
              <w:spacing w:line="288" w:lineRule="auto"/>
              <w:jc w:val="left"/>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一、促进中小企业发展政府采购政策（监狱企业、残疾人福利性单位均视同小微企业）</w:t>
            </w:r>
          </w:p>
          <w:p w14:paraId="4BA0A04A">
            <w:pPr>
              <w:adjustRightInd w:val="0"/>
              <w:snapToGrid w:val="0"/>
              <w:spacing w:line="288" w:lineRule="auto"/>
              <w:rPr>
                <w:rFonts w:ascii="仿宋" w:hAnsi="仿宋" w:eastAsia="仿宋" w:cs="仿宋"/>
                <w:b/>
                <w:bCs/>
                <w:color w:val="auto"/>
                <w:szCs w:val="21"/>
                <w:highlight w:val="none"/>
                <w:u w:val="single"/>
              </w:rPr>
            </w:pPr>
            <w:r>
              <w:rPr>
                <w:rFonts w:hint="eastAsia" w:ascii="仿宋" w:hAnsi="仿宋" w:eastAsia="仿宋" w:cs="仿宋"/>
                <w:color w:val="auto"/>
                <w:szCs w:val="21"/>
                <w:highlight w:val="none"/>
                <w:u w:val="single"/>
              </w:rPr>
              <w:t>1.根据《政府采购促进中小企业发展管理办法》（财库〔2020〕46号）的规定，在政府采购活动中，供应商提供的货物、工程或者服务符合财库〔2020〕46号文第四条规定情形的，享受该办法规定的中小企业扶持政策。</w:t>
            </w:r>
          </w:p>
          <w:p w14:paraId="168856D0">
            <w:pPr>
              <w:adjustRightInd w:val="0"/>
              <w:snapToGrid w:val="0"/>
              <w:spacing w:line="288" w:lineRule="auto"/>
              <w:rPr>
                <w:rFonts w:ascii="仿宋" w:hAnsi="仿宋" w:eastAsia="仿宋" w:cs="仿宋"/>
                <w:color w:val="auto"/>
                <w:szCs w:val="21"/>
                <w:highlight w:val="none"/>
              </w:rPr>
            </w:pPr>
            <w:r>
              <w:rPr>
                <w:rFonts w:hint="eastAsia" w:ascii="仿宋" w:hAnsi="仿宋" w:eastAsia="仿宋" w:cs="仿宋"/>
                <w:color w:val="auto"/>
                <w:szCs w:val="21"/>
                <w:highlight w:val="none"/>
              </w:rPr>
              <w:t>2.中小企业参加政府采购活动应当提供《中小企业声明函》原件，未提供的，视为放弃享受相关中小企业扶持政策。</w:t>
            </w:r>
          </w:p>
          <w:p w14:paraId="4CA4F92B">
            <w:pPr>
              <w:pStyle w:val="6"/>
              <w:spacing w:after="0" w:line="288" w:lineRule="auto"/>
              <w:rPr>
                <w:rFonts w:ascii="仿宋" w:hAnsi="仿宋" w:eastAsia="仿宋" w:cs="仿宋"/>
                <w:color w:val="auto"/>
                <w:szCs w:val="21"/>
                <w:highlight w:val="none"/>
              </w:rPr>
            </w:pPr>
            <w:r>
              <w:rPr>
                <w:rFonts w:hint="eastAsia" w:ascii="仿宋" w:hAnsi="仿宋" w:eastAsia="仿宋" w:cs="仿宋"/>
                <w:color w:val="auto"/>
                <w:szCs w:val="21"/>
                <w:highlight w:val="none"/>
              </w:rPr>
              <w:t>3.残疾人福利性单位参加政府采购活动应当提供《残疾人福利性单位声明函》原件，未提供的，视为放弃享受中小企业扶持政策。</w:t>
            </w:r>
          </w:p>
          <w:p w14:paraId="4E77BAB5">
            <w:pPr>
              <w:adjustRightInd w:val="0"/>
              <w:snapToGrid w:val="0"/>
              <w:spacing w:line="288" w:lineRule="auto"/>
              <w:rPr>
                <w:rFonts w:ascii="仿宋" w:hAnsi="仿宋" w:eastAsia="仿宋" w:cs="仿宋"/>
                <w:color w:val="auto"/>
                <w:szCs w:val="21"/>
                <w:highlight w:val="none"/>
              </w:rPr>
            </w:pPr>
            <w:r>
              <w:rPr>
                <w:rFonts w:hint="eastAsia" w:ascii="仿宋" w:hAnsi="仿宋" w:eastAsia="仿宋" w:cs="仿宋"/>
                <w:color w:val="auto"/>
                <w:szCs w:val="21"/>
                <w:highlight w:val="none"/>
              </w:rPr>
              <w:t>4.监狱企业参加政府采购活动应当提供由省级以上监狱管理局、戒毒管理局（含新疆生产建设兵团）出具的属于监狱企业的证明文件，未提供的，视为放弃享受中小企业扶持政策。</w:t>
            </w:r>
          </w:p>
          <w:p w14:paraId="77DEC61B">
            <w:pPr>
              <w:adjustRightInd w:val="0"/>
              <w:snapToGrid w:val="0"/>
              <w:spacing w:line="288" w:lineRule="auto"/>
              <w:rPr>
                <w:rFonts w:ascii="仿宋" w:hAnsi="仿宋" w:eastAsia="仿宋" w:cs="仿宋"/>
                <w:b/>
                <w:bCs/>
                <w:color w:val="auto"/>
                <w:szCs w:val="21"/>
                <w:highlight w:val="none"/>
              </w:rPr>
            </w:pPr>
            <w:r>
              <w:rPr>
                <w:rFonts w:hint="eastAsia" w:ascii="仿宋" w:hAnsi="仿宋" w:eastAsia="仿宋" w:cs="仿宋"/>
                <w:color w:val="auto"/>
                <w:szCs w:val="21"/>
                <w:highlight w:val="none"/>
              </w:rPr>
              <w:t>5.</w:t>
            </w:r>
            <w:r>
              <w:rPr>
                <w:rFonts w:hint="eastAsia" w:ascii="仿宋" w:hAnsi="仿宋" w:eastAsia="仿宋" w:cs="仿宋"/>
                <w:color w:val="auto"/>
                <w:spacing w:val="-6"/>
                <w:szCs w:val="21"/>
                <w:highlight w:val="none"/>
              </w:rPr>
              <w:t>符合中小企业划分标准的个体工商户，在政府采购活动中视同中小企业。</w:t>
            </w:r>
          </w:p>
          <w:p w14:paraId="514344A8">
            <w:pPr>
              <w:adjustRightInd w:val="0"/>
              <w:snapToGrid w:val="0"/>
              <w:spacing w:line="288" w:lineRule="auto"/>
              <w:rPr>
                <w:rFonts w:ascii="仿宋" w:hAnsi="仿宋" w:eastAsia="仿宋" w:cs="仿宋"/>
                <w:b/>
                <w:bCs/>
                <w:color w:val="auto"/>
                <w:spacing w:val="-11"/>
                <w:szCs w:val="21"/>
                <w:highlight w:val="none"/>
              </w:rPr>
            </w:pPr>
            <w:r>
              <w:rPr>
                <w:rFonts w:hint="eastAsia" w:ascii="仿宋" w:hAnsi="仿宋" w:eastAsia="仿宋" w:cs="仿宋"/>
                <w:color w:val="auto"/>
                <w:spacing w:val="-11"/>
                <w:szCs w:val="21"/>
                <w:highlight w:val="none"/>
              </w:rPr>
              <w:t>二、</w:t>
            </w:r>
            <w:r>
              <w:rPr>
                <w:rFonts w:hint="eastAsia" w:ascii="仿宋" w:hAnsi="仿宋" w:eastAsia="仿宋" w:cs="仿宋"/>
                <w:color w:val="auto"/>
                <w:spacing w:val="-11"/>
                <w:szCs w:val="21"/>
                <w:highlight w:val="none"/>
                <w:lang w:val="zh-CN"/>
              </w:rPr>
              <w:t>本项目采购标的</w:t>
            </w:r>
            <w:r>
              <w:rPr>
                <w:rFonts w:hint="eastAsia" w:ascii="仿宋" w:hAnsi="仿宋" w:eastAsia="仿宋" w:cs="仿宋"/>
                <w:color w:val="auto"/>
                <w:spacing w:val="-11"/>
                <w:szCs w:val="21"/>
                <w:highlight w:val="none"/>
              </w:rPr>
              <w:t>对应的中小企业划分标准所属</w:t>
            </w:r>
            <w:r>
              <w:rPr>
                <w:rFonts w:hint="eastAsia" w:ascii="仿宋" w:hAnsi="仿宋" w:eastAsia="仿宋" w:cs="仿宋"/>
                <w:color w:val="auto"/>
                <w:spacing w:val="-11"/>
                <w:szCs w:val="21"/>
                <w:highlight w:val="none"/>
                <w:lang w:val="zh-CN"/>
              </w:rPr>
              <w:t>行业：详见</w:t>
            </w:r>
            <w:r>
              <w:rPr>
                <w:rFonts w:hint="eastAsia" w:ascii="仿宋" w:hAnsi="仿宋" w:eastAsia="仿宋" w:cs="仿宋"/>
                <w:color w:val="auto"/>
                <w:spacing w:val="-11"/>
                <w:szCs w:val="21"/>
                <w:highlight w:val="none"/>
              </w:rPr>
              <w:t>磋商</w:t>
            </w:r>
            <w:r>
              <w:rPr>
                <w:rFonts w:hint="eastAsia" w:ascii="仿宋" w:hAnsi="仿宋" w:eastAsia="仿宋" w:cs="仿宋"/>
                <w:color w:val="auto"/>
                <w:spacing w:val="-11"/>
                <w:szCs w:val="21"/>
                <w:highlight w:val="none"/>
                <w:lang w:val="zh-CN"/>
              </w:rPr>
              <w:t>文件第</w:t>
            </w:r>
            <w:r>
              <w:rPr>
                <w:rFonts w:hint="eastAsia" w:ascii="仿宋" w:hAnsi="仿宋" w:eastAsia="仿宋" w:cs="仿宋"/>
                <w:color w:val="auto"/>
                <w:spacing w:val="-11"/>
                <w:szCs w:val="21"/>
                <w:highlight w:val="none"/>
              </w:rPr>
              <w:t>三</w:t>
            </w:r>
            <w:r>
              <w:rPr>
                <w:rFonts w:hint="eastAsia" w:ascii="仿宋" w:hAnsi="仿宋" w:eastAsia="仿宋" w:cs="仿宋"/>
                <w:color w:val="auto"/>
                <w:spacing w:val="-11"/>
                <w:szCs w:val="21"/>
                <w:highlight w:val="none"/>
                <w:lang w:val="zh-CN"/>
              </w:rPr>
              <w:t>章。</w:t>
            </w:r>
          </w:p>
          <w:p w14:paraId="5DD40A0E">
            <w:pPr>
              <w:adjustRightInd w:val="0"/>
              <w:snapToGrid w:val="0"/>
              <w:spacing w:line="288" w:lineRule="auto"/>
              <w:rPr>
                <w:rFonts w:hint="eastAsia" w:ascii="仿宋" w:hAnsi="仿宋" w:eastAsia="仿宋" w:cs="仿宋"/>
                <w:color w:val="auto"/>
                <w:spacing w:val="-11"/>
                <w:szCs w:val="21"/>
                <w:highlight w:val="none"/>
                <w:lang w:val="zh-CN"/>
              </w:rPr>
            </w:pPr>
            <w:r>
              <w:rPr>
                <w:rFonts w:hint="eastAsia" w:ascii="仿宋" w:hAnsi="仿宋" w:eastAsia="仿宋" w:cs="仿宋"/>
                <w:color w:val="auto"/>
                <w:spacing w:val="-11"/>
                <w:szCs w:val="21"/>
                <w:highlight w:val="none"/>
                <w:lang w:val="zh-CN"/>
              </w:rPr>
              <w:sym w:font="Wingdings 2" w:char="0052"/>
            </w:r>
            <w:r>
              <w:rPr>
                <w:rFonts w:hint="eastAsia" w:ascii="仿宋" w:hAnsi="仿宋" w:eastAsia="仿宋" w:cs="仿宋"/>
                <w:color w:val="auto"/>
                <w:spacing w:val="-11"/>
                <w:szCs w:val="21"/>
                <w:highlight w:val="none"/>
                <w:lang w:val="en-US" w:eastAsia="zh-CN"/>
              </w:rPr>
              <w:t>三、</w:t>
            </w:r>
            <w:r>
              <w:rPr>
                <w:rFonts w:hint="eastAsia" w:ascii="仿宋" w:hAnsi="仿宋" w:eastAsia="仿宋" w:cs="仿宋"/>
                <w:b/>
                <w:bCs/>
                <w:color w:val="auto"/>
                <w:spacing w:val="-11"/>
                <w:szCs w:val="21"/>
                <w:highlight w:val="none"/>
                <w:lang w:val="en-US" w:eastAsia="zh-CN"/>
              </w:rPr>
              <w:t>本项目</w:t>
            </w:r>
            <w:r>
              <w:rPr>
                <w:rFonts w:hint="eastAsia" w:ascii="仿宋" w:hAnsi="仿宋" w:eastAsia="仿宋" w:cs="仿宋"/>
                <w:b/>
                <w:bCs/>
                <w:color w:val="auto"/>
                <w:spacing w:val="-11"/>
                <w:szCs w:val="21"/>
                <w:highlight w:val="none"/>
                <w:lang w:val="zh-CN"/>
              </w:rPr>
              <w:t>专门面向中小企业采购</w:t>
            </w:r>
            <w:r>
              <w:rPr>
                <w:rFonts w:hint="eastAsia" w:ascii="仿宋" w:hAnsi="仿宋" w:eastAsia="仿宋" w:cs="仿宋"/>
                <w:color w:val="auto"/>
                <w:spacing w:val="-11"/>
                <w:szCs w:val="21"/>
                <w:highlight w:val="none"/>
                <w:lang w:val="zh-CN"/>
              </w:rPr>
              <w:t>（适用于预留份额专门面向中小企业采购的采购项目或采购包）</w:t>
            </w:r>
          </w:p>
          <w:p w14:paraId="1AE4FFBA">
            <w:pPr>
              <w:adjustRightInd w:val="0"/>
              <w:snapToGrid w:val="0"/>
              <w:spacing w:line="288" w:lineRule="auto"/>
              <w:rPr>
                <w:rFonts w:hint="eastAsia" w:ascii="仿宋" w:hAnsi="仿宋" w:eastAsia="仿宋" w:cs="仿宋"/>
                <w:color w:val="auto"/>
                <w:spacing w:val="-11"/>
                <w:szCs w:val="21"/>
                <w:highlight w:val="none"/>
                <w:lang w:val="zh-CN"/>
              </w:rPr>
            </w:pPr>
            <w:r>
              <w:rPr>
                <w:rFonts w:hint="eastAsia" w:ascii="仿宋" w:hAnsi="仿宋" w:eastAsia="仿宋" w:cs="仿宋"/>
                <w:color w:val="auto"/>
                <w:spacing w:val="-11"/>
                <w:szCs w:val="21"/>
                <w:highlight w:val="none"/>
                <w:lang w:val="zh-CN"/>
              </w:rPr>
              <w:t>1.根据《政府采购促进中小企业发展管理办法》（财库〔2020〕46号）的规定，对适宜由中小企业提供的采购项目和采购包，预留份额专门面向中小企业采购。</w:t>
            </w:r>
          </w:p>
          <w:p w14:paraId="1B8272D8">
            <w:pPr>
              <w:adjustRightInd w:val="0"/>
              <w:snapToGrid w:val="0"/>
              <w:spacing w:line="288" w:lineRule="auto"/>
              <w:rPr>
                <w:rFonts w:ascii="仿宋" w:hAnsi="仿宋" w:eastAsia="仿宋" w:cs="宋体"/>
                <w:color w:val="auto"/>
                <w:kern w:val="0"/>
                <w:szCs w:val="21"/>
                <w:highlight w:val="none"/>
              </w:rPr>
            </w:pPr>
            <w:r>
              <w:rPr>
                <w:rFonts w:hint="eastAsia" w:ascii="仿宋" w:hAnsi="仿宋" w:eastAsia="仿宋" w:cs="仿宋"/>
                <w:color w:val="auto"/>
                <w:spacing w:val="-11"/>
                <w:szCs w:val="21"/>
                <w:highlight w:val="none"/>
                <w:lang w:val="en-US" w:eastAsia="zh-CN"/>
              </w:rPr>
              <w:t>2</w:t>
            </w:r>
            <w:r>
              <w:rPr>
                <w:rFonts w:hint="eastAsia" w:ascii="仿宋" w:hAnsi="仿宋" w:eastAsia="仿宋" w:cs="仿宋"/>
                <w:color w:val="auto"/>
                <w:spacing w:val="-11"/>
                <w:szCs w:val="21"/>
                <w:highlight w:val="none"/>
                <w:lang w:val="zh-CN"/>
              </w:rPr>
              <w:t>.对于预留份额专门面向中小企业采购的采购项目或采购包，不再执行小微企业价格扣除的政策评审优惠。</w:t>
            </w:r>
          </w:p>
        </w:tc>
      </w:tr>
      <w:tr w14:paraId="456956D0">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1952" w:hRule="atLeast"/>
          <w:jc w:val="center"/>
        </w:trPr>
        <w:tc>
          <w:tcPr>
            <w:tcW w:w="1013" w:type="dxa"/>
            <w:tcBorders>
              <w:tl2br w:val="nil"/>
              <w:tr2bl w:val="nil"/>
            </w:tcBorders>
            <w:vAlign w:val="center"/>
          </w:tcPr>
          <w:p w14:paraId="76A308E5">
            <w:pPr>
              <w:pStyle w:val="25"/>
              <w:snapToGrid w:val="0"/>
              <w:spacing w:line="360" w:lineRule="auto"/>
              <w:ind w:right="230"/>
              <w:jc w:val="center"/>
              <w:rPr>
                <w:rFonts w:ascii="仿宋" w:hAnsi="仿宋" w:eastAsia="仿宋" w:cs="仿宋"/>
                <w:color w:val="auto"/>
                <w:sz w:val="21"/>
                <w:szCs w:val="21"/>
                <w:highlight w:val="none"/>
                <w:lang w:val="zh-CN"/>
              </w:rPr>
            </w:pPr>
            <w:r>
              <w:rPr>
                <w:rFonts w:hint="eastAsia" w:ascii="仿宋" w:hAnsi="仿宋" w:eastAsia="仿宋" w:cs="Courier New"/>
                <w:color w:val="auto"/>
                <w:sz w:val="21"/>
                <w:szCs w:val="21"/>
                <w:highlight w:val="none"/>
              </w:rPr>
              <w:t>6</w:t>
            </w:r>
          </w:p>
        </w:tc>
        <w:tc>
          <w:tcPr>
            <w:tcW w:w="2409" w:type="dxa"/>
            <w:tcBorders>
              <w:tl2br w:val="nil"/>
              <w:tr2bl w:val="nil"/>
            </w:tcBorders>
            <w:vAlign w:val="center"/>
          </w:tcPr>
          <w:p w14:paraId="54EF1320">
            <w:pPr>
              <w:adjustRightInd w:val="0"/>
              <w:snapToGrid w:val="0"/>
              <w:spacing w:line="288" w:lineRule="auto"/>
              <w:ind w:left="105" w:leftChars="50" w:right="105" w:rightChars="50"/>
              <w:jc w:val="center"/>
              <w:rPr>
                <w:rFonts w:ascii="仿宋" w:hAnsi="仿宋" w:eastAsia="仿宋" w:cs="仿宋"/>
                <w:color w:val="auto"/>
                <w:szCs w:val="21"/>
                <w:highlight w:val="none"/>
              </w:rPr>
            </w:pPr>
            <w:r>
              <w:rPr>
                <w:rFonts w:hint="eastAsia" w:ascii="仿宋" w:hAnsi="仿宋" w:eastAsia="仿宋" w:cs="仿宋"/>
                <w:color w:val="auto"/>
                <w:spacing w:val="-6"/>
                <w:kern w:val="0"/>
                <w:szCs w:val="21"/>
                <w:highlight w:val="none"/>
              </w:rPr>
              <w:t>节能、环保政府采购政策</w:t>
            </w:r>
          </w:p>
        </w:tc>
        <w:tc>
          <w:tcPr>
            <w:tcW w:w="6084" w:type="dxa"/>
            <w:tcBorders>
              <w:tl2br w:val="nil"/>
              <w:tr2bl w:val="nil"/>
            </w:tcBorders>
            <w:vAlign w:val="center"/>
          </w:tcPr>
          <w:p w14:paraId="467646CE">
            <w:pPr>
              <w:adjustRightInd w:val="0"/>
              <w:snapToGrid w:val="0"/>
              <w:spacing w:line="288" w:lineRule="auto"/>
              <w:jc w:val="left"/>
              <w:rPr>
                <w:rFonts w:ascii="黑体" w:hAnsi="黑体" w:eastAsia="黑体" w:cs="黑体"/>
                <w:color w:val="auto"/>
                <w:spacing w:val="-6"/>
                <w:szCs w:val="21"/>
                <w:highlight w:val="none"/>
              </w:rPr>
            </w:pPr>
            <w:r>
              <w:rPr>
                <w:rFonts w:hint="eastAsia" w:ascii="黑体" w:hAnsi="黑体" w:eastAsia="黑体" w:cs="黑体"/>
                <w:color w:val="auto"/>
                <w:spacing w:val="-6"/>
                <w:szCs w:val="21"/>
                <w:highlight w:val="none"/>
              </w:rPr>
              <w:t>一、节能、环保产品政府采购政策：</w:t>
            </w:r>
          </w:p>
          <w:p w14:paraId="1F4E55DD">
            <w:pPr>
              <w:adjustRightInd w:val="0"/>
              <w:snapToGrid w:val="0"/>
              <w:spacing w:line="288" w:lineRule="auto"/>
              <w:ind w:right="105" w:rightChars="50"/>
              <w:rPr>
                <w:rFonts w:ascii="仿宋" w:hAnsi="仿宋" w:eastAsia="仿宋"/>
                <w:color w:val="auto"/>
                <w:szCs w:val="21"/>
                <w:highlight w:val="none"/>
              </w:rPr>
            </w:pPr>
            <w:r>
              <w:rPr>
                <w:rFonts w:hint="eastAsia" w:ascii="仿宋" w:hAnsi="仿宋" w:eastAsia="仿宋"/>
                <w:color w:val="auto"/>
                <w:szCs w:val="21"/>
                <w:highlight w:val="none"/>
              </w:rPr>
              <w:t>根据《财政部 发展改革委 生态环境部 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证书，对获得证书的产品实施政府优先采购或强制采购。</w:t>
            </w:r>
          </w:p>
          <w:p w14:paraId="6B4BDF4D">
            <w:pPr>
              <w:adjustRightInd w:val="0"/>
              <w:snapToGrid w:val="0"/>
              <w:spacing w:line="288" w:lineRule="auto"/>
              <w:ind w:right="105" w:rightChars="50"/>
              <w:rPr>
                <w:rFonts w:ascii="仿宋" w:hAnsi="仿宋" w:eastAsia="仿宋"/>
                <w:b/>
                <w:bCs/>
                <w:color w:val="auto"/>
                <w:szCs w:val="21"/>
                <w:highlight w:val="none"/>
              </w:rPr>
            </w:pPr>
            <w:r>
              <w:rPr>
                <w:rFonts w:hint="eastAsia" w:ascii="仿宋" w:hAnsi="仿宋" w:eastAsia="仿宋"/>
                <w:b/>
                <w:bCs/>
                <w:color w:val="auto"/>
                <w:szCs w:val="21"/>
                <w:highlight w:val="none"/>
              </w:rPr>
              <w:t>1.本项目采购的产品属于品目清单强制采购范围的，供应商应按上述要求提供产品认证证书复印件并加盖供应商单位公章（鲜章），否则响应无效。</w:t>
            </w:r>
            <w:r>
              <w:rPr>
                <w:rFonts w:hint="eastAsia" w:ascii="黑体" w:hAnsi="黑体" w:eastAsia="黑体" w:cs="黑体"/>
                <w:b/>
                <w:bCs/>
                <w:color w:val="auto"/>
                <w:kern w:val="0"/>
                <w:szCs w:val="21"/>
                <w:highlight w:val="none"/>
                <w:lang w:val="zh-CN"/>
              </w:rPr>
              <w:t>（实质性要求）</w:t>
            </w:r>
          </w:p>
          <w:p w14:paraId="350252AC">
            <w:pPr>
              <w:adjustRightInd w:val="0"/>
              <w:snapToGrid w:val="0"/>
              <w:spacing w:line="288" w:lineRule="auto"/>
              <w:ind w:right="105" w:rightChars="50"/>
              <w:rPr>
                <w:rFonts w:ascii="仿宋" w:hAnsi="仿宋" w:eastAsia="仿宋"/>
                <w:b/>
                <w:bCs/>
                <w:color w:val="auto"/>
                <w:szCs w:val="21"/>
                <w:highlight w:val="none"/>
              </w:rPr>
            </w:pPr>
            <w:r>
              <w:rPr>
                <w:rFonts w:hint="eastAsia" w:ascii="仿宋" w:hAnsi="仿宋" w:eastAsia="仿宋"/>
                <w:b/>
                <w:bCs/>
                <w:color w:val="auto"/>
                <w:szCs w:val="21"/>
                <w:highlight w:val="none"/>
              </w:rPr>
              <w:t>2.本项目采购的产品属于品目清单优先采购范围的，按照第六章《综合评分明细表》的规则进行加分。</w:t>
            </w:r>
          </w:p>
          <w:p w14:paraId="60AFEF93">
            <w:pPr>
              <w:adjustRightInd w:val="0"/>
              <w:snapToGrid w:val="0"/>
              <w:spacing w:line="288" w:lineRule="auto"/>
              <w:rPr>
                <w:rFonts w:ascii="仿宋" w:hAnsi="仿宋" w:eastAsia="仿宋"/>
                <w:color w:val="auto"/>
                <w:szCs w:val="21"/>
                <w:highlight w:val="none"/>
              </w:rPr>
            </w:pPr>
            <w:r>
              <w:rPr>
                <w:rFonts w:hint="eastAsia" w:ascii="仿宋" w:hAnsi="仿宋" w:eastAsia="仿宋"/>
                <w:color w:val="auto"/>
                <w:szCs w:val="21"/>
                <w:highlight w:val="none"/>
              </w:rPr>
              <w:t>注：对政府采购节能产品、环境标志产品实施品目清单管理。财政部、发展改革委、生态环境部等部门确定实施政府优先采购和强制采购的</w:t>
            </w:r>
            <w:r>
              <w:rPr>
                <w:rFonts w:hint="eastAsia" w:ascii="仿宋" w:hAnsi="仿宋" w:eastAsia="仿宋"/>
                <w:color w:val="auto"/>
                <w:spacing w:val="-6"/>
                <w:szCs w:val="21"/>
                <w:highlight w:val="none"/>
              </w:rPr>
              <w:t>产品类别及所依据的相关标准规范，以品目清单的形式发布并适时调整。</w:t>
            </w:r>
          </w:p>
          <w:p w14:paraId="144DF789">
            <w:pPr>
              <w:adjustRightInd w:val="0"/>
              <w:snapToGrid w:val="0"/>
              <w:spacing w:line="288" w:lineRule="auto"/>
              <w:jc w:val="left"/>
              <w:rPr>
                <w:rFonts w:ascii="仿宋" w:hAnsi="仿宋" w:eastAsia="仿宋"/>
                <w:color w:val="auto"/>
                <w:szCs w:val="21"/>
                <w:highlight w:val="none"/>
              </w:rPr>
            </w:pPr>
            <w:r>
              <w:rPr>
                <w:rFonts w:hint="eastAsia" w:ascii="仿宋" w:hAnsi="仿宋" w:eastAsia="仿宋"/>
                <w:color w:val="auto"/>
                <w:szCs w:val="21"/>
                <w:highlight w:val="none"/>
              </w:rPr>
              <w:t>清单详见《关于印发节能产品政府采购品目清单的通知》（财库〔2019〕19号）、《关于印发环境标志产品政府采购品目清单的通知》（财库〔2019〕18号）。</w:t>
            </w:r>
          </w:p>
          <w:p w14:paraId="2933B024">
            <w:pPr>
              <w:adjustRightInd w:val="0"/>
              <w:snapToGrid w:val="0"/>
              <w:spacing w:line="288" w:lineRule="auto"/>
              <w:ind w:right="105" w:rightChars="50"/>
              <w:rPr>
                <w:rFonts w:ascii="仿宋" w:hAnsi="仿宋" w:eastAsia="仿宋" w:cs="仿宋"/>
                <w:color w:val="auto"/>
                <w:spacing w:val="-6"/>
                <w:szCs w:val="21"/>
                <w:highlight w:val="none"/>
              </w:rPr>
            </w:pPr>
            <w:r>
              <w:rPr>
                <w:rFonts w:hint="eastAsia" w:ascii="黑体" w:hAnsi="黑体" w:eastAsia="黑体" w:cs="黑体"/>
                <w:color w:val="auto"/>
                <w:spacing w:val="-6"/>
                <w:szCs w:val="21"/>
                <w:highlight w:val="none"/>
              </w:rPr>
              <w:t>二、本项目采购的产品是否属于品目清单强制采购或优先采购范围，详见</w:t>
            </w:r>
            <w:r>
              <w:rPr>
                <w:rFonts w:hint="eastAsia" w:ascii="黑体" w:hAnsi="黑体" w:eastAsia="黑体" w:cs="黑体"/>
                <w:color w:val="auto"/>
                <w:spacing w:val="-6"/>
                <w:szCs w:val="21"/>
                <w:highlight w:val="none"/>
                <w:lang w:val="en-US" w:eastAsia="zh-CN"/>
              </w:rPr>
              <w:t>附件工程量清单</w:t>
            </w:r>
            <w:r>
              <w:rPr>
                <w:rFonts w:hint="eastAsia" w:ascii="黑体" w:hAnsi="黑体" w:eastAsia="黑体" w:cs="黑体"/>
                <w:color w:val="auto"/>
                <w:spacing w:val="-6"/>
                <w:szCs w:val="21"/>
                <w:highlight w:val="none"/>
              </w:rPr>
              <w:t>。</w:t>
            </w:r>
          </w:p>
        </w:tc>
      </w:tr>
      <w:tr w14:paraId="0D42111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463" w:hRule="atLeast"/>
          <w:jc w:val="center"/>
        </w:trPr>
        <w:tc>
          <w:tcPr>
            <w:tcW w:w="1013" w:type="dxa"/>
            <w:tcBorders>
              <w:tl2br w:val="nil"/>
              <w:tr2bl w:val="nil"/>
            </w:tcBorders>
            <w:vAlign w:val="center"/>
          </w:tcPr>
          <w:p w14:paraId="6A664808">
            <w:pPr>
              <w:pStyle w:val="25"/>
              <w:snapToGrid w:val="0"/>
              <w:spacing w:line="360" w:lineRule="auto"/>
              <w:ind w:right="230" w:rightChars="0"/>
              <w:jc w:val="center"/>
              <w:rPr>
                <w:rFonts w:ascii="仿宋" w:hAnsi="仿宋" w:eastAsia="仿宋" w:cs="Courier New"/>
                <w:color w:val="auto"/>
                <w:szCs w:val="21"/>
                <w:highlight w:val="none"/>
              </w:rPr>
            </w:pPr>
            <w:r>
              <w:rPr>
                <w:rFonts w:hint="eastAsia" w:ascii="仿宋" w:hAnsi="仿宋" w:eastAsia="仿宋" w:cs="Courier New"/>
                <w:color w:val="auto"/>
                <w:sz w:val="21"/>
                <w:szCs w:val="21"/>
                <w:highlight w:val="none"/>
                <w:lang w:val="en-US" w:eastAsia="zh-CN"/>
              </w:rPr>
              <w:t>7</w:t>
            </w:r>
          </w:p>
        </w:tc>
        <w:tc>
          <w:tcPr>
            <w:tcW w:w="2409" w:type="dxa"/>
            <w:tcBorders>
              <w:tl2br w:val="nil"/>
              <w:tr2bl w:val="nil"/>
            </w:tcBorders>
            <w:vAlign w:val="center"/>
          </w:tcPr>
          <w:p w14:paraId="63DEDDA7">
            <w:pPr>
              <w:adjustRightInd w:val="0"/>
              <w:snapToGrid w:val="0"/>
              <w:spacing w:line="288" w:lineRule="auto"/>
              <w:ind w:left="105" w:leftChars="50" w:right="105" w:rightChars="50"/>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磋商</w:t>
            </w:r>
            <w:r>
              <w:rPr>
                <w:rFonts w:hint="eastAsia" w:ascii="仿宋" w:hAnsi="仿宋" w:eastAsia="仿宋" w:cs="宋体"/>
                <w:color w:val="auto"/>
                <w:szCs w:val="21"/>
                <w:highlight w:val="none"/>
                <w:lang w:val="en-US" w:eastAsia="zh-CN"/>
              </w:rPr>
              <w:t>保证金</w:t>
            </w:r>
          </w:p>
        </w:tc>
        <w:tc>
          <w:tcPr>
            <w:tcW w:w="6084" w:type="dxa"/>
            <w:tcBorders>
              <w:tl2br w:val="nil"/>
              <w:tr2bl w:val="nil"/>
            </w:tcBorders>
            <w:vAlign w:val="center"/>
          </w:tcPr>
          <w:p w14:paraId="18C3B1B8">
            <w:pPr>
              <w:pStyle w:val="25"/>
              <w:snapToGrid w:val="0"/>
              <w:spacing w:line="360" w:lineRule="auto"/>
              <w:jc w:val="both"/>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1．金    额：</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000</w:t>
            </w:r>
            <w:r>
              <w:rPr>
                <w:rFonts w:hint="eastAsia" w:ascii="仿宋" w:hAnsi="仿宋" w:eastAsia="仿宋" w:cs="仿宋"/>
                <w:color w:val="auto"/>
                <w:sz w:val="21"/>
                <w:szCs w:val="21"/>
                <w:highlight w:val="none"/>
                <w:lang w:val="zh-CN"/>
              </w:rPr>
              <w:t>元，供应商必须以人民币足额缴纳。</w:t>
            </w:r>
          </w:p>
          <w:p w14:paraId="7BFBB545">
            <w:pPr>
              <w:pStyle w:val="25"/>
              <w:snapToGrid w:val="0"/>
              <w:spacing w:line="360" w:lineRule="auto"/>
              <w:jc w:val="both"/>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2．交款方式：磋商保证金可以以支票、汇票、本票或者金融机构出具的保函等非现金形式提交（包括网银转账，电汇等方式）。</w:t>
            </w:r>
          </w:p>
          <w:p w14:paraId="684EDE69">
            <w:pPr>
              <w:pStyle w:val="25"/>
              <w:snapToGrid w:val="0"/>
              <w:spacing w:line="360" w:lineRule="auto"/>
              <w:jc w:val="both"/>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3．收款单位：四川成与诚招标代理有限公司</w:t>
            </w:r>
          </w:p>
          <w:p w14:paraId="17D30531">
            <w:pPr>
              <w:pStyle w:val="25"/>
              <w:snapToGrid w:val="0"/>
              <w:spacing w:line="360" w:lineRule="auto"/>
              <w:jc w:val="both"/>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开户行：哈尔滨银行股份有限公司成都高新支行</w:t>
            </w:r>
          </w:p>
          <w:p w14:paraId="1BD7341D">
            <w:pPr>
              <w:pStyle w:val="25"/>
              <w:snapToGrid w:val="0"/>
              <w:spacing w:line="360" w:lineRule="auto"/>
              <w:jc w:val="both"/>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账号：18010000001667554</w:t>
            </w:r>
          </w:p>
          <w:p w14:paraId="401C0D8E">
            <w:pPr>
              <w:pStyle w:val="25"/>
              <w:snapToGrid w:val="0"/>
              <w:spacing w:line="360" w:lineRule="auto"/>
              <w:jc w:val="both"/>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行号：313651083102</w:t>
            </w:r>
          </w:p>
          <w:p w14:paraId="3C753AAF">
            <w:pPr>
              <w:pStyle w:val="25"/>
              <w:snapToGrid w:val="0"/>
              <w:spacing w:line="360" w:lineRule="auto"/>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4．交款截止时间：本项目递交响应文件截止时间前（磋商保证金的缴纳以到账时间为准，若以保函方式提交的，须在递交响应文件截止时间前提交保函原件到采购代理机构财务室）。</w:t>
            </w:r>
          </w:p>
          <w:p w14:paraId="7DA297A8">
            <w:pPr>
              <w:pStyle w:val="25"/>
              <w:snapToGrid w:val="0"/>
              <w:spacing w:line="360" w:lineRule="auto"/>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5．供应商应将保函复印件或银行转账凭证复印件或电汇凭证复印件或采购代理机构出具的收据复印件或加盖采购代理机构财务专用章的保证金缴纳证明材料原件放入响应文件中。</w:t>
            </w:r>
          </w:p>
          <w:p w14:paraId="25EC7FA6">
            <w:pPr>
              <w:adjustRightInd w:val="0"/>
              <w:snapToGrid w:val="0"/>
              <w:spacing w:line="288" w:lineRule="auto"/>
              <w:ind w:right="105" w:rightChars="50"/>
              <w:rPr>
                <w:rFonts w:ascii="仿宋" w:hAnsi="仿宋" w:eastAsia="仿宋" w:cs="宋体"/>
                <w:b/>
                <w:color w:val="auto"/>
                <w:szCs w:val="21"/>
                <w:highlight w:val="none"/>
              </w:rPr>
            </w:pPr>
            <w:r>
              <w:rPr>
                <w:rFonts w:hint="eastAsia" w:ascii="仿宋" w:hAnsi="仿宋" w:eastAsia="仿宋" w:cs="仿宋"/>
                <w:b/>
                <w:color w:val="auto"/>
                <w:spacing w:val="-6"/>
                <w:sz w:val="21"/>
                <w:szCs w:val="21"/>
                <w:highlight w:val="none"/>
                <w:lang w:val="zh-CN"/>
              </w:rPr>
              <w:t>注：不满足以上1.2.3.4.5磋商保证金要求的，将在资格审查时作无效响应。</w:t>
            </w:r>
          </w:p>
        </w:tc>
      </w:tr>
      <w:tr w14:paraId="3063F09A">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5735" w:hRule="atLeast"/>
          <w:jc w:val="center"/>
        </w:trPr>
        <w:tc>
          <w:tcPr>
            <w:tcW w:w="1013" w:type="dxa"/>
            <w:tcBorders>
              <w:tl2br w:val="nil"/>
              <w:tr2bl w:val="nil"/>
            </w:tcBorders>
            <w:vAlign w:val="center"/>
          </w:tcPr>
          <w:p w14:paraId="258E0954">
            <w:pPr>
              <w:autoSpaceDE w:val="0"/>
              <w:autoSpaceDN w:val="0"/>
              <w:adjustRightInd w:val="0"/>
              <w:spacing w:line="360" w:lineRule="auto"/>
              <w:ind w:right="230"/>
              <w:jc w:val="center"/>
              <w:rPr>
                <w:rFonts w:ascii="仿宋" w:hAnsi="仿宋" w:eastAsia="仿宋" w:cs="Courier New"/>
                <w:color w:val="auto"/>
                <w:szCs w:val="21"/>
                <w:highlight w:val="none"/>
              </w:rPr>
            </w:pPr>
            <w:r>
              <w:rPr>
                <w:rFonts w:hint="eastAsia" w:ascii="仿宋" w:hAnsi="仿宋" w:eastAsia="仿宋" w:cs="Courier New"/>
                <w:color w:val="auto"/>
                <w:szCs w:val="21"/>
                <w:highlight w:val="none"/>
              </w:rPr>
              <w:t>8</w:t>
            </w:r>
          </w:p>
        </w:tc>
        <w:tc>
          <w:tcPr>
            <w:tcW w:w="2409" w:type="dxa"/>
            <w:tcBorders>
              <w:tl2br w:val="nil"/>
              <w:tr2bl w:val="nil"/>
            </w:tcBorders>
            <w:vAlign w:val="center"/>
          </w:tcPr>
          <w:p w14:paraId="3BD827B9">
            <w:pPr>
              <w:autoSpaceDE w:val="0"/>
              <w:autoSpaceDN w:val="0"/>
              <w:adjustRightInd w:val="0"/>
              <w:spacing w:line="360" w:lineRule="auto"/>
              <w:ind w:left="38"/>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履约保证金</w:t>
            </w:r>
          </w:p>
        </w:tc>
        <w:tc>
          <w:tcPr>
            <w:tcW w:w="6084" w:type="dxa"/>
            <w:tcBorders>
              <w:tl2br w:val="nil"/>
              <w:tr2bl w:val="nil"/>
            </w:tcBorders>
            <w:vAlign w:val="center"/>
          </w:tcPr>
          <w:p w14:paraId="2141C3A9">
            <w:pPr>
              <w:pStyle w:val="25"/>
              <w:adjustRightInd/>
              <w:spacing w:line="360" w:lineRule="auto"/>
              <w:rPr>
                <w:rStyle w:val="23"/>
                <w:rFonts w:ascii="仿宋" w:hAnsi="仿宋" w:eastAsia="仿宋" w:cs="仿宋"/>
                <w:color w:val="auto"/>
                <w:kern w:val="2"/>
                <w:highlight w:val="none"/>
                <w:lang w:val="zh-CN"/>
              </w:rPr>
            </w:pPr>
            <w:r>
              <w:rPr>
                <w:rStyle w:val="23"/>
                <w:rFonts w:hint="eastAsia" w:ascii="仿宋" w:hAnsi="仿宋" w:eastAsia="仿宋" w:cs="仿宋"/>
                <w:color w:val="auto"/>
                <w:kern w:val="2"/>
                <w:highlight w:val="none"/>
                <w:lang w:val="zh-CN"/>
              </w:rPr>
              <w:t>金    额：采购合同金额的</w:t>
            </w:r>
            <w:r>
              <w:rPr>
                <w:rStyle w:val="23"/>
                <w:rFonts w:hint="eastAsia" w:ascii="仿宋" w:hAnsi="仿宋" w:eastAsia="仿宋" w:cs="仿宋"/>
                <w:color w:val="auto"/>
                <w:kern w:val="2"/>
                <w:highlight w:val="none"/>
              </w:rPr>
              <w:t>5</w:t>
            </w:r>
            <w:r>
              <w:rPr>
                <w:rStyle w:val="23"/>
                <w:rFonts w:hint="eastAsia" w:ascii="仿宋" w:hAnsi="仿宋" w:eastAsia="仿宋" w:cs="仿宋"/>
                <w:color w:val="auto"/>
                <w:kern w:val="2"/>
                <w:highlight w:val="none"/>
                <w:lang w:val="zh-CN"/>
              </w:rPr>
              <w:t>%。</w:t>
            </w:r>
          </w:p>
          <w:p w14:paraId="7E41AB73">
            <w:pPr>
              <w:pStyle w:val="25"/>
              <w:adjustRightInd/>
              <w:spacing w:line="360" w:lineRule="auto"/>
              <w:rPr>
                <w:rStyle w:val="23"/>
                <w:rFonts w:ascii="仿宋" w:hAnsi="仿宋" w:eastAsia="仿宋" w:cs="仿宋"/>
                <w:color w:val="auto"/>
                <w:kern w:val="2"/>
                <w:highlight w:val="none"/>
                <w:lang w:val="zh-CN"/>
              </w:rPr>
            </w:pPr>
            <w:r>
              <w:rPr>
                <w:rStyle w:val="23"/>
                <w:rFonts w:hint="eastAsia" w:ascii="仿宋" w:hAnsi="仿宋" w:eastAsia="仿宋" w:cs="仿宋"/>
                <w:color w:val="auto"/>
                <w:kern w:val="2"/>
                <w:highlight w:val="none"/>
                <w:lang w:val="zh-CN"/>
              </w:rPr>
              <w:t>交款方式：履约保证金可以以支票、汇票、本票或者金融机构出具的保函等非现金形式提交（包括网银转账，电汇等方式）。</w:t>
            </w:r>
          </w:p>
          <w:p w14:paraId="49324EE8">
            <w:pPr>
              <w:pStyle w:val="25"/>
              <w:adjustRightInd/>
              <w:spacing w:line="360" w:lineRule="auto"/>
              <w:rPr>
                <w:rStyle w:val="23"/>
                <w:rFonts w:ascii="仿宋" w:hAnsi="仿宋" w:eastAsia="仿宋" w:cs="仿宋"/>
                <w:color w:val="auto"/>
                <w:kern w:val="2"/>
                <w:highlight w:val="none"/>
                <w:lang w:val="zh-CN"/>
              </w:rPr>
            </w:pPr>
            <w:r>
              <w:rPr>
                <w:rStyle w:val="23"/>
                <w:rFonts w:hint="eastAsia" w:ascii="仿宋" w:hAnsi="仿宋" w:eastAsia="仿宋" w:cs="仿宋"/>
                <w:color w:val="auto"/>
                <w:kern w:val="2"/>
                <w:highlight w:val="none"/>
                <w:lang w:val="zh-CN"/>
              </w:rPr>
              <w:t>收款单位：西南民族大学</w:t>
            </w:r>
          </w:p>
          <w:p w14:paraId="4C086845">
            <w:pPr>
              <w:pStyle w:val="25"/>
              <w:adjustRightInd/>
              <w:spacing w:line="360" w:lineRule="auto"/>
              <w:rPr>
                <w:rStyle w:val="23"/>
                <w:rFonts w:ascii="仿宋" w:hAnsi="仿宋" w:eastAsia="仿宋" w:cs="仿宋"/>
                <w:color w:val="auto"/>
                <w:kern w:val="2"/>
                <w:highlight w:val="none"/>
                <w:lang w:val="zh-CN"/>
              </w:rPr>
            </w:pPr>
            <w:r>
              <w:rPr>
                <w:rStyle w:val="23"/>
                <w:rFonts w:hint="eastAsia" w:ascii="仿宋" w:hAnsi="仿宋" w:eastAsia="仿宋" w:cs="仿宋"/>
                <w:color w:val="auto"/>
                <w:kern w:val="2"/>
                <w:highlight w:val="none"/>
                <w:lang w:val="zh-CN"/>
              </w:rPr>
              <w:t>开 户 行：建行成都武侯支行</w:t>
            </w:r>
          </w:p>
          <w:p w14:paraId="2C26E777">
            <w:pPr>
              <w:pStyle w:val="25"/>
              <w:adjustRightInd/>
              <w:spacing w:line="360" w:lineRule="auto"/>
              <w:rPr>
                <w:rStyle w:val="23"/>
                <w:rFonts w:ascii="仿宋" w:hAnsi="仿宋" w:eastAsia="仿宋" w:cs="仿宋"/>
                <w:color w:val="auto"/>
                <w:kern w:val="2"/>
                <w:highlight w:val="none"/>
              </w:rPr>
            </w:pPr>
            <w:r>
              <w:rPr>
                <w:rStyle w:val="23"/>
                <w:rFonts w:hint="eastAsia" w:ascii="仿宋" w:hAnsi="仿宋" w:eastAsia="仿宋" w:cs="仿宋"/>
                <w:color w:val="auto"/>
                <w:kern w:val="2"/>
                <w:highlight w:val="none"/>
                <w:lang w:val="zh-CN"/>
              </w:rPr>
              <w:t>银行账号：</w:t>
            </w:r>
            <w:r>
              <w:rPr>
                <w:rStyle w:val="23"/>
                <w:rFonts w:hint="eastAsia" w:ascii="仿宋" w:hAnsi="仿宋" w:eastAsia="仿宋" w:cs="仿宋"/>
                <w:color w:val="auto"/>
                <w:kern w:val="2"/>
                <w:highlight w:val="none"/>
              </w:rPr>
              <w:t>51001446439059555888</w:t>
            </w:r>
          </w:p>
          <w:p w14:paraId="40592699">
            <w:pPr>
              <w:pStyle w:val="25"/>
              <w:adjustRightInd/>
              <w:spacing w:line="360" w:lineRule="auto"/>
              <w:rPr>
                <w:rFonts w:ascii="仿宋" w:hAnsi="仿宋" w:eastAsia="仿宋" w:cs="仿宋"/>
                <w:color w:val="auto"/>
                <w:sz w:val="21"/>
                <w:szCs w:val="21"/>
                <w:highlight w:val="none"/>
                <w:lang w:val="zh-CN"/>
              </w:rPr>
            </w:pPr>
            <w:r>
              <w:rPr>
                <w:rStyle w:val="23"/>
                <w:rFonts w:hint="eastAsia" w:ascii="仿宋" w:hAnsi="仿宋" w:eastAsia="仿宋" w:cs="仿宋"/>
                <w:color w:val="auto"/>
                <w:kern w:val="2"/>
                <w:highlight w:val="none"/>
                <w:lang w:val="zh-CN"/>
              </w:rPr>
              <w:t>缴款时间：中标</w:t>
            </w:r>
            <w:r>
              <w:rPr>
                <w:rStyle w:val="23"/>
                <w:rFonts w:hint="eastAsia" w:ascii="仿宋" w:hAnsi="仿宋" w:eastAsia="仿宋" w:cs="仿宋"/>
                <w:color w:val="auto"/>
                <w:kern w:val="2"/>
                <w:highlight w:val="none"/>
              </w:rPr>
              <w:t>/</w:t>
            </w:r>
            <w:r>
              <w:rPr>
                <w:rStyle w:val="23"/>
                <w:rFonts w:hint="eastAsia" w:ascii="仿宋" w:hAnsi="仿宋" w:eastAsia="仿宋" w:cs="仿宋"/>
                <w:color w:val="auto"/>
                <w:kern w:val="2"/>
                <w:highlight w:val="none"/>
                <w:lang w:val="zh-CN"/>
              </w:rPr>
              <w:t>成交通知书发放后，政府采购</w:t>
            </w:r>
            <w:r>
              <w:rPr>
                <w:rFonts w:hint="eastAsia" w:ascii="仿宋" w:hAnsi="仿宋" w:eastAsia="仿宋" w:cs="仿宋"/>
                <w:color w:val="auto"/>
                <w:sz w:val="21"/>
                <w:szCs w:val="21"/>
                <w:highlight w:val="none"/>
                <w:lang w:val="zh-CN"/>
              </w:rPr>
              <w:t>合同签订前。</w:t>
            </w:r>
          </w:p>
          <w:p w14:paraId="43484980">
            <w:pPr>
              <w:pStyle w:val="25"/>
              <w:adjustRightInd/>
              <w:spacing w:line="360" w:lineRule="auto"/>
              <w:rPr>
                <w:rStyle w:val="23"/>
                <w:rFonts w:ascii="仿宋" w:hAnsi="仿宋" w:eastAsia="仿宋" w:cs="仿宋"/>
                <w:color w:val="auto"/>
                <w:kern w:val="2"/>
                <w:highlight w:val="none"/>
              </w:rPr>
            </w:pPr>
            <w:r>
              <w:rPr>
                <w:rStyle w:val="23"/>
                <w:rFonts w:hint="eastAsia" w:ascii="仿宋" w:hAnsi="仿宋" w:eastAsia="仿宋" w:cs="仿宋"/>
                <w:color w:val="auto"/>
                <w:kern w:val="2"/>
                <w:highlight w:val="none"/>
              </w:rPr>
              <w:t>履约保证金退还方式：原路返还。</w:t>
            </w:r>
          </w:p>
          <w:p w14:paraId="0B10CF92">
            <w:pPr>
              <w:pStyle w:val="25"/>
              <w:adjustRightInd/>
              <w:spacing w:line="360" w:lineRule="auto"/>
              <w:rPr>
                <w:rFonts w:ascii="仿宋" w:hAnsi="仿宋" w:eastAsia="仿宋" w:cs="仿宋"/>
                <w:color w:val="auto"/>
                <w:sz w:val="21"/>
                <w:szCs w:val="21"/>
                <w:highlight w:val="none"/>
                <w:lang w:val="zh-CN"/>
              </w:rPr>
            </w:pPr>
            <w:r>
              <w:rPr>
                <w:rStyle w:val="23"/>
                <w:rFonts w:hint="eastAsia" w:ascii="仿宋" w:hAnsi="仿宋" w:eastAsia="仿宋" w:cs="仿宋"/>
                <w:color w:val="auto"/>
                <w:kern w:val="2"/>
                <w:highlight w:val="none"/>
              </w:rPr>
              <w:t>履约保证金退还时间：工程验收合格后15日内一次性返还履约保证金（不计息），采用保函形式缴纳的履约保证金在担保有效期后，担保责任终止</w:t>
            </w:r>
            <w:r>
              <w:rPr>
                <w:rFonts w:hint="eastAsia" w:ascii="仿宋" w:hAnsi="仿宋" w:eastAsia="仿宋" w:cs="仿宋"/>
                <w:color w:val="auto"/>
                <w:sz w:val="21"/>
                <w:szCs w:val="21"/>
                <w:highlight w:val="none"/>
                <w:lang w:val="zh-CN"/>
              </w:rPr>
              <w:t>。</w:t>
            </w:r>
          </w:p>
          <w:p w14:paraId="27DE3DD8">
            <w:pPr>
              <w:pStyle w:val="25"/>
              <w:adjustRightInd/>
              <w:spacing w:line="360" w:lineRule="auto"/>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履约保证金不予退还情形：验收结果不合格的，履约保证金将不予退还，也将不予支付采购资金。</w:t>
            </w:r>
          </w:p>
          <w:p w14:paraId="569D2B63">
            <w:pPr>
              <w:autoSpaceDE w:val="0"/>
              <w:autoSpaceDN w:val="0"/>
              <w:adjustRightInd w:val="0"/>
              <w:spacing w:line="360" w:lineRule="auto"/>
              <w:ind w:firstLine="210" w:firstLineChars="100"/>
              <w:rPr>
                <w:rFonts w:ascii="仿宋" w:hAnsi="仿宋" w:eastAsia="仿宋" w:cs="宋体"/>
                <w:color w:val="auto"/>
                <w:szCs w:val="21"/>
                <w:highlight w:val="none"/>
                <w:lang w:val="zh-CN"/>
              </w:rPr>
            </w:pPr>
            <w:r>
              <w:rPr>
                <w:rFonts w:hint="eastAsia" w:ascii="仿宋" w:hAnsi="仿宋" w:eastAsia="仿宋" w:cs="仿宋"/>
                <w:color w:val="auto"/>
                <w:szCs w:val="21"/>
                <w:highlight w:val="none"/>
                <w:lang w:val="zh-CN"/>
              </w:rPr>
              <w:t>履约保证金不予退还的，将按照有关规定</w:t>
            </w:r>
            <w:r>
              <w:rPr>
                <w:rStyle w:val="23"/>
                <w:rFonts w:hint="eastAsia" w:ascii="仿宋" w:hAnsi="仿宋" w:eastAsia="仿宋" w:cs="仿宋"/>
                <w:color w:val="auto"/>
                <w:highlight w:val="none"/>
              </w:rPr>
              <w:t>上缴国库。逾期退还履约保证金的，将依法承担法律责任，并赔偿供应商损失。</w:t>
            </w:r>
          </w:p>
        </w:tc>
      </w:tr>
      <w:tr w14:paraId="36199848">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013" w:type="dxa"/>
            <w:tcBorders>
              <w:tl2br w:val="nil"/>
              <w:tr2bl w:val="nil"/>
            </w:tcBorders>
            <w:vAlign w:val="center"/>
          </w:tcPr>
          <w:p w14:paraId="3719CA2E">
            <w:pPr>
              <w:autoSpaceDE w:val="0"/>
              <w:autoSpaceDN w:val="0"/>
              <w:adjustRightInd w:val="0"/>
              <w:spacing w:line="360" w:lineRule="auto"/>
              <w:ind w:right="230"/>
              <w:jc w:val="center"/>
              <w:rPr>
                <w:rFonts w:ascii="仿宋" w:hAnsi="仿宋" w:eastAsia="仿宋" w:cs="Courier New"/>
                <w:color w:val="auto"/>
                <w:szCs w:val="21"/>
                <w:highlight w:val="none"/>
              </w:rPr>
            </w:pPr>
            <w:r>
              <w:rPr>
                <w:rFonts w:hint="eastAsia" w:ascii="仿宋" w:hAnsi="仿宋" w:eastAsia="仿宋" w:cs="Courier New"/>
                <w:color w:val="auto"/>
                <w:szCs w:val="21"/>
                <w:highlight w:val="none"/>
              </w:rPr>
              <w:t>9</w:t>
            </w:r>
          </w:p>
        </w:tc>
        <w:tc>
          <w:tcPr>
            <w:tcW w:w="2409" w:type="dxa"/>
            <w:tcBorders>
              <w:tl2br w:val="nil"/>
              <w:tr2bl w:val="nil"/>
            </w:tcBorders>
            <w:vAlign w:val="center"/>
          </w:tcPr>
          <w:p w14:paraId="49B9B3F3">
            <w:pPr>
              <w:autoSpaceDE w:val="0"/>
              <w:autoSpaceDN w:val="0"/>
              <w:adjustRightInd w:val="0"/>
              <w:spacing w:line="360" w:lineRule="auto"/>
              <w:ind w:left="96"/>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合同分</w:t>
            </w:r>
            <w:r>
              <w:rPr>
                <w:rFonts w:ascii="仿宋" w:hAnsi="仿宋" w:eastAsia="仿宋" w:cs="宋体"/>
                <w:color w:val="auto"/>
                <w:szCs w:val="21"/>
                <w:highlight w:val="none"/>
                <w:lang w:val="zh-CN"/>
              </w:rPr>
              <w:t>包</w:t>
            </w:r>
            <w:r>
              <w:rPr>
                <w:rFonts w:hint="eastAsia" w:ascii="仿宋" w:hAnsi="仿宋" w:eastAsia="仿宋" w:cs="宋体"/>
                <w:color w:val="auto"/>
                <w:szCs w:val="21"/>
                <w:highlight w:val="none"/>
                <w:lang w:val="zh-CN"/>
              </w:rPr>
              <w:t>（实质性要求）</w:t>
            </w:r>
          </w:p>
        </w:tc>
        <w:tc>
          <w:tcPr>
            <w:tcW w:w="6084" w:type="dxa"/>
            <w:tcBorders>
              <w:tl2br w:val="nil"/>
              <w:tr2bl w:val="nil"/>
            </w:tcBorders>
            <w:vAlign w:val="center"/>
          </w:tcPr>
          <w:p w14:paraId="5701F040">
            <w:pPr>
              <w:autoSpaceDE w:val="0"/>
              <w:autoSpaceDN w:val="0"/>
              <w:adjustRightInd w:val="0"/>
              <w:spacing w:line="360" w:lineRule="auto"/>
              <w:rPr>
                <w:rFonts w:ascii="仿宋" w:hAnsi="仿宋" w:eastAsia="仿宋" w:cs="宋体"/>
                <w:color w:val="auto"/>
                <w:szCs w:val="21"/>
                <w:highlight w:val="none"/>
              </w:rPr>
            </w:pPr>
            <w:r>
              <w:rPr>
                <w:rFonts w:hint="eastAsia" w:ascii="仿宋" w:hAnsi="仿宋" w:eastAsia="仿宋" w:cs="仿宋"/>
                <w:color w:val="auto"/>
                <w:szCs w:val="21"/>
                <w:highlight w:val="none"/>
                <w:lang w:val="zh-CN"/>
              </w:rPr>
              <w:t>☑本项目不接受合同分包。</w:t>
            </w:r>
          </w:p>
        </w:tc>
      </w:tr>
      <w:tr w14:paraId="5C304FCA">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013" w:type="dxa"/>
            <w:tcBorders>
              <w:tl2br w:val="nil"/>
              <w:tr2bl w:val="nil"/>
            </w:tcBorders>
            <w:vAlign w:val="center"/>
          </w:tcPr>
          <w:p w14:paraId="5F417916">
            <w:pPr>
              <w:autoSpaceDE w:val="0"/>
              <w:autoSpaceDN w:val="0"/>
              <w:adjustRightInd w:val="0"/>
              <w:spacing w:line="360" w:lineRule="auto"/>
              <w:ind w:right="230"/>
              <w:jc w:val="center"/>
              <w:rPr>
                <w:rFonts w:ascii="仿宋" w:hAnsi="仿宋" w:eastAsia="仿宋" w:cs="Courier New"/>
                <w:color w:val="auto"/>
                <w:szCs w:val="21"/>
                <w:highlight w:val="none"/>
              </w:rPr>
            </w:pPr>
            <w:r>
              <w:rPr>
                <w:rFonts w:hint="eastAsia" w:ascii="仿宋" w:hAnsi="仿宋" w:eastAsia="仿宋" w:cs="Courier New"/>
                <w:color w:val="auto"/>
                <w:szCs w:val="21"/>
                <w:highlight w:val="none"/>
              </w:rPr>
              <w:t>10</w:t>
            </w:r>
          </w:p>
        </w:tc>
        <w:tc>
          <w:tcPr>
            <w:tcW w:w="2409" w:type="dxa"/>
            <w:tcBorders>
              <w:tl2br w:val="nil"/>
              <w:tr2bl w:val="nil"/>
            </w:tcBorders>
            <w:vAlign w:val="center"/>
          </w:tcPr>
          <w:p w14:paraId="556E5FE9">
            <w:pPr>
              <w:autoSpaceDE w:val="0"/>
              <w:autoSpaceDN w:val="0"/>
              <w:adjustRightInd w:val="0"/>
              <w:snapToGrid w:val="0"/>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磋商、评审工作咨询；</w:t>
            </w:r>
          </w:p>
          <w:p w14:paraId="3579446E">
            <w:pPr>
              <w:pStyle w:val="25"/>
              <w:snapToGrid w:val="0"/>
              <w:spacing w:line="360" w:lineRule="auto"/>
              <w:ind w:left="38"/>
              <w:jc w:val="center"/>
              <w:rPr>
                <w:rFonts w:ascii="仿宋" w:hAnsi="仿宋" w:eastAsia="仿宋"/>
                <w:color w:val="auto"/>
                <w:sz w:val="21"/>
                <w:szCs w:val="21"/>
                <w:highlight w:val="none"/>
                <w:lang w:val="zh-CN"/>
              </w:rPr>
            </w:pPr>
            <w:r>
              <w:rPr>
                <w:rFonts w:hint="eastAsia" w:ascii="仿宋" w:hAnsi="仿宋" w:eastAsia="仿宋" w:cs="仿宋"/>
                <w:b/>
                <w:bCs/>
                <w:color w:val="auto"/>
                <w:sz w:val="21"/>
                <w:szCs w:val="21"/>
                <w:highlight w:val="none"/>
              </w:rPr>
              <w:t>采购项目具体事项咨询</w:t>
            </w:r>
          </w:p>
        </w:tc>
        <w:tc>
          <w:tcPr>
            <w:tcW w:w="6084" w:type="dxa"/>
            <w:tcBorders>
              <w:tl2br w:val="nil"/>
              <w:tr2bl w:val="nil"/>
            </w:tcBorders>
            <w:vAlign w:val="center"/>
          </w:tcPr>
          <w:p w14:paraId="1B1EE52E">
            <w:pPr>
              <w:pStyle w:val="25"/>
              <w:spacing w:line="360" w:lineRule="auto"/>
              <w:jc w:val="both"/>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val="zh-CN"/>
              </w:rPr>
              <w:t>联系人：</w:t>
            </w:r>
            <w:r>
              <w:rPr>
                <w:rFonts w:hint="eastAsia" w:ascii="仿宋" w:hAnsi="仿宋" w:eastAsia="仿宋" w:cs="仿宋"/>
                <w:b/>
                <w:color w:val="auto"/>
                <w:sz w:val="21"/>
                <w:szCs w:val="21"/>
                <w:highlight w:val="none"/>
                <w:lang w:val="en-US" w:eastAsia="zh-CN"/>
              </w:rPr>
              <w:t>闫雪芳</w:t>
            </w:r>
          </w:p>
          <w:p w14:paraId="04F1745D">
            <w:pPr>
              <w:pStyle w:val="25"/>
              <w:snapToGrid w:val="0"/>
              <w:spacing w:line="360" w:lineRule="auto"/>
              <w:jc w:val="both"/>
              <w:rPr>
                <w:rFonts w:hint="default" w:ascii="仿宋" w:hAnsi="仿宋" w:eastAsia="仿宋"/>
                <w:color w:val="auto"/>
                <w:sz w:val="21"/>
                <w:szCs w:val="21"/>
                <w:highlight w:val="none"/>
                <w:lang w:val="en-US" w:eastAsia="zh-CN"/>
              </w:rPr>
            </w:pPr>
            <w:r>
              <w:rPr>
                <w:rFonts w:hint="eastAsia" w:ascii="仿宋" w:hAnsi="仿宋" w:eastAsia="仿宋" w:cs="仿宋"/>
                <w:b/>
                <w:color w:val="auto"/>
                <w:sz w:val="21"/>
                <w:szCs w:val="21"/>
                <w:highlight w:val="none"/>
                <w:lang w:val="zh-CN"/>
              </w:rPr>
              <w:t>联系电话：028-85259928、</w:t>
            </w:r>
            <w:r>
              <w:rPr>
                <w:rFonts w:hint="eastAsia" w:ascii="仿宋" w:hAnsi="仿宋" w:eastAsia="仿宋" w:cs="仿宋"/>
                <w:b/>
                <w:color w:val="auto"/>
                <w:sz w:val="21"/>
                <w:szCs w:val="21"/>
                <w:highlight w:val="none"/>
                <w:lang w:val="en-US" w:eastAsia="zh-CN"/>
              </w:rPr>
              <w:t>19938592949</w:t>
            </w:r>
          </w:p>
        </w:tc>
      </w:tr>
      <w:tr w14:paraId="706C3A57">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013" w:type="dxa"/>
            <w:tcBorders>
              <w:tl2br w:val="nil"/>
              <w:tr2bl w:val="nil"/>
            </w:tcBorders>
            <w:vAlign w:val="center"/>
          </w:tcPr>
          <w:p w14:paraId="4A7F8277">
            <w:pPr>
              <w:autoSpaceDE w:val="0"/>
              <w:autoSpaceDN w:val="0"/>
              <w:adjustRightInd w:val="0"/>
              <w:spacing w:line="360" w:lineRule="auto"/>
              <w:ind w:right="230"/>
              <w:jc w:val="center"/>
              <w:rPr>
                <w:rFonts w:ascii="仿宋" w:hAnsi="仿宋" w:eastAsia="仿宋" w:cs="Courier New"/>
                <w:color w:val="auto"/>
                <w:szCs w:val="21"/>
                <w:highlight w:val="none"/>
              </w:rPr>
            </w:pPr>
            <w:r>
              <w:rPr>
                <w:rFonts w:hint="eastAsia" w:ascii="仿宋" w:hAnsi="仿宋" w:eastAsia="仿宋" w:cs="Courier New"/>
                <w:color w:val="auto"/>
                <w:szCs w:val="21"/>
                <w:highlight w:val="none"/>
              </w:rPr>
              <w:t>11</w:t>
            </w:r>
          </w:p>
        </w:tc>
        <w:tc>
          <w:tcPr>
            <w:tcW w:w="2409" w:type="dxa"/>
            <w:tcBorders>
              <w:tl2br w:val="nil"/>
              <w:tr2bl w:val="nil"/>
            </w:tcBorders>
            <w:vAlign w:val="center"/>
          </w:tcPr>
          <w:p w14:paraId="5C123170">
            <w:pPr>
              <w:autoSpaceDE w:val="0"/>
              <w:autoSpaceDN w:val="0"/>
              <w:adjustRightInd w:val="0"/>
              <w:spacing w:line="360" w:lineRule="auto"/>
              <w:ind w:left="38"/>
              <w:jc w:val="center"/>
              <w:rPr>
                <w:rFonts w:ascii="仿宋" w:hAnsi="仿宋" w:eastAsia="仿宋" w:cs="宋体"/>
                <w:color w:val="auto"/>
                <w:szCs w:val="21"/>
                <w:highlight w:val="none"/>
                <w:lang w:val="zh-CN"/>
              </w:rPr>
            </w:pPr>
            <w:r>
              <w:rPr>
                <w:rFonts w:hint="eastAsia" w:ascii="仿宋" w:hAnsi="仿宋" w:eastAsia="仿宋" w:cs="宋体"/>
                <w:color w:val="auto"/>
                <w:szCs w:val="21"/>
                <w:highlight w:val="none"/>
                <w:lang w:val="zh-CN"/>
              </w:rPr>
              <w:t>成交通知书领取</w:t>
            </w:r>
          </w:p>
        </w:tc>
        <w:tc>
          <w:tcPr>
            <w:tcW w:w="6084" w:type="dxa"/>
            <w:tcBorders>
              <w:tl2br w:val="nil"/>
              <w:tr2bl w:val="nil"/>
            </w:tcBorders>
            <w:vAlign w:val="center"/>
          </w:tcPr>
          <w:p w14:paraId="70DD96E5">
            <w:pPr>
              <w:pStyle w:val="25"/>
              <w:spacing w:line="360" w:lineRule="auto"/>
              <w:rPr>
                <w:rFonts w:ascii="仿宋" w:hAnsi="仿宋" w:eastAsia="仿宋" w:cs="仿宋"/>
                <w:color w:val="auto"/>
                <w:sz w:val="21"/>
                <w:szCs w:val="21"/>
                <w:highlight w:val="none"/>
                <w:lang w:val="zh-CN"/>
              </w:rPr>
            </w:pPr>
            <w:bookmarkStart w:id="20" w:name="PO_默认文件内容_16"/>
            <w:r>
              <w:rPr>
                <w:rFonts w:hint="eastAsia" w:ascii="仿宋" w:hAnsi="仿宋" w:eastAsia="仿宋" w:cs="仿宋"/>
                <w:color w:val="auto"/>
                <w:sz w:val="21"/>
                <w:szCs w:val="21"/>
                <w:highlight w:val="none"/>
                <w:lang w:val="zh-CN"/>
              </w:rPr>
              <w:t>采购结果公告在</w:t>
            </w:r>
            <w:r>
              <w:rPr>
                <w:rFonts w:hint="eastAsia" w:ascii="仿宋" w:hAnsi="仿宋" w:eastAsia="仿宋" w:cs="仿宋"/>
                <w:color w:val="auto"/>
                <w:sz w:val="21"/>
                <w:szCs w:val="21"/>
                <w:highlight w:val="none"/>
              </w:rPr>
              <w:t>中国</w:t>
            </w:r>
            <w:r>
              <w:rPr>
                <w:rFonts w:hint="eastAsia" w:ascii="仿宋" w:hAnsi="仿宋" w:eastAsia="仿宋" w:cs="仿宋"/>
                <w:color w:val="auto"/>
                <w:sz w:val="21"/>
                <w:szCs w:val="21"/>
                <w:highlight w:val="none"/>
                <w:lang w:val="zh-CN"/>
              </w:rPr>
              <w:t>政府采购网上发布后，请成交供应商凭有效身份证明证件到采购代理机构领取成交通知书。</w:t>
            </w:r>
          </w:p>
          <w:p w14:paraId="17094C32">
            <w:pPr>
              <w:pStyle w:val="25"/>
              <w:spacing w:line="360" w:lineRule="auto"/>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联 系 人：</w:t>
            </w:r>
            <w:r>
              <w:rPr>
                <w:rFonts w:hint="eastAsia" w:ascii="仿宋" w:hAnsi="仿宋" w:eastAsia="仿宋" w:cs="仿宋"/>
                <w:color w:val="auto"/>
                <w:sz w:val="21"/>
                <w:szCs w:val="21"/>
                <w:highlight w:val="none"/>
                <w:lang w:val="en-US" w:eastAsia="zh-CN"/>
              </w:rPr>
              <w:t>闫</w:t>
            </w:r>
            <w:r>
              <w:rPr>
                <w:rFonts w:hint="eastAsia" w:ascii="仿宋" w:hAnsi="仿宋" w:eastAsia="仿宋" w:cs="仿宋"/>
                <w:color w:val="auto"/>
                <w:sz w:val="21"/>
                <w:szCs w:val="21"/>
                <w:highlight w:val="none"/>
                <w:lang w:val="zh-CN"/>
              </w:rPr>
              <w:t>女士</w:t>
            </w:r>
          </w:p>
          <w:p w14:paraId="72B037A6">
            <w:pPr>
              <w:pStyle w:val="25"/>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rPr>
              <w:t>联系电话：028-85259928、</w:t>
            </w:r>
            <w:r>
              <w:rPr>
                <w:rFonts w:hint="eastAsia" w:ascii="仿宋" w:hAnsi="仿宋" w:eastAsia="仿宋" w:cs="仿宋"/>
                <w:color w:val="auto"/>
                <w:sz w:val="21"/>
                <w:szCs w:val="21"/>
                <w:highlight w:val="none"/>
                <w:lang w:val="en-US" w:eastAsia="zh-CN"/>
              </w:rPr>
              <w:t>19938592949</w:t>
            </w:r>
          </w:p>
          <w:p w14:paraId="2C75A1A7">
            <w:pPr>
              <w:autoSpaceDE w:val="0"/>
              <w:autoSpaceDN w:val="0"/>
              <w:adjustRightInd w:val="0"/>
              <w:spacing w:line="360" w:lineRule="auto"/>
              <w:rPr>
                <w:rFonts w:ascii="仿宋" w:hAnsi="仿宋" w:eastAsia="仿宋" w:cs="宋体"/>
                <w:color w:val="auto"/>
                <w:szCs w:val="21"/>
                <w:highlight w:val="none"/>
                <w:lang w:val="zh-CN"/>
              </w:rPr>
            </w:pPr>
            <w:r>
              <w:rPr>
                <w:rFonts w:hint="eastAsia" w:ascii="仿宋" w:hAnsi="仿宋" w:eastAsia="仿宋" w:cs="仿宋"/>
                <w:color w:val="auto"/>
                <w:szCs w:val="21"/>
                <w:highlight w:val="none"/>
                <w:lang w:val="zh-CN"/>
              </w:rPr>
              <w:t>地址：中国（四川）自由贸易试验区成都高新区天府大道北段1700号新世纪环球中心S1区16楼1625号。</w:t>
            </w:r>
            <w:bookmarkEnd w:id="20"/>
          </w:p>
        </w:tc>
      </w:tr>
      <w:tr w14:paraId="3F5375F5">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013" w:type="dxa"/>
            <w:tcBorders>
              <w:tl2br w:val="nil"/>
              <w:tr2bl w:val="nil"/>
            </w:tcBorders>
            <w:vAlign w:val="center"/>
          </w:tcPr>
          <w:p w14:paraId="1E333AD2">
            <w:pPr>
              <w:autoSpaceDE w:val="0"/>
              <w:autoSpaceDN w:val="0"/>
              <w:adjustRightInd w:val="0"/>
              <w:spacing w:line="360" w:lineRule="auto"/>
              <w:ind w:right="230"/>
              <w:jc w:val="center"/>
              <w:rPr>
                <w:rFonts w:ascii="仿宋" w:hAnsi="仿宋" w:eastAsia="仿宋" w:cs="Courier New"/>
                <w:color w:val="auto"/>
                <w:szCs w:val="21"/>
                <w:highlight w:val="none"/>
              </w:rPr>
            </w:pPr>
            <w:r>
              <w:rPr>
                <w:rFonts w:hint="eastAsia" w:ascii="仿宋" w:hAnsi="仿宋" w:eastAsia="仿宋" w:cs="Courier New"/>
                <w:color w:val="auto"/>
                <w:szCs w:val="21"/>
                <w:highlight w:val="none"/>
              </w:rPr>
              <w:t>12</w:t>
            </w:r>
          </w:p>
        </w:tc>
        <w:tc>
          <w:tcPr>
            <w:tcW w:w="2409" w:type="dxa"/>
            <w:tcBorders>
              <w:tl2br w:val="nil"/>
              <w:tr2bl w:val="nil"/>
            </w:tcBorders>
            <w:vAlign w:val="center"/>
          </w:tcPr>
          <w:p w14:paraId="2C70B47C">
            <w:pPr>
              <w:adjustRightInd w:val="0"/>
              <w:snapToGrid w:val="0"/>
              <w:spacing w:line="360" w:lineRule="auto"/>
              <w:jc w:val="center"/>
              <w:rPr>
                <w:rFonts w:ascii="仿宋" w:hAnsi="仿宋" w:eastAsia="仿宋" w:cs="Courier New"/>
                <w:color w:val="auto"/>
                <w:szCs w:val="21"/>
                <w:highlight w:val="none"/>
                <w:lang w:val="zh-CN"/>
              </w:rPr>
            </w:pPr>
            <w:r>
              <w:rPr>
                <w:rFonts w:hint="eastAsia" w:ascii="仿宋" w:hAnsi="仿宋" w:eastAsia="仿宋" w:cs="仿宋"/>
                <w:color w:val="auto"/>
                <w:szCs w:val="21"/>
                <w:highlight w:val="none"/>
                <w:lang w:val="zh-CN"/>
              </w:rPr>
              <w:t>供应商</w:t>
            </w:r>
            <w:r>
              <w:rPr>
                <w:rFonts w:hint="eastAsia" w:ascii="仿宋" w:hAnsi="仿宋" w:eastAsia="仿宋" w:cs="仿宋"/>
                <w:color w:val="auto"/>
                <w:szCs w:val="21"/>
                <w:highlight w:val="none"/>
              </w:rPr>
              <w:t>异议</w:t>
            </w:r>
          </w:p>
        </w:tc>
        <w:tc>
          <w:tcPr>
            <w:tcW w:w="6084" w:type="dxa"/>
            <w:tcBorders>
              <w:tl2br w:val="nil"/>
              <w:tr2bl w:val="nil"/>
            </w:tcBorders>
            <w:vAlign w:val="center"/>
          </w:tcPr>
          <w:p w14:paraId="6A04733A">
            <w:pPr>
              <w:pStyle w:val="25"/>
              <w:snapToGrid w:val="0"/>
              <w:spacing w:line="360" w:lineRule="auto"/>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根据委托代理协议约定，供应商异议由采购代理机构负责答复。</w:t>
            </w:r>
          </w:p>
          <w:p w14:paraId="2BCDB030">
            <w:pPr>
              <w:pStyle w:val="25"/>
              <w:snapToGrid w:val="0"/>
              <w:spacing w:line="360" w:lineRule="auto"/>
              <w:rPr>
                <w:rFonts w:ascii="仿宋" w:hAnsi="仿宋" w:eastAsia="仿宋" w:cs="Courier New"/>
                <w:color w:val="auto"/>
                <w:sz w:val="21"/>
                <w:szCs w:val="21"/>
                <w:highlight w:val="none"/>
                <w:lang w:val="zh-CN"/>
              </w:rPr>
            </w:pPr>
            <w:r>
              <w:rPr>
                <w:rFonts w:hint="eastAsia" w:ascii="仿宋" w:hAnsi="仿宋" w:eastAsia="仿宋" w:cs="Courier New"/>
                <w:color w:val="auto"/>
                <w:sz w:val="21"/>
                <w:szCs w:val="21"/>
                <w:highlight w:val="none"/>
                <w:lang w:val="zh-CN"/>
              </w:rPr>
              <w:t>联 系 人：曾女士</w:t>
            </w:r>
          </w:p>
          <w:p w14:paraId="053C77AA">
            <w:pPr>
              <w:pStyle w:val="25"/>
              <w:snapToGrid w:val="0"/>
              <w:spacing w:line="360" w:lineRule="auto"/>
              <w:rPr>
                <w:rFonts w:ascii="仿宋" w:hAnsi="仿宋" w:eastAsia="仿宋" w:cs="Courier New"/>
                <w:color w:val="auto"/>
                <w:sz w:val="21"/>
                <w:szCs w:val="21"/>
                <w:highlight w:val="none"/>
                <w:lang w:val="zh-CN"/>
              </w:rPr>
            </w:pPr>
            <w:r>
              <w:rPr>
                <w:rFonts w:hint="eastAsia" w:ascii="仿宋" w:hAnsi="仿宋" w:eastAsia="仿宋" w:cs="Courier New"/>
                <w:color w:val="auto"/>
                <w:sz w:val="21"/>
                <w:szCs w:val="21"/>
                <w:highlight w:val="none"/>
                <w:lang w:val="zh-CN"/>
              </w:rPr>
              <w:t>联系电话：028-85259928、18080876747。</w:t>
            </w:r>
          </w:p>
          <w:p w14:paraId="171A011E">
            <w:pPr>
              <w:pStyle w:val="25"/>
              <w:snapToGrid w:val="0"/>
              <w:spacing w:line="360" w:lineRule="auto"/>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联系地址：中国（四川）自由贸易试验区成都高新区天府大道北段1700号新世纪环球中心S1区16楼16</w:t>
            </w:r>
            <w:r>
              <w:rPr>
                <w:rFonts w:hint="eastAsia" w:ascii="仿宋" w:hAnsi="仿宋" w:eastAsia="仿宋" w:cs="仿宋"/>
                <w:color w:val="auto"/>
                <w:sz w:val="21"/>
                <w:szCs w:val="21"/>
                <w:highlight w:val="none"/>
              </w:rPr>
              <w:t>32</w:t>
            </w:r>
            <w:r>
              <w:rPr>
                <w:rFonts w:hint="eastAsia" w:ascii="仿宋" w:hAnsi="仿宋" w:eastAsia="仿宋" w:cs="仿宋"/>
                <w:color w:val="auto"/>
                <w:sz w:val="21"/>
                <w:szCs w:val="21"/>
                <w:highlight w:val="none"/>
                <w:lang w:val="zh-CN"/>
              </w:rPr>
              <w:t>号。</w:t>
            </w:r>
          </w:p>
          <w:p w14:paraId="6170FDE9">
            <w:pPr>
              <w:adjustRightInd w:val="0"/>
              <w:snapToGrid w:val="0"/>
              <w:spacing w:line="360" w:lineRule="auto"/>
              <w:rPr>
                <w:rFonts w:ascii="仿宋" w:hAnsi="仿宋" w:eastAsia="仿宋" w:cs="Courier New"/>
                <w:color w:val="auto"/>
                <w:szCs w:val="21"/>
                <w:highlight w:val="none"/>
                <w:lang w:val="zh-CN"/>
              </w:rPr>
            </w:pPr>
            <w:r>
              <w:rPr>
                <w:rFonts w:hint="eastAsia" w:ascii="仿宋" w:hAnsi="仿宋" w:eastAsia="仿宋" w:cs="仿宋"/>
                <w:color w:val="auto"/>
                <w:szCs w:val="21"/>
                <w:highlight w:val="none"/>
                <w:lang w:val="zh-CN"/>
              </w:rPr>
              <w:t>注：供应商异议不得超出采购文件、采购过程、采购结果的范围， 供应商针对同一采购程序环节的异议应一次性提出。</w:t>
            </w:r>
          </w:p>
        </w:tc>
      </w:tr>
      <w:tr w14:paraId="4485B44D">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013" w:type="dxa"/>
            <w:tcBorders>
              <w:tl2br w:val="nil"/>
              <w:tr2bl w:val="nil"/>
            </w:tcBorders>
            <w:vAlign w:val="center"/>
          </w:tcPr>
          <w:p w14:paraId="52C01CDB">
            <w:pPr>
              <w:pStyle w:val="25"/>
              <w:snapToGrid w:val="0"/>
              <w:spacing w:line="360" w:lineRule="auto"/>
              <w:ind w:right="230"/>
              <w:jc w:val="center"/>
              <w:rPr>
                <w:rFonts w:ascii="仿宋" w:hAnsi="仿宋" w:eastAsia="仿宋" w:cs="Courier New"/>
                <w:color w:val="auto"/>
                <w:sz w:val="21"/>
                <w:szCs w:val="21"/>
                <w:highlight w:val="none"/>
              </w:rPr>
            </w:pPr>
            <w:r>
              <w:rPr>
                <w:rFonts w:hint="eastAsia" w:ascii="仿宋" w:hAnsi="仿宋" w:eastAsia="仿宋" w:cs="仿宋"/>
                <w:color w:val="auto"/>
                <w:sz w:val="21"/>
                <w:szCs w:val="21"/>
                <w:highlight w:val="none"/>
                <w:lang w:val="zh-CN"/>
              </w:rPr>
              <w:t>1</w:t>
            </w:r>
            <w:r>
              <w:rPr>
                <w:rFonts w:hint="eastAsia" w:ascii="仿宋" w:hAnsi="仿宋" w:eastAsia="仿宋" w:cs="仿宋"/>
                <w:color w:val="auto"/>
                <w:sz w:val="21"/>
                <w:szCs w:val="21"/>
                <w:highlight w:val="none"/>
              </w:rPr>
              <w:t>3</w:t>
            </w:r>
          </w:p>
        </w:tc>
        <w:tc>
          <w:tcPr>
            <w:tcW w:w="2409" w:type="dxa"/>
            <w:tcBorders>
              <w:tl2br w:val="nil"/>
              <w:tr2bl w:val="nil"/>
            </w:tcBorders>
            <w:vAlign w:val="center"/>
          </w:tcPr>
          <w:p w14:paraId="08963072">
            <w:pPr>
              <w:pStyle w:val="25"/>
              <w:snapToGrid w:val="0"/>
              <w:spacing w:before="120" w:beforeLines="50" w:line="360" w:lineRule="auto"/>
              <w:ind w:left="96"/>
              <w:jc w:val="center"/>
              <w:rPr>
                <w:rFonts w:ascii="仿宋" w:hAnsi="仿宋" w:eastAsia="仿宋" w:cs="Courier New"/>
                <w:color w:val="auto"/>
                <w:sz w:val="21"/>
                <w:szCs w:val="21"/>
                <w:highlight w:val="none"/>
                <w:lang w:val="zh-CN"/>
              </w:rPr>
            </w:pPr>
            <w:r>
              <w:rPr>
                <w:rFonts w:hint="eastAsia" w:ascii="仿宋" w:hAnsi="仿宋" w:eastAsia="仿宋" w:cs="仿宋"/>
                <w:color w:val="auto"/>
                <w:sz w:val="21"/>
                <w:szCs w:val="21"/>
                <w:highlight w:val="none"/>
                <w:lang w:val="zh-CN"/>
              </w:rPr>
              <w:t>成交服务费</w:t>
            </w:r>
          </w:p>
        </w:tc>
        <w:tc>
          <w:tcPr>
            <w:tcW w:w="6084" w:type="dxa"/>
            <w:tcBorders>
              <w:tl2br w:val="nil"/>
              <w:tr2bl w:val="nil"/>
            </w:tcBorders>
            <w:vAlign w:val="center"/>
          </w:tcPr>
          <w:p w14:paraId="389BCB46">
            <w:pPr>
              <w:pStyle w:val="25"/>
              <w:snapToGrid w:val="0"/>
              <w:spacing w:line="267" w:lineRule="auto"/>
              <w:rPr>
                <w:rFonts w:ascii="仿宋" w:hAnsi="仿宋" w:eastAsia="仿宋" w:cs="仿宋"/>
                <w:b/>
                <w:bCs/>
                <w:color w:val="auto"/>
                <w:kern w:val="2"/>
                <w:sz w:val="21"/>
                <w:szCs w:val="21"/>
                <w:highlight w:val="none"/>
              </w:rPr>
            </w:pPr>
            <w:r>
              <w:rPr>
                <w:rFonts w:hint="eastAsia" w:ascii="仿宋" w:hAnsi="仿宋" w:eastAsia="仿宋" w:cs="仿宋"/>
                <w:b/>
                <w:bCs/>
                <w:color w:val="auto"/>
                <w:kern w:val="2"/>
                <w:sz w:val="21"/>
                <w:szCs w:val="21"/>
                <w:highlight w:val="none"/>
              </w:rPr>
              <w:t>1、本项目成交服务费按成本加合理利润的原则：</w:t>
            </w:r>
          </w:p>
          <w:p w14:paraId="146BC161">
            <w:pPr>
              <w:pStyle w:val="25"/>
              <w:snapToGrid w:val="0"/>
              <w:spacing w:line="267" w:lineRule="auto"/>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sym w:font="Wingdings 2" w:char="0052"/>
            </w:r>
            <w:r>
              <w:rPr>
                <w:rFonts w:hint="eastAsia" w:ascii="仿宋" w:hAnsi="仿宋" w:eastAsia="仿宋" w:cs="仿宋"/>
                <w:color w:val="auto"/>
                <w:kern w:val="2"/>
                <w:sz w:val="21"/>
                <w:szCs w:val="21"/>
                <w:highlight w:val="none"/>
              </w:rPr>
              <w:t>以成交金额作为计算基数，按照以下收费标准</w:t>
            </w:r>
            <w:r>
              <w:rPr>
                <w:rFonts w:hint="eastAsia" w:ascii="仿宋" w:hAnsi="仿宋" w:eastAsia="仿宋" w:cs="仿宋"/>
                <w:color w:val="auto"/>
                <w:kern w:val="2"/>
                <w:sz w:val="21"/>
                <w:szCs w:val="21"/>
                <w:highlight w:val="none"/>
                <w:lang w:eastAsia="zh-Hans"/>
              </w:rPr>
              <w:t>下浮20%</w:t>
            </w:r>
            <w:r>
              <w:rPr>
                <w:rFonts w:hint="eastAsia" w:ascii="仿宋" w:hAnsi="仿宋" w:eastAsia="仿宋" w:cs="仿宋"/>
                <w:color w:val="auto"/>
                <w:kern w:val="2"/>
                <w:sz w:val="21"/>
                <w:szCs w:val="21"/>
                <w:highlight w:val="none"/>
              </w:rPr>
              <w:t>计算进行收取。</w:t>
            </w:r>
          </w:p>
          <w:p w14:paraId="01223D89">
            <w:pPr>
              <w:pStyle w:val="25"/>
              <w:snapToGrid w:val="0"/>
              <w:spacing w:line="267" w:lineRule="auto"/>
              <w:jc w:val="both"/>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收费标准</w:t>
            </w:r>
            <w:r>
              <w:rPr>
                <w:rFonts w:hint="eastAsia" w:ascii="仿宋" w:hAnsi="仿宋" w:eastAsia="仿宋" w:cs="仿宋"/>
                <w:color w:val="auto"/>
                <w:kern w:val="2"/>
                <w:sz w:val="21"/>
                <w:szCs w:val="21"/>
                <w:highlight w:val="none"/>
                <w:lang w:val="zh-CN"/>
              </w:rPr>
              <w:t>（</w:t>
            </w:r>
            <w:r>
              <w:rPr>
                <w:rFonts w:hint="eastAsia" w:ascii="仿宋" w:hAnsi="仿宋" w:eastAsia="仿宋" w:cs="仿宋"/>
                <w:color w:val="auto"/>
                <w:kern w:val="2"/>
                <w:sz w:val="21"/>
                <w:szCs w:val="21"/>
                <w:highlight w:val="none"/>
              </w:rPr>
              <w:t>费率）：</w:t>
            </w:r>
          </w:p>
          <w:p w14:paraId="036FBF87">
            <w:pPr>
              <w:pStyle w:val="25"/>
              <w:snapToGrid w:val="0"/>
              <w:spacing w:line="267" w:lineRule="auto"/>
              <w:jc w:val="both"/>
              <w:rPr>
                <w:rFonts w:ascii="仿宋" w:hAnsi="仿宋" w:eastAsia="仿宋" w:cs="仿宋"/>
                <w:color w:val="auto"/>
                <w:kern w:val="2"/>
                <w:sz w:val="21"/>
                <w:szCs w:val="21"/>
                <w:highlight w:val="none"/>
                <w:lang w:val="zh-CN"/>
              </w:rPr>
            </w:pPr>
            <w:r>
              <w:rPr>
                <w:rFonts w:hint="eastAsia" w:ascii="仿宋" w:hAnsi="仿宋" w:eastAsia="仿宋" w:cs="仿宋"/>
                <w:color w:val="auto"/>
                <w:highlight w:val="none"/>
              </w:rPr>
              <w:drawing>
                <wp:inline distT="0" distB="0" distL="114300" distR="114300">
                  <wp:extent cx="3780155" cy="1959610"/>
                  <wp:effectExtent l="0" t="0" r="444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3780155" cy="1959610"/>
                          </a:xfrm>
                          <a:prstGeom prst="rect">
                            <a:avLst/>
                          </a:prstGeom>
                          <a:noFill/>
                          <a:ln>
                            <a:noFill/>
                          </a:ln>
                        </pic:spPr>
                      </pic:pic>
                    </a:graphicData>
                  </a:graphic>
                </wp:inline>
              </w:drawing>
            </w:r>
          </w:p>
          <w:p w14:paraId="5EF544DF">
            <w:pPr>
              <w:adjustRightInd w:val="0"/>
              <w:snapToGrid w:val="0"/>
              <w:spacing w:line="267"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注： ①按本表费率计算的收费为</w:t>
            </w:r>
            <w:r>
              <w:rPr>
                <w:rFonts w:hint="eastAsia" w:ascii="仿宋" w:hAnsi="仿宋" w:eastAsia="仿宋" w:cs="仿宋"/>
                <w:color w:val="auto"/>
                <w:szCs w:val="21"/>
                <w:highlight w:val="none"/>
              </w:rPr>
              <w:t>采购</w:t>
            </w:r>
            <w:r>
              <w:rPr>
                <w:rFonts w:hint="eastAsia" w:ascii="仿宋" w:hAnsi="仿宋" w:eastAsia="仿宋" w:cs="仿宋"/>
                <w:color w:val="auto"/>
                <w:szCs w:val="21"/>
                <w:highlight w:val="none"/>
                <w:lang w:val="zh-CN"/>
              </w:rPr>
              <w:t>代理服务全过程的收费基准价格。②</w:t>
            </w:r>
            <w:r>
              <w:rPr>
                <w:rFonts w:hint="eastAsia" w:ascii="仿宋" w:hAnsi="仿宋" w:eastAsia="仿宋" w:cs="仿宋"/>
                <w:color w:val="auto"/>
                <w:szCs w:val="21"/>
                <w:highlight w:val="none"/>
              </w:rPr>
              <w:t>采购</w:t>
            </w:r>
            <w:r>
              <w:rPr>
                <w:rFonts w:hint="eastAsia" w:ascii="仿宋" w:hAnsi="仿宋" w:eastAsia="仿宋" w:cs="仿宋"/>
                <w:color w:val="auto"/>
                <w:szCs w:val="21"/>
                <w:highlight w:val="none"/>
                <w:lang w:val="zh-CN"/>
              </w:rPr>
              <w:t>代理服务收费按差额定率累进法计算。</w:t>
            </w:r>
          </w:p>
          <w:p w14:paraId="53E52006">
            <w:pPr>
              <w:adjustRightInd w:val="0"/>
              <w:snapToGrid w:val="0"/>
              <w:spacing w:line="267"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pacing w:val="-6"/>
                <w:szCs w:val="21"/>
                <w:highlight w:val="none"/>
                <w:lang w:val="zh-CN"/>
              </w:rPr>
              <w:t>例如：某工程</w:t>
            </w:r>
            <w:r>
              <w:rPr>
                <w:rFonts w:hint="eastAsia" w:ascii="仿宋" w:hAnsi="仿宋" w:eastAsia="仿宋" w:cs="仿宋"/>
                <w:color w:val="auto"/>
                <w:spacing w:val="-6"/>
                <w:szCs w:val="21"/>
                <w:highlight w:val="none"/>
              </w:rPr>
              <w:t>采购</w:t>
            </w:r>
            <w:r>
              <w:rPr>
                <w:rFonts w:hint="eastAsia" w:ascii="仿宋" w:hAnsi="仿宋" w:eastAsia="仿宋" w:cs="仿宋"/>
                <w:color w:val="auto"/>
                <w:spacing w:val="-6"/>
                <w:szCs w:val="21"/>
                <w:highlight w:val="none"/>
                <w:lang w:val="zh-CN"/>
              </w:rPr>
              <w:t>项目</w:t>
            </w:r>
            <w:r>
              <w:rPr>
                <w:rFonts w:hint="eastAsia" w:ascii="仿宋" w:hAnsi="仿宋" w:eastAsia="仿宋" w:cs="仿宋"/>
                <w:color w:val="auto"/>
                <w:spacing w:val="-6"/>
                <w:szCs w:val="21"/>
                <w:highlight w:val="none"/>
              </w:rPr>
              <w:t>成交</w:t>
            </w:r>
            <w:r>
              <w:rPr>
                <w:rFonts w:hint="eastAsia" w:ascii="仿宋" w:hAnsi="仿宋" w:eastAsia="仿宋" w:cs="仿宋"/>
                <w:color w:val="auto"/>
                <w:spacing w:val="-6"/>
                <w:szCs w:val="21"/>
                <w:highlight w:val="none"/>
                <w:lang w:val="zh-CN"/>
              </w:rPr>
              <w:t>金额为6000万元，计算</w:t>
            </w:r>
            <w:r>
              <w:rPr>
                <w:rFonts w:hint="eastAsia" w:ascii="仿宋" w:hAnsi="仿宋" w:eastAsia="仿宋" w:cs="仿宋"/>
                <w:color w:val="auto"/>
                <w:spacing w:val="-6"/>
                <w:szCs w:val="21"/>
                <w:highlight w:val="none"/>
              </w:rPr>
              <w:t>成交</w:t>
            </w:r>
            <w:r>
              <w:rPr>
                <w:rFonts w:hint="eastAsia" w:ascii="仿宋" w:hAnsi="仿宋" w:eastAsia="仿宋" w:cs="仿宋"/>
                <w:color w:val="auto"/>
                <w:spacing w:val="-6"/>
                <w:szCs w:val="21"/>
                <w:highlight w:val="none"/>
                <w:lang w:val="zh-CN"/>
              </w:rPr>
              <w:t>服务费如下：</w:t>
            </w:r>
            <w:r>
              <w:rPr>
                <w:rFonts w:hint="eastAsia" w:ascii="仿宋" w:hAnsi="仿宋" w:eastAsia="仿宋" w:cs="仿宋"/>
                <w:color w:val="auto"/>
                <w:szCs w:val="21"/>
                <w:highlight w:val="none"/>
                <w:lang w:val="zh-CN"/>
              </w:rPr>
              <w:t xml:space="preserve"> </w:t>
            </w:r>
          </w:p>
          <w:p w14:paraId="698142C9">
            <w:pPr>
              <w:adjustRightInd w:val="0"/>
              <w:snapToGrid w:val="0"/>
              <w:spacing w:line="267"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100万元×1.0%=1万元</w:t>
            </w:r>
          </w:p>
          <w:p w14:paraId="05A42B54">
            <w:pPr>
              <w:adjustRightInd w:val="0"/>
              <w:snapToGrid w:val="0"/>
              <w:spacing w:line="267"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(500－100)万元×0.7%=2.8万元</w:t>
            </w:r>
          </w:p>
          <w:p w14:paraId="021C73EA">
            <w:pPr>
              <w:adjustRightInd w:val="0"/>
              <w:snapToGrid w:val="0"/>
              <w:spacing w:line="267"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(1000－500)万元×0.55%=2.75万元</w:t>
            </w:r>
          </w:p>
          <w:p w14:paraId="7BB382F4">
            <w:pPr>
              <w:adjustRightInd w:val="0"/>
              <w:snapToGrid w:val="0"/>
              <w:spacing w:line="267"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(5000－1000)万元×0.35%=14万元</w:t>
            </w:r>
          </w:p>
          <w:p w14:paraId="790271DD">
            <w:pPr>
              <w:adjustRightInd w:val="0"/>
              <w:snapToGrid w:val="0"/>
              <w:spacing w:line="267"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(6000－5000)万元 ×0.2%=2万元</w:t>
            </w:r>
          </w:p>
          <w:p w14:paraId="4557FB89">
            <w:pPr>
              <w:pStyle w:val="25"/>
              <w:snapToGrid w:val="0"/>
              <w:spacing w:line="267" w:lineRule="auto"/>
              <w:rPr>
                <w:rFonts w:ascii="仿宋" w:hAnsi="仿宋" w:eastAsia="仿宋" w:cs="仿宋"/>
                <w:color w:val="auto"/>
                <w:kern w:val="2"/>
                <w:sz w:val="21"/>
                <w:szCs w:val="21"/>
                <w:highlight w:val="none"/>
                <w:lang w:val="zh-CN"/>
              </w:rPr>
            </w:pPr>
            <w:r>
              <w:rPr>
                <w:rFonts w:hint="eastAsia" w:ascii="仿宋" w:hAnsi="仿宋" w:eastAsia="仿宋" w:cs="仿宋"/>
                <w:color w:val="auto"/>
                <w:kern w:val="2"/>
                <w:sz w:val="21"/>
                <w:szCs w:val="21"/>
                <w:highlight w:val="none"/>
                <w:lang w:val="zh-CN"/>
              </w:rPr>
              <w:t>合计收费=1＋2.8+2.75+14+2=22.55万元</w:t>
            </w:r>
          </w:p>
          <w:p w14:paraId="2BAC2AC3">
            <w:pPr>
              <w:pStyle w:val="25"/>
              <w:snapToGrid w:val="0"/>
              <w:spacing w:line="267" w:lineRule="auto"/>
              <w:rPr>
                <w:rFonts w:ascii="仿宋" w:hAnsi="仿宋" w:eastAsia="仿宋" w:cs="仿宋"/>
                <w:b/>
                <w:bCs/>
                <w:color w:val="auto"/>
                <w:kern w:val="2"/>
                <w:sz w:val="21"/>
                <w:szCs w:val="21"/>
                <w:highlight w:val="none"/>
              </w:rPr>
            </w:pPr>
            <w:r>
              <w:rPr>
                <w:rFonts w:hint="eastAsia" w:ascii="仿宋" w:hAnsi="仿宋" w:eastAsia="仿宋" w:cs="仿宋"/>
                <w:b/>
                <w:bCs/>
                <w:color w:val="auto"/>
                <w:kern w:val="2"/>
                <w:sz w:val="21"/>
                <w:szCs w:val="21"/>
                <w:highlight w:val="none"/>
              </w:rPr>
              <w:t>2、成交人</w:t>
            </w:r>
            <w:r>
              <w:rPr>
                <w:rFonts w:hint="eastAsia" w:ascii="仿宋" w:hAnsi="仿宋" w:eastAsia="仿宋" w:cs="仿宋"/>
                <w:b/>
                <w:bCs/>
                <w:color w:val="auto"/>
                <w:kern w:val="2"/>
                <w:sz w:val="21"/>
                <w:szCs w:val="21"/>
                <w:highlight w:val="none"/>
                <w:lang w:val="zh-CN"/>
              </w:rPr>
              <w:t>在领取</w:t>
            </w:r>
            <w:r>
              <w:rPr>
                <w:rFonts w:hint="eastAsia" w:ascii="仿宋" w:hAnsi="仿宋" w:eastAsia="仿宋" w:cs="仿宋"/>
                <w:b/>
                <w:bCs/>
                <w:color w:val="auto"/>
                <w:kern w:val="2"/>
                <w:sz w:val="21"/>
                <w:szCs w:val="21"/>
                <w:highlight w:val="none"/>
              </w:rPr>
              <w:t>成交</w:t>
            </w:r>
            <w:r>
              <w:rPr>
                <w:rFonts w:hint="eastAsia" w:ascii="仿宋" w:hAnsi="仿宋" w:eastAsia="仿宋" w:cs="仿宋"/>
                <w:b/>
                <w:bCs/>
                <w:color w:val="auto"/>
                <w:kern w:val="2"/>
                <w:sz w:val="21"/>
                <w:szCs w:val="21"/>
                <w:highlight w:val="none"/>
                <w:lang w:val="zh-CN"/>
              </w:rPr>
              <w:t>通知书前向</w:t>
            </w:r>
            <w:r>
              <w:rPr>
                <w:rFonts w:hint="eastAsia" w:ascii="仿宋" w:hAnsi="仿宋" w:eastAsia="仿宋" w:cs="仿宋"/>
                <w:b/>
                <w:bCs/>
                <w:color w:val="auto"/>
                <w:kern w:val="2"/>
                <w:sz w:val="21"/>
                <w:szCs w:val="21"/>
                <w:highlight w:val="none"/>
              </w:rPr>
              <w:t>采购</w:t>
            </w:r>
            <w:r>
              <w:rPr>
                <w:rFonts w:hint="eastAsia" w:ascii="仿宋" w:hAnsi="仿宋" w:eastAsia="仿宋" w:cs="仿宋"/>
                <w:b/>
                <w:bCs/>
                <w:color w:val="auto"/>
                <w:kern w:val="2"/>
                <w:sz w:val="21"/>
                <w:szCs w:val="21"/>
                <w:highlight w:val="none"/>
                <w:lang w:val="zh-CN"/>
              </w:rPr>
              <w:t>代理机构交纳。</w:t>
            </w:r>
          </w:p>
          <w:p w14:paraId="122BB77E">
            <w:pPr>
              <w:pStyle w:val="25"/>
              <w:snapToGrid w:val="0"/>
              <w:spacing w:line="267" w:lineRule="auto"/>
              <w:rPr>
                <w:rFonts w:ascii="仿宋" w:hAnsi="仿宋" w:eastAsia="仿宋" w:cs="仿宋"/>
                <w:color w:val="auto"/>
                <w:kern w:val="2"/>
                <w:sz w:val="21"/>
                <w:szCs w:val="21"/>
                <w:highlight w:val="none"/>
                <w:lang w:val="zh-CN"/>
              </w:rPr>
            </w:pPr>
            <w:r>
              <w:rPr>
                <w:rFonts w:hint="eastAsia" w:ascii="仿宋" w:hAnsi="仿宋" w:eastAsia="仿宋" w:cs="仿宋"/>
                <w:b/>
                <w:bCs/>
                <w:color w:val="auto"/>
                <w:kern w:val="2"/>
                <w:sz w:val="21"/>
                <w:szCs w:val="21"/>
                <w:highlight w:val="none"/>
              </w:rPr>
              <w:t>3、</w:t>
            </w:r>
            <w:r>
              <w:rPr>
                <w:rFonts w:hint="eastAsia" w:ascii="仿宋" w:hAnsi="仿宋" w:eastAsia="仿宋" w:cs="仿宋"/>
                <w:b/>
                <w:bCs/>
                <w:color w:val="auto"/>
                <w:kern w:val="2"/>
                <w:sz w:val="21"/>
                <w:szCs w:val="21"/>
                <w:highlight w:val="none"/>
                <w:lang w:val="zh-CN"/>
              </w:rPr>
              <w:t>服务费交纳账户：</w:t>
            </w:r>
          </w:p>
          <w:p w14:paraId="6E1256EA">
            <w:pPr>
              <w:pStyle w:val="25"/>
              <w:snapToGrid w:val="0"/>
              <w:spacing w:line="267" w:lineRule="auto"/>
              <w:rPr>
                <w:rFonts w:ascii="仿宋" w:hAnsi="仿宋" w:eastAsia="仿宋" w:cs="仿宋"/>
                <w:b/>
                <w:bCs/>
                <w:color w:val="auto"/>
                <w:kern w:val="2"/>
                <w:sz w:val="21"/>
                <w:szCs w:val="21"/>
                <w:highlight w:val="none"/>
                <w:lang w:val="zh-CN"/>
              </w:rPr>
            </w:pPr>
            <w:r>
              <w:rPr>
                <w:rFonts w:hint="eastAsia" w:ascii="仿宋" w:hAnsi="仿宋" w:eastAsia="仿宋" w:cs="仿宋"/>
                <w:b/>
                <w:bCs/>
                <w:color w:val="auto"/>
                <w:kern w:val="2"/>
                <w:sz w:val="21"/>
                <w:szCs w:val="21"/>
                <w:highlight w:val="none"/>
                <w:lang w:val="zh-CN"/>
              </w:rPr>
              <w:t>收款单位：四川成与诚招标代理有限公司</w:t>
            </w:r>
          </w:p>
          <w:p w14:paraId="14A82018">
            <w:pPr>
              <w:pStyle w:val="25"/>
              <w:snapToGrid w:val="0"/>
              <w:spacing w:line="360" w:lineRule="auto"/>
              <w:jc w:val="both"/>
              <w:rPr>
                <w:rFonts w:ascii="仿宋" w:hAnsi="仿宋" w:eastAsia="仿宋" w:cs="仿宋"/>
                <w:b/>
                <w:bCs/>
                <w:color w:val="auto"/>
                <w:kern w:val="2"/>
                <w:sz w:val="21"/>
                <w:szCs w:val="21"/>
                <w:highlight w:val="none"/>
                <w:lang w:val="zh-CN"/>
              </w:rPr>
            </w:pPr>
            <w:r>
              <w:rPr>
                <w:rFonts w:hint="eastAsia" w:ascii="仿宋" w:hAnsi="仿宋" w:eastAsia="仿宋" w:cs="仿宋"/>
                <w:b/>
                <w:bCs/>
                <w:color w:val="auto"/>
                <w:kern w:val="2"/>
                <w:sz w:val="21"/>
                <w:szCs w:val="21"/>
                <w:highlight w:val="none"/>
                <w:lang w:val="zh-CN"/>
              </w:rPr>
              <w:t>开 户 行：成都银行交子大道支行</w:t>
            </w:r>
          </w:p>
          <w:p w14:paraId="5B89E5FE">
            <w:pPr>
              <w:pStyle w:val="25"/>
              <w:snapToGrid w:val="0"/>
              <w:spacing w:line="360" w:lineRule="auto"/>
              <w:jc w:val="both"/>
              <w:rPr>
                <w:rFonts w:ascii="仿宋" w:hAnsi="仿宋" w:eastAsia="仿宋" w:cs="仿宋"/>
                <w:b/>
                <w:bCs/>
                <w:color w:val="auto"/>
                <w:kern w:val="2"/>
                <w:sz w:val="21"/>
                <w:szCs w:val="21"/>
                <w:highlight w:val="none"/>
                <w:lang w:val="zh-CN"/>
              </w:rPr>
            </w:pPr>
            <w:r>
              <w:rPr>
                <w:rFonts w:hint="eastAsia" w:ascii="仿宋" w:hAnsi="仿宋" w:eastAsia="仿宋" w:cs="仿宋"/>
                <w:b/>
                <w:bCs/>
                <w:color w:val="auto"/>
                <w:kern w:val="2"/>
                <w:sz w:val="21"/>
                <w:szCs w:val="21"/>
                <w:highlight w:val="none"/>
                <w:lang w:val="zh-CN"/>
              </w:rPr>
              <w:t>银行账号：100130000107</w:t>
            </w:r>
            <w:r>
              <w:rPr>
                <w:rFonts w:hint="eastAsia" w:ascii="仿宋" w:hAnsi="仿宋" w:eastAsia="仿宋" w:cs="仿宋"/>
                <w:b/>
                <w:bCs/>
                <w:color w:val="auto"/>
                <w:kern w:val="2"/>
                <w:sz w:val="21"/>
                <w:szCs w:val="21"/>
                <w:highlight w:val="none"/>
              </w:rPr>
              <w:t>98</w:t>
            </w:r>
            <w:r>
              <w:rPr>
                <w:rFonts w:hint="eastAsia" w:ascii="仿宋" w:hAnsi="仿宋" w:eastAsia="仿宋" w:cs="仿宋"/>
                <w:b/>
                <w:bCs/>
                <w:color w:val="auto"/>
                <w:kern w:val="2"/>
                <w:sz w:val="21"/>
                <w:szCs w:val="21"/>
                <w:highlight w:val="none"/>
                <w:lang w:val="zh-CN"/>
              </w:rPr>
              <w:t>75</w:t>
            </w:r>
          </w:p>
          <w:p w14:paraId="6E16D857">
            <w:pPr>
              <w:pStyle w:val="25"/>
              <w:snapToGrid w:val="0"/>
              <w:spacing w:line="360" w:lineRule="auto"/>
              <w:jc w:val="both"/>
              <w:rPr>
                <w:rFonts w:ascii="仿宋" w:hAnsi="仿宋" w:eastAsia="仿宋" w:cs="Courier New"/>
                <w:color w:val="auto"/>
                <w:sz w:val="21"/>
                <w:szCs w:val="21"/>
                <w:highlight w:val="none"/>
              </w:rPr>
            </w:pPr>
            <w:r>
              <w:rPr>
                <w:rFonts w:hint="eastAsia" w:ascii="仿宋" w:hAnsi="仿宋" w:eastAsia="仿宋" w:cs="仿宋"/>
                <w:b/>
                <w:bCs/>
                <w:color w:val="auto"/>
                <w:kern w:val="2"/>
                <w:sz w:val="21"/>
                <w:szCs w:val="21"/>
                <w:highlight w:val="none"/>
                <w:lang w:val="zh-CN"/>
              </w:rPr>
              <w:t>开户行行号：313651014024</w:t>
            </w:r>
          </w:p>
        </w:tc>
      </w:tr>
      <w:tr w14:paraId="203862D4">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013" w:type="dxa"/>
            <w:tcBorders>
              <w:tl2br w:val="nil"/>
              <w:tr2bl w:val="nil"/>
            </w:tcBorders>
            <w:vAlign w:val="center"/>
          </w:tcPr>
          <w:p w14:paraId="14CAEFC0">
            <w:pPr>
              <w:pStyle w:val="25"/>
              <w:ind w:right="230"/>
              <w:jc w:val="center"/>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14</w:t>
            </w:r>
          </w:p>
        </w:tc>
        <w:tc>
          <w:tcPr>
            <w:tcW w:w="2409" w:type="dxa"/>
            <w:tcBorders>
              <w:tl2br w:val="nil"/>
              <w:tr2bl w:val="nil"/>
            </w:tcBorders>
            <w:vAlign w:val="center"/>
          </w:tcPr>
          <w:p w14:paraId="4465FC31">
            <w:pPr>
              <w:pStyle w:val="25"/>
              <w:ind w:left="96"/>
              <w:jc w:val="center"/>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联合体（实质性要求）</w:t>
            </w:r>
          </w:p>
        </w:tc>
        <w:tc>
          <w:tcPr>
            <w:tcW w:w="6084" w:type="dxa"/>
            <w:tcBorders>
              <w:tl2br w:val="nil"/>
              <w:tr2bl w:val="nil"/>
            </w:tcBorders>
            <w:vAlign w:val="center"/>
          </w:tcPr>
          <w:p w14:paraId="33A38618">
            <w:pPr>
              <w:pStyle w:val="25"/>
              <w:rPr>
                <w:rFonts w:ascii="仿宋" w:hAnsi="仿宋" w:eastAsia="仿宋" w:cs="仿宋"/>
                <w:b/>
                <w:bCs/>
                <w:color w:val="auto"/>
                <w:kern w:val="2"/>
                <w:sz w:val="21"/>
                <w:szCs w:val="21"/>
                <w:highlight w:val="none"/>
                <w:lang w:val="zh-CN"/>
              </w:rPr>
            </w:pPr>
            <w:r>
              <w:rPr>
                <w:rFonts w:hint="eastAsia" w:ascii="仿宋" w:hAnsi="仿宋" w:eastAsia="仿宋" w:cs="仿宋"/>
                <w:b/>
                <w:color w:val="auto"/>
                <w:kern w:val="2"/>
                <w:highlight w:val="none"/>
              </w:rPr>
              <w:t>☑</w:t>
            </w:r>
            <w:r>
              <w:rPr>
                <w:rFonts w:hint="eastAsia" w:ascii="仿宋" w:hAnsi="仿宋" w:eastAsia="仿宋" w:cs="仿宋"/>
                <w:b/>
                <w:color w:val="auto"/>
                <w:sz w:val="21"/>
                <w:szCs w:val="21"/>
                <w:highlight w:val="none"/>
                <w:lang w:val="zh-CN"/>
              </w:rPr>
              <w:t xml:space="preserve">本项目不允许联合体参加    </w:t>
            </w:r>
          </w:p>
        </w:tc>
      </w:tr>
      <w:tr w14:paraId="5C837734">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013" w:type="dxa"/>
            <w:tcBorders>
              <w:tl2br w:val="nil"/>
              <w:tr2bl w:val="nil"/>
            </w:tcBorders>
            <w:vAlign w:val="center"/>
          </w:tcPr>
          <w:p w14:paraId="1959AA7A">
            <w:pPr>
              <w:autoSpaceDE w:val="0"/>
              <w:autoSpaceDN w:val="0"/>
              <w:adjustRightInd w:val="0"/>
              <w:spacing w:line="360" w:lineRule="auto"/>
              <w:ind w:right="230"/>
              <w:jc w:val="center"/>
              <w:rPr>
                <w:rFonts w:ascii="仿宋" w:hAnsi="仿宋" w:eastAsia="仿宋" w:cs="仿宋"/>
                <w:color w:val="auto"/>
                <w:szCs w:val="21"/>
                <w:highlight w:val="none"/>
              </w:rPr>
            </w:pPr>
            <w:r>
              <w:rPr>
                <w:rFonts w:hint="eastAsia" w:ascii="仿宋" w:hAnsi="仿宋" w:eastAsia="仿宋" w:cs="Courier New"/>
                <w:color w:val="auto"/>
                <w:szCs w:val="21"/>
                <w:highlight w:val="none"/>
              </w:rPr>
              <w:t>15</w:t>
            </w:r>
          </w:p>
        </w:tc>
        <w:tc>
          <w:tcPr>
            <w:tcW w:w="2409" w:type="dxa"/>
            <w:tcBorders>
              <w:tl2br w:val="nil"/>
              <w:tr2bl w:val="nil"/>
            </w:tcBorders>
            <w:vAlign w:val="center"/>
          </w:tcPr>
          <w:p w14:paraId="7AEF956E">
            <w:pPr>
              <w:autoSpaceDE w:val="0"/>
              <w:autoSpaceDN w:val="0"/>
              <w:adjustRightInd w:val="0"/>
              <w:spacing w:line="360" w:lineRule="auto"/>
              <w:ind w:left="38"/>
              <w:jc w:val="center"/>
              <w:rPr>
                <w:rFonts w:ascii="仿宋" w:hAnsi="仿宋" w:eastAsia="仿宋" w:cs="仿宋"/>
                <w:color w:val="auto"/>
                <w:szCs w:val="21"/>
                <w:highlight w:val="none"/>
                <w:lang w:val="zh-CN"/>
              </w:rPr>
            </w:pPr>
            <w:r>
              <w:rPr>
                <w:rFonts w:hint="eastAsia" w:ascii="仿宋" w:hAnsi="仿宋" w:eastAsia="仿宋" w:cs="宋体"/>
                <w:color w:val="auto"/>
                <w:szCs w:val="21"/>
                <w:highlight w:val="none"/>
                <w:lang w:val="zh-CN"/>
              </w:rPr>
              <w:t>踏勘现场</w:t>
            </w:r>
          </w:p>
        </w:tc>
        <w:tc>
          <w:tcPr>
            <w:tcW w:w="6084" w:type="dxa"/>
            <w:tcBorders>
              <w:tl2br w:val="nil"/>
              <w:tr2bl w:val="nil"/>
            </w:tcBorders>
            <w:vAlign w:val="center"/>
          </w:tcPr>
          <w:p w14:paraId="3EAE9344">
            <w:pPr>
              <w:adjustRightInd w:val="0"/>
              <w:snapToGrid w:val="0"/>
              <w:spacing w:line="360"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本项目组织现场踏勘。</w:t>
            </w:r>
          </w:p>
          <w:p w14:paraId="5C6F5A17">
            <w:pPr>
              <w:adjustRightInd w:val="0"/>
              <w:snapToGrid w:val="0"/>
              <w:spacing w:line="360" w:lineRule="auto"/>
              <w:ind w:right="105" w:rightChars="5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组织方式：本项目采用集中现场踏勘方式，供应商须安排项目相关负责人及技术人员参与踏勘，全面了解项目现场实际情况、施工环境、校园管理规定及改造细节，踏勘后自行承担因未踏勘导致的施工偏差、成本增加等风险；</w:t>
            </w:r>
          </w:p>
          <w:p w14:paraId="176116D7">
            <w:pPr>
              <w:adjustRightInd w:val="0"/>
              <w:snapToGrid w:val="0"/>
              <w:spacing w:line="360" w:lineRule="auto"/>
              <w:ind w:right="105" w:rightChars="5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2.踏勘时间：采购文件售卖截止后的第一个工作日上午10时00分，供应商须按时到场，逾期未到场视为自动放弃踏勘，认可项目现场现状；</w:t>
            </w:r>
          </w:p>
          <w:p w14:paraId="7F7E6DEF">
            <w:pPr>
              <w:adjustRightInd w:val="0"/>
              <w:snapToGrid w:val="0"/>
              <w:spacing w:line="360" w:lineRule="auto"/>
              <w:ind w:right="105" w:rightChars="5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3.入校报备：参与踏勘人员须提前1天向采购人张老师报备入校信息，联系电话：18180628919，报备内容包含人员姓名、联系方式、身份证号、车辆信息等，凭报备信息入校；</w:t>
            </w:r>
          </w:p>
          <w:p w14:paraId="10FE1E6C">
            <w:pPr>
              <w:adjustRightInd w:val="0"/>
              <w:snapToGrid w:val="0"/>
              <w:spacing w:line="360" w:lineRule="auto"/>
              <w:ind w:right="105" w:rightChars="5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4.踏勘联系人：易老师，联系电话：13730849518，踏勘期间相关问题可现场咨询联系人。</w:t>
            </w:r>
          </w:p>
        </w:tc>
      </w:tr>
    </w:tbl>
    <w:p w14:paraId="5C577EA8">
      <w:pPr>
        <w:spacing w:line="360" w:lineRule="auto"/>
        <w:jc w:val="center"/>
        <w:rPr>
          <w:rFonts w:ascii="仿宋" w:hAnsi="仿宋" w:eastAsia="仿宋"/>
          <w:color w:val="auto"/>
          <w:highlight w:val="none"/>
        </w:rPr>
      </w:pPr>
    </w:p>
    <w:p w14:paraId="19CD1646">
      <w:pPr>
        <w:spacing w:line="360" w:lineRule="auto"/>
        <w:jc w:val="center"/>
        <w:outlineLvl w:val="1"/>
        <w:rPr>
          <w:rFonts w:ascii="仿宋" w:hAnsi="仿宋" w:eastAsia="仿宋"/>
          <w:b/>
          <w:color w:val="auto"/>
          <w:sz w:val="32"/>
          <w:szCs w:val="32"/>
          <w:highlight w:val="none"/>
        </w:rPr>
      </w:pPr>
      <w:bookmarkStart w:id="21" w:name="_Toc21907"/>
      <w:r>
        <w:rPr>
          <w:rFonts w:hint="eastAsia" w:ascii="仿宋" w:hAnsi="仿宋" w:eastAsia="仿宋"/>
          <w:b/>
          <w:color w:val="auto"/>
          <w:sz w:val="32"/>
          <w:szCs w:val="32"/>
          <w:highlight w:val="none"/>
        </w:rPr>
        <w:t>二、总  则</w:t>
      </w:r>
      <w:bookmarkEnd w:id="21"/>
    </w:p>
    <w:p w14:paraId="23573D73">
      <w:pPr>
        <w:spacing w:line="360" w:lineRule="auto"/>
        <w:ind w:firstLine="480" w:firstLineChars="200"/>
        <w:rPr>
          <w:rFonts w:ascii="仿宋" w:hAnsi="仿宋" w:eastAsia="仿宋"/>
          <w:color w:val="auto"/>
          <w:sz w:val="24"/>
          <w:highlight w:val="none"/>
        </w:rPr>
      </w:pPr>
      <w:bookmarkStart w:id="22" w:name="_Toc183582205"/>
      <w:bookmarkStart w:id="23" w:name="_Toc183682342"/>
      <w:bookmarkStart w:id="24" w:name="_Toc217446034"/>
    </w:p>
    <w:p w14:paraId="01911B86">
      <w:pPr>
        <w:spacing w:line="360" w:lineRule="auto"/>
        <w:ind w:firstLine="482" w:firstLineChars="200"/>
        <w:outlineLvl w:val="2"/>
        <w:rPr>
          <w:rFonts w:ascii="仿宋" w:hAnsi="仿宋" w:eastAsia="仿宋"/>
          <w:b/>
          <w:bCs/>
          <w:color w:val="auto"/>
          <w:sz w:val="24"/>
          <w:szCs w:val="32"/>
          <w:highlight w:val="none"/>
        </w:rPr>
      </w:pPr>
      <w:bookmarkStart w:id="25" w:name="PO_默认文件内容_23"/>
      <w:r>
        <w:rPr>
          <w:rFonts w:hint="eastAsia" w:ascii="仿宋" w:hAnsi="仿宋" w:eastAsia="仿宋"/>
          <w:b/>
          <w:bCs/>
          <w:color w:val="auto"/>
          <w:sz w:val="24"/>
          <w:szCs w:val="32"/>
          <w:highlight w:val="none"/>
        </w:rPr>
        <w:t>1</w:t>
      </w:r>
      <w:r>
        <w:rPr>
          <w:rFonts w:ascii="仿宋" w:hAnsi="仿宋" w:eastAsia="仿宋"/>
          <w:b/>
          <w:bCs/>
          <w:color w:val="auto"/>
          <w:sz w:val="24"/>
          <w:szCs w:val="32"/>
          <w:highlight w:val="none"/>
        </w:rPr>
        <w:t>.</w:t>
      </w:r>
      <w:bookmarkEnd w:id="22"/>
      <w:bookmarkEnd w:id="23"/>
      <w:r>
        <w:rPr>
          <w:rFonts w:hint="eastAsia" w:ascii="仿宋" w:hAnsi="仿宋" w:eastAsia="仿宋"/>
          <w:b/>
          <w:bCs/>
          <w:color w:val="auto"/>
          <w:sz w:val="24"/>
          <w:highlight w:val="none"/>
        </w:rPr>
        <w:t>适用范围</w:t>
      </w:r>
      <w:bookmarkEnd w:id="24"/>
    </w:p>
    <w:p w14:paraId="701FF270">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w:t>
      </w:r>
      <w:r>
        <w:rPr>
          <w:rFonts w:hint="eastAsia" w:ascii="仿宋" w:hAnsi="仿宋" w:eastAsia="仿宋"/>
          <w:color w:val="auto"/>
          <w:sz w:val="24"/>
          <w:highlight w:val="none"/>
        </w:rPr>
        <w:t>1 本磋商文件仅适用于本次磋商采购项目。</w:t>
      </w:r>
    </w:p>
    <w:p w14:paraId="06D3AE45">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1.2 本磋商文件的解释权归采购人和采购代理机构所有。</w:t>
      </w:r>
      <w:bookmarkEnd w:id="25"/>
    </w:p>
    <w:p w14:paraId="549F754F">
      <w:pPr>
        <w:spacing w:line="360" w:lineRule="auto"/>
        <w:ind w:firstLine="482" w:firstLineChars="200"/>
        <w:outlineLvl w:val="2"/>
        <w:rPr>
          <w:rFonts w:ascii="仿宋" w:hAnsi="仿宋" w:eastAsia="仿宋"/>
          <w:b/>
          <w:bCs/>
          <w:color w:val="auto"/>
          <w:sz w:val="24"/>
          <w:szCs w:val="32"/>
          <w:highlight w:val="none"/>
        </w:rPr>
      </w:pPr>
      <w:bookmarkStart w:id="26" w:name="_Toc183582206"/>
      <w:bookmarkStart w:id="27" w:name="_Toc183682343"/>
      <w:bookmarkStart w:id="28" w:name="_Toc217446035"/>
      <w:r>
        <w:rPr>
          <w:rFonts w:ascii="仿宋" w:hAnsi="仿宋" w:eastAsia="仿宋"/>
          <w:b/>
          <w:bCs/>
          <w:color w:val="auto"/>
          <w:sz w:val="24"/>
          <w:szCs w:val="32"/>
          <w:highlight w:val="none"/>
        </w:rPr>
        <w:t>2.</w:t>
      </w:r>
      <w:bookmarkEnd w:id="26"/>
      <w:bookmarkEnd w:id="27"/>
      <w:bookmarkEnd w:id="28"/>
      <w:r>
        <w:rPr>
          <w:rFonts w:hint="eastAsia" w:ascii="仿宋" w:hAnsi="仿宋" w:eastAsia="仿宋"/>
          <w:b/>
          <w:bCs/>
          <w:color w:val="auto"/>
          <w:sz w:val="24"/>
          <w:szCs w:val="32"/>
          <w:highlight w:val="none"/>
        </w:rPr>
        <w:t>采购主体</w:t>
      </w:r>
    </w:p>
    <w:p w14:paraId="40003696">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w:t>
      </w:r>
      <w:r>
        <w:rPr>
          <w:rFonts w:hint="eastAsia" w:ascii="仿宋" w:hAnsi="仿宋" w:eastAsia="仿宋"/>
          <w:color w:val="auto"/>
          <w:sz w:val="24"/>
          <w:highlight w:val="none"/>
        </w:rPr>
        <w:t>1本次磋商的采购人是</w:t>
      </w:r>
      <w:r>
        <w:rPr>
          <w:rFonts w:hint="eastAsia" w:ascii="仿宋" w:hAnsi="仿宋" w:eastAsia="仿宋"/>
          <w:b/>
          <w:color w:val="auto"/>
          <w:sz w:val="24"/>
          <w:highlight w:val="none"/>
          <w:u w:val="single"/>
        </w:rPr>
        <w:t>西南民族大学</w:t>
      </w:r>
      <w:r>
        <w:rPr>
          <w:rFonts w:hint="eastAsia" w:ascii="仿宋" w:hAnsi="仿宋" w:eastAsia="仿宋"/>
          <w:color w:val="auto"/>
          <w:sz w:val="24"/>
          <w:highlight w:val="none"/>
        </w:rPr>
        <w:t>。</w:t>
      </w:r>
    </w:p>
    <w:p w14:paraId="1F5CEF1B">
      <w:pPr>
        <w:tabs>
          <w:tab w:val="left" w:pos="7665"/>
        </w:tabs>
        <w:spacing w:line="360" w:lineRule="auto"/>
        <w:ind w:firstLine="480" w:firstLineChars="200"/>
        <w:rPr>
          <w:rFonts w:ascii="仿宋" w:hAnsi="仿宋" w:eastAsia="仿宋"/>
          <w:color w:val="auto"/>
          <w:sz w:val="24"/>
          <w:highlight w:val="none"/>
        </w:rPr>
      </w:pPr>
      <w:bookmarkStart w:id="29" w:name="PO_默认文件内容_24"/>
      <w:r>
        <w:rPr>
          <w:rFonts w:hint="eastAsia" w:ascii="仿宋" w:hAnsi="仿宋" w:eastAsia="仿宋"/>
          <w:color w:val="auto"/>
          <w:sz w:val="24"/>
          <w:highlight w:val="none"/>
        </w:rPr>
        <w:t>2</w:t>
      </w:r>
      <w:r>
        <w:rPr>
          <w:rFonts w:ascii="仿宋" w:hAnsi="仿宋" w:eastAsia="仿宋"/>
          <w:color w:val="auto"/>
          <w:sz w:val="24"/>
          <w:highlight w:val="none"/>
        </w:rPr>
        <w:t>.</w:t>
      </w:r>
      <w:r>
        <w:rPr>
          <w:rFonts w:hint="eastAsia" w:ascii="仿宋" w:hAnsi="仿宋" w:eastAsia="仿宋"/>
          <w:color w:val="auto"/>
          <w:sz w:val="24"/>
          <w:highlight w:val="none"/>
        </w:rPr>
        <w:t>2本次磋商的采购代理机构是</w:t>
      </w:r>
      <w:r>
        <w:rPr>
          <w:rFonts w:hint="eastAsia" w:ascii="仿宋" w:hAnsi="仿宋" w:eastAsia="仿宋"/>
          <w:b/>
          <w:color w:val="auto"/>
          <w:sz w:val="24"/>
          <w:highlight w:val="none"/>
          <w:u w:val="single"/>
        </w:rPr>
        <w:t>四川成与诚招标代理有限公司</w:t>
      </w:r>
      <w:r>
        <w:rPr>
          <w:rFonts w:hint="eastAsia" w:ascii="仿宋" w:hAnsi="仿宋" w:eastAsia="仿宋"/>
          <w:color w:val="auto"/>
          <w:sz w:val="24"/>
          <w:highlight w:val="none"/>
        </w:rPr>
        <w:t>。</w:t>
      </w:r>
    </w:p>
    <w:p w14:paraId="6A0B4031">
      <w:pPr>
        <w:spacing w:line="360" w:lineRule="auto"/>
        <w:ind w:firstLine="482" w:firstLineChars="200"/>
        <w:outlineLvl w:val="2"/>
        <w:rPr>
          <w:rFonts w:ascii="仿宋" w:hAnsi="仿宋" w:eastAsia="仿宋"/>
          <w:b/>
          <w:bCs/>
          <w:color w:val="auto"/>
          <w:sz w:val="24"/>
          <w:szCs w:val="32"/>
          <w:highlight w:val="none"/>
        </w:rPr>
      </w:pPr>
      <w:bookmarkStart w:id="30" w:name="_Toc217446036"/>
      <w:bookmarkStart w:id="31" w:name="_Toc183682344"/>
      <w:bookmarkStart w:id="32" w:name="_Toc183582207"/>
      <w:bookmarkStart w:id="33" w:name="_Toc217390843"/>
      <w:r>
        <w:rPr>
          <w:rFonts w:ascii="仿宋" w:hAnsi="仿宋" w:eastAsia="仿宋"/>
          <w:b/>
          <w:bCs/>
          <w:color w:val="auto"/>
          <w:sz w:val="24"/>
          <w:szCs w:val="32"/>
          <w:highlight w:val="none"/>
        </w:rPr>
        <w:t>3.</w:t>
      </w:r>
      <w:r>
        <w:rPr>
          <w:rFonts w:hint="eastAsia" w:ascii="仿宋" w:hAnsi="仿宋" w:eastAsia="仿宋"/>
          <w:b/>
          <w:bCs/>
          <w:color w:val="auto"/>
          <w:sz w:val="24"/>
          <w:szCs w:val="32"/>
          <w:highlight w:val="none"/>
        </w:rPr>
        <w:t xml:space="preserve"> 合格</w:t>
      </w:r>
      <w:bookmarkEnd w:id="30"/>
      <w:bookmarkEnd w:id="31"/>
      <w:bookmarkEnd w:id="32"/>
      <w:bookmarkEnd w:id="33"/>
      <w:r>
        <w:rPr>
          <w:rFonts w:hint="eastAsia" w:ascii="仿宋" w:hAnsi="仿宋" w:eastAsia="仿宋"/>
          <w:b/>
          <w:bCs/>
          <w:color w:val="auto"/>
          <w:sz w:val="24"/>
          <w:szCs w:val="32"/>
          <w:highlight w:val="none"/>
        </w:rPr>
        <w:t>供应商</w:t>
      </w:r>
    </w:p>
    <w:p w14:paraId="1A4E3FB6">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合格供应商应具备以下条件：</w:t>
      </w:r>
    </w:p>
    <w:p w14:paraId="349206EB">
      <w:pPr>
        <w:tabs>
          <w:tab w:val="left" w:pos="7665"/>
        </w:tabs>
        <w:spacing w:line="360" w:lineRule="auto"/>
        <w:ind w:firstLine="480" w:firstLineChars="200"/>
        <w:rPr>
          <w:rFonts w:ascii="仿宋" w:hAnsi="仿宋" w:eastAsia="仿宋"/>
          <w:color w:val="auto"/>
          <w:spacing w:val="-4"/>
          <w:sz w:val="24"/>
          <w:highlight w:val="none"/>
        </w:rPr>
      </w:pPr>
      <w:r>
        <w:rPr>
          <w:rFonts w:hint="eastAsia" w:ascii="仿宋" w:hAnsi="仿宋" w:eastAsia="仿宋"/>
          <w:color w:val="auto"/>
          <w:sz w:val="24"/>
          <w:highlight w:val="none"/>
        </w:rPr>
        <w:t>3.1 具备法律法规和本采购文件规定的资格条件</w:t>
      </w:r>
      <w:r>
        <w:rPr>
          <w:rFonts w:hint="eastAsia" w:ascii="仿宋" w:hAnsi="仿宋" w:eastAsia="仿宋"/>
          <w:color w:val="auto"/>
          <w:spacing w:val="-4"/>
          <w:sz w:val="24"/>
          <w:highlight w:val="none"/>
        </w:rPr>
        <w:t>；</w:t>
      </w:r>
    </w:p>
    <w:p w14:paraId="6B68200E">
      <w:pPr>
        <w:tabs>
          <w:tab w:val="left" w:pos="7665"/>
        </w:tabs>
        <w:spacing w:line="360" w:lineRule="auto"/>
        <w:ind w:firstLine="464" w:firstLineChars="200"/>
        <w:rPr>
          <w:rFonts w:ascii="仿宋" w:hAnsi="仿宋" w:eastAsia="仿宋"/>
          <w:color w:val="auto"/>
          <w:spacing w:val="-4"/>
          <w:sz w:val="24"/>
          <w:highlight w:val="none"/>
        </w:rPr>
      </w:pPr>
      <w:r>
        <w:rPr>
          <w:rFonts w:hint="eastAsia" w:ascii="仿宋" w:hAnsi="仿宋" w:eastAsia="仿宋"/>
          <w:color w:val="auto"/>
          <w:spacing w:val="-4"/>
          <w:sz w:val="24"/>
          <w:highlight w:val="none"/>
        </w:rPr>
        <w:t>3.2 不属于禁止参加本项目采购活动的供应商。</w:t>
      </w:r>
    </w:p>
    <w:p w14:paraId="2B84CB2D">
      <w:pPr>
        <w:tabs>
          <w:tab w:val="left" w:pos="7665"/>
        </w:tabs>
        <w:spacing w:line="400" w:lineRule="exact"/>
        <w:ind w:firstLine="464" w:firstLineChars="200"/>
        <w:rPr>
          <w:rFonts w:ascii="仿宋" w:hAnsi="仿宋" w:eastAsia="仿宋" w:cs="仿宋"/>
          <w:color w:val="auto"/>
          <w:spacing w:val="-4"/>
          <w:sz w:val="24"/>
          <w:highlight w:val="none"/>
        </w:rPr>
      </w:pPr>
      <w:r>
        <w:rPr>
          <w:rFonts w:hint="eastAsia" w:ascii="仿宋" w:hAnsi="仿宋" w:eastAsia="仿宋" w:cs="仿宋"/>
          <w:color w:val="auto"/>
          <w:spacing w:val="-4"/>
          <w:sz w:val="24"/>
          <w:highlight w:val="none"/>
        </w:rPr>
        <w:t>3.3按照规定购买了采购文件（实质性要求）。</w:t>
      </w:r>
    </w:p>
    <w:p w14:paraId="2A10FF92">
      <w:pPr>
        <w:tabs>
          <w:tab w:val="left" w:pos="7665"/>
        </w:tabs>
        <w:spacing w:line="400" w:lineRule="exact"/>
        <w:ind w:firstLine="464" w:firstLineChars="200"/>
        <w:rPr>
          <w:rFonts w:ascii="仿宋" w:hAnsi="仿宋" w:eastAsia="仿宋"/>
          <w:color w:val="auto"/>
          <w:sz w:val="24"/>
          <w:highlight w:val="none"/>
        </w:rPr>
      </w:pPr>
      <w:r>
        <w:rPr>
          <w:rFonts w:hint="eastAsia" w:ascii="仿宋" w:hAnsi="仿宋" w:eastAsia="仿宋" w:cs="仿宋"/>
          <w:color w:val="auto"/>
          <w:spacing w:val="-4"/>
          <w:sz w:val="24"/>
          <w:highlight w:val="none"/>
        </w:rPr>
        <w:t>由代理机构提供供应商购买采购文件情况的相关证明材料，供应商不用提供证明材料。</w:t>
      </w:r>
      <w:bookmarkStart w:id="34" w:name="_Toc183682345"/>
      <w:bookmarkStart w:id="35" w:name="_Toc217446037"/>
      <w:bookmarkStart w:id="36" w:name="_Toc183582208"/>
    </w:p>
    <w:p w14:paraId="7CB1E096">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4. 磋商费用</w:t>
      </w:r>
      <w:bookmarkEnd w:id="34"/>
      <w:bookmarkEnd w:id="35"/>
      <w:bookmarkEnd w:id="36"/>
      <w:r>
        <w:rPr>
          <w:rFonts w:hint="eastAsia" w:ascii="仿宋" w:hAnsi="仿宋" w:eastAsia="仿宋"/>
          <w:b/>
          <w:bCs/>
          <w:color w:val="auto"/>
          <w:kern w:val="0"/>
          <w:sz w:val="24"/>
          <w:szCs w:val="20"/>
          <w:highlight w:val="none"/>
        </w:rPr>
        <w:t>（实质性要求）</w:t>
      </w:r>
    </w:p>
    <w:p w14:paraId="6C0DBE5B">
      <w:pPr>
        <w:tabs>
          <w:tab w:val="left" w:pos="7665"/>
        </w:tabs>
        <w:spacing w:line="360" w:lineRule="auto"/>
        <w:ind w:firstLine="480"/>
        <w:rPr>
          <w:rFonts w:ascii="仿宋" w:hAnsi="仿宋" w:eastAsia="仿宋"/>
          <w:color w:val="auto"/>
          <w:highlight w:val="none"/>
        </w:rPr>
      </w:pPr>
      <w:r>
        <w:rPr>
          <w:rFonts w:hint="eastAsia" w:ascii="仿宋" w:hAnsi="仿宋" w:eastAsia="仿宋"/>
          <w:color w:val="auto"/>
          <w:sz w:val="24"/>
          <w:highlight w:val="none"/>
        </w:rPr>
        <w:t>供应商应自行承担参加磋商活动的全部费用。</w:t>
      </w:r>
    </w:p>
    <w:p w14:paraId="5D851CB5">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5.充分、公平竞争保障措施（实质性要求）</w:t>
      </w:r>
    </w:p>
    <w:p w14:paraId="17E816B7">
      <w:pPr>
        <w:pStyle w:val="26"/>
        <w:spacing w:line="400" w:lineRule="exact"/>
        <w:ind w:left="1" w:firstLine="480" w:firstLineChars="200"/>
        <w:rPr>
          <w:rFonts w:ascii="仿宋" w:hAnsi="仿宋" w:eastAsia="仿宋" w:cs="仿宋"/>
          <w:color w:val="auto"/>
          <w:sz w:val="28"/>
          <w:szCs w:val="28"/>
          <w:highlight w:val="none"/>
        </w:rPr>
      </w:pPr>
      <w:r>
        <w:rPr>
          <w:rFonts w:hint="eastAsia" w:ascii="仿宋" w:hAnsi="仿宋" w:eastAsia="仿宋" w:cs="仿宋"/>
          <w:color w:val="auto"/>
          <w:sz w:val="24"/>
          <w:highlight w:val="none"/>
        </w:rPr>
        <w:t>5.1利害关系供应商处理。单位负责人为同一人或者存在直接控股、管理关系的不同供应商不得参加同一合同项下的采购活动。</w:t>
      </w:r>
    </w:p>
    <w:p w14:paraId="6D55A3D3">
      <w:pPr>
        <w:pStyle w:val="26"/>
        <w:spacing w:line="400" w:lineRule="exact"/>
        <w:ind w:left="1"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5.2回避。</w:t>
      </w:r>
      <w:r>
        <w:rPr>
          <w:rFonts w:hint="eastAsia" w:ascii="仿宋" w:hAnsi="仿宋" w:eastAsia="仿宋" w:cs="仿宋"/>
          <w:color w:val="auto"/>
          <w:spacing w:val="-6"/>
          <w:sz w:val="24"/>
          <w:highlight w:val="none"/>
        </w:rPr>
        <w:t>采购活动中，采购人员及相关人员与供应商有下列利害关系之一的，应当回避：</w:t>
      </w:r>
    </w:p>
    <w:p w14:paraId="074C2942">
      <w:pPr>
        <w:pStyle w:val="26"/>
        <w:spacing w:line="400" w:lineRule="exact"/>
        <w:ind w:left="1"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（1）参加采购活动前3年内与供应商存在劳动关系；</w:t>
      </w:r>
    </w:p>
    <w:p w14:paraId="7A356186">
      <w:pPr>
        <w:pStyle w:val="26"/>
        <w:spacing w:line="400" w:lineRule="exact"/>
        <w:ind w:left="1"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（2）参加采购活动前3年内担任供应商的董事、监事；</w:t>
      </w:r>
    </w:p>
    <w:p w14:paraId="27957A88">
      <w:pPr>
        <w:pStyle w:val="26"/>
        <w:spacing w:line="400" w:lineRule="exact"/>
        <w:ind w:left="1"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（3）参加采购活动前3年内是供应商的控股股东或者实际控制人；</w:t>
      </w:r>
    </w:p>
    <w:p w14:paraId="6CAE5E90">
      <w:pPr>
        <w:pStyle w:val="26"/>
        <w:spacing w:line="400" w:lineRule="exact"/>
        <w:ind w:left="1"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（4）与供应商的法定代表人或者负责人有夫妻、直系血亲、三代以内旁系血亲或者近姻亲关系；</w:t>
      </w:r>
    </w:p>
    <w:p w14:paraId="789E7134">
      <w:pPr>
        <w:pStyle w:val="26"/>
        <w:spacing w:line="400" w:lineRule="exact"/>
        <w:ind w:left="1"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（5）与供应商有其他可能影响采购活动公平、公正进行的关系。</w:t>
      </w:r>
    </w:p>
    <w:p w14:paraId="7248F835">
      <w:pPr>
        <w:adjustRightInd w:val="0"/>
        <w:spacing w:line="360" w:lineRule="auto"/>
        <w:ind w:left="1" w:firstLine="480" w:firstLineChars="200"/>
        <w:textAlignment w:val="baseline"/>
        <w:rPr>
          <w:rFonts w:ascii="仿宋" w:hAnsi="仿宋" w:eastAsia="仿宋"/>
          <w:b/>
          <w:color w:val="auto"/>
          <w:sz w:val="24"/>
          <w:highlight w:val="none"/>
        </w:rPr>
      </w:pPr>
      <w:r>
        <w:rPr>
          <w:rFonts w:hint="eastAsia" w:ascii="仿宋" w:hAnsi="仿宋" w:eastAsia="仿宋" w:cs="仿宋"/>
          <w:color w:val="auto"/>
          <w:sz w:val="24"/>
          <w:highlight w:val="none"/>
        </w:rPr>
        <w:t>供应商认为采购人员及相关人员与其他供应商有利害关系的，可以向采购代理机构书面提出回避申请，并说明理由。采购代理机构将及时询问被申请回避人员，有利害关系的被申请回避人员应当回避。</w:t>
      </w:r>
    </w:p>
    <w:p w14:paraId="6A434ADC">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6.联合体竞争性磋商（仅适用于允许联合体参与的项目）</w:t>
      </w:r>
    </w:p>
    <w:p w14:paraId="6AC18279">
      <w:pPr>
        <w:pStyle w:val="26"/>
        <w:spacing w:line="400" w:lineRule="exact"/>
        <w:ind w:left="1"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联合体各方应当共同与采购人签订采购合同，就采购合同约定的事项对采购人承担连带责任。</w:t>
      </w:r>
    </w:p>
    <w:p w14:paraId="0CB0C5C1">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7.磋商保证金</w:t>
      </w:r>
    </w:p>
    <w:p w14:paraId="3B7FED24">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7.1 供应商必须以人民币按磋商文件要求足额缴纳磋商保证金。联合体磋商的，可以由联合体的一方或者共同提交磋商保证金，以一方名义提交磋商保证金的，对联合体各方均具有约束力。</w:t>
      </w:r>
    </w:p>
    <w:p w14:paraId="2C4325FC">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7.2 未按磋商文件要求在规定时间前交纳规定数额磋商保证金的响应文件无效。</w:t>
      </w:r>
    </w:p>
    <w:p w14:paraId="3A9D5651">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7.3 供应商所交纳的磋商保证金不计利息。</w:t>
      </w:r>
    </w:p>
    <w:p w14:paraId="0D34322D">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7.4 未成交供应商的磋商保证金，将在成交通知书发出后五个工作日内全额退还。成交供应商的磋商保证金，在合同签订生效并按规定交纳了履约保证金后五个工作日内全额退还。（注：①因供应商自身原因造成的保证金延迟退还，采购代理机构不承担相应责任；②供应商因涉嫌违法违规，按照规定应当不予退还保证金的，有关部门处理认定违法违规行为期间不计入退还保证金期限内。）</w:t>
      </w:r>
    </w:p>
    <w:p w14:paraId="51CDFA51">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7.5发生下列情形之一的，采购代理机构将不予退还磋商保证金：</w:t>
      </w:r>
    </w:p>
    <w:p w14:paraId="287022FE">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（1）在磋商文件规定的递交响应文件截止时间后撤回响应文件的；</w:t>
      </w:r>
    </w:p>
    <w:p w14:paraId="51FBFDAE">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（2）在采购人确定成交供应商之前放弃成交候选资格的；</w:t>
      </w:r>
    </w:p>
    <w:p w14:paraId="42665673">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（3）成交后放弃、不领取或者不接收成交通知书的；</w:t>
      </w:r>
    </w:p>
    <w:p w14:paraId="253C4C2E">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（4）由于成交供应商的原因未能按照磋商文件的规定与采购人签订合同的；</w:t>
      </w:r>
    </w:p>
    <w:p w14:paraId="62CE5F94">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（5）由于成交供应商的原因未能按照磋商文件的规定交纳履约保证金的；</w:t>
      </w:r>
    </w:p>
    <w:p w14:paraId="344855BF">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（6）供应商在采购活动中提供虚假材料的；</w:t>
      </w:r>
    </w:p>
    <w:p w14:paraId="031507C5">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（7）报价有效期内，供应商在采购活动中有违法、违规、违纪行为。</w:t>
      </w:r>
    </w:p>
    <w:p w14:paraId="75F5FB2E">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8.响应文件有效期（实质性要求）</w:t>
      </w:r>
    </w:p>
    <w:p w14:paraId="72D59739">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本项目响应文件有效期为递交磋商响应文件截止之日起</w:t>
      </w:r>
      <w:r>
        <w:rPr>
          <w:rFonts w:ascii="仿宋" w:hAnsi="仿宋" w:eastAsia="仿宋"/>
          <w:color w:val="auto"/>
          <w:sz w:val="24"/>
          <w:highlight w:val="none"/>
        </w:rPr>
        <w:t>90</w:t>
      </w:r>
      <w:r>
        <w:rPr>
          <w:rFonts w:hint="eastAsia" w:ascii="仿宋" w:hAnsi="仿宋" w:eastAsia="仿宋"/>
          <w:color w:val="auto"/>
          <w:sz w:val="24"/>
          <w:highlight w:val="none"/>
        </w:rPr>
        <w:t>天。供应商响应文件中必须载明响应文件有效期，响应文件中载明的响应文件有效期可以长于磋商文件规定的期限，但不得短于磋商文件规定的期限。否则，其响应文件将作为无效处理。</w:t>
      </w:r>
    </w:p>
    <w:p w14:paraId="74617030">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9.知识产权（实质性要求）</w:t>
      </w:r>
    </w:p>
    <w:p w14:paraId="30C9611B">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9</w:t>
      </w:r>
      <w:r>
        <w:rPr>
          <w:rFonts w:ascii="仿宋" w:hAnsi="仿宋" w:eastAsia="仿宋"/>
          <w:color w:val="auto"/>
          <w:sz w:val="24"/>
          <w:highlight w:val="none"/>
        </w:rPr>
        <w:t>.1</w:t>
      </w:r>
      <w:r>
        <w:rPr>
          <w:rFonts w:hint="eastAsia" w:ascii="仿宋" w:hAnsi="仿宋" w:eastAsia="仿宋"/>
          <w:color w:val="auto"/>
          <w:sz w:val="24"/>
          <w:szCs w:val="20"/>
          <w:highlight w:val="none"/>
        </w:rPr>
        <w:t>供应商</w:t>
      </w:r>
      <w:r>
        <w:rPr>
          <w:rFonts w:hint="eastAsia" w:ascii="仿宋" w:hAnsi="仿宋" w:eastAsia="仿宋"/>
          <w:color w:val="auto"/>
          <w:sz w:val="24"/>
          <w:highlight w:val="none"/>
        </w:rPr>
        <w:t>应保证在本项目中使用的任何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olor w:val="auto"/>
          <w:sz w:val="24"/>
          <w:szCs w:val="20"/>
          <w:highlight w:val="none"/>
        </w:rPr>
        <w:t>供应商</w:t>
      </w:r>
      <w:r>
        <w:rPr>
          <w:rFonts w:hint="eastAsia" w:ascii="仿宋" w:hAnsi="仿宋" w:eastAsia="仿宋"/>
          <w:color w:val="auto"/>
          <w:sz w:val="24"/>
          <w:highlight w:val="none"/>
        </w:rPr>
        <w:t>承担所有相关责任。</w:t>
      </w:r>
    </w:p>
    <w:p w14:paraId="352857B3">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9</w:t>
      </w:r>
      <w:r>
        <w:rPr>
          <w:rFonts w:ascii="仿宋" w:hAnsi="仿宋" w:eastAsia="仿宋"/>
          <w:color w:val="auto"/>
          <w:sz w:val="24"/>
          <w:highlight w:val="none"/>
        </w:rPr>
        <w:t>.2</w:t>
      </w:r>
      <w:r>
        <w:rPr>
          <w:rFonts w:hint="eastAsia" w:ascii="仿宋" w:hAnsi="仿宋" w:eastAsia="仿宋"/>
          <w:color w:val="auto"/>
          <w:sz w:val="24"/>
          <w:highlight w:val="none"/>
        </w:rPr>
        <w:t xml:space="preserve"> 除非磋商文件特别规定，采购人享有本项目实施过程中产生的知识成果及知识产权。</w:t>
      </w:r>
    </w:p>
    <w:p w14:paraId="7B148C5D">
      <w:pPr>
        <w:spacing w:line="360" w:lineRule="auto"/>
        <w:ind w:firstLine="480" w:firstLineChars="200"/>
        <w:rPr>
          <w:rFonts w:ascii="仿宋" w:hAnsi="仿宋" w:eastAsia="仿宋"/>
          <w:color w:val="auto"/>
          <w:sz w:val="32"/>
          <w:szCs w:val="32"/>
          <w:highlight w:val="none"/>
        </w:rPr>
      </w:pPr>
      <w:r>
        <w:rPr>
          <w:rFonts w:hint="eastAsia" w:ascii="仿宋" w:hAnsi="仿宋" w:eastAsia="仿宋"/>
          <w:color w:val="auto"/>
          <w:sz w:val="24"/>
          <w:highlight w:val="none"/>
        </w:rPr>
        <w:t>9</w:t>
      </w:r>
      <w:r>
        <w:rPr>
          <w:rFonts w:ascii="仿宋" w:hAnsi="仿宋" w:eastAsia="仿宋"/>
          <w:color w:val="auto"/>
          <w:sz w:val="24"/>
          <w:highlight w:val="none"/>
        </w:rPr>
        <w:t>.3</w:t>
      </w:r>
      <w:r>
        <w:rPr>
          <w:rFonts w:hint="eastAsia" w:ascii="仿宋" w:hAnsi="仿宋" w:eastAsia="仿宋"/>
          <w:color w:val="auto"/>
          <w:sz w:val="24"/>
          <w:highlight w:val="none"/>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67EAC245">
      <w:pPr>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9</w:t>
      </w:r>
      <w:r>
        <w:rPr>
          <w:rFonts w:ascii="仿宋" w:hAnsi="仿宋" w:eastAsia="仿宋"/>
          <w:color w:val="auto"/>
          <w:sz w:val="24"/>
          <w:highlight w:val="none"/>
        </w:rPr>
        <w:t>.4</w:t>
      </w:r>
      <w:r>
        <w:rPr>
          <w:rFonts w:hint="eastAsia" w:ascii="仿宋" w:hAnsi="仿宋" w:eastAsia="仿宋"/>
          <w:color w:val="auto"/>
          <w:sz w:val="24"/>
          <w:highlight w:val="none"/>
        </w:rPr>
        <w:t xml:space="preserve"> 如采用供应商所不拥有的知识产权，则在报价中必须包括合法获取该知识产权的相关费用。</w:t>
      </w:r>
      <w:bookmarkEnd w:id="29"/>
    </w:p>
    <w:p w14:paraId="19AA1054">
      <w:pPr>
        <w:spacing w:line="360" w:lineRule="auto"/>
        <w:jc w:val="center"/>
        <w:rPr>
          <w:rFonts w:ascii="仿宋" w:hAnsi="仿宋" w:eastAsia="仿宋"/>
          <w:color w:val="auto"/>
          <w:highlight w:val="none"/>
        </w:rPr>
      </w:pPr>
      <w:bookmarkStart w:id="37" w:name="_Toc183582209"/>
      <w:bookmarkStart w:id="38" w:name="_Toc89075875"/>
      <w:bookmarkStart w:id="39" w:name="_Toc183682346"/>
      <w:bookmarkStart w:id="40" w:name="_Toc217446038"/>
      <w:bookmarkStart w:id="41" w:name="_Toc77400779"/>
    </w:p>
    <w:p w14:paraId="4C721478">
      <w:pPr>
        <w:spacing w:line="360" w:lineRule="auto"/>
        <w:jc w:val="center"/>
        <w:outlineLvl w:val="1"/>
        <w:rPr>
          <w:rFonts w:ascii="仿宋" w:hAnsi="仿宋" w:eastAsia="仿宋"/>
          <w:color w:val="auto"/>
          <w:sz w:val="24"/>
          <w:highlight w:val="none"/>
        </w:rPr>
      </w:pPr>
      <w:bookmarkStart w:id="42" w:name="_Toc208"/>
      <w:r>
        <w:rPr>
          <w:rFonts w:hint="eastAsia" w:ascii="仿宋" w:hAnsi="仿宋" w:eastAsia="仿宋"/>
          <w:b/>
          <w:color w:val="auto"/>
          <w:sz w:val="32"/>
          <w:szCs w:val="32"/>
          <w:highlight w:val="none"/>
        </w:rPr>
        <w:t>三、磋商文件</w:t>
      </w:r>
      <w:bookmarkEnd w:id="37"/>
      <w:bookmarkEnd w:id="38"/>
      <w:bookmarkEnd w:id="39"/>
      <w:bookmarkEnd w:id="40"/>
      <w:bookmarkEnd w:id="41"/>
      <w:bookmarkEnd w:id="42"/>
      <w:bookmarkStart w:id="43" w:name="_Toc183582210"/>
      <w:bookmarkStart w:id="44" w:name="_Toc183682347"/>
      <w:bookmarkStart w:id="45" w:name="_Toc217446039"/>
    </w:p>
    <w:p w14:paraId="10B7E5B3">
      <w:pPr>
        <w:spacing w:line="360" w:lineRule="auto"/>
        <w:ind w:firstLine="482" w:firstLineChars="200"/>
        <w:outlineLvl w:val="2"/>
        <w:rPr>
          <w:rFonts w:ascii="仿宋" w:hAnsi="仿宋" w:eastAsia="仿宋"/>
          <w:b/>
          <w:bCs/>
          <w:color w:val="auto"/>
          <w:sz w:val="24"/>
          <w:szCs w:val="32"/>
          <w:highlight w:val="none"/>
        </w:rPr>
      </w:pPr>
      <w:bookmarkStart w:id="46" w:name="PO_默认文件内容_25"/>
      <w:r>
        <w:rPr>
          <w:rFonts w:hint="eastAsia" w:ascii="仿宋" w:hAnsi="仿宋" w:eastAsia="仿宋"/>
          <w:b/>
          <w:bCs/>
          <w:color w:val="auto"/>
          <w:sz w:val="24"/>
          <w:szCs w:val="32"/>
          <w:highlight w:val="none"/>
        </w:rPr>
        <w:t>10．磋商文件的构成</w:t>
      </w:r>
      <w:bookmarkEnd w:id="43"/>
      <w:bookmarkEnd w:id="44"/>
      <w:bookmarkEnd w:id="45"/>
      <w:r>
        <w:rPr>
          <w:rFonts w:hint="eastAsia" w:ascii="仿宋" w:hAnsi="仿宋" w:eastAsia="仿宋"/>
          <w:b/>
          <w:bCs/>
          <w:color w:val="auto"/>
          <w:sz w:val="24"/>
          <w:szCs w:val="32"/>
          <w:highlight w:val="none"/>
        </w:rPr>
        <w:t>（实质性要求）</w:t>
      </w:r>
    </w:p>
    <w:p w14:paraId="5FAACF78">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10</w:t>
      </w:r>
      <w:r>
        <w:rPr>
          <w:rFonts w:ascii="仿宋" w:hAnsi="仿宋" w:eastAsia="仿宋"/>
          <w:b/>
          <w:bCs/>
          <w:color w:val="auto"/>
          <w:sz w:val="24"/>
          <w:highlight w:val="none"/>
        </w:rPr>
        <w:t>.</w:t>
      </w:r>
      <w:r>
        <w:rPr>
          <w:rFonts w:hint="eastAsia" w:ascii="仿宋" w:hAnsi="仿宋" w:eastAsia="仿宋"/>
          <w:color w:val="auto"/>
          <w:sz w:val="24"/>
          <w:highlight w:val="none"/>
        </w:rPr>
        <w:t>1 磋商文件是供应商准备响应文件和参加磋商的依据，同时也是磋商的重要依据。磋商文件用以阐明磋商项目所需的资质、技术、服务及报价等要求、磋商程序、有关规定和注意事项以及合同主要条款等。</w:t>
      </w:r>
    </w:p>
    <w:p w14:paraId="24C29901">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10</w:t>
      </w:r>
      <w:r>
        <w:rPr>
          <w:rFonts w:hint="eastAsia" w:ascii="仿宋" w:hAnsi="仿宋" w:eastAsia="仿宋"/>
          <w:b/>
          <w:bCs/>
          <w:color w:val="auto"/>
          <w:sz w:val="24"/>
          <w:highlight w:val="none"/>
        </w:rPr>
        <w:t>.</w:t>
      </w:r>
      <w:r>
        <w:rPr>
          <w:rFonts w:hint="eastAsia" w:ascii="仿宋" w:hAnsi="仿宋" w:eastAsia="仿宋"/>
          <w:color w:val="auto"/>
          <w:sz w:val="24"/>
          <w:highlight w:val="none"/>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bookmarkStart w:id="47" w:name="_Toc183682348"/>
      <w:bookmarkStart w:id="48" w:name="_Toc183582211"/>
      <w:bookmarkStart w:id="49" w:name="_Toc217446040"/>
    </w:p>
    <w:p w14:paraId="73955E46">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11. 磋商文件的澄清</w:t>
      </w:r>
      <w:bookmarkEnd w:id="47"/>
      <w:bookmarkEnd w:id="48"/>
      <w:r>
        <w:rPr>
          <w:rFonts w:hint="eastAsia" w:ascii="仿宋" w:hAnsi="仿宋" w:eastAsia="仿宋"/>
          <w:b/>
          <w:bCs/>
          <w:color w:val="auto"/>
          <w:sz w:val="24"/>
          <w:szCs w:val="32"/>
          <w:highlight w:val="none"/>
        </w:rPr>
        <w:t>和修改</w:t>
      </w:r>
      <w:bookmarkEnd w:id="49"/>
    </w:p>
    <w:p w14:paraId="236367DA">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11.1 在递交响应文件截止时间前，采购人、采购代理机构可以对磋商文件进行澄清或者修改。</w:t>
      </w:r>
    </w:p>
    <w:p w14:paraId="457F711A">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11.2 采购代理机构对已发出的磋商文件进行澄清或者修改，应当以书面形式将澄清或者修改的内容通知所有购买了磋商文件的供应商，同时在中国政府采购网上发布更正公告。该澄清或者修改的内容为磋商文件的组成部分，澄清或者修改的内容可能影响响应文件编制的，采购人或者采购代理机构发布公告并书面通知供应商的时间，应当在</w:t>
      </w:r>
      <w:r>
        <w:rPr>
          <w:rFonts w:hint="eastAsia" w:ascii="仿宋" w:hAnsi="仿宋" w:eastAsia="仿宋" w:cs="宋体"/>
          <w:color w:val="auto"/>
          <w:sz w:val="24"/>
          <w:highlight w:val="none"/>
        </w:rPr>
        <w:t>提交</w:t>
      </w:r>
      <w:r>
        <w:rPr>
          <w:rFonts w:hint="eastAsia" w:ascii="仿宋" w:hAnsi="仿宋" w:eastAsia="仿宋"/>
          <w:color w:val="auto"/>
          <w:sz w:val="24"/>
          <w:highlight w:val="none"/>
        </w:rPr>
        <w:t>首次响应文件截</w:t>
      </w:r>
      <w:r>
        <w:rPr>
          <w:rFonts w:hint="eastAsia" w:ascii="仿宋" w:hAnsi="仿宋" w:eastAsia="仿宋" w:cs="宋体"/>
          <w:color w:val="auto"/>
          <w:sz w:val="24"/>
          <w:highlight w:val="none"/>
        </w:rPr>
        <w:t>止之日起5日前</w:t>
      </w:r>
      <w:r>
        <w:rPr>
          <w:rFonts w:hint="eastAsia" w:ascii="仿宋" w:hAnsi="仿宋" w:eastAsia="仿宋"/>
          <w:color w:val="auto"/>
          <w:sz w:val="24"/>
          <w:highlight w:val="none"/>
        </w:rPr>
        <w:t>；不足上述时间的，应当顺延递交响应文件的截止时间。</w:t>
      </w:r>
    </w:p>
    <w:p w14:paraId="3F39D47A">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11.3 供应商应于递交响应文件截止前，在中国政府采购网查询本项目的更正公告，以保证其对磋商文件做出正确的响应。供应商未按要求下载相关文件，或由于未及时关注更正公告的信息造成的后果，其责任由供应商自行负责。</w:t>
      </w:r>
    </w:p>
    <w:p w14:paraId="01AFDAEC">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更正通知通过供应商报名时备注的电子邮箱发送至所有购买磋商文件的供应商，供应商在收到相应更正通知后，以书面形式给予确认。如供应商未给予书面回复，则视为收到并认可该更正通知的内容。</w:t>
      </w:r>
    </w:p>
    <w:p w14:paraId="4E950444">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11.4供应商认为需要对磋商文件进行澄清或者修改的，可以以书面形式向采购人或采购代理机构提出申请，由采购人或采购代理机构决定是否采纳供应商的申请事项。</w:t>
      </w:r>
    </w:p>
    <w:p w14:paraId="13EA2B55">
      <w:pPr>
        <w:spacing w:line="360" w:lineRule="auto"/>
        <w:ind w:firstLine="482" w:firstLineChars="200"/>
        <w:outlineLvl w:val="2"/>
        <w:rPr>
          <w:rFonts w:ascii="仿宋" w:hAnsi="仿宋" w:eastAsia="仿宋"/>
          <w:b/>
          <w:bCs/>
          <w:color w:val="auto"/>
          <w:sz w:val="24"/>
          <w:szCs w:val="32"/>
          <w:highlight w:val="none"/>
        </w:rPr>
      </w:pPr>
      <w:bookmarkStart w:id="50" w:name="_Toc208848971"/>
      <w:bookmarkStart w:id="51" w:name="_Toc217446041"/>
      <w:r>
        <w:rPr>
          <w:rFonts w:hint="eastAsia" w:ascii="仿宋" w:hAnsi="仿宋" w:eastAsia="仿宋"/>
          <w:b/>
          <w:bCs/>
          <w:color w:val="auto"/>
          <w:sz w:val="24"/>
          <w:szCs w:val="32"/>
          <w:highlight w:val="none"/>
        </w:rPr>
        <w:t>12. 答疑会和现场考察</w:t>
      </w:r>
      <w:bookmarkEnd w:id="50"/>
      <w:bookmarkEnd w:id="51"/>
    </w:p>
    <w:p w14:paraId="2BC1528D">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12.1 根据采购项目和具体情况，采购人、采购代理机构认为有必要，可以在磋商文件提供期限截止后响应文件提交截止前，组织已获取磋商文件的潜在供应商现场考察或者召开答疑会。</w:t>
      </w:r>
    </w:p>
    <w:p w14:paraId="2559A634">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12.2采购人、采购代理机构组织现场考察或者召开答疑会的，将以书面形式通知所有获取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14:paraId="3110AC5C">
      <w:pPr>
        <w:adjustRightInd w:val="0"/>
        <w:snapToGrid w:val="0"/>
        <w:spacing w:line="360" w:lineRule="auto"/>
        <w:ind w:firstLine="420" w:firstLineChars="175"/>
        <w:rPr>
          <w:rFonts w:ascii="仿宋" w:hAnsi="仿宋" w:eastAsia="仿宋"/>
          <w:color w:val="auto"/>
          <w:sz w:val="24"/>
          <w:highlight w:val="none"/>
        </w:rPr>
      </w:pPr>
      <w:r>
        <w:rPr>
          <w:rFonts w:hint="eastAsia" w:ascii="仿宋" w:hAnsi="仿宋" w:eastAsia="仿宋"/>
          <w:color w:val="auto"/>
          <w:sz w:val="24"/>
          <w:highlight w:val="none"/>
        </w:rPr>
        <w:t>12</w:t>
      </w:r>
      <w:r>
        <w:rPr>
          <w:rFonts w:ascii="仿宋" w:hAnsi="仿宋" w:eastAsia="仿宋"/>
          <w:color w:val="auto"/>
          <w:sz w:val="24"/>
          <w:highlight w:val="none"/>
        </w:rPr>
        <w:t>.</w:t>
      </w:r>
      <w:r>
        <w:rPr>
          <w:rFonts w:hint="eastAsia" w:ascii="仿宋" w:hAnsi="仿宋" w:eastAsia="仿宋"/>
          <w:color w:val="auto"/>
          <w:sz w:val="24"/>
          <w:highlight w:val="none"/>
        </w:rPr>
        <w:t>3 本项目组织现场踏勘，供应商考察现场或者参加答疑会所发生的一切费用由供应商自行承担。</w:t>
      </w:r>
      <w:bookmarkEnd w:id="46"/>
      <w:r>
        <w:rPr>
          <w:rFonts w:hint="eastAsia" w:ascii="仿宋" w:hAnsi="仿宋" w:eastAsia="仿宋"/>
          <w:color w:val="auto"/>
          <w:sz w:val="24"/>
          <w:highlight w:val="none"/>
        </w:rPr>
        <w:t>（出入校园需提前至少1天进行报备，报备老师联系方式：张老师  18180628919）</w:t>
      </w:r>
    </w:p>
    <w:p w14:paraId="65C3CD0B">
      <w:pPr>
        <w:spacing w:line="400" w:lineRule="exact"/>
        <w:ind w:firstLine="480" w:firstLineChars="200"/>
        <w:rPr>
          <w:rFonts w:ascii="仿宋" w:hAnsi="仿宋" w:eastAsia="仿宋"/>
          <w:color w:val="auto"/>
          <w:sz w:val="24"/>
          <w:highlight w:val="none"/>
        </w:rPr>
      </w:pPr>
      <w:r>
        <w:rPr>
          <w:rFonts w:hint="eastAsia" w:ascii="仿宋" w:hAnsi="仿宋" w:eastAsia="仿宋" w:cs="仿宋"/>
          <w:color w:val="auto"/>
          <w:sz w:val="24"/>
          <w:highlight w:val="none"/>
        </w:rPr>
        <w:t>现场考察时间：</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文件售卖截止后的第一个工作日上午10时00分，现场考察地点：西南民族大学，联系人：易老师，联系电话：13730849518。</w:t>
      </w:r>
    </w:p>
    <w:p w14:paraId="1C497467">
      <w:pPr>
        <w:spacing w:line="360" w:lineRule="auto"/>
        <w:jc w:val="center"/>
        <w:rPr>
          <w:rFonts w:ascii="仿宋" w:hAnsi="仿宋" w:eastAsia="仿宋"/>
          <w:color w:val="auto"/>
          <w:highlight w:val="none"/>
        </w:rPr>
      </w:pPr>
      <w:bookmarkStart w:id="52" w:name="_Toc183682351"/>
      <w:bookmarkStart w:id="53" w:name="_Toc89075876"/>
      <w:bookmarkStart w:id="54" w:name="_Toc217446042"/>
      <w:bookmarkStart w:id="55" w:name="_Toc183582214"/>
      <w:bookmarkStart w:id="56" w:name="_Toc77400780"/>
    </w:p>
    <w:p w14:paraId="426EC540">
      <w:pPr>
        <w:spacing w:line="360" w:lineRule="auto"/>
        <w:jc w:val="center"/>
        <w:outlineLvl w:val="1"/>
        <w:rPr>
          <w:rFonts w:ascii="仿宋" w:hAnsi="仿宋" w:eastAsia="仿宋"/>
          <w:color w:val="auto"/>
          <w:highlight w:val="none"/>
        </w:rPr>
      </w:pPr>
      <w:bookmarkStart w:id="57" w:name="_Toc877"/>
      <w:bookmarkStart w:id="58" w:name="PO_默认文件内容_26"/>
      <w:r>
        <w:rPr>
          <w:rFonts w:hint="eastAsia" w:ascii="仿宋" w:hAnsi="仿宋" w:eastAsia="仿宋"/>
          <w:b/>
          <w:color w:val="auto"/>
          <w:sz w:val="32"/>
          <w:szCs w:val="32"/>
          <w:highlight w:val="none"/>
        </w:rPr>
        <w:t>四、响应文件</w:t>
      </w:r>
      <w:bookmarkEnd w:id="52"/>
      <w:bookmarkEnd w:id="53"/>
      <w:bookmarkEnd w:id="54"/>
      <w:bookmarkEnd w:id="55"/>
      <w:bookmarkEnd w:id="56"/>
      <w:bookmarkEnd w:id="57"/>
    </w:p>
    <w:p w14:paraId="24EFBC16">
      <w:pPr>
        <w:spacing w:line="400" w:lineRule="exact"/>
        <w:ind w:firstLine="482" w:firstLineChars="200"/>
        <w:outlineLvl w:val="2"/>
        <w:rPr>
          <w:rFonts w:ascii="仿宋" w:hAnsi="仿宋" w:eastAsia="仿宋"/>
          <w:b/>
          <w:bCs/>
          <w:color w:val="auto"/>
          <w:sz w:val="24"/>
          <w:szCs w:val="32"/>
          <w:highlight w:val="none"/>
        </w:rPr>
      </w:pPr>
      <w:bookmarkStart w:id="59" w:name="_Toc183682352"/>
      <w:bookmarkStart w:id="60" w:name="_Toc217446043"/>
      <w:bookmarkStart w:id="61" w:name="_Toc183582215"/>
      <w:r>
        <w:rPr>
          <w:rFonts w:hint="eastAsia" w:ascii="仿宋" w:hAnsi="仿宋" w:eastAsia="仿宋"/>
          <w:b/>
          <w:bCs/>
          <w:color w:val="auto"/>
          <w:sz w:val="24"/>
          <w:szCs w:val="32"/>
          <w:highlight w:val="none"/>
        </w:rPr>
        <w:t>13.响应文件的组成</w:t>
      </w:r>
    </w:p>
    <w:p w14:paraId="14CC7548">
      <w:pPr>
        <w:spacing w:line="400" w:lineRule="exact"/>
        <w:ind w:left="2" w:leftChars="1" w:firstLine="480" w:firstLineChars="200"/>
        <w:rPr>
          <w:rFonts w:ascii="仿宋" w:hAnsi="仿宋" w:eastAsia="仿宋"/>
          <w:color w:val="auto"/>
          <w:sz w:val="24"/>
          <w:highlight w:val="none"/>
        </w:rPr>
      </w:pPr>
      <w:r>
        <w:rPr>
          <w:rFonts w:hint="eastAsia" w:ascii="仿宋" w:hAnsi="仿宋" w:eastAsia="仿宋"/>
          <w:color w:val="auto"/>
          <w:sz w:val="24"/>
          <w:highlight w:val="none"/>
        </w:rPr>
        <w:t>13.1供应商应按照磋商文件的规定和要求编制响应文件。供应商在成交后将成交项目的非主体、非关键性工作分包他人完成的，应当在响应文件中载明或磋商过程中澄清。</w:t>
      </w:r>
      <w:r>
        <w:rPr>
          <w:rFonts w:hint="eastAsia" w:ascii="仿宋" w:hAnsi="仿宋" w:eastAsia="仿宋"/>
          <w:b/>
          <w:color w:val="auto"/>
          <w:sz w:val="24"/>
          <w:highlight w:val="none"/>
        </w:rPr>
        <w:t>（实质性要求）</w:t>
      </w:r>
    </w:p>
    <w:p w14:paraId="3FBC06C6">
      <w:pPr>
        <w:spacing w:line="400" w:lineRule="exact"/>
        <w:ind w:left="2" w:leftChars="1" w:firstLine="480" w:firstLineChars="200"/>
        <w:rPr>
          <w:rFonts w:ascii="仿宋" w:hAnsi="仿宋" w:eastAsia="仿宋"/>
          <w:color w:val="auto"/>
          <w:sz w:val="24"/>
          <w:highlight w:val="none"/>
        </w:rPr>
      </w:pPr>
      <w:r>
        <w:rPr>
          <w:rFonts w:hint="eastAsia" w:ascii="仿宋" w:hAnsi="仿宋" w:eastAsia="仿宋"/>
          <w:color w:val="auto"/>
          <w:sz w:val="24"/>
          <w:highlight w:val="none"/>
        </w:rPr>
        <w:t>13.2供应商编写的响应文件应包括资格性响应文件和其他响应文件两部分，分册装订。</w:t>
      </w:r>
    </w:p>
    <w:p w14:paraId="147BE52D">
      <w:pPr>
        <w:spacing w:line="360" w:lineRule="auto"/>
        <w:ind w:firstLine="480" w:firstLineChars="200"/>
        <w:rPr>
          <w:rFonts w:ascii="仿宋" w:hAnsi="仿宋" w:eastAsia="仿宋"/>
          <w:color w:val="auto"/>
          <w:sz w:val="24"/>
          <w:highlight w:val="none"/>
        </w:rPr>
      </w:pPr>
    </w:p>
    <w:p w14:paraId="64727269">
      <w:pPr>
        <w:spacing w:line="360" w:lineRule="auto"/>
        <w:ind w:firstLine="482" w:firstLineChars="200"/>
        <w:outlineLvl w:val="2"/>
        <w:rPr>
          <w:rFonts w:ascii="仿宋" w:hAnsi="仿宋" w:eastAsia="仿宋"/>
          <w:b/>
          <w:color w:val="auto"/>
          <w:sz w:val="24"/>
          <w:szCs w:val="32"/>
          <w:highlight w:val="none"/>
        </w:rPr>
      </w:pPr>
      <w:r>
        <w:rPr>
          <w:rFonts w:hint="eastAsia" w:ascii="仿宋" w:hAnsi="仿宋" w:eastAsia="仿宋"/>
          <w:b/>
          <w:color w:val="auto"/>
          <w:sz w:val="24"/>
          <w:szCs w:val="32"/>
          <w:highlight w:val="none"/>
        </w:rPr>
        <w:t>14.响应文件的语言</w:t>
      </w:r>
      <w:bookmarkEnd w:id="59"/>
      <w:bookmarkEnd w:id="60"/>
      <w:bookmarkEnd w:id="61"/>
    </w:p>
    <w:p w14:paraId="20E1E97B">
      <w:pPr>
        <w:tabs>
          <w:tab w:val="left" w:pos="1134"/>
        </w:tabs>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14.1供应商提交的响应文件以及供应商与采购组织单位就有关磋商采购的所有来往书面文件均须使用中文。响应文件中如附有外文资料，主要部分对应翻译成中文并加盖供应商公章后附在相关外文资料后面。</w:t>
      </w:r>
    </w:p>
    <w:p w14:paraId="5F427185">
      <w:pPr>
        <w:tabs>
          <w:tab w:val="left" w:pos="1134"/>
        </w:tabs>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14.2 翻译的中文资料与外文资料如果出现差异和矛盾时，以中文为准。涉嫌虚假响应的按照相关法律法规处理。</w:t>
      </w:r>
    </w:p>
    <w:p w14:paraId="088C4D90">
      <w:pPr>
        <w:tabs>
          <w:tab w:val="left" w:pos="1134"/>
        </w:tabs>
        <w:spacing w:line="360" w:lineRule="auto"/>
        <w:ind w:firstLine="480" w:firstLineChars="200"/>
        <w:jc w:val="left"/>
        <w:rPr>
          <w:rFonts w:ascii="仿宋" w:hAnsi="仿宋" w:eastAsia="仿宋" w:cs="仿宋"/>
          <w:color w:val="auto"/>
          <w:sz w:val="24"/>
          <w:highlight w:val="none"/>
        </w:rPr>
      </w:pPr>
      <w:bookmarkStart w:id="62" w:name="_Toc183682353"/>
      <w:bookmarkStart w:id="63" w:name="_Toc183582216"/>
      <w:bookmarkStart w:id="64" w:name="_Toc217446044"/>
      <w:r>
        <w:rPr>
          <w:rFonts w:hint="eastAsia" w:ascii="仿宋" w:hAnsi="仿宋" w:eastAsia="仿宋" w:cs="仿宋"/>
          <w:color w:val="auto"/>
          <w:sz w:val="24"/>
          <w:highlight w:val="none"/>
        </w:rPr>
        <w:t>14.3 未翻译的外文资料，磋商小组可将其视为无效材料。</w:t>
      </w:r>
    </w:p>
    <w:p w14:paraId="6974ED93">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15．计量单位</w:t>
      </w:r>
      <w:bookmarkEnd w:id="62"/>
      <w:bookmarkEnd w:id="63"/>
      <w:bookmarkEnd w:id="64"/>
      <w:r>
        <w:rPr>
          <w:rFonts w:hint="eastAsia" w:ascii="仿宋" w:hAnsi="仿宋" w:eastAsia="仿宋"/>
          <w:b/>
          <w:bCs/>
          <w:color w:val="auto"/>
          <w:sz w:val="24"/>
          <w:szCs w:val="32"/>
          <w:highlight w:val="none"/>
        </w:rPr>
        <w:t>（实质性要求）</w:t>
      </w:r>
    </w:p>
    <w:p w14:paraId="45BA780F">
      <w:pPr>
        <w:spacing w:line="360" w:lineRule="auto"/>
        <w:ind w:firstLine="446" w:firstLineChars="196"/>
        <w:rPr>
          <w:rFonts w:hint="eastAsia" w:ascii="仿宋" w:hAnsi="仿宋" w:eastAsia="仿宋" w:cs="仿宋"/>
          <w:color w:val="auto"/>
          <w:spacing w:val="-6"/>
          <w:kern w:val="0"/>
          <w:sz w:val="24"/>
          <w:szCs w:val="20"/>
          <w:highlight w:val="none"/>
          <w:lang w:val="en-US" w:eastAsia="zh-CN" w:bidi="ar-SA"/>
        </w:rPr>
      </w:pPr>
      <w:r>
        <w:rPr>
          <w:rFonts w:hint="eastAsia" w:ascii="仿宋" w:hAnsi="仿宋" w:eastAsia="仿宋" w:cs="仿宋"/>
          <w:color w:val="auto"/>
          <w:spacing w:val="-6"/>
          <w:kern w:val="0"/>
          <w:sz w:val="24"/>
          <w:szCs w:val="20"/>
          <w:highlight w:val="none"/>
          <w:lang w:val="en-US" w:eastAsia="zh-CN" w:bidi="ar-SA"/>
        </w:rPr>
        <w:t>除磋商文件中另有规定外，本次采购项目所有合同项下的报价均采用国家法定的计量单位。</w:t>
      </w:r>
      <w:bookmarkStart w:id="65" w:name="_Toc217446045"/>
    </w:p>
    <w:p w14:paraId="6CEA0F4A">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16. 报价（实质性要求）</w:t>
      </w:r>
    </w:p>
    <w:p w14:paraId="5FEFD373">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16.1 所有报价一律以人民币报价。采购人不接受任何非人民币币种的报价。</w:t>
      </w:r>
    </w:p>
    <w:p w14:paraId="0F6BEDA1">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16.2 供应商的报价是其响应本项目要求的全部工作内容的价格体现，包括供应商完成本项目所需的一切费用。</w:t>
      </w:r>
    </w:p>
    <w:p w14:paraId="450EEB9E">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16.3 本项目合同价格形式为</w:t>
      </w:r>
      <w:r>
        <w:rPr>
          <w:rFonts w:hint="eastAsia" w:ascii="仿宋" w:hAnsi="仿宋" w:eastAsia="仿宋"/>
          <w:bCs/>
          <w:color w:val="auto"/>
          <w:sz w:val="24"/>
          <w:highlight w:val="none"/>
          <w:u w:val="single"/>
        </w:rPr>
        <w:t>固定综合单价合同</w:t>
      </w:r>
      <w:r>
        <w:rPr>
          <w:rFonts w:hint="eastAsia" w:ascii="仿宋" w:hAnsi="仿宋" w:eastAsia="仿宋"/>
          <w:bCs/>
          <w:color w:val="auto"/>
          <w:sz w:val="24"/>
          <w:highlight w:val="none"/>
        </w:rPr>
        <w:t>。采用工程量清单报价，供应商不得改变工程量清单项目编码、名称、特征描述、</w:t>
      </w:r>
      <w:r>
        <w:rPr>
          <w:rFonts w:ascii="仿宋" w:hAnsi="仿宋" w:eastAsia="仿宋"/>
          <w:bCs/>
          <w:color w:val="auto"/>
          <w:sz w:val="24"/>
          <w:highlight w:val="none"/>
        </w:rPr>
        <w:t>计量单位</w:t>
      </w:r>
      <w:r>
        <w:rPr>
          <w:rFonts w:hint="eastAsia" w:ascii="仿宋" w:hAnsi="仿宋" w:eastAsia="仿宋"/>
          <w:bCs/>
          <w:color w:val="auto"/>
          <w:sz w:val="24"/>
          <w:highlight w:val="none"/>
        </w:rPr>
        <w:t>和数量，暂定金额、暂估价按工程量清单（</w:t>
      </w:r>
      <w:r>
        <w:rPr>
          <w:rFonts w:ascii="仿宋" w:hAnsi="仿宋" w:eastAsia="仿宋"/>
          <w:bCs/>
          <w:color w:val="auto"/>
          <w:sz w:val="24"/>
          <w:highlight w:val="none"/>
        </w:rPr>
        <w:t>说明</w:t>
      </w:r>
      <w:r>
        <w:rPr>
          <w:rFonts w:hint="eastAsia" w:ascii="仿宋" w:hAnsi="仿宋" w:eastAsia="仿宋"/>
          <w:bCs/>
          <w:color w:val="auto"/>
          <w:sz w:val="24"/>
          <w:highlight w:val="none"/>
        </w:rPr>
        <w:t>）列入。</w:t>
      </w:r>
    </w:p>
    <w:p w14:paraId="2E0578F6">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16.4 供应商在首次提交的响应文件中的报价（即首次报价）应按磋商文件及工程量清单编制要求，列出报价的构成及明细，包括但不限于分部分项工程、措施项目、其他项目、规费及税金等。</w:t>
      </w:r>
    </w:p>
    <w:p w14:paraId="72EF211F">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16.5 若供应商的最后报价只有一个总价，且相对首次报价有调整，则该调整金额将会以百分比形式套用于首次报价中除安全文明施工费、规费、暂估价、暂列金额、税金以及包干费用以外的各项目单价，调整后的单价作为工程变更及竣工结算的依据。此百分比（保留两位小数）计算如下：</w:t>
      </w:r>
    </w:p>
    <w:p w14:paraId="75677F5A">
      <w:pPr>
        <w:spacing w:line="240" w:lineRule="atLeast"/>
        <w:ind w:firstLine="468" w:firstLineChars="195"/>
        <w:rPr>
          <w:rFonts w:ascii="仿宋" w:hAnsi="仿宋" w:eastAsia="仿宋"/>
          <w:bCs/>
          <w:color w:val="auto"/>
          <w:szCs w:val="21"/>
          <w:highlight w:val="none"/>
        </w:rPr>
      </w:pPr>
      <w:r>
        <w:rPr>
          <w:rFonts w:hint="eastAsia" w:ascii="仿宋" w:hAnsi="仿宋" w:eastAsia="仿宋"/>
          <w:bCs/>
          <w:color w:val="auto"/>
          <w:sz w:val="24"/>
          <w:highlight w:val="none"/>
        </w:rPr>
        <w:tab/>
      </w:r>
      <w:r>
        <w:rPr>
          <w:rFonts w:hint="eastAsia" w:ascii="仿宋" w:hAnsi="仿宋" w:eastAsia="仿宋"/>
          <w:bCs/>
          <w:color w:val="auto"/>
          <w:sz w:val="24"/>
          <w:highlight w:val="none"/>
        </w:rPr>
        <w:tab/>
      </w:r>
      <w:r>
        <w:rPr>
          <w:rFonts w:hint="eastAsia" w:ascii="仿宋" w:hAnsi="仿宋" w:eastAsia="仿宋"/>
          <w:bCs/>
          <w:color w:val="auto"/>
          <w:sz w:val="24"/>
          <w:highlight w:val="none"/>
        </w:rPr>
        <w:t xml:space="preserve">                   </w:t>
      </w:r>
      <w:r>
        <w:rPr>
          <w:rFonts w:hint="eastAsia" w:ascii="仿宋" w:hAnsi="仿宋" w:eastAsia="仿宋"/>
          <w:bCs/>
          <w:color w:val="auto"/>
          <w:szCs w:val="21"/>
          <w:highlight w:val="none"/>
        </w:rPr>
        <w:t xml:space="preserve">（±）调整金额                                                  </w:t>
      </w:r>
    </w:p>
    <w:p w14:paraId="75A5E3B9">
      <w:pPr>
        <w:spacing w:line="240" w:lineRule="atLeast"/>
        <w:rPr>
          <w:rFonts w:ascii="仿宋" w:hAnsi="仿宋" w:eastAsia="仿宋"/>
          <w:bCs/>
          <w:color w:val="auto"/>
          <w:sz w:val="24"/>
          <w:highlight w:val="none"/>
        </w:rPr>
      </w:pPr>
      <w:r>
        <w:rPr>
          <w:rFonts w:hint="eastAsia" w:ascii="仿宋" w:hAnsi="仿宋" w:eastAsia="仿宋"/>
          <w:bCs/>
          <w:color w:val="auto"/>
          <w:szCs w:val="21"/>
          <w:highlight w:val="none"/>
        </w:rPr>
        <w:t>百分比</w:t>
      </w:r>
      <w:r>
        <w:rPr>
          <w:rFonts w:hint="eastAsia" w:ascii="仿宋" w:hAnsi="仿宋" w:eastAsia="仿宋"/>
          <w:bCs/>
          <w:color w:val="auto"/>
          <w:sz w:val="24"/>
          <w:highlight w:val="none"/>
        </w:rPr>
        <w:t>= ————————————————————————————×100%</w:t>
      </w:r>
    </w:p>
    <w:p w14:paraId="3CAC1688">
      <w:pPr>
        <w:spacing w:line="240" w:lineRule="atLeast"/>
        <w:ind w:firstLine="840" w:firstLineChars="400"/>
        <w:rPr>
          <w:rFonts w:ascii="仿宋" w:hAnsi="仿宋" w:eastAsia="仿宋"/>
          <w:bCs/>
          <w:color w:val="auto"/>
          <w:szCs w:val="21"/>
          <w:highlight w:val="none"/>
        </w:rPr>
      </w:pPr>
      <w:r>
        <w:rPr>
          <w:rFonts w:hint="eastAsia" w:ascii="仿宋" w:hAnsi="仿宋" w:eastAsia="仿宋"/>
          <w:bCs/>
          <w:color w:val="auto"/>
          <w:szCs w:val="21"/>
          <w:highlight w:val="none"/>
        </w:rPr>
        <w:t>修正后的首次报价-安全文明施工费-规费-暂估价-暂列金额-税金-包干费用</w:t>
      </w:r>
    </w:p>
    <w:p w14:paraId="7EB4238B">
      <w:pPr>
        <w:spacing w:line="240" w:lineRule="atLeast"/>
        <w:ind w:firstLine="840" w:firstLineChars="400"/>
        <w:rPr>
          <w:rFonts w:ascii="仿宋" w:hAnsi="仿宋" w:eastAsia="仿宋"/>
          <w:bCs/>
          <w:color w:val="auto"/>
          <w:szCs w:val="21"/>
          <w:highlight w:val="none"/>
        </w:rPr>
      </w:pPr>
    </w:p>
    <w:p w14:paraId="220119EA">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16.6 供应商报价超过采购预算或最高限价（具体详见“供应商须知附表”）的，视为无效报价。</w:t>
      </w:r>
      <w:bookmarkEnd w:id="65"/>
    </w:p>
    <w:p w14:paraId="34FCCF4C">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17.响应文件格式</w:t>
      </w:r>
    </w:p>
    <w:p w14:paraId="1BFE23CB">
      <w:pPr>
        <w:spacing w:line="360" w:lineRule="auto"/>
        <w:ind w:left="2" w:leftChars="1"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17.1 供应商应执行磋商文件第八章的规定要求。</w:t>
      </w:r>
    </w:p>
    <w:p w14:paraId="10787A70">
      <w:pPr>
        <w:spacing w:line="360" w:lineRule="auto"/>
        <w:ind w:left="2" w:leftChars="1" w:firstLine="480" w:firstLineChars="200"/>
        <w:rPr>
          <w:rFonts w:ascii="仿宋" w:hAnsi="仿宋" w:eastAsia="仿宋"/>
          <w:color w:val="auto"/>
          <w:sz w:val="24"/>
          <w:highlight w:val="none"/>
        </w:rPr>
      </w:pPr>
      <w:r>
        <w:rPr>
          <w:rFonts w:hint="eastAsia" w:ascii="仿宋" w:hAnsi="仿宋" w:eastAsia="仿宋"/>
          <w:color w:val="auto"/>
          <w:sz w:val="24"/>
          <w:highlight w:val="none"/>
        </w:rPr>
        <w:t>17.2 对于没有格式要求的磋商文件由供应商自行编写。</w:t>
      </w:r>
      <w:bookmarkStart w:id="66" w:name="_Toc183682361"/>
      <w:bookmarkStart w:id="67" w:name="_Toc183582224"/>
      <w:bookmarkStart w:id="68" w:name="_Toc217446051"/>
    </w:p>
    <w:p w14:paraId="23B7D22E">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18.响应文件的编制和签署</w:t>
      </w:r>
    </w:p>
    <w:p w14:paraId="27788344">
      <w:pPr>
        <w:spacing w:line="360" w:lineRule="auto"/>
        <w:ind w:firstLine="468" w:firstLineChars="195"/>
        <w:rPr>
          <w:rFonts w:ascii="仿宋" w:hAnsi="仿宋" w:eastAsia="仿宋"/>
          <w:bCs/>
          <w:color w:val="auto"/>
          <w:sz w:val="24"/>
          <w:highlight w:val="none"/>
        </w:rPr>
      </w:pPr>
      <w:r>
        <w:rPr>
          <w:rFonts w:hint="eastAsia" w:ascii="仿宋" w:hAnsi="仿宋" w:eastAsia="仿宋"/>
          <w:color w:val="auto"/>
          <w:sz w:val="24"/>
          <w:highlight w:val="none"/>
        </w:rPr>
        <w:t>18.1 资格性响应文件正本1份副本2份</w:t>
      </w:r>
      <w:r>
        <w:rPr>
          <w:rFonts w:hint="eastAsia" w:ascii="仿宋" w:hAnsi="仿宋" w:eastAsia="仿宋"/>
          <w:bCs/>
          <w:color w:val="auto"/>
          <w:sz w:val="24"/>
          <w:highlight w:val="none"/>
        </w:rPr>
        <w:t>，并在其封面上清楚地标明资格性响应文件、采购项目名称、采购项目编号、包件号及名称（若有）、供应商名称以及“正本”或“副本”字样。若正本和副本有不一致的内容，以正本书面响应文件为准。</w:t>
      </w:r>
    </w:p>
    <w:p w14:paraId="5F11CAA0">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18.2 其他响应文件正本1份副本2份，并在其封面上清楚地标明其他响应文件、采购项目名称、采购项目编号、包件号及名称（若有）、供应商名称以及“正本”或“副本”字样。若正本和副本有不一致的内容，以正本书面响应文件为准。</w:t>
      </w:r>
      <w:bookmarkEnd w:id="66"/>
      <w:bookmarkEnd w:id="67"/>
      <w:bookmarkEnd w:id="68"/>
    </w:p>
    <w:p w14:paraId="3F57B2A6">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18.3 响应文件正本和副本均需在规定签章处签字和盖章。响应文件副本可采用正本的复印件，提供响应文件电子文档1份采用U盘制作（包括</w:t>
      </w:r>
      <w:r>
        <w:rPr>
          <w:rFonts w:ascii="仿宋" w:hAnsi="仿宋" w:eastAsia="仿宋"/>
          <w:bCs/>
          <w:color w:val="auto"/>
          <w:sz w:val="24"/>
          <w:highlight w:val="none"/>
        </w:rPr>
        <w:t>但</w:t>
      </w:r>
      <w:r>
        <w:rPr>
          <w:rFonts w:hint="eastAsia" w:ascii="仿宋" w:hAnsi="仿宋" w:eastAsia="仿宋"/>
          <w:bCs/>
          <w:color w:val="auto"/>
          <w:sz w:val="24"/>
          <w:highlight w:val="none"/>
        </w:rPr>
        <w:t>不限于由专业计价软件编制的报价文件及其导出的EXCEL文件</w:t>
      </w:r>
      <w:r>
        <w:rPr>
          <w:rFonts w:ascii="仿宋" w:hAnsi="仿宋" w:eastAsia="仿宋"/>
          <w:bCs/>
          <w:color w:val="auto"/>
          <w:sz w:val="24"/>
          <w:highlight w:val="none"/>
        </w:rPr>
        <w:t>）</w:t>
      </w:r>
      <w:r>
        <w:rPr>
          <w:rFonts w:hint="eastAsia" w:ascii="仿宋" w:hAnsi="仿宋" w:eastAsia="仿宋"/>
          <w:bCs/>
          <w:color w:val="auto"/>
          <w:sz w:val="24"/>
          <w:highlight w:val="none"/>
        </w:rPr>
        <w:t>（电子文档仅用于存档，不作为评审材料）。</w:t>
      </w:r>
    </w:p>
    <w:p w14:paraId="6849849C">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18.4响应文件的打印和书写应清楚工整，任何行间插字、涂改或增删，必须由供应商的法定代表人/单位负责人或其授权代表签字并盖供应商公章。</w:t>
      </w:r>
    </w:p>
    <w:p w14:paraId="59D447C2">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18.5</w:t>
      </w:r>
      <w:r>
        <w:rPr>
          <w:rFonts w:hint="eastAsia" w:ascii="仿宋" w:hAnsi="仿宋" w:eastAsia="仿宋"/>
          <w:b/>
          <w:bCs/>
          <w:color w:val="auto"/>
          <w:sz w:val="24"/>
          <w:highlight w:val="none"/>
        </w:rPr>
        <w:t>（实质性要求）</w:t>
      </w:r>
      <w:r>
        <w:rPr>
          <w:rFonts w:hint="eastAsia" w:ascii="仿宋" w:hAnsi="仿宋" w:eastAsia="仿宋"/>
          <w:bCs/>
          <w:color w:val="auto"/>
          <w:sz w:val="24"/>
          <w:highlight w:val="none"/>
        </w:rPr>
        <w:t>响应文件应由供应商法定代表人/主要负责人/本人或其授权代表在响应文件要求的地方签字（注：</w:t>
      </w:r>
      <w:r>
        <w:rPr>
          <w:rFonts w:hint="eastAsia" w:ascii="仿宋" w:hAnsi="仿宋" w:eastAsia="仿宋"/>
          <w:color w:val="auto"/>
          <w:sz w:val="24"/>
          <w:highlight w:val="none"/>
        </w:rPr>
        <w:t>供应商为法人的，应当由其法定代表人或者</w:t>
      </w:r>
      <w:r>
        <w:rPr>
          <w:rFonts w:hint="eastAsia" w:ascii="仿宋" w:hAnsi="仿宋" w:eastAsia="仿宋"/>
          <w:bCs/>
          <w:color w:val="auto"/>
          <w:sz w:val="24"/>
          <w:highlight w:val="none"/>
        </w:rPr>
        <w:t>授权代表</w:t>
      </w:r>
      <w:r>
        <w:rPr>
          <w:rFonts w:hint="eastAsia" w:ascii="仿宋" w:hAnsi="仿宋" w:eastAsia="仿宋"/>
          <w:color w:val="auto"/>
          <w:sz w:val="24"/>
          <w:highlight w:val="none"/>
        </w:rPr>
        <w:t>签字确认；供应商为其他组织的，应当由其主要负责人或者</w:t>
      </w:r>
      <w:r>
        <w:rPr>
          <w:rFonts w:hint="eastAsia" w:ascii="仿宋" w:hAnsi="仿宋" w:eastAsia="仿宋"/>
          <w:bCs/>
          <w:color w:val="auto"/>
          <w:sz w:val="24"/>
          <w:highlight w:val="none"/>
        </w:rPr>
        <w:t>授权代表</w:t>
      </w:r>
      <w:r>
        <w:rPr>
          <w:rFonts w:hint="eastAsia" w:ascii="仿宋" w:hAnsi="仿宋" w:eastAsia="仿宋"/>
          <w:color w:val="auto"/>
          <w:sz w:val="24"/>
          <w:highlight w:val="none"/>
        </w:rPr>
        <w:t>签字确认；供应商为自然人的，应当由其本人或者</w:t>
      </w:r>
      <w:r>
        <w:rPr>
          <w:rFonts w:hint="eastAsia" w:ascii="仿宋" w:hAnsi="仿宋" w:eastAsia="仿宋"/>
          <w:bCs/>
          <w:color w:val="auto"/>
          <w:sz w:val="24"/>
          <w:highlight w:val="none"/>
        </w:rPr>
        <w:t>授权代表</w:t>
      </w:r>
      <w:r>
        <w:rPr>
          <w:rFonts w:hint="eastAsia" w:ascii="仿宋" w:hAnsi="仿宋" w:eastAsia="仿宋"/>
          <w:color w:val="auto"/>
          <w:sz w:val="24"/>
          <w:highlight w:val="none"/>
        </w:rPr>
        <w:t>签字确认</w:t>
      </w:r>
      <w:r>
        <w:rPr>
          <w:rFonts w:hint="eastAsia" w:ascii="仿宋" w:hAnsi="仿宋" w:eastAsia="仿宋"/>
          <w:bCs/>
          <w:color w:val="auto"/>
          <w:sz w:val="24"/>
          <w:highlight w:val="none"/>
        </w:rPr>
        <w:t>）或加盖私人印章，要求加盖公章的地方加盖单位公章，不得使用专用章（如经济合同章、投标专用章等）或下属单位印章代替。</w:t>
      </w:r>
    </w:p>
    <w:p w14:paraId="64B24AF3">
      <w:pPr>
        <w:spacing w:line="360" w:lineRule="auto"/>
        <w:ind w:firstLine="468" w:firstLineChars="195"/>
        <w:rPr>
          <w:rFonts w:ascii="仿宋" w:hAnsi="仿宋" w:eastAsia="仿宋"/>
          <w:bCs/>
          <w:color w:val="auto"/>
          <w:sz w:val="24"/>
          <w:highlight w:val="none"/>
        </w:rPr>
      </w:pPr>
      <w:r>
        <w:rPr>
          <w:rFonts w:hint="eastAsia" w:ascii="仿宋" w:hAnsi="仿宋" w:eastAsia="仿宋"/>
          <w:bCs/>
          <w:color w:val="auto"/>
          <w:sz w:val="24"/>
          <w:highlight w:val="none"/>
        </w:rPr>
        <w:t>18.6响应文件正本和副本需要逐页编目编码。</w:t>
      </w:r>
    </w:p>
    <w:p w14:paraId="2CF75FFD">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18.7响应文件正本和副本应当采用胶装方式装订成册，不得散装或者合页装订。</w:t>
      </w:r>
    </w:p>
    <w:p w14:paraId="721E3E4C">
      <w:pPr>
        <w:tabs>
          <w:tab w:val="left" w:pos="1080"/>
        </w:tabs>
        <w:spacing w:line="400" w:lineRule="exact"/>
        <w:ind w:firstLine="460" w:firstLineChars="192"/>
        <w:rPr>
          <w:rFonts w:ascii="仿宋" w:hAnsi="仿宋" w:eastAsia="仿宋"/>
          <w:color w:val="auto"/>
          <w:sz w:val="24"/>
          <w:highlight w:val="none"/>
        </w:rPr>
      </w:pPr>
      <w:r>
        <w:rPr>
          <w:rFonts w:hint="eastAsia" w:ascii="仿宋" w:hAnsi="仿宋" w:eastAsia="仿宋"/>
          <w:color w:val="auto"/>
          <w:sz w:val="24"/>
          <w:highlight w:val="none"/>
        </w:rPr>
        <w:t>18.8</w:t>
      </w:r>
      <w:r>
        <w:rPr>
          <w:rFonts w:hint="eastAsia" w:ascii="仿宋" w:hAnsi="仿宋" w:eastAsia="仿宋"/>
          <w:b/>
          <w:color w:val="auto"/>
          <w:sz w:val="24"/>
          <w:highlight w:val="none"/>
        </w:rPr>
        <w:t>（实质性要求）</w:t>
      </w:r>
      <w:r>
        <w:rPr>
          <w:rFonts w:hint="eastAsia" w:ascii="仿宋" w:hAnsi="仿宋" w:eastAsia="仿宋"/>
          <w:color w:val="auto"/>
          <w:sz w:val="24"/>
          <w:highlight w:val="none"/>
        </w:rPr>
        <w:t>响应文件应按磋商文件的要求签署、盖章（第六章</w:t>
      </w:r>
      <w:r>
        <w:rPr>
          <w:rFonts w:ascii="仿宋" w:hAnsi="仿宋" w:eastAsia="仿宋"/>
          <w:color w:val="auto"/>
          <w:sz w:val="24"/>
          <w:highlight w:val="none"/>
        </w:rPr>
        <w:t>4.6</w:t>
      </w:r>
      <w:r>
        <w:rPr>
          <w:rFonts w:hint="eastAsia" w:ascii="仿宋" w:hAnsi="仿宋" w:eastAsia="仿宋"/>
          <w:color w:val="auto"/>
          <w:sz w:val="24"/>
          <w:highlight w:val="none"/>
        </w:rPr>
        <w:t>规定</w:t>
      </w:r>
      <w:r>
        <w:rPr>
          <w:rFonts w:ascii="仿宋" w:hAnsi="仿宋" w:eastAsia="仿宋"/>
          <w:color w:val="auto"/>
          <w:sz w:val="24"/>
          <w:highlight w:val="none"/>
        </w:rPr>
        <w:t>的</w:t>
      </w:r>
      <w:r>
        <w:rPr>
          <w:rFonts w:hint="eastAsia" w:ascii="仿宋" w:hAnsi="仿宋" w:eastAsia="仿宋"/>
          <w:color w:val="auto"/>
          <w:sz w:val="24"/>
          <w:highlight w:val="none"/>
        </w:rPr>
        <w:t>例外</w:t>
      </w:r>
      <w:r>
        <w:rPr>
          <w:rFonts w:ascii="仿宋" w:hAnsi="仿宋" w:eastAsia="仿宋"/>
          <w:color w:val="auto"/>
          <w:sz w:val="24"/>
          <w:highlight w:val="none"/>
        </w:rPr>
        <w:t>情形除外</w:t>
      </w:r>
      <w:r>
        <w:rPr>
          <w:rFonts w:hint="eastAsia" w:ascii="仿宋" w:hAnsi="仿宋" w:eastAsia="仿宋"/>
          <w:color w:val="auto"/>
          <w:sz w:val="24"/>
          <w:highlight w:val="none"/>
        </w:rPr>
        <w:t>）。</w:t>
      </w:r>
    </w:p>
    <w:p w14:paraId="17AF9478">
      <w:pPr>
        <w:tabs>
          <w:tab w:val="left" w:pos="1080"/>
        </w:tabs>
        <w:spacing w:line="360" w:lineRule="auto"/>
        <w:ind w:firstLine="460" w:firstLineChars="192"/>
        <w:rPr>
          <w:rFonts w:ascii="仿宋" w:hAnsi="仿宋" w:eastAsia="仿宋"/>
          <w:b/>
          <w:color w:val="auto"/>
          <w:sz w:val="24"/>
          <w:highlight w:val="none"/>
        </w:rPr>
      </w:pPr>
      <w:r>
        <w:rPr>
          <w:rFonts w:hint="eastAsia" w:ascii="仿宋" w:hAnsi="仿宋" w:eastAsia="仿宋"/>
          <w:color w:val="auto"/>
          <w:sz w:val="24"/>
          <w:highlight w:val="none"/>
        </w:rPr>
        <w:t>18.9响应文件统一用</w:t>
      </w:r>
      <w:r>
        <w:rPr>
          <w:rFonts w:ascii="仿宋" w:hAnsi="仿宋" w:eastAsia="仿宋"/>
          <w:color w:val="auto"/>
          <w:sz w:val="24"/>
          <w:highlight w:val="none"/>
        </w:rPr>
        <w:t>A4</w:t>
      </w:r>
      <w:r>
        <w:rPr>
          <w:rFonts w:hint="eastAsia" w:ascii="仿宋" w:hAnsi="仿宋" w:eastAsia="仿宋"/>
          <w:color w:val="auto"/>
          <w:sz w:val="24"/>
          <w:highlight w:val="none"/>
        </w:rPr>
        <w:t>幅面纸印制，除另有规定外。</w:t>
      </w:r>
      <w:bookmarkStart w:id="69" w:name="_Toc89075877"/>
      <w:bookmarkStart w:id="70" w:name="_Toc183582226"/>
      <w:bookmarkStart w:id="71" w:name="_Toc77400781"/>
      <w:bookmarkStart w:id="72" w:name="_Toc217446053"/>
      <w:bookmarkStart w:id="73" w:name="_Toc183682363"/>
    </w:p>
    <w:p w14:paraId="55A078C7">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19.响应文件的密封和标注（不属于本项目磋商小组评审范畴，由采购人、采购代理机构在接收响应文件时及时处理）</w:t>
      </w:r>
    </w:p>
    <w:p w14:paraId="4301FF5D">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19.1 响应文件可以单独密封包装，也可以所有响应文件密封包装在一个密封袋内。</w:t>
      </w:r>
    </w:p>
    <w:p w14:paraId="2BC1892D">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19.2 响应文件密封袋的最外层应清楚地标明采购项目名称、采购项目编号、包件号及名称（若有）、供应商名称。</w:t>
      </w:r>
    </w:p>
    <w:p w14:paraId="25AA2EC9">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19.3 所有外层密封袋的封口处应粘贴牢固。</w:t>
      </w:r>
    </w:p>
    <w:p w14:paraId="6F0B9AFB">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19.4 未密封的响应文件，采购人、采购代理机构将拒收或者在时间允许的范围内，要求供应商修改完善后接收。</w:t>
      </w:r>
    </w:p>
    <w:p w14:paraId="0C03D77F">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20.响应文件的递交</w:t>
      </w:r>
    </w:p>
    <w:p w14:paraId="5DA5DC8C">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20.1 资格性响应文件和其他响应文件应于递交响应文件截止时间前送达指定地点，采购代理机构拒绝接收截止时间后送达的响应文件。供应商在递交响应文件时，用正楷填写“递</w:t>
      </w:r>
      <w:r>
        <w:rPr>
          <w:rFonts w:hint="eastAsia" w:ascii="仿宋" w:hAnsi="仿宋" w:eastAsia="仿宋" w:cs="仿宋"/>
          <w:color w:val="auto"/>
          <w:spacing w:val="-6"/>
          <w:kern w:val="0"/>
          <w:sz w:val="24"/>
          <w:szCs w:val="20"/>
          <w:highlight w:val="none"/>
          <w:lang w:val="en-US" w:eastAsia="zh-CN" w:bidi="ar-SA"/>
        </w:rPr>
        <w:t>交响应文件签收表”（现场提供）然后将签收表和响应文件一并递交给采购代理机构工作人员。</w:t>
      </w:r>
    </w:p>
    <w:p w14:paraId="369B5C75">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20.2 采购代理机构将向通过资格审查的供应商发出磋商邀请；告知未通过资格审查的供应商未通过的原因。</w:t>
      </w:r>
    </w:p>
    <w:p w14:paraId="2B6D5214">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20.3 报价表在磋商后，磋商小组要求供应商进行最后报价时递交。</w:t>
      </w:r>
    </w:p>
    <w:p w14:paraId="469C244B">
      <w:pPr>
        <w:tabs>
          <w:tab w:val="left" w:pos="1080"/>
        </w:tabs>
        <w:spacing w:line="360" w:lineRule="auto"/>
        <w:ind w:firstLine="460" w:firstLineChars="192"/>
        <w:rPr>
          <w:rFonts w:ascii="仿宋" w:hAnsi="仿宋" w:eastAsia="仿宋"/>
          <w:color w:val="auto"/>
          <w:sz w:val="24"/>
          <w:highlight w:val="none"/>
        </w:rPr>
      </w:pPr>
      <w:r>
        <w:rPr>
          <w:rFonts w:hint="eastAsia" w:ascii="仿宋" w:hAnsi="仿宋" w:eastAsia="仿宋"/>
          <w:color w:val="auto"/>
          <w:sz w:val="24"/>
          <w:highlight w:val="none"/>
        </w:rPr>
        <w:t>20.4 本次采购不接收邮寄的响应文件。</w:t>
      </w:r>
      <w:bookmarkEnd w:id="69"/>
      <w:bookmarkEnd w:id="70"/>
      <w:bookmarkEnd w:id="71"/>
      <w:bookmarkEnd w:id="72"/>
      <w:bookmarkEnd w:id="73"/>
    </w:p>
    <w:p w14:paraId="02D0A8E9">
      <w:pPr>
        <w:spacing w:line="360" w:lineRule="auto"/>
        <w:ind w:firstLine="482" w:firstLineChars="200"/>
        <w:outlineLvl w:val="2"/>
        <w:rPr>
          <w:rFonts w:ascii="仿宋" w:hAnsi="仿宋" w:eastAsia="仿宋"/>
          <w:b/>
          <w:bCs/>
          <w:color w:val="auto"/>
          <w:sz w:val="24"/>
          <w:szCs w:val="32"/>
          <w:highlight w:val="none"/>
        </w:rPr>
      </w:pPr>
      <w:bookmarkStart w:id="74" w:name="_Toc183682365"/>
      <w:bookmarkStart w:id="75" w:name="_Toc183582228"/>
      <w:bookmarkStart w:id="76" w:name="_Toc217446055"/>
      <w:r>
        <w:rPr>
          <w:rFonts w:hint="eastAsia" w:ascii="仿宋" w:hAnsi="仿宋" w:eastAsia="仿宋"/>
          <w:b/>
          <w:bCs/>
          <w:color w:val="auto"/>
          <w:sz w:val="24"/>
          <w:szCs w:val="32"/>
          <w:highlight w:val="none"/>
        </w:rPr>
        <w:t>21.响应文件的修改和撤回（补充、修改响应文件的密封和标注按照本章“19.响应文件的密封和标注”规定处理）</w:t>
      </w:r>
    </w:p>
    <w:p w14:paraId="1F5CFD23">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21</w:t>
      </w:r>
      <w:r>
        <w:rPr>
          <w:rFonts w:ascii="仿宋" w:hAnsi="仿宋" w:eastAsia="仿宋"/>
          <w:color w:val="auto"/>
          <w:sz w:val="24"/>
          <w:highlight w:val="none"/>
        </w:rPr>
        <w:t>.</w:t>
      </w:r>
      <w:r>
        <w:rPr>
          <w:rFonts w:hint="eastAsia" w:ascii="仿宋" w:hAnsi="仿宋" w:eastAsia="仿宋"/>
          <w:color w:val="auto"/>
          <w:sz w:val="24"/>
          <w:highlight w:val="none"/>
        </w:rPr>
        <w:t>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2924B992">
      <w:pPr>
        <w:adjustRightInd w:val="0"/>
        <w:snapToGrid w:val="0"/>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21</w:t>
      </w:r>
      <w:r>
        <w:rPr>
          <w:rFonts w:ascii="仿宋" w:hAnsi="仿宋" w:eastAsia="仿宋"/>
          <w:color w:val="auto"/>
          <w:sz w:val="24"/>
          <w:highlight w:val="none"/>
        </w:rPr>
        <w:t>.</w:t>
      </w:r>
      <w:r>
        <w:rPr>
          <w:rFonts w:hint="eastAsia" w:ascii="仿宋" w:hAnsi="仿宋" w:eastAsia="仿宋"/>
          <w:color w:val="auto"/>
          <w:sz w:val="24"/>
          <w:highlight w:val="none"/>
        </w:rPr>
        <w:t>2供应商对响应文件修改的书面材料或撤回的通知应该按规定进行编写、密封、标注和递送，并注明“修改响应文件”字样。</w:t>
      </w:r>
    </w:p>
    <w:p w14:paraId="028F80A6">
      <w:pPr>
        <w:adjustRightInd w:val="0"/>
        <w:snapToGrid w:val="0"/>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21</w:t>
      </w:r>
      <w:r>
        <w:rPr>
          <w:rFonts w:ascii="仿宋" w:hAnsi="仿宋" w:eastAsia="仿宋"/>
          <w:color w:val="auto"/>
          <w:sz w:val="24"/>
          <w:highlight w:val="none"/>
        </w:rPr>
        <w:t>.</w:t>
      </w:r>
      <w:r>
        <w:rPr>
          <w:rFonts w:hint="eastAsia" w:ascii="仿宋" w:hAnsi="仿宋" w:eastAsia="仿宋"/>
          <w:color w:val="auto"/>
          <w:sz w:val="24"/>
          <w:highlight w:val="none"/>
        </w:rPr>
        <w:t>3供应商不得在递交截止时间起至响应文件有效期期满前撤销其响应文件。否则其磋商保证金将按相关规定不予退还。</w:t>
      </w:r>
    </w:p>
    <w:p w14:paraId="3456A2A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21.4供应商对其提交的响应文件的真实性、合法性承担法律责任。</w:t>
      </w:r>
      <w:bookmarkEnd w:id="74"/>
      <w:bookmarkEnd w:id="75"/>
      <w:bookmarkEnd w:id="76"/>
    </w:p>
    <w:p w14:paraId="499105F9">
      <w:pPr>
        <w:spacing w:before="260" w:after="260" w:line="360" w:lineRule="auto"/>
        <w:jc w:val="center"/>
        <w:outlineLvl w:val="1"/>
        <w:rPr>
          <w:rFonts w:ascii="仿宋" w:hAnsi="仿宋" w:eastAsia="仿宋"/>
          <w:b/>
          <w:bCs/>
          <w:color w:val="auto"/>
          <w:sz w:val="32"/>
          <w:szCs w:val="32"/>
          <w:highlight w:val="none"/>
        </w:rPr>
      </w:pPr>
      <w:bookmarkStart w:id="77" w:name="_Toc27400"/>
      <w:bookmarkStart w:id="78" w:name="_Toc77400782"/>
      <w:bookmarkStart w:id="79" w:name="_Toc217446056"/>
      <w:bookmarkStart w:id="80" w:name="_Toc183682368"/>
      <w:bookmarkStart w:id="81" w:name="_Toc183582231"/>
      <w:bookmarkStart w:id="82" w:name="_Toc89075878"/>
      <w:r>
        <w:rPr>
          <w:rFonts w:hint="eastAsia" w:ascii="仿宋" w:hAnsi="仿宋" w:eastAsia="仿宋"/>
          <w:b/>
          <w:bCs/>
          <w:color w:val="auto"/>
          <w:sz w:val="32"/>
          <w:szCs w:val="32"/>
          <w:highlight w:val="none"/>
        </w:rPr>
        <w:t>五、评审</w:t>
      </w:r>
      <w:bookmarkEnd w:id="77"/>
    </w:p>
    <w:p w14:paraId="6634180A">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22.磋商小组的组建及其评审工作按照有关法律制度和本文件第六章的规定进行。</w:t>
      </w:r>
    </w:p>
    <w:p w14:paraId="7A5AF1A3">
      <w:pPr>
        <w:spacing w:before="260" w:after="260" w:line="360" w:lineRule="auto"/>
        <w:jc w:val="center"/>
        <w:outlineLvl w:val="1"/>
        <w:rPr>
          <w:rFonts w:ascii="仿宋" w:hAnsi="仿宋" w:eastAsia="仿宋"/>
          <w:b/>
          <w:bCs/>
          <w:color w:val="auto"/>
          <w:sz w:val="32"/>
          <w:szCs w:val="32"/>
          <w:highlight w:val="none"/>
        </w:rPr>
      </w:pPr>
      <w:bookmarkStart w:id="83" w:name="_Toc12432"/>
      <w:r>
        <w:rPr>
          <w:rFonts w:hint="eastAsia" w:ascii="仿宋" w:hAnsi="仿宋" w:eastAsia="仿宋"/>
          <w:b/>
          <w:bCs/>
          <w:color w:val="auto"/>
          <w:sz w:val="32"/>
          <w:szCs w:val="32"/>
          <w:highlight w:val="none"/>
        </w:rPr>
        <w:t>六、成交事项</w:t>
      </w:r>
      <w:bookmarkEnd w:id="83"/>
    </w:p>
    <w:p w14:paraId="604B5185">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23.确定成交供应商</w:t>
      </w:r>
    </w:p>
    <w:p w14:paraId="347CE2D6">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本项目采用方式一确定成交供应商。</w:t>
      </w:r>
    </w:p>
    <w:p w14:paraId="3769DF97">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方式一：采购人将按磋商小组推荐的成交候选供应商顺序确定成交供应商。</w:t>
      </w:r>
    </w:p>
    <w:p w14:paraId="44161841">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方式二：采购人授权磋商小组根据综合评分排名直接确定成交供应商。</w:t>
      </w:r>
    </w:p>
    <w:p w14:paraId="357F6707">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23.1采购代理机构自评审结束后2个工作日内将磋商报告及有关资料送交采购人确定成交供应商。</w:t>
      </w:r>
    </w:p>
    <w:p w14:paraId="7EBEDD7A">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23.2采购人收到磋商报告及有关资料后，</w:t>
      </w:r>
      <w:r>
        <w:rPr>
          <w:rFonts w:hint="eastAsia" w:ascii="仿宋" w:hAnsi="仿宋" w:eastAsia="仿宋"/>
          <w:b/>
          <w:bCs/>
          <w:color w:val="auto"/>
          <w:sz w:val="24"/>
          <w:highlight w:val="none"/>
          <w:lang w:val="en-US" w:eastAsia="zh-CN"/>
        </w:rPr>
        <w:t>采购人将按磋商小组推荐的成交候选供应商顺序确定成交供应商。在确定成交供应商过程中，采购人使用部门将通过公开查询渠道查验成交候选供应商的企业和人员资质、业绩等资料，若公开查询渠道未能查询到的资料，将要求供应商提供原件进行查验，查验无误后按磋商文件规定确定成交供应商。</w:t>
      </w:r>
      <w:r>
        <w:rPr>
          <w:rFonts w:hint="eastAsia" w:ascii="仿宋" w:hAnsi="仿宋" w:eastAsia="仿宋"/>
          <w:color w:val="auto"/>
          <w:sz w:val="24"/>
          <w:highlight w:val="none"/>
        </w:rPr>
        <w:t>成交候选供应商并列的，采购人自主采取公平、择优的方式选择成交供应商。采购人逾期未确定成交供应商且不提出异议的，视为确定磋商报告提出的排序第一的供应商为成交供应商。</w:t>
      </w:r>
    </w:p>
    <w:p w14:paraId="2570E514">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23.3采购人确定成交供应商过程中，发现成交候选供应商有下列情形之一的，应当不予确定其为成交供应商：</w:t>
      </w:r>
    </w:p>
    <w:p w14:paraId="19B3DB8A">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（1）发现成交候选供应商存在禁止参加本项目采购活动的违法行为的；</w:t>
      </w:r>
    </w:p>
    <w:p w14:paraId="387D89A2">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（2）成交候选供应商因不可抗力，不能继续参加采购活动；</w:t>
      </w:r>
    </w:p>
    <w:p w14:paraId="60AA8986">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（3）成交候选供应商无偿赠与或者低于成本价竞争；</w:t>
      </w:r>
    </w:p>
    <w:p w14:paraId="574F46B6">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（4）成交候选供应商提供虚假材料；</w:t>
      </w:r>
    </w:p>
    <w:p w14:paraId="250BCF4A">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（5）成交候选供应商恶意串通。</w:t>
      </w:r>
    </w:p>
    <w:p w14:paraId="6FAF8B8A">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24.成交结果</w:t>
      </w:r>
    </w:p>
    <w:p w14:paraId="4A63714B">
      <w:pPr>
        <w:spacing w:line="360" w:lineRule="auto"/>
        <w:ind w:firstLine="480" w:firstLineChars="200"/>
        <w:outlineLvl w:val="1"/>
        <w:rPr>
          <w:rFonts w:ascii="仿宋" w:hAnsi="仿宋" w:eastAsia="仿宋"/>
          <w:bCs/>
          <w:color w:val="auto"/>
          <w:sz w:val="24"/>
          <w:highlight w:val="none"/>
        </w:rPr>
      </w:pPr>
      <w:bookmarkStart w:id="84" w:name="_Toc19170"/>
      <w:r>
        <w:rPr>
          <w:rFonts w:hint="eastAsia" w:ascii="仿宋" w:hAnsi="仿宋" w:eastAsia="仿宋"/>
          <w:bCs/>
          <w:color w:val="auto"/>
          <w:sz w:val="24"/>
          <w:highlight w:val="none"/>
        </w:rPr>
        <w:t>2</w:t>
      </w:r>
      <w:r>
        <w:rPr>
          <w:rFonts w:ascii="仿宋" w:hAnsi="仿宋" w:eastAsia="仿宋"/>
          <w:bCs/>
          <w:color w:val="auto"/>
          <w:sz w:val="24"/>
          <w:highlight w:val="none"/>
        </w:rPr>
        <w:t>4</w:t>
      </w:r>
      <w:r>
        <w:rPr>
          <w:rFonts w:hint="eastAsia" w:ascii="仿宋" w:hAnsi="仿宋" w:eastAsia="仿宋"/>
          <w:bCs/>
          <w:color w:val="auto"/>
          <w:sz w:val="24"/>
          <w:highlight w:val="none"/>
        </w:rPr>
        <w:t>.1采购人确定成交供应商后，将及时书面通知采购代理机构，发出成交通知书并发布成交结果公告。</w:t>
      </w:r>
      <w:bookmarkEnd w:id="84"/>
    </w:p>
    <w:p w14:paraId="4B218A6F">
      <w:pPr>
        <w:spacing w:line="360" w:lineRule="auto"/>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2</w:t>
      </w:r>
      <w:r>
        <w:rPr>
          <w:rFonts w:ascii="仿宋" w:hAnsi="仿宋" w:eastAsia="仿宋"/>
          <w:bCs/>
          <w:color w:val="auto"/>
          <w:sz w:val="24"/>
          <w:highlight w:val="none"/>
        </w:rPr>
        <w:t>4</w:t>
      </w:r>
      <w:r>
        <w:rPr>
          <w:rFonts w:hint="eastAsia" w:ascii="仿宋" w:hAnsi="仿宋" w:eastAsia="仿宋"/>
          <w:bCs/>
          <w:color w:val="auto"/>
          <w:sz w:val="24"/>
          <w:highlight w:val="none"/>
        </w:rPr>
        <w:t>.2成交供应商应当及时领取成交通知书。本项目需要交纳履约保证金的，成交供应商应当及时向采购人交纳。</w:t>
      </w:r>
    </w:p>
    <w:p w14:paraId="226C645E">
      <w:pPr>
        <w:spacing w:line="360" w:lineRule="auto"/>
        <w:ind w:firstLine="465"/>
        <w:rPr>
          <w:rFonts w:ascii="仿宋" w:hAnsi="仿宋" w:eastAsia="仿宋"/>
          <w:bCs/>
          <w:color w:val="auto"/>
          <w:sz w:val="24"/>
          <w:highlight w:val="none"/>
        </w:rPr>
      </w:pPr>
      <w:r>
        <w:rPr>
          <w:rFonts w:hint="eastAsia" w:ascii="仿宋" w:hAnsi="仿宋" w:eastAsia="仿宋"/>
          <w:bCs/>
          <w:color w:val="auto"/>
          <w:sz w:val="24"/>
          <w:highlight w:val="none"/>
        </w:rPr>
        <w:t>2</w:t>
      </w:r>
      <w:r>
        <w:rPr>
          <w:rFonts w:ascii="仿宋" w:hAnsi="仿宋" w:eastAsia="仿宋"/>
          <w:bCs/>
          <w:color w:val="auto"/>
          <w:sz w:val="24"/>
          <w:highlight w:val="none"/>
        </w:rPr>
        <w:t>4</w:t>
      </w:r>
      <w:r>
        <w:rPr>
          <w:rFonts w:hint="eastAsia" w:ascii="仿宋" w:hAnsi="仿宋" w:eastAsia="仿宋"/>
          <w:bCs/>
          <w:color w:val="auto"/>
          <w:sz w:val="24"/>
          <w:highlight w:val="none"/>
        </w:rPr>
        <w:t>.3成交供应商不能及时领取成交通知书，采购人或者采购代理机构应当通过邮寄、快递等方式将项目成交通知书送达成交供应商。</w:t>
      </w:r>
    </w:p>
    <w:p w14:paraId="191635BC">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25.成交通知书</w:t>
      </w:r>
    </w:p>
    <w:p w14:paraId="017F7E7C">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25.1成交通知书为签订采购合同的依据之一，是合同的有效组成部分。</w:t>
      </w:r>
    </w:p>
    <w:p w14:paraId="2449EB08">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25.2成交通知书对采购人和成交供应商均具有法律效力。成交通知书发出后，采购人无正当理由改变成交结果，或者成交供应商无正当理由放弃成交的，将承担相应的法律责任。</w:t>
      </w:r>
    </w:p>
    <w:p w14:paraId="42A84442">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25.3成交供应商的响应文件作为无效响应文件处理或者有采购法律法规规章制度规定的成交无效情形的，采购人/采购代理机构在取得有权主体的认定以后，有权宣布发出的成交通知书无效，并收回发出的成交通知书，依法重新确定成交供应商或者重新开展采购活动。</w:t>
      </w:r>
    </w:p>
    <w:p w14:paraId="789EAA60">
      <w:pPr>
        <w:spacing w:before="260" w:after="260" w:line="360" w:lineRule="auto"/>
        <w:jc w:val="center"/>
        <w:outlineLvl w:val="1"/>
        <w:rPr>
          <w:rFonts w:ascii="仿宋" w:hAnsi="仿宋" w:eastAsia="仿宋"/>
          <w:color w:val="auto"/>
          <w:sz w:val="24"/>
          <w:highlight w:val="none"/>
        </w:rPr>
      </w:pPr>
      <w:bookmarkStart w:id="85" w:name="_Toc23390"/>
      <w:r>
        <w:rPr>
          <w:rFonts w:hint="eastAsia" w:ascii="仿宋" w:hAnsi="仿宋" w:eastAsia="仿宋"/>
          <w:b/>
          <w:bCs/>
          <w:color w:val="auto"/>
          <w:sz w:val="32"/>
          <w:szCs w:val="32"/>
          <w:highlight w:val="none"/>
        </w:rPr>
        <w:t>七、合同事项</w:t>
      </w:r>
      <w:bookmarkEnd w:id="85"/>
    </w:p>
    <w:p w14:paraId="25BCDAD7">
      <w:pPr>
        <w:spacing w:line="360" w:lineRule="auto"/>
        <w:ind w:firstLine="482" w:firstLineChars="200"/>
        <w:outlineLvl w:val="2"/>
        <w:rPr>
          <w:rFonts w:ascii="仿宋" w:hAnsi="仿宋" w:eastAsia="仿宋"/>
          <w:b/>
          <w:bCs/>
          <w:color w:val="auto"/>
          <w:sz w:val="24"/>
          <w:szCs w:val="32"/>
          <w:highlight w:val="none"/>
        </w:rPr>
      </w:pPr>
      <w:bookmarkStart w:id="86" w:name="_Toc430773927"/>
      <w:bookmarkStart w:id="87" w:name="_Toc101250646"/>
      <w:bookmarkStart w:id="88" w:name="_Toc101338364"/>
      <w:bookmarkStart w:id="89" w:name="_Toc101174151"/>
      <w:bookmarkStart w:id="90" w:name="_Toc209847069"/>
      <w:r>
        <w:rPr>
          <w:rFonts w:hint="eastAsia" w:ascii="仿宋" w:hAnsi="仿宋" w:eastAsia="仿宋"/>
          <w:b/>
          <w:bCs/>
          <w:color w:val="auto"/>
          <w:sz w:val="24"/>
          <w:szCs w:val="32"/>
          <w:highlight w:val="none"/>
        </w:rPr>
        <w:t>26.签订合同</w:t>
      </w:r>
      <w:bookmarkEnd w:id="86"/>
      <w:bookmarkEnd w:id="87"/>
      <w:bookmarkEnd w:id="88"/>
      <w:bookmarkEnd w:id="89"/>
      <w:bookmarkEnd w:id="90"/>
    </w:p>
    <w:p w14:paraId="58CBD506">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6</w:t>
      </w:r>
      <w:r>
        <w:rPr>
          <w:rFonts w:hint="eastAsia" w:ascii="仿宋" w:hAnsi="仿宋" w:eastAsia="仿宋"/>
          <w:color w:val="auto"/>
          <w:sz w:val="24"/>
          <w:highlight w:val="none"/>
        </w:rPr>
        <w:t>.1 成交供应商应在成交通知书发出之日起三十日内与采购人签订采购合同。由于成交供应商的原因逾期未与采购人签订采购合同的，将视为放弃成交，取消其成交资格并将按相关规定进行处理。</w:t>
      </w:r>
    </w:p>
    <w:p w14:paraId="608E031B">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6</w:t>
      </w:r>
      <w:r>
        <w:rPr>
          <w:rFonts w:hint="eastAsia" w:ascii="仿宋" w:hAnsi="仿宋" w:eastAsia="仿宋"/>
          <w:color w:val="auto"/>
          <w:sz w:val="24"/>
          <w:highlight w:val="none"/>
        </w:rPr>
        <w:t>.2 磋商文件、成交供应商的响应文件及双方确认的澄清文件等，均为有法律约束力的合同组成部分。</w:t>
      </w:r>
    </w:p>
    <w:p w14:paraId="793F895B">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6</w:t>
      </w:r>
      <w:r>
        <w:rPr>
          <w:rFonts w:hint="eastAsia" w:ascii="仿宋" w:hAnsi="仿宋" w:eastAsia="仿宋"/>
          <w:color w:val="auto"/>
          <w:sz w:val="24"/>
          <w:highlight w:val="none"/>
        </w:rPr>
        <w:t>.3 采购人不得向成交供应商提出任何不合理的要求，作为签订合同的条件，不得与成交供应商私下订立背离合同实质性内容的任何协议，所签订的合同不得对磋商文件和成交供应商响应文件确定的事项进行修改。</w:t>
      </w:r>
    </w:p>
    <w:p w14:paraId="2350176B">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6</w:t>
      </w:r>
      <w:r>
        <w:rPr>
          <w:rFonts w:hint="eastAsia" w:ascii="仿宋" w:hAnsi="仿宋" w:eastAsia="仿宋"/>
          <w:color w:val="auto"/>
          <w:sz w:val="24"/>
          <w:highlight w:val="none"/>
        </w:rPr>
        <w:t>.4 成交供应商因不可抗力原因不能履行采购合同或放弃成交的，采购人可以与排在成交供应商之后第一位的成交候选人签订采购合同，以此类推。</w:t>
      </w:r>
    </w:p>
    <w:p w14:paraId="2AB2ED97">
      <w:pPr>
        <w:spacing w:line="360" w:lineRule="auto"/>
        <w:ind w:firstLine="480"/>
        <w:jc w:val="left"/>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6</w:t>
      </w:r>
      <w:r>
        <w:rPr>
          <w:rFonts w:hint="eastAsia" w:ascii="仿宋" w:hAnsi="仿宋" w:eastAsia="仿宋"/>
          <w:color w:val="auto"/>
          <w:sz w:val="24"/>
          <w:highlight w:val="none"/>
        </w:rPr>
        <w:t>.5竞争性磋商文件、成交供应商提交的响应文件、磋商中的最后报价、成交供应商承诺书、成交通知书等均称为有法律约束力的合同组成内容。</w:t>
      </w:r>
    </w:p>
    <w:p w14:paraId="3FBFA0F8">
      <w:pPr>
        <w:spacing w:line="360" w:lineRule="auto"/>
        <w:ind w:firstLine="480"/>
        <w:jc w:val="left"/>
        <w:rPr>
          <w:rFonts w:ascii="仿宋" w:hAnsi="仿宋" w:eastAsia="仿宋"/>
          <w:color w:val="auto"/>
          <w:sz w:val="24"/>
          <w:highlight w:val="none"/>
        </w:rPr>
      </w:pPr>
      <w:r>
        <w:rPr>
          <w:rFonts w:hint="eastAsia" w:ascii="仿宋" w:hAnsi="仿宋" w:eastAsia="仿宋" w:cs="仿宋"/>
          <w:color w:val="auto"/>
          <w:sz w:val="24"/>
          <w:highlight w:val="none"/>
        </w:rPr>
        <w:t>26.6成交人在合同签订之后三个工作日内，将签订的合同（一式一份）发送至我司指定邮箱（luolan@sccyczb.com）。</w:t>
      </w:r>
    </w:p>
    <w:p w14:paraId="0EFD7E06">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27.合同分包（实质性要求）</w:t>
      </w:r>
    </w:p>
    <w:p w14:paraId="6F2CAFAD">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27.1本项目合同接受分包与否，以“供应商须知附表”勾选项为准。</w:t>
      </w:r>
    </w:p>
    <w:p w14:paraId="25ABAC5F">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7</w:t>
      </w:r>
      <w:r>
        <w:rPr>
          <w:rFonts w:hint="eastAsia" w:ascii="仿宋" w:hAnsi="仿宋" w:eastAsia="仿宋"/>
          <w:color w:val="auto"/>
          <w:sz w:val="24"/>
          <w:highlight w:val="none"/>
        </w:rPr>
        <w:t>.2经采购人同意，成交供应商可以依法采取分包方式履行合同。这种要求应当在合同签订之前征得采购人同意，并且分包供应商履行的分包项目的品牌、规格型号及技术要求等，必须与成交的一致。分包工作实施前，将其选择的分包单位的资质、专业能力等相关资料情况报采购人。</w:t>
      </w:r>
    </w:p>
    <w:p w14:paraId="56810A13">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分包履行合同的部分应当为采购项目的非主体、非关键性工作，不属于成交供应商的主要合同义务。</w:t>
      </w:r>
    </w:p>
    <w:p w14:paraId="27AFACBA">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7</w:t>
      </w:r>
      <w:r>
        <w:rPr>
          <w:rFonts w:hint="eastAsia" w:ascii="仿宋" w:hAnsi="仿宋" w:eastAsia="仿宋"/>
          <w:color w:val="auto"/>
          <w:sz w:val="24"/>
          <w:highlight w:val="none"/>
        </w:rPr>
        <w:t>.3 采购合同实行分包履行的，成交供应商就采购项目和分包项目向采购人负责，分包供应商就分包项目承担责任。</w:t>
      </w:r>
    </w:p>
    <w:p w14:paraId="169BEF9D">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28.合同转包（实质性要求）</w:t>
      </w:r>
    </w:p>
    <w:p w14:paraId="2CAD7BB5">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采购项目严禁成交供应商将任何采购合同义务转包。本项目所称转包，是指成交供应商将采购合同义务转让给第三人，并退出现有采购合同当事人双方的权利义务关系，受让人（即第三人）成为采购合同的另一方当事人的行为。</w:t>
      </w:r>
    </w:p>
    <w:p w14:paraId="12E83A10">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成交供应商转包的，视同拒绝履行采购合同义务，将依法追究法律责任。</w:t>
      </w:r>
    </w:p>
    <w:p w14:paraId="201BDE4B">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29.补充合同</w:t>
      </w:r>
    </w:p>
    <w:p w14:paraId="73305564">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采购合同履行过程中，采购人需要追加与合同标的相同的货物、工程或者服务的，在不改变合同其他条款的前提下，可以与成交供应商协商签订补充合同，但所有补充合同的采购金额不得超过原合同采购金额的百分之十，该补充合同应当在原采购合同履行过程中，不得在原采购合同履行结束后，且采购货物、工程和服务的名称、价格、履约方式、验收标准等必须与原采购合同一致。</w:t>
      </w:r>
    </w:p>
    <w:p w14:paraId="2339AD39">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30.履约保证金（实质性要求）</w:t>
      </w:r>
    </w:p>
    <w:p w14:paraId="423100D1">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0</w:t>
      </w:r>
      <w:r>
        <w:rPr>
          <w:rFonts w:hint="eastAsia" w:ascii="仿宋" w:hAnsi="仿宋" w:eastAsia="仿宋"/>
          <w:color w:val="auto"/>
          <w:sz w:val="24"/>
          <w:highlight w:val="none"/>
        </w:rPr>
        <w:t>.1 成交供应商应在合同签订之前交纳竞争性磋商文件规定数额的履约保证金。</w:t>
      </w:r>
    </w:p>
    <w:p w14:paraId="587B9102">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0</w:t>
      </w:r>
      <w:r>
        <w:rPr>
          <w:rFonts w:hint="eastAsia" w:ascii="仿宋" w:hAnsi="仿宋" w:eastAsia="仿宋"/>
          <w:color w:val="auto"/>
          <w:sz w:val="24"/>
          <w:highlight w:val="none"/>
        </w:rPr>
        <w:t>.2 如果成交供应商在规定的合同签订时间内，没有按照采购文件的规定交纳履约保证金，且又无正当理由的，将视为放弃成交。</w:t>
      </w:r>
    </w:p>
    <w:p w14:paraId="20E3FACD">
      <w:pPr>
        <w:spacing w:line="360"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31.履行合同</w:t>
      </w:r>
    </w:p>
    <w:p w14:paraId="122363A9">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31.1 成交供应商与采购人签订合同后，合同双方应严格执行合同条款，履行合同规定的义务，保证合同的顺利完成。</w:t>
      </w:r>
    </w:p>
    <w:p w14:paraId="500115A7">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31.2 在合同履行过程中，如发生合同纠纷，合同双方应按照合同约定及《中华人民共和国民法典》的有关规定进行处理。</w:t>
      </w:r>
    </w:p>
    <w:p w14:paraId="6DD309A4">
      <w:pPr>
        <w:spacing w:line="360" w:lineRule="auto"/>
        <w:ind w:firstLine="482" w:firstLineChars="200"/>
        <w:outlineLvl w:val="2"/>
        <w:rPr>
          <w:rFonts w:ascii="仿宋" w:hAnsi="仿宋" w:eastAsia="仿宋"/>
          <w:b/>
          <w:bCs/>
          <w:color w:val="auto"/>
          <w:sz w:val="24"/>
          <w:szCs w:val="32"/>
          <w:highlight w:val="none"/>
        </w:rPr>
      </w:pPr>
      <w:bookmarkStart w:id="91" w:name="_Toc4089"/>
      <w:r>
        <w:rPr>
          <w:rFonts w:hint="eastAsia" w:ascii="仿宋" w:hAnsi="仿宋" w:eastAsia="仿宋"/>
          <w:b/>
          <w:bCs/>
          <w:color w:val="auto"/>
          <w:sz w:val="24"/>
          <w:szCs w:val="32"/>
          <w:highlight w:val="none"/>
        </w:rPr>
        <w:t>32.验收</w:t>
      </w:r>
      <w:bookmarkEnd w:id="91"/>
      <w:r>
        <w:rPr>
          <w:rFonts w:hint="eastAsia" w:ascii="仿宋" w:hAnsi="仿宋" w:eastAsia="仿宋"/>
          <w:b/>
          <w:bCs/>
          <w:color w:val="auto"/>
          <w:sz w:val="24"/>
          <w:szCs w:val="32"/>
          <w:highlight w:val="none"/>
        </w:rPr>
        <w:t>及资金支付</w:t>
      </w:r>
    </w:p>
    <w:p w14:paraId="2D121356">
      <w:pPr>
        <w:spacing w:line="40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32.1</w:t>
      </w:r>
      <w:r>
        <w:rPr>
          <w:rFonts w:hint="eastAsia" w:ascii="仿宋" w:hAnsi="仿宋" w:eastAsia="仿宋" w:cs="仿宋"/>
          <w:color w:val="auto"/>
          <w:spacing w:val="-6"/>
          <w:kern w:val="0"/>
          <w:sz w:val="24"/>
          <w:szCs w:val="20"/>
          <w:highlight w:val="none"/>
          <w:lang w:val="en-US" w:eastAsia="zh-CN" w:bidi="ar-SA"/>
        </w:rPr>
        <w:t>本项目采购人及其委托的采购代理机构将参照政府采购相关法律法规的要求进行验收。</w:t>
      </w:r>
    </w:p>
    <w:p w14:paraId="6F4F991D">
      <w:pPr>
        <w:spacing w:line="400" w:lineRule="exact"/>
        <w:ind w:firstLine="480" w:firstLineChars="200"/>
        <w:rPr>
          <w:rFonts w:ascii="仿宋" w:hAnsi="仿宋" w:eastAsia="仿宋"/>
          <w:color w:val="auto"/>
          <w:sz w:val="24"/>
          <w:highlight w:val="none"/>
        </w:rPr>
      </w:pPr>
      <w:r>
        <w:rPr>
          <w:rFonts w:hint="eastAsia" w:ascii="仿宋" w:hAnsi="仿宋" w:eastAsia="仿宋" w:cs="仿宋"/>
          <w:color w:val="auto"/>
          <w:sz w:val="24"/>
          <w:highlight w:val="none"/>
        </w:rPr>
        <w:t>32.2 验收结果合格的，成交供应商凭验收报告办理相关手续；验收结果不合格的，履约保证金将不予退还，也将不予支付采购资金。</w:t>
      </w:r>
    </w:p>
    <w:p w14:paraId="79FFB9DB">
      <w:pPr>
        <w:spacing w:line="360" w:lineRule="auto"/>
        <w:ind w:firstLine="480" w:firstLineChars="200"/>
        <w:rPr>
          <w:rFonts w:ascii="仿宋" w:hAnsi="仿宋" w:eastAsia="仿宋"/>
          <w:b/>
          <w:bCs/>
          <w:color w:val="auto"/>
          <w:sz w:val="32"/>
          <w:szCs w:val="32"/>
          <w:highlight w:val="none"/>
        </w:rPr>
      </w:pPr>
      <w:r>
        <w:rPr>
          <w:rFonts w:hint="eastAsia" w:ascii="仿宋" w:hAnsi="仿宋" w:eastAsia="仿宋"/>
          <w:color w:val="auto"/>
          <w:sz w:val="24"/>
          <w:highlight w:val="none"/>
        </w:rPr>
        <w:t>32.3采购人将按照采购合同规定，及时向成交供应商支付采购资金。本项目采购资金付款详见第五章规定的付款方式。</w:t>
      </w:r>
    </w:p>
    <w:p w14:paraId="0BEF1722">
      <w:pPr>
        <w:spacing w:line="360" w:lineRule="auto"/>
        <w:jc w:val="center"/>
        <w:outlineLvl w:val="1"/>
        <w:rPr>
          <w:rFonts w:ascii="仿宋" w:hAnsi="仿宋" w:eastAsia="仿宋"/>
          <w:color w:val="auto"/>
          <w:sz w:val="24"/>
          <w:highlight w:val="none"/>
        </w:rPr>
      </w:pPr>
      <w:bookmarkStart w:id="92" w:name="_Toc27397"/>
      <w:r>
        <w:rPr>
          <w:rFonts w:hint="eastAsia" w:ascii="仿宋" w:hAnsi="仿宋" w:eastAsia="仿宋"/>
          <w:b/>
          <w:bCs/>
          <w:color w:val="auto"/>
          <w:sz w:val="32"/>
          <w:szCs w:val="32"/>
          <w:highlight w:val="none"/>
        </w:rPr>
        <w:t>八、磋商纪律要求</w:t>
      </w:r>
      <w:bookmarkEnd w:id="92"/>
    </w:p>
    <w:p w14:paraId="1AD3B016">
      <w:pPr>
        <w:spacing w:line="336" w:lineRule="auto"/>
        <w:ind w:firstLine="482" w:firstLineChars="200"/>
        <w:outlineLvl w:val="2"/>
        <w:rPr>
          <w:rFonts w:ascii="仿宋" w:hAnsi="仿宋" w:eastAsia="仿宋"/>
          <w:b/>
          <w:bCs/>
          <w:color w:val="auto"/>
          <w:sz w:val="24"/>
          <w:szCs w:val="32"/>
          <w:highlight w:val="none"/>
        </w:rPr>
      </w:pPr>
      <w:r>
        <w:rPr>
          <w:rFonts w:hint="eastAsia" w:ascii="仿宋" w:hAnsi="仿宋" w:eastAsia="仿宋"/>
          <w:b/>
          <w:bCs/>
          <w:color w:val="auto"/>
          <w:sz w:val="24"/>
          <w:szCs w:val="32"/>
          <w:highlight w:val="none"/>
        </w:rPr>
        <w:t>33.供应商不得具有的情形</w:t>
      </w:r>
    </w:p>
    <w:p w14:paraId="159AA2CA">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供应商参加本项目磋商不得有下列情形：</w:t>
      </w:r>
    </w:p>
    <w:p w14:paraId="0AB5E560">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（1）提供虚假材料谋取成交；</w:t>
      </w:r>
    </w:p>
    <w:p w14:paraId="3DF11475">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（2）采取不正当手段诋毁、排挤其他供应商；</w:t>
      </w:r>
    </w:p>
    <w:p w14:paraId="1F7D94A2">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（3）与采购人、采购代理机构或其他供应商恶意串通；</w:t>
      </w:r>
    </w:p>
    <w:p w14:paraId="56AE77D9">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（4）向采购人、采购代理机构、磋商小组成员行贿或者提供其他不正当利益；</w:t>
      </w:r>
    </w:p>
    <w:p w14:paraId="2369A801">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（5）在磋商过程中与采购人、采购代理机构进行协商；</w:t>
      </w:r>
    </w:p>
    <w:p w14:paraId="13539D0E">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（6）成交后无正当理由拒不与采购人签订采购合同；</w:t>
      </w:r>
    </w:p>
    <w:p w14:paraId="40318355">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（7）未按照磋商文件确定的事项签订采购合同；</w:t>
      </w:r>
    </w:p>
    <w:p w14:paraId="69E1CF63">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（8）将采购合同转包或者违规分包；</w:t>
      </w:r>
    </w:p>
    <w:p w14:paraId="1B77F4AC">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（9）提供假冒伪劣产品；</w:t>
      </w:r>
    </w:p>
    <w:p w14:paraId="197E423E">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（10）擅自变更、中止或者终止采购合同；</w:t>
      </w:r>
    </w:p>
    <w:p w14:paraId="6A04275D">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（11）拒绝有关部门的监督检查或者向监督检查部门提供虚假情况；</w:t>
      </w:r>
    </w:p>
    <w:p w14:paraId="66098B40">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（12）法律法规规定的其他情形。</w:t>
      </w:r>
    </w:p>
    <w:p w14:paraId="1F4F18B1">
      <w:pPr>
        <w:tabs>
          <w:tab w:val="left" w:pos="851"/>
        </w:tabs>
        <w:spacing w:line="336"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供应商有上述情形的，按照规定追究法律责任，具备（1）-（10）条情形之一的，同时将取消被确认为成交供应商的资格或者认定成交无效。</w:t>
      </w:r>
    </w:p>
    <w:p w14:paraId="33CAA88B">
      <w:pPr>
        <w:tabs>
          <w:tab w:val="left" w:pos="851"/>
        </w:tabs>
        <w:spacing w:line="360" w:lineRule="auto"/>
        <w:jc w:val="center"/>
        <w:rPr>
          <w:rFonts w:ascii="仿宋" w:hAnsi="仿宋" w:eastAsia="仿宋"/>
          <w:color w:val="auto"/>
          <w:sz w:val="24"/>
          <w:highlight w:val="none"/>
        </w:rPr>
      </w:pPr>
      <w:r>
        <w:rPr>
          <w:rFonts w:hint="eastAsia" w:ascii="仿宋" w:hAnsi="仿宋" w:eastAsia="仿宋"/>
          <w:b/>
          <w:color w:val="auto"/>
          <w:sz w:val="32"/>
          <w:szCs w:val="32"/>
          <w:highlight w:val="none"/>
        </w:rPr>
        <w:t>九、询问、质疑和投诉</w:t>
      </w:r>
    </w:p>
    <w:p w14:paraId="564E3571">
      <w:pPr>
        <w:tabs>
          <w:tab w:val="left" w:pos="851"/>
        </w:tabs>
        <w:spacing w:line="360" w:lineRule="auto"/>
        <w:ind w:firstLine="495"/>
        <w:rPr>
          <w:rFonts w:ascii="仿宋" w:hAnsi="仿宋" w:eastAsia="仿宋"/>
          <w:color w:val="auto"/>
          <w:sz w:val="24"/>
          <w:highlight w:val="none"/>
        </w:rPr>
      </w:pPr>
      <w:r>
        <w:rPr>
          <w:rFonts w:hint="eastAsia" w:ascii="仿宋" w:hAnsi="仿宋" w:eastAsia="仿宋"/>
          <w:color w:val="auto"/>
          <w:sz w:val="24"/>
          <w:highlight w:val="none"/>
        </w:rPr>
        <w:t>34.询问、质疑、投诉的接收和处理参照政府采购相关法律法规的有关规定办理。</w:t>
      </w:r>
    </w:p>
    <w:p w14:paraId="11D9A196">
      <w:pPr>
        <w:tabs>
          <w:tab w:val="left" w:pos="851"/>
        </w:tabs>
        <w:spacing w:line="360" w:lineRule="auto"/>
        <w:jc w:val="center"/>
        <w:rPr>
          <w:rFonts w:ascii="仿宋" w:hAnsi="仿宋" w:eastAsia="仿宋"/>
          <w:color w:val="auto"/>
          <w:sz w:val="24"/>
          <w:highlight w:val="none"/>
        </w:rPr>
      </w:pPr>
      <w:r>
        <w:rPr>
          <w:rFonts w:hint="eastAsia" w:ascii="仿宋" w:hAnsi="仿宋" w:eastAsia="仿宋"/>
          <w:b/>
          <w:color w:val="auto"/>
          <w:sz w:val="32"/>
          <w:szCs w:val="32"/>
          <w:highlight w:val="none"/>
        </w:rPr>
        <w:t>十、其  他</w:t>
      </w:r>
    </w:p>
    <w:p w14:paraId="2DDA4D15">
      <w:pPr>
        <w:tabs>
          <w:tab w:val="left" w:pos="851"/>
        </w:tabs>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35.本磋商文件中所引相关法律制度规定，在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作调整。</w:t>
      </w:r>
    </w:p>
    <w:p w14:paraId="7DF7DC4B">
      <w:pPr>
        <w:spacing w:line="360" w:lineRule="auto"/>
        <w:ind w:firstLine="480" w:firstLineChars="200"/>
        <w:rPr>
          <w:rFonts w:ascii="仿宋" w:hAnsi="仿宋" w:eastAsia="仿宋"/>
          <w:color w:val="auto"/>
          <w:sz w:val="24"/>
          <w:highlight w:val="none"/>
        </w:rPr>
      </w:pPr>
      <w:r>
        <w:rPr>
          <w:rFonts w:ascii="仿宋" w:hAnsi="仿宋" w:eastAsia="仿宋"/>
          <w:color w:val="auto"/>
          <w:sz w:val="24"/>
          <w:highlight w:val="none"/>
        </w:rPr>
        <w:t>3</w:t>
      </w:r>
      <w:r>
        <w:rPr>
          <w:rFonts w:hint="eastAsia" w:ascii="仿宋" w:hAnsi="仿宋" w:eastAsia="仿宋"/>
          <w:color w:val="auto"/>
          <w:sz w:val="24"/>
          <w:highlight w:val="none"/>
        </w:rPr>
        <w:t>6.</w:t>
      </w:r>
      <w:r>
        <w:rPr>
          <w:rFonts w:hint="eastAsia" w:ascii="仿宋" w:hAnsi="仿宋" w:eastAsia="仿宋"/>
          <w:b/>
          <w:color w:val="auto"/>
          <w:sz w:val="24"/>
          <w:highlight w:val="none"/>
        </w:rPr>
        <w:t>（实质性要求）</w:t>
      </w:r>
      <w:r>
        <w:rPr>
          <w:rFonts w:ascii="仿宋" w:hAnsi="仿宋" w:eastAsia="仿宋"/>
          <w:color w:val="auto"/>
          <w:sz w:val="24"/>
          <w:highlight w:val="none"/>
        </w:rPr>
        <w:t>国家</w:t>
      </w:r>
      <w:r>
        <w:rPr>
          <w:rFonts w:hint="eastAsia" w:ascii="仿宋" w:hAnsi="仿宋" w:eastAsia="仿宋"/>
          <w:color w:val="auto"/>
          <w:sz w:val="24"/>
          <w:highlight w:val="none"/>
        </w:rPr>
        <w:t>或行业主管部门</w:t>
      </w:r>
      <w:r>
        <w:rPr>
          <w:rFonts w:ascii="仿宋" w:hAnsi="仿宋" w:eastAsia="仿宋"/>
          <w:color w:val="auto"/>
          <w:sz w:val="24"/>
          <w:highlight w:val="none"/>
        </w:rPr>
        <w:t>对</w:t>
      </w:r>
      <w:r>
        <w:rPr>
          <w:rFonts w:hint="eastAsia" w:ascii="仿宋" w:hAnsi="仿宋" w:eastAsia="仿宋"/>
          <w:color w:val="auto"/>
          <w:sz w:val="24"/>
          <w:highlight w:val="none"/>
        </w:rPr>
        <w:t>采购产品的</w:t>
      </w:r>
      <w:r>
        <w:rPr>
          <w:rFonts w:ascii="仿宋" w:hAnsi="仿宋" w:eastAsia="仿宋"/>
          <w:color w:val="auto"/>
          <w:sz w:val="24"/>
          <w:highlight w:val="none"/>
        </w:rPr>
        <w:t>技术</w:t>
      </w:r>
      <w:r>
        <w:rPr>
          <w:rFonts w:hint="eastAsia" w:ascii="仿宋" w:hAnsi="仿宋" w:eastAsia="仿宋"/>
          <w:color w:val="auto"/>
          <w:sz w:val="24"/>
          <w:highlight w:val="none"/>
        </w:rPr>
        <w:t>标准、</w:t>
      </w:r>
      <w:r>
        <w:rPr>
          <w:rFonts w:ascii="仿宋" w:hAnsi="仿宋" w:eastAsia="仿宋"/>
          <w:color w:val="auto"/>
          <w:sz w:val="24"/>
          <w:highlight w:val="none"/>
        </w:rPr>
        <w:t>质量</w:t>
      </w:r>
      <w:r>
        <w:rPr>
          <w:rFonts w:hint="eastAsia" w:ascii="仿宋" w:hAnsi="仿宋" w:eastAsia="仿宋"/>
          <w:color w:val="auto"/>
          <w:sz w:val="24"/>
          <w:highlight w:val="none"/>
        </w:rPr>
        <w:t>标准和资格资质条件</w:t>
      </w:r>
      <w:r>
        <w:rPr>
          <w:rFonts w:ascii="仿宋" w:hAnsi="仿宋" w:eastAsia="仿宋"/>
          <w:color w:val="auto"/>
          <w:sz w:val="24"/>
          <w:highlight w:val="none"/>
        </w:rPr>
        <w:t>等有</w:t>
      </w:r>
      <w:r>
        <w:rPr>
          <w:rFonts w:hint="eastAsia" w:ascii="仿宋" w:hAnsi="仿宋" w:eastAsia="仿宋"/>
          <w:color w:val="auto"/>
          <w:sz w:val="24"/>
          <w:highlight w:val="none"/>
        </w:rPr>
        <w:t>强制性规定</w:t>
      </w:r>
      <w:r>
        <w:rPr>
          <w:rFonts w:ascii="仿宋" w:hAnsi="仿宋" w:eastAsia="仿宋"/>
          <w:color w:val="auto"/>
          <w:sz w:val="24"/>
          <w:highlight w:val="none"/>
        </w:rPr>
        <w:t>的</w:t>
      </w:r>
      <w:r>
        <w:rPr>
          <w:rFonts w:hint="eastAsia" w:ascii="仿宋" w:hAnsi="仿宋" w:eastAsia="仿宋"/>
          <w:color w:val="auto"/>
          <w:sz w:val="24"/>
          <w:highlight w:val="none"/>
        </w:rPr>
        <w:t>，必须符合其要求。</w:t>
      </w:r>
    </w:p>
    <w:p w14:paraId="56D11863">
      <w:pPr>
        <w:widowControl/>
        <w:jc w:val="left"/>
        <w:rPr>
          <w:rFonts w:ascii="仿宋" w:hAnsi="仿宋" w:eastAsia="仿宋"/>
          <w:color w:val="auto"/>
          <w:sz w:val="24"/>
          <w:highlight w:val="none"/>
        </w:rPr>
        <w:sectPr>
          <w:footerReference r:id="rId5" w:type="default"/>
          <w:pgSz w:w="11906" w:h="16838"/>
          <w:pgMar w:top="1134" w:right="1134" w:bottom="1134" w:left="1134" w:header="568" w:footer="686" w:gutter="0"/>
          <w:pgNumType w:fmt="decimal" w:start="1"/>
          <w:cols w:space="720" w:num="1"/>
          <w:docGrid w:linePitch="326" w:charSpace="0"/>
        </w:sectPr>
      </w:pPr>
      <w:r>
        <w:rPr>
          <w:rFonts w:ascii="仿宋" w:hAnsi="仿宋" w:eastAsia="仿宋"/>
          <w:color w:val="auto"/>
          <w:sz w:val="24"/>
          <w:highlight w:val="none"/>
        </w:rPr>
        <w:br w:type="page"/>
      </w:r>
    </w:p>
    <w:p w14:paraId="797A3661">
      <w:pPr>
        <w:rPr>
          <w:color w:val="auto"/>
          <w:highlight w:val="none"/>
        </w:rPr>
      </w:pPr>
      <w:bookmarkStart w:id="93" w:name="_Toc509579144"/>
    </w:p>
    <w:p w14:paraId="220FDFF3">
      <w:pPr>
        <w:pStyle w:val="16"/>
        <w:rPr>
          <w:rFonts w:ascii="仿宋" w:hAnsi="仿宋" w:eastAsia="仿宋" w:cs="仿宋"/>
          <w:color w:val="auto"/>
          <w:highlight w:val="none"/>
        </w:rPr>
      </w:pPr>
      <w:bookmarkStart w:id="94" w:name="_Toc6761"/>
      <w:bookmarkStart w:id="95" w:name="_Toc26137"/>
      <w:r>
        <w:rPr>
          <w:rFonts w:hint="eastAsia" w:ascii="仿宋" w:hAnsi="仿宋" w:eastAsia="仿宋" w:cs="仿宋"/>
          <w:color w:val="auto"/>
          <w:highlight w:val="none"/>
        </w:rPr>
        <w:t>第三章  采购项目技术、服务、采购合同内容条款及其他要求</w:t>
      </w:r>
      <w:bookmarkEnd w:id="93"/>
      <w:bookmarkEnd w:id="94"/>
      <w:bookmarkEnd w:id="95"/>
    </w:p>
    <w:p w14:paraId="4ADCE36B">
      <w:pPr>
        <w:spacing w:line="360" w:lineRule="auto"/>
        <w:ind w:firstLine="117" w:firstLineChars="49"/>
        <w:jc w:val="left"/>
        <w:rPr>
          <w:rFonts w:ascii="仿宋" w:hAnsi="仿宋" w:eastAsia="仿宋"/>
          <w:color w:val="auto"/>
          <w:sz w:val="24"/>
          <w:highlight w:val="none"/>
        </w:rPr>
      </w:pPr>
    </w:p>
    <w:p w14:paraId="7B9B0FA6">
      <w:pPr>
        <w:spacing w:line="360" w:lineRule="auto"/>
        <w:jc w:val="left"/>
        <w:outlineLvl w:val="1"/>
        <w:rPr>
          <w:rFonts w:ascii="仿宋" w:hAnsi="仿宋" w:eastAsia="仿宋"/>
          <w:b/>
          <w:bCs/>
          <w:color w:val="auto"/>
          <w:sz w:val="24"/>
          <w:highlight w:val="none"/>
        </w:rPr>
      </w:pPr>
      <w:bookmarkStart w:id="96" w:name="_Toc19488"/>
      <w:r>
        <w:rPr>
          <w:rFonts w:hint="eastAsia" w:ascii="仿宋" w:hAnsi="仿宋" w:eastAsia="仿宋"/>
          <w:b/>
          <w:bCs/>
          <w:color w:val="auto"/>
          <w:sz w:val="24"/>
          <w:highlight w:val="none"/>
        </w:rPr>
        <w:t>前提：</w:t>
      </w:r>
      <w:r>
        <w:rPr>
          <w:rFonts w:ascii="仿宋" w:hAnsi="仿宋" w:eastAsia="仿宋"/>
          <w:b/>
          <w:bCs/>
          <w:color w:val="auto"/>
          <w:sz w:val="24"/>
          <w:highlight w:val="none"/>
        </w:rPr>
        <w:t>本章采购需求中标注“★”号的条款为本次磋商采购项目的实质性要求，供应商应全部满足。</w:t>
      </w:r>
      <w:bookmarkEnd w:id="96"/>
    </w:p>
    <w:p w14:paraId="1C4C2EC5">
      <w:pPr>
        <w:widowControl/>
        <w:numPr>
          <w:ilvl w:val="255"/>
          <w:numId w:val="0"/>
        </w:numPr>
        <w:jc w:val="left"/>
        <w:rPr>
          <w:color w:val="auto"/>
          <w:highlight w:val="none"/>
        </w:rPr>
      </w:pPr>
      <w:bookmarkStart w:id="97" w:name="_Toc9860"/>
    </w:p>
    <w:p w14:paraId="21BA828C">
      <w:pPr>
        <w:keepLines/>
        <w:spacing w:line="360" w:lineRule="auto"/>
        <w:ind w:firstLine="482" w:firstLineChars="200"/>
        <w:outlineLvl w:val="1"/>
        <w:rPr>
          <w:rFonts w:ascii="仿宋" w:hAnsi="仿宋" w:eastAsia="仿宋" w:cs="仿宋"/>
          <w:b/>
          <w:bCs/>
          <w:color w:val="auto"/>
          <w:kern w:val="0"/>
          <w:sz w:val="24"/>
          <w:highlight w:val="none"/>
          <w:lang w:bidi="ar"/>
        </w:rPr>
      </w:pPr>
      <w:r>
        <w:rPr>
          <w:rFonts w:hint="eastAsia" w:ascii="仿宋" w:hAnsi="仿宋" w:eastAsia="仿宋" w:cs="仿宋"/>
          <w:b/>
          <w:bCs/>
          <w:color w:val="auto"/>
          <w:kern w:val="0"/>
          <w:sz w:val="24"/>
          <w:highlight w:val="none"/>
          <w:lang w:bidi="ar"/>
        </w:rPr>
        <w:t>一、工程概况</w:t>
      </w:r>
      <w:bookmarkEnd w:id="97"/>
    </w:p>
    <w:p w14:paraId="51012E91">
      <w:pPr>
        <w:keepLines/>
        <w:spacing w:line="360" w:lineRule="auto"/>
        <w:ind w:firstLine="456" w:firstLineChars="200"/>
        <w:outlineLvl w:val="1"/>
        <w:rPr>
          <w:rFonts w:ascii="仿宋" w:hAnsi="仿宋" w:eastAsia="仿宋" w:cs="仿宋"/>
          <w:color w:val="auto"/>
          <w:kern w:val="0"/>
          <w:sz w:val="24"/>
          <w:highlight w:val="none"/>
          <w:lang w:bidi="ar"/>
        </w:rPr>
      </w:pPr>
      <w:bookmarkStart w:id="98" w:name="_Toc31530"/>
      <w:r>
        <w:rPr>
          <w:rFonts w:hint="eastAsia" w:ascii="仿宋" w:hAnsi="仿宋" w:eastAsia="仿宋" w:cs="仿宋"/>
          <w:color w:val="auto"/>
          <w:spacing w:val="-6"/>
          <w:kern w:val="0"/>
          <w:sz w:val="24"/>
          <w:highlight w:val="none"/>
          <w:lang w:bidi="ar"/>
        </w:rPr>
        <w:t>学校食堂及校医院存在多项安全隐患、设施损坏及合规性问题，已影响正常运营并威胁师生人身安全。食堂存在墙砖地砖破损松动、吊顶变形缺失、屋面及售餐区渗漏积水、部分配电间空间狭窄环境潮湿、室外外墙砖松动与雨棚破损、功能分区及设施不符合食品安全规范等问题；校医院未按规定设置西药库，一楼出入口地面防滑性能差且局部塌陷，航空港校区医院 28 处空调外机保护栏严重腐朽、房屋漏水严重，亟需实施维修改造，以消除安全隐患，满足相关规范要求，保障校园安全及各项工作有序开展，具体实施内容详见工程量清单。</w:t>
      </w:r>
    </w:p>
    <w:p w14:paraId="646DAEBB">
      <w:pPr>
        <w:keepLines/>
        <w:spacing w:line="360" w:lineRule="auto"/>
        <w:ind w:firstLine="482" w:firstLineChars="200"/>
        <w:outlineLvl w:val="1"/>
        <w:rPr>
          <w:rFonts w:ascii="仿宋" w:hAnsi="仿宋" w:eastAsia="仿宋" w:cs="仿宋"/>
          <w:b/>
          <w:bCs/>
          <w:color w:val="auto"/>
          <w:kern w:val="0"/>
          <w:sz w:val="24"/>
          <w:highlight w:val="none"/>
          <w:lang w:bidi="ar"/>
        </w:rPr>
      </w:pPr>
      <w:r>
        <w:rPr>
          <w:rFonts w:hint="eastAsia" w:ascii="仿宋" w:hAnsi="仿宋" w:eastAsia="仿宋" w:cs="仿宋"/>
          <w:b/>
          <w:bCs/>
          <w:color w:val="auto"/>
          <w:kern w:val="0"/>
          <w:sz w:val="24"/>
          <w:highlight w:val="none"/>
          <w:lang w:bidi="ar"/>
        </w:rPr>
        <w:t>★二、</w:t>
      </w:r>
      <w:r>
        <w:rPr>
          <w:rFonts w:hint="eastAsia" w:ascii="仿宋" w:hAnsi="仿宋" w:eastAsia="仿宋" w:cs="仿宋"/>
          <w:b/>
          <w:bCs/>
          <w:color w:val="auto"/>
          <w:kern w:val="0"/>
          <w:sz w:val="24"/>
          <w:highlight w:val="none"/>
          <w:lang w:val="en-US" w:eastAsia="zh-CN" w:bidi="ar"/>
        </w:rPr>
        <w:t>技术</w:t>
      </w:r>
      <w:r>
        <w:rPr>
          <w:rFonts w:hint="eastAsia" w:ascii="仿宋" w:hAnsi="仿宋" w:eastAsia="仿宋" w:cs="仿宋"/>
          <w:b/>
          <w:bCs/>
          <w:color w:val="auto"/>
          <w:kern w:val="0"/>
          <w:sz w:val="24"/>
          <w:highlight w:val="none"/>
          <w:lang w:bidi="ar"/>
        </w:rPr>
        <w:t>要求</w:t>
      </w:r>
      <w:bookmarkEnd w:id="98"/>
    </w:p>
    <w:p w14:paraId="718A528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一</w:t>
      </w:r>
      <w:r>
        <w:rPr>
          <w:rFonts w:hint="eastAsia" w:ascii="仿宋" w:hAnsi="仿宋" w:eastAsia="仿宋" w:cs="仿宋"/>
          <w:color w:val="auto"/>
          <w:sz w:val="24"/>
          <w:highlight w:val="none"/>
        </w:rPr>
        <w:t>）材料要求</w:t>
      </w:r>
    </w:p>
    <w:p w14:paraId="11CF8D6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 .本项目全部材料由</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自行采购，材料应为符合设计要求、符合国家标准、行业规范的合格产品。因材料质量原因造成的损失由</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负责。</w:t>
      </w:r>
    </w:p>
    <w:p w14:paraId="6C3A4C1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进场后及时向</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提交工程</w:t>
      </w:r>
      <w:r>
        <w:rPr>
          <w:rFonts w:hint="eastAsia" w:ascii="仿宋" w:hAnsi="仿宋" w:eastAsia="仿宋" w:cs="仿宋"/>
          <w:color w:val="auto"/>
          <w:sz w:val="24"/>
          <w:highlight w:val="none"/>
          <w:lang w:val="en-US" w:eastAsia="zh-CN"/>
        </w:rPr>
        <w:t>主要</w:t>
      </w:r>
      <w:r>
        <w:rPr>
          <w:rFonts w:hint="eastAsia" w:ascii="仿宋" w:hAnsi="仿宋" w:eastAsia="仿宋" w:cs="仿宋"/>
          <w:color w:val="auto"/>
          <w:sz w:val="24"/>
          <w:highlight w:val="none"/>
        </w:rPr>
        <w:t>材料的样品，样品应注明名称、规格、品牌、单价，</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核定后由</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进行采购。</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应在方案确定后施工开始前三天，上报材料使用计划及核价申请，若因</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无法及时提交材料核价申请导致工期延误，由</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自行承担责任。</w:t>
      </w:r>
    </w:p>
    <w:p w14:paraId="529CC48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二</w:t>
      </w:r>
      <w:r>
        <w:rPr>
          <w:rFonts w:hint="eastAsia" w:ascii="仿宋" w:hAnsi="仿宋" w:eastAsia="仿宋" w:cs="仿宋"/>
          <w:color w:val="auto"/>
          <w:sz w:val="24"/>
          <w:highlight w:val="none"/>
        </w:rPr>
        <w:t>）工程总价与承包范围要求</w:t>
      </w:r>
    </w:p>
    <w:p w14:paraId="5CF4E7F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本项目采用综合单价计价方式，合同总价为暂估总价。报价包含完成对应工程量所需的人工费、材料费、机械使用费、运输装卸费、安装费、管理费、利润、措施费、安全文明施工费、规费、税金、检验检测费、验收及移交等全部费用，以及合同明示或暗示的风险、责任和义务费用。</w:t>
      </w:r>
    </w:p>
    <w:p w14:paraId="61FDF8D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须全面负责项目包工、包料、包机械、包运输、包安装、包管理、包质量、包工期、包安全施工、包文明施工、包检验检测、包验收合格、包现场协调，确保工程全部达到设计要求、使用功能要求及采购人技术规范要求，采购人不再另行支付任何额外费用。</w:t>
      </w:r>
    </w:p>
    <w:p w14:paraId="2DC5D2F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）施工工艺要求</w:t>
      </w:r>
    </w:p>
    <w:p w14:paraId="4040530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须严格按照国家现行工程施工工艺标准、规范及审核通过的施工方案组织施工，各分项工程施工工艺必须符合质量验收标准，防水、电路、给排水、装修等关键工序须做好隐蔽工程验收记录，每道工序完成后经采购人现场查验合格，方可进入下一道工序施工，确保施工工艺规范、工程质量达标。</w:t>
      </w:r>
    </w:p>
    <w:p w14:paraId="0746750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四</w:t>
      </w:r>
      <w:r>
        <w:rPr>
          <w:rFonts w:hint="eastAsia" w:ascii="仿宋" w:hAnsi="仿宋" w:eastAsia="仿宋" w:cs="仿宋"/>
          <w:color w:val="auto"/>
          <w:sz w:val="24"/>
          <w:highlight w:val="none"/>
        </w:rPr>
        <w:t>）施工方案要求</w:t>
      </w:r>
    </w:p>
    <w:p w14:paraId="75F6DE20">
      <w:pPr>
        <w:spacing w:line="360" w:lineRule="auto"/>
        <w:ind w:firstLine="480" w:firstLineChars="200"/>
        <w:rPr>
          <w:rFonts w:hint="eastAsia"/>
          <w:color w:val="auto"/>
          <w:highlight w:val="none"/>
        </w:rPr>
      </w:pPr>
      <w:r>
        <w:rPr>
          <w:rFonts w:hint="eastAsia" w:ascii="仿宋" w:hAnsi="仿宋" w:eastAsia="仿宋" w:cs="仿宋"/>
          <w:color w:val="auto"/>
          <w:sz w:val="24"/>
          <w:highlight w:val="none"/>
        </w:rPr>
        <w:t>成交供应商须在合同签订后，结合采购人实际需求、现场踏勘情况</w:t>
      </w:r>
      <w:r>
        <w:rPr>
          <w:rFonts w:hint="eastAsia" w:ascii="仿宋" w:hAnsi="仿宋" w:eastAsia="仿宋" w:cs="仿宋"/>
          <w:color w:val="auto"/>
          <w:sz w:val="24"/>
          <w:highlight w:val="none"/>
          <w:lang w:val="en-US" w:eastAsia="zh-CN"/>
        </w:rPr>
        <w:t>进一步细化</w:t>
      </w:r>
      <w:r>
        <w:rPr>
          <w:rFonts w:hint="eastAsia" w:ascii="仿宋" w:hAnsi="仿宋" w:eastAsia="仿宋" w:cs="仿宋"/>
          <w:color w:val="auto"/>
          <w:sz w:val="24"/>
          <w:highlight w:val="none"/>
        </w:rPr>
        <w:t>施工方案，经采购人书面审核通过后方可组织施工。编制</w:t>
      </w:r>
      <w:r>
        <w:rPr>
          <w:rFonts w:hint="eastAsia" w:ascii="仿宋" w:hAnsi="仿宋" w:eastAsia="仿宋" w:cs="仿宋"/>
          <w:color w:val="auto"/>
          <w:sz w:val="24"/>
          <w:highlight w:val="none"/>
          <w:lang w:val="en-US" w:eastAsia="zh-CN"/>
        </w:rPr>
        <w:t>细化的</w:t>
      </w:r>
      <w:r>
        <w:rPr>
          <w:rFonts w:hint="eastAsia" w:ascii="仿宋" w:hAnsi="仿宋" w:eastAsia="仿宋" w:cs="仿宋"/>
          <w:color w:val="auto"/>
          <w:sz w:val="24"/>
          <w:highlight w:val="none"/>
        </w:rPr>
        <w:t>施工方案不另行计取费用，方案编制时间计入合同总工期，供应商须合理把控时间节点，不得因方案编制延误工期。项目整体施工质量必须达到国家现行相关规范标准及采购人要求。</w:t>
      </w:r>
    </w:p>
    <w:p w14:paraId="7589DAC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rPr>
        <w:t>）现场管理要求</w:t>
      </w:r>
    </w:p>
    <w:p w14:paraId="760AFE0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1.施工区域管理：对施工区域进行打围，设置明显警示标识、安全防护设施，划分施工区与非施工区，严禁无关人员进入施工区域，保障校园师生安全；</w:t>
      </w:r>
    </w:p>
    <w:p w14:paraId="4FCCD66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2.环境管控：施工期间做好降尘、降噪、抑噪措施，粉尘、噪音控制严格符合校园环境管理标准，避免影响正常教学、科研及办公秩序，施工垃圾及时清理清运，保持施工现场整洁；</w:t>
      </w:r>
    </w:p>
    <w:p w14:paraId="7ECE750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3.设施保护：施工过程中须妥善保护校园现有公共设施、古树名木、地下管线、水电设备等，严禁野蛮施工造成损坏，若因施工造成设施设备损坏，供应商须无条件修复或赔偿。</w:t>
      </w:r>
    </w:p>
    <w:p w14:paraId="4F457A27">
      <w:pPr>
        <w:pStyle w:val="6"/>
        <w:spacing w:line="360" w:lineRule="auto"/>
        <w:ind w:firstLine="480" w:firstLineChars="200"/>
        <w:rPr>
          <w:color w:val="auto"/>
          <w:highlight w:val="none"/>
        </w:rPr>
      </w:pPr>
      <w:r>
        <w:rPr>
          <w:rFonts w:hint="eastAsia" w:ascii="仿宋" w:hAnsi="仿宋" w:eastAsia="仿宋" w:cs="仿宋"/>
          <w:color w:val="auto"/>
          <w:sz w:val="24"/>
          <w:highlight w:val="none"/>
          <w:lang w:val="en-US" w:eastAsia="zh-CN"/>
        </w:rPr>
        <w:t>4.项目实施期间项目经理须全程驻场负责，不得擅自更换，确因特殊情况需更换的，必须提前书面报请采购人审核，经采购人书面同意后方可更换，且更换后的项目经理资质、业绩等条件不得低于原响应承诺标准。</w:t>
      </w:r>
    </w:p>
    <w:p w14:paraId="13203BF0">
      <w:pPr>
        <w:keepLines/>
        <w:spacing w:line="360" w:lineRule="auto"/>
        <w:ind w:firstLine="482" w:firstLineChars="200"/>
        <w:outlineLvl w:val="1"/>
        <w:rPr>
          <w:rFonts w:ascii="仿宋" w:hAnsi="仿宋" w:eastAsia="仿宋" w:cs="仿宋"/>
          <w:b/>
          <w:bCs/>
          <w:color w:val="auto"/>
          <w:kern w:val="0"/>
          <w:sz w:val="24"/>
          <w:highlight w:val="none"/>
          <w:lang w:bidi="ar"/>
        </w:rPr>
      </w:pPr>
      <w:r>
        <w:rPr>
          <w:rFonts w:hint="eastAsia" w:ascii="仿宋" w:hAnsi="仿宋" w:eastAsia="仿宋" w:cs="仿宋"/>
          <w:b/>
          <w:bCs/>
          <w:color w:val="auto"/>
          <w:kern w:val="0"/>
          <w:sz w:val="24"/>
          <w:highlight w:val="none"/>
          <w:lang w:bidi="ar"/>
        </w:rPr>
        <w:t>★</w:t>
      </w:r>
      <w:r>
        <w:rPr>
          <w:rFonts w:hint="eastAsia" w:ascii="仿宋" w:hAnsi="仿宋" w:eastAsia="仿宋" w:cs="仿宋"/>
          <w:b/>
          <w:bCs/>
          <w:color w:val="auto"/>
          <w:kern w:val="0"/>
          <w:sz w:val="24"/>
          <w:highlight w:val="none"/>
          <w:lang w:val="en-US" w:eastAsia="zh-CN" w:bidi="ar"/>
        </w:rPr>
        <w:t>三</w:t>
      </w:r>
      <w:r>
        <w:rPr>
          <w:rFonts w:hint="eastAsia" w:ascii="仿宋" w:hAnsi="仿宋" w:eastAsia="仿宋" w:cs="仿宋"/>
          <w:b/>
          <w:bCs/>
          <w:color w:val="auto"/>
          <w:kern w:val="0"/>
          <w:sz w:val="24"/>
          <w:highlight w:val="none"/>
          <w:lang w:bidi="ar"/>
        </w:rPr>
        <w:t>、商务要求</w:t>
      </w:r>
    </w:p>
    <w:p w14:paraId="4000A41C">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1、工期 ：</w:t>
      </w:r>
      <w:r>
        <w:rPr>
          <w:rFonts w:hint="eastAsia" w:ascii="仿宋" w:hAnsi="仿宋" w:eastAsia="仿宋" w:cs="仿宋"/>
          <w:color w:val="auto"/>
          <w:kern w:val="0"/>
          <w:sz w:val="24"/>
          <w:highlight w:val="none"/>
          <w:lang w:val="en-US" w:eastAsia="zh-CN" w:bidi="ar"/>
        </w:rPr>
        <w:t>50</w:t>
      </w:r>
      <w:r>
        <w:rPr>
          <w:rFonts w:hint="eastAsia" w:ascii="仿宋" w:hAnsi="仿宋" w:eastAsia="仿宋" w:cs="仿宋"/>
          <w:color w:val="auto"/>
          <w:kern w:val="0"/>
          <w:sz w:val="24"/>
          <w:highlight w:val="none"/>
          <w:lang w:bidi="ar"/>
        </w:rPr>
        <w:t>个日历天。自采购人签署开工报告之日起开始计算。</w:t>
      </w:r>
    </w:p>
    <w:p w14:paraId="7C70088C">
      <w:pPr>
        <w:widowControl/>
        <w:spacing w:line="360" w:lineRule="auto"/>
        <w:ind w:firstLine="480" w:firstLineChars="200"/>
        <w:jc w:val="left"/>
        <w:rPr>
          <w:rFonts w:hint="eastAsia" w:ascii="仿宋" w:hAnsi="仿宋" w:eastAsia="仿宋" w:cs="仿宋"/>
          <w:color w:val="auto"/>
          <w:kern w:val="0"/>
          <w:sz w:val="24"/>
          <w:highlight w:val="none"/>
          <w:lang w:eastAsia="zh-CN" w:bidi="ar"/>
        </w:rPr>
      </w:pPr>
      <w:r>
        <w:rPr>
          <w:rFonts w:hint="eastAsia" w:ascii="仿宋" w:hAnsi="仿宋" w:eastAsia="仿宋" w:cs="仿宋"/>
          <w:color w:val="auto"/>
          <w:kern w:val="0"/>
          <w:sz w:val="24"/>
          <w:highlight w:val="none"/>
          <w:lang w:bidi="ar"/>
        </w:rPr>
        <w:t>2、质保期 ：整体工程质保期为1年，自项目竣工验收合格之日起计算</w:t>
      </w:r>
      <w:r>
        <w:rPr>
          <w:rFonts w:hint="eastAsia" w:ascii="仿宋" w:hAnsi="仿宋" w:eastAsia="仿宋" w:cs="仿宋"/>
          <w:color w:val="auto"/>
          <w:kern w:val="0"/>
          <w:sz w:val="24"/>
          <w:highlight w:val="none"/>
          <w:lang w:eastAsia="zh-CN" w:bidi="ar"/>
        </w:rPr>
        <w:t>。</w:t>
      </w:r>
    </w:p>
    <w:p w14:paraId="3F9BCA93">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3、缺陷责任期的具体期限：项目缺陷责任期为1年，与质保期同步计算，缺陷责任期内供应商承担全部维修整改责任。</w:t>
      </w:r>
    </w:p>
    <w:p w14:paraId="73EC1387">
      <w:pPr>
        <w:widowControl/>
        <w:spacing w:line="360" w:lineRule="auto"/>
        <w:ind w:firstLine="480" w:firstLineChars="200"/>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4、付款方式 ：本项目工程款按工程进度分阶段支付，累计支付总额不超过合同暂定价，具体支付节点及比例如下：</w:t>
      </w:r>
    </w:p>
    <w:p w14:paraId="2D79CA2A">
      <w:pPr>
        <w:widowControl/>
        <w:spacing w:line="360" w:lineRule="auto"/>
        <w:ind w:firstLine="480" w:firstLineChars="200"/>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4.1</w:t>
      </w:r>
      <w:r>
        <w:rPr>
          <w:rFonts w:hint="eastAsia" w:ascii="仿宋" w:hAnsi="仿宋" w:eastAsia="仿宋" w:cs="仿宋"/>
          <w:color w:val="auto"/>
          <w:kern w:val="0"/>
          <w:sz w:val="24"/>
          <w:highlight w:val="none"/>
          <w:lang w:bidi="ar"/>
        </w:rPr>
        <w:t>预付款：合同正式生效后15个工作日内，采购人支付合同暂定价的30%作为工程预付款；</w:t>
      </w:r>
    </w:p>
    <w:p w14:paraId="18021047">
      <w:pPr>
        <w:widowControl/>
        <w:spacing w:line="360" w:lineRule="auto"/>
        <w:ind w:firstLine="480" w:firstLineChars="200"/>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4.2</w:t>
      </w:r>
      <w:r>
        <w:rPr>
          <w:rFonts w:hint="eastAsia" w:ascii="仿宋" w:hAnsi="仿宋" w:eastAsia="仿宋" w:cs="仿宋"/>
          <w:color w:val="auto"/>
          <w:kern w:val="0"/>
          <w:sz w:val="24"/>
          <w:highlight w:val="none"/>
          <w:lang w:bidi="ar"/>
        </w:rPr>
        <w:t>进度款：工程全部完工并经采购人竣工验收合格后，采购人支付合同暂定价的45%作为工程进度款；</w:t>
      </w:r>
    </w:p>
    <w:p w14:paraId="1CDE39A3">
      <w:pPr>
        <w:widowControl/>
        <w:spacing w:line="360" w:lineRule="auto"/>
        <w:ind w:firstLine="480" w:firstLineChars="200"/>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4.3</w:t>
      </w:r>
      <w:r>
        <w:rPr>
          <w:rFonts w:hint="eastAsia" w:ascii="仿宋" w:hAnsi="仿宋" w:eastAsia="仿宋" w:cs="仿宋"/>
          <w:color w:val="auto"/>
          <w:kern w:val="0"/>
          <w:sz w:val="24"/>
          <w:highlight w:val="none"/>
          <w:lang w:bidi="ar"/>
        </w:rPr>
        <w:t>结算款：供应商按约定交付竣工资料及工程质保金和水电费等、工程结算审计确认后供应商根据审计确定金额开具剩余工程款增值税发票经采购人审核无误后15日内按审定金额支付剩余价款。</w:t>
      </w:r>
    </w:p>
    <w:p w14:paraId="6A21ACD7">
      <w:pPr>
        <w:widowControl/>
        <w:numPr>
          <w:ilvl w:val="0"/>
          <w:numId w:val="2"/>
        </w:numPr>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结算方式：</w:t>
      </w:r>
    </w:p>
    <w:p w14:paraId="456FC6C5">
      <w:pPr>
        <w:widowControl/>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5.1实际结算价=可竞争费用+以可竞争费用中相应费用为计价基础计算出的不可竞争费用+税金（按国家税务机关颁发的税务登记表进行核算）。经审计单位审定金额作为结算价款。</w:t>
      </w:r>
    </w:p>
    <w:p w14:paraId="36F7D423">
      <w:pPr>
        <w:widowControl/>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5.2可竞争费用为分部分项工程清单费、除安全文明施工费外的措施费；</w:t>
      </w:r>
    </w:p>
    <w:p w14:paraId="189440CA">
      <w:pPr>
        <w:widowControl/>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5.3分部分项工程清单费=投标清单单价为基准*（1-[浮动比例]）*采购人审核认可的实际工程量。清单中未包含的项目按照现行中华人民共和国国家标准《建设工程量清单计价规范》（GB50500）和现行《四川省建设工程工程量清单计价定额》计价并按照浮动比例进行下浮（新旧规范或新旧定额并行期间根据实际情况选用）。现行《建设工程量清单计价规范》（GB50500）和《四川省建设工程工程量清单计价定额》及投标清单中没有的材料按《成都市工程造价信息》执行当期信息价（厂商报价及广告价不予采纳），信息价中未包含的材料由采购人参照市场价进行材料认质认价确认执行价格。</w:t>
      </w:r>
    </w:p>
    <w:p w14:paraId="626E8C25">
      <w:pPr>
        <w:widowControl/>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5.4浮动比例=（1-最后报价中可竞争费用/初次报价可竞争费用）×100%，浮动比例可精确到小数点后两位。</w:t>
      </w:r>
    </w:p>
    <w:p w14:paraId="43D5BDD3">
      <w:pPr>
        <w:widowControl/>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5.5不可竞争费用为安全文明施工费、规费、其他项目费（暂列金、暂估价等），其中规费按以承包人的企业资质等级按规定计取；安全文明施工费按基本费率计取。</w:t>
      </w:r>
    </w:p>
    <w:p w14:paraId="229A8FC3">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6、履约保证金：</w:t>
      </w:r>
    </w:p>
    <w:p w14:paraId="75E9A297">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（1）履约保证金缴纳形式：以支票、汇票、本票或者金融机构、担保机构出具的保函等非现金形式在合同签订前提交。</w:t>
      </w:r>
    </w:p>
    <w:p w14:paraId="1DECEF9E">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（2）履约保证金金额：合同金额的 5%。</w:t>
      </w:r>
    </w:p>
    <w:p w14:paraId="0CD0405A">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（3）履约保证金退还：工程验收合格后15日内一次性返还履约保证金（不计息），采用保函形式缴纳的履约保证金在担保有效期后，担保责任终止。</w:t>
      </w:r>
    </w:p>
    <w:p w14:paraId="0C60E139">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7、质保金：采购人在支付最后一笔工程款前，供应商向采购人支付工程审定金额的3%作为质保金，待缺陷责任期满后无质量问题一次性退还（不计息）。</w:t>
      </w:r>
    </w:p>
    <w:p w14:paraId="7B174812">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8、报价包含3部分：（可竞争性费用、</w:t>
      </w:r>
      <w:r>
        <w:rPr>
          <w:rFonts w:hint="eastAsia" w:ascii="仿宋" w:hAnsi="仿宋" w:eastAsia="仿宋" w:cs="仿宋"/>
          <w:color w:val="auto"/>
          <w:kern w:val="0"/>
          <w:sz w:val="24"/>
          <w:highlight w:val="none"/>
          <w:lang w:val="en-US" w:eastAsia="zh-CN" w:bidi="ar"/>
        </w:rPr>
        <w:t>不可竞争费用（安全文明施工费、规费、暂列金额，不可竞争费用投标时按照招标工程量清单给定的金额填写</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bidi="ar"/>
        </w:rPr>
        <w:t>、税金</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val="en-US" w:eastAsia="zh-CN" w:bidi="ar"/>
        </w:rPr>
        <w:t>按给定的费率计取</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bidi="ar"/>
        </w:rPr>
        <w:t>），可竞争性费用参与报价评分。本工程结算采用固定综合单价计价方式。供应商可以按照自身实际情况和管理水平结合现场情况进行考虑。成交供应商与采购人签订合同中，合同暂定价为二次报价总价（含可竞争费、不可竞争费及税金）。</w:t>
      </w:r>
    </w:p>
    <w:p w14:paraId="04CCDF48">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9、验收要求：</w:t>
      </w:r>
    </w:p>
    <w:p w14:paraId="413E3A00">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参照</w:t>
      </w:r>
      <w:r>
        <w:rPr>
          <w:rFonts w:hint="eastAsia" w:ascii="仿宋" w:hAnsi="仿宋" w:eastAsia="仿宋" w:cs="仿宋"/>
          <w:color w:val="auto"/>
          <w:kern w:val="0"/>
          <w:sz w:val="24"/>
          <w:highlight w:val="none"/>
          <w:lang w:bidi="ar"/>
        </w:rPr>
        <w:t>《建筑工程施工质量验收统一标准》（GB50300-2013）等国家制订 的施工及验收规范为质量评定验收标准。项目验收结果合格的，成交供应商凭竣工验收相关证明材料到采购人相关部门办理履约保证金的退还手续；</w:t>
      </w:r>
    </w:p>
    <w:p w14:paraId="20CF60FC">
      <w:pPr>
        <w:widowControl/>
        <w:spacing w:line="360" w:lineRule="auto"/>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（2）其他未尽事宜参照《财政部关于进一步加强政府采购需求和履约验收管理的 指导意见》（财库〔2016〕205 号）、《政府采购需求管理办法》（财库〔2021〕22 号）的要求进行验收；符合国家、四川省地方强制标准规定。</w:t>
      </w:r>
    </w:p>
    <w:p w14:paraId="46D03870">
      <w:pPr>
        <w:widowControl/>
        <w:spacing w:line="360" w:lineRule="auto"/>
        <w:ind w:firstLine="480" w:firstLineChars="200"/>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10、售后服务</w:t>
      </w:r>
      <w:r>
        <w:rPr>
          <w:rFonts w:hint="eastAsia" w:ascii="仿宋" w:hAnsi="仿宋" w:eastAsia="仿宋" w:cs="仿宋"/>
          <w:color w:val="auto"/>
          <w:kern w:val="0"/>
          <w:sz w:val="24"/>
          <w:highlight w:val="none"/>
          <w:lang w:val="en-US" w:eastAsia="zh-CN" w:bidi="ar"/>
        </w:rPr>
        <w:t>响应</w:t>
      </w:r>
      <w:r>
        <w:rPr>
          <w:rFonts w:hint="eastAsia" w:ascii="仿宋" w:hAnsi="仿宋" w:eastAsia="仿宋" w:cs="仿宋"/>
          <w:color w:val="auto"/>
          <w:kern w:val="0"/>
          <w:sz w:val="24"/>
          <w:highlight w:val="none"/>
          <w:lang w:bidi="ar"/>
        </w:rPr>
        <w:t>：质保期内供应商提供7×24小时全天候售后服务，接到采购人维修通知后，常规问题须3小时内安排专业人员到场处置，48小时内完成维修整改；存在安全隐患的紧急问题，必须在12小时内到场并彻底解决，消除安全隐患；</w:t>
      </w:r>
    </w:p>
    <w:p w14:paraId="1AB8EABA">
      <w:pPr>
        <w:widowControl/>
        <w:spacing w:line="360" w:lineRule="auto"/>
        <w:ind w:firstLine="480" w:firstLineChars="200"/>
        <w:jc w:val="left"/>
        <w:rPr>
          <w:rFonts w:hint="default"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11、违约责任：若供应商未按约定时间到场维修或未按期完成整改，采购人有权委托第三方机构代为维修，所产生的全部费用从质保金中扣除，不足部分由供应商另行承担。</w:t>
      </w:r>
    </w:p>
    <w:p w14:paraId="612BBC02">
      <w:pPr>
        <w:widowControl/>
        <w:spacing w:line="360" w:lineRule="auto"/>
        <w:ind w:firstLine="480" w:firstLineChars="200"/>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、工程全部竣工后，供应商须书面正式通知采购人组织验收，采购人接到通知后按规定及时组织验收并办理相关验收手续。工程竣工验收时，供应商须同步向采购人提交</w:t>
      </w:r>
      <w:r>
        <w:rPr>
          <w:rFonts w:hint="eastAsia" w:ascii="仿宋" w:hAnsi="仿宋" w:eastAsia="仿宋" w:cs="仿宋"/>
          <w:b/>
          <w:bCs/>
          <w:color w:val="auto"/>
          <w:kern w:val="0"/>
          <w:sz w:val="24"/>
          <w:highlight w:val="none"/>
          <w:lang w:bidi="ar"/>
        </w:rPr>
        <w:t>竣工资料一式肆套、竣工图一式肆套及电子文档一套</w:t>
      </w:r>
      <w:r>
        <w:rPr>
          <w:rFonts w:hint="eastAsia" w:ascii="仿宋" w:hAnsi="仿宋" w:eastAsia="仿宋" w:cs="仿宋"/>
          <w:color w:val="auto"/>
          <w:kern w:val="0"/>
          <w:sz w:val="24"/>
          <w:highlight w:val="none"/>
          <w:lang w:bidi="ar"/>
        </w:rPr>
        <w:t>，所有资料须规范、完整、清晰，符合工程档案管理及审计要求。</w:t>
      </w:r>
    </w:p>
    <w:p w14:paraId="190F287C">
      <w:pPr>
        <w:widowControl/>
        <w:spacing w:line="360" w:lineRule="auto"/>
        <w:ind w:firstLine="480" w:firstLineChars="200"/>
        <w:jc w:val="left"/>
        <w:rPr>
          <w:rFonts w:hint="eastAsia" w:ascii="仿宋" w:hAnsi="仿宋" w:eastAsia="仿宋" w:cs="仿宋"/>
          <w:color w:val="auto"/>
          <w:kern w:val="0"/>
          <w:sz w:val="24"/>
          <w:highlight w:val="none"/>
          <w:lang w:bidi="ar"/>
        </w:rPr>
      </w:pPr>
    </w:p>
    <w:p w14:paraId="3258FA57">
      <w:pPr>
        <w:rPr>
          <w:color w:val="auto"/>
          <w:highlight w:val="none"/>
        </w:rPr>
      </w:pPr>
      <w:r>
        <w:rPr>
          <w:color w:val="auto"/>
          <w:highlight w:val="none"/>
        </w:rPr>
        <w:br w:type="page"/>
      </w:r>
      <w:bookmarkEnd w:id="78"/>
      <w:bookmarkEnd w:id="79"/>
      <w:bookmarkEnd w:id="80"/>
      <w:bookmarkEnd w:id="81"/>
      <w:bookmarkEnd w:id="82"/>
      <w:bookmarkStart w:id="99" w:name="_Toc509579145"/>
      <w:bookmarkStart w:id="100" w:name="_Toc183682369"/>
      <w:bookmarkStart w:id="101" w:name="_Toc217446057"/>
      <w:bookmarkStart w:id="102" w:name="_Toc183582232"/>
    </w:p>
    <w:p w14:paraId="587DEE9B">
      <w:pPr>
        <w:pStyle w:val="16"/>
        <w:rPr>
          <w:rFonts w:ascii="仿宋" w:hAnsi="仿宋" w:eastAsia="仿宋" w:cs="仿宋"/>
          <w:color w:val="auto"/>
          <w:highlight w:val="none"/>
        </w:rPr>
      </w:pPr>
      <w:bookmarkStart w:id="103" w:name="_Toc19172"/>
      <w:bookmarkStart w:id="104" w:name="_Toc29032"/>
      <w:r>
        <w:rPr>
          <w:rFonts w:hint="eastAsia" w:ascii="仿宋" w:hAnsi="仿宋" w:eastAsia="仿宋" w:cs="仿宋"/>
          <w:color w:val="auto"/>
          <w:highlight w:val="none"/>
        </w:rPr>
        <w:t>第四章  磋商内容、磋商过程中可实质性变动的内容</w:t>
      </w:r>
      <w:bookmarkEnd w:id="99"/>
      <w:bookmarkEnd w:id="103"/>
      <w:bookmarkEnd w:id="104"/>
    </w:p>
    <w:p w14:paraId="1758E82B">
      <w:pPr>
        <w:spacing w:line="360" w:lineRule="auto"/>
        <w:rPr>
          <w:rFonts w:ascii="仿宋" w:hAnsi="仿宋" w:eastAsia="仿宋"/>
          <w:color w:val="auto"/>
          <w:sz w:val="24"/>
          <w:highlight w:val="none"/>
        </w:rPr>
      </w:pPr>
    </w:p>
    <w:p w14:paraId="0E92837D">
      <w:pPr>
        <w:tabs>
          <w:tab w:val="left" w:pos="7665"/>
        </w:tabs>
        <w:spacing w:line="360" w:lineRule="auto"/>
        <w:ind w:firstLine="480"/>
        <w:rPr>
          <w:rFonts w:ascii="仿宋" w:hAnsi="仿宋" w:eastAsia="仿宋"/>
          <w:bCs/>
          <w:color w:val="auto"/>
          <w:sz w:val="24"/>
          <w:highlight w:val="none"/>
        </w:rPr>
      </w:pPr>
    </w:p>
    <w:p w14:paraId="6597DB01">
      <w:pPr>
        <w:tabs>
          <w:tab w:val="left" w:pos="7665"/>
        </w:tabs>
        <w:spacing w:line="360" w:lineRule="auto"/>
        <w:ind w:firstLine="480"/>
        <w:rPr>
          <w:rFonts w:ascii="仿宋" w:hAnsi="仿宋" w:eastAsia="仿宋"/>
          <w:bCs/>
          <w:color w:val="auto"/>
          <w:sz w:val="24"/>
          <w:highlight w:val="none"/>
        </w:rPr>
      </w:pPr>
      <w:r>
        <w:rPr>
          <w:rFonts w:ascii="仿宋" w:hAnsi="仿宋" w:eastAsia="仿宋"/>
          <w:color w:val="auto"/>
          <w:sz w:val="24"/>
          <w:highlight w:val="none"/>
        </w:rPr>
        <w:t>针对</w:t>
      </w:r>
      <w:r>
        <w:rPr>
          <w:rFonts w:hint="eastAsia" w:ascii="仿宋" w:hAnsi="仿宋" w:eastAsia="仿宋"/>
          <w:color w:val="auto"/>
          <w:sz w:val="24"/>
          <w:highlight w:val="none"/>
        </w:rPr>
        <w:t>第五章、第九章</w:t>
      </w:r>
      <w:r>
        <w:rPr>
          <w:rFonts w:ascii="仿宋" w:hAnsi="仿宋" w:eastAsia="仿宋"/>
          <w:color w:val="auto"/>
          <w:sz w:val="24"/>
          <w:highlight w:val="none"/>
        </w:rPr>
        <w:t>所包含的</w:t>
      </w:r>
      <w:r>
        <w:rPr>
          <w:rFonts w:hint="eastAsia" w:ascii="仿宋" w:hAnsi="仿宋" w:eastAsia="仿宋"/>
          <w:color w:val="auto"/>
          <w:sz w:val="24"/>
          <w:highlight w:val="none"/>
        </w:rPr>
        <w:t>技术、服务要求以及合同草案条款</w:t>
      </w:r>
      <w:r>
        <w:rPr>
          <w:rFonts w:ascii="仿宋" w:hAnsi="仿宋" w:eastAsia="仿宋"/>
          <w:color w:val="auto"/>
          <w:sz w:val="24"/>
          <w:highlight w:val="none"/>
        </w:rPr>
        <w:t>，在磋商过程中，磋商小组在获得采购人代表确认的前提下，可以根据磋商情况实质性变动相关内容。磋商小组对磋商文件作出的实质性变动是磋商文件的有效组成部分，磋商小组会及时以书面形式通知所有参加磋商的供应商。</w:t>
      </w:r>
    </w:p>
    <w:p w14:paraId="2911830D">
      <w:pPr>
        <w:tabs>
          <w:tab w:val="left" w:pos="7665"/>
        </w:tabs>
        <w:spacing w:line="360" w:lineRule="auto"/>
        <w:ind w:firstLine="480"/>
        <w:rPr>
          <w:rFonts w:ascii="仿宋" w:hAnsi="仿宋" w:eastAsia="仿宋"/>
          <w:bCs/>
          <w:color w:val="auto"/>
          <w:sz w:val="24"/>
          <w:highlight w:val="none"/>
        </w:rPr>
      </w:pPr>
    </w:p>
    <w:p w14:paraId="62F05110">
      <w:pPr>
        <w:tabs>
          <w:tab w:val="left" w:pos="7665"/>
        </w:tabs>
        <w:spacing w:line="360" w:lineRule="auto"/>
        <w:ind w:firstLine="480"/>
        <w:rPr>
          <w:rFonts w:ascii="仿宋" w:hAnsi="仿宋" w:eastAsia="仿宋"/>
          <w:bCs/>
          <w:color w:val="auto"/>
          <w:sz w:val="24"/>
          <w:highlight w:val="none"/>
        </w:rPr>
      </w:pPr>
    </w:p>
    <w:p w14:paraId="5FBDD6C1">
      <w:pPr>
        <w:tabs>
          <w:tab w:val="left" w:pos="7665"/>
        </w:tabs>
        <w:spacing w:line="360" w:lineRule="auto"/>
        <w:ind w:firstLine="480"/>
        <w:rPr>
          <w:rFonts w:ascii="仿宋" w:hAnsi="仿宋" w:eastAsia="仿宋"/>
          <w:bCs/>
          <w:color w:val="auto"/>
          <w:sz w:val="24"/>
          <w:highlight w:val="none"/>
        </w:rPr>
      </w:pPr>
    </w:p>
    <w:p w14:paraId="04F1B2AF">
      <w:pPr>
        <w:tabs>
          <w:tab w:val="left" w:pos="7665"/>
        </w:tabs>
        <w:spacing w:line="360" w:lineRule="auto"/>
        <w:ind w:firstLine="480"/>
        <w:jc w:val="center"/>
        <w:rPr>
          <w:rFonts w:ascii="仿宋" w:hAnsi="仿宋" w:eastAsia="仿宋"/>
          <w:b/>
          <w:bCs/>
          <w:color w:val="auto"/>
          <w:sz w:val="32"/>
          <w:szCs w:val="32"/>
          <w:highlight w:val="none"/>
        </w:rPr>
      </w:pPr>
    </w:p>
    <w:p w14:paraId="2FE3C2D8">
      <w:pPr>
        <w:tabs>
          <w:tab w:val="left" w:pos="7665"/>
        </w:tabs>
        <w:spacing w:line="360" w:lineRule="auto"/>
        <w:ind w:firstLine="480"/>
        <w:jc w:val="center"/>
        <w:rPr>
          <w:rFonts w:ascii="仿宋" w:hAnsi="仿宋" w:eastAsia="仿宋"/>
          <w:b/>
          <w:bCs/>
          <w:color w:val="auto"/>
          <w:sz w:val="32"/>
          <w:szCs w:val="32"/>
          <w:highlight w:val="none"/>
        </w:rPr>
      </w:pPr>
    </w:p>
    <w:p w14:paraId="766F1AF0">
      <w:pPr>
        <w:tabs>
          <w:tab w:val="left" w:pos="7665"/>
        </w:tabs>
        <w:spacing w:line="360" w:lineRule="auto"/>
        <w:ind w:firstLine="480"/>
        <w:jc w:val="center"/>
        <w:rPr>
          <w:rFonts w:ascii="仿宋" w:hAnsi="仿宋" w:eastAsia="仿宋"/>
          <w:b/>
          <w:bCs/>
          <w:color w:val="auto"/>
          <w:sz w:val="32"/>
          <w:szCs w:val="32"/>
          <w:highlight w:val="none"/>
        </w:rPr>
      </w:pPr>
    </w:p>
    <w:p w14:paraId="1CFAA4D6">
      <w:pPr>
        <w:tabs>
          <w:tab w:val="left" w:pos="7665"/>
        </w:tabs>
        <w:spacing w:line="360" w:lineRule="auto"/>
        <w:ind w:firstLine="480"/>
        <w:rPr>
          <w:rFonts w:ascii="仿宋" w:hAnsi="仿宋" w:eastAsia="仿宋"/>
          <w:bCs/>
          <w:color w:val="auto"/>
          <w:sz w:val="24"/>
          <w:highlight w:val="none"/>
        </w:rPr>
      </w:pPr>
    </w:p>
    <w:p w14:paraId="55AF557E">
      <w:pPr>
        <w:tabs>
          <w:tab w:val="left" w:pos="7665"/>
        </w:tabs>
        <w:spacing w:line="360" w:lineRule="auto"/>
        <w:ind w:firstLine="480"/>
        <w:rPr>
          <w:rFonts w:ascii="仿宋" w:hAnsi="仿宋" w:eastAsia="仿宋"/>
          <w:b/>
          <w:bCs/>
          <w:color w:val="auto"/>
          <w:sz w:val="32"/>
          <w:szCs w:val="32"/>
          <w:highlight w:val="none"/>
        </w:rPr>
      </w:pPr>
    </w:p>
    <w:p w14:paraId="2A7FA768">
      <w:pPr>
        <w:tabs>
          <w:tab w:val="left" w:pos="7665"/>
        </w:tabs>
        <w:spacing w:line="360" w:lineRule="auto"/>
        <w:ind w:firstLine="480"/>
        <w:rPr>
          <w:rFonts w:ascii="仿宋" w:hAnsi="仿宋" w:eastAsia="仿宋"/>
          <w:b/>
          <w:bCs/>
          <w:color w:val="auto"/>
          <w:sz w:val="32"/>
          <w:szCs w:val="32"/>
          <w:highlight w:val="none"/>
        </w:rPr>
      </w:pPr>
    </w:p>
    <w:p w14:paraId="119E65DE">
      <w:pPr>
        <w:rPr>
          <w:rFonts w:ascii="仿宋" w:hAnsi="仿宋" w:eastAsia="仿宋" w:cs="宋体"/>
          <w:b/>
          <w:bCs/>
          <w:color w:val="auto"/>
          <w:sz w:val="32"/>
          <w:szCs w:val="32"/>
          <w:highlight w:val="none"/>
        </w:rPr>
      </w:pPr>
      <w:bookmarkStart w:id="105" w:name="_Toc531596549"/>
      <w:bookmarkStart w:id="106" w:name="_Toc509579143"/>
      <w:r>
        <w:rPr>
          <w:rFonts w:hint="eastAsia" w:ascii="仿宋" w:hAnsi="仿宋" w:eastAsia="仿宋" w:cs="宋体"/>
          <w:b/>
          <w:bCs/>
          <w:color w:val="auto"/>
          <w:sz w:val="32"/>
          <w:szCs w:val="32"/>
          <w:highlight w:val="none"/>
        </w:rPr>
        <w:br w:type="page"/>
      </w:r>
    </w:p>
    <w:p w14:paraId="46E7AF11">
      <w:pPr>
        <w:pStyle w:val="16"/>
        <w:rPr>
          <w:rFonts w:ascii="仿宋" w:hAnsi="仿宋" w:eastAsia="仿宋" w:cs="仿宋"/>
          <w:color w:val="auto"/>
          <w:highlight w:val="none"/>
        </w:rPr>
      </w:pPr>
      <w:bookmarkStart w:id="107" w:name="_Toc23786"/>
      <w:bookmarkStart w:id="108" w:name="_Toc18092"/>
      <w:r>
        <w:rPr>
          <w:rFonts w:hint="eastAsia" w:ascii="仿宋" w:hAnsi="仿宋" w:eastAsia="仿宋" w:cs="仿宋"/>
          <w:color w:val="auto"/>
          <w:highlight w:val="none"/>
        </w:rPr>
        <w:t xml:space="preserve">第五章  </w:t>
      </w:r>
      <w:bookmarkEnd w:id="105"/>
      <w:bookmarkEnd w:id="106"/>
      <w:r>
        <w:rPr>
          <w:rFonts w:hint="eastAsia" w:ascii="仿宋" w:hAnsi="仿宋" w:eastAsia="仿宋" w:cs="仿宋"/>
          <w:color w:val="auto"/>
          <w:highlight w:val="none"/>
        </w:rPr>
        <w:t>供应商应当提供的资格、资质性及其他类似效力要求及相关证明材料</w:t>
      </w:r>
      <w:bookmarkEnd w:id="107"/>
      <w:bookmarkEnd w:id="108"/>
    </w:p>
    <w:p w14:paraId="1CAE548F">
      <w:pPr>
        <w:ind w:firstLine="538"/>
        <w:rPr>
          <w:rFonts w:ascii="仿宋" w:hAnsi="仿宋" w:eastAsia="仿宋"/>
          <w:color w:val="auto"/>
          <w:sz w:val="28"/>
          <w:szCs w:val="28"/>
          <w:highlight w:val="none"/>
        </w:rPr>
      </w:pPr>
    </w:p>
    <w:p w14:paraId="7AAF2261">
      <w:pPr>
        <w:keepNext/>
        <w:keepLines/>
        <w:tabs>
          <w:tab w:val="left" w:pos="720"/>
        </w:tabs>
        <w:spacing w:before="260" w:after="260" w:line="400" w:lineRule="exact"/>
        <w:ind w:firstLine="482" w:firstLineChars="200"/>
        <w:jc w:val="left"/>
        <w:outlineLvl w:val="1"/>
        <w:rPr>
          <w:rFonts w:ascii="黑体" w:hAnsi="黑体" w:eastAsia="黑体" w:cs="黑体"/>
          <w:color w:val="auto"/>
          <w:kern w:val="0"/>
          <w:sz w:val="24"/>
          <w:szCs w:val="24"/>
          <w:highlight w:val="none"/>
        </w:rPr>
      </w:pPr>
      <w:bookmarkStart w:id="109" w:name="_Toc4651"/>
      <w:r>
        <w:rPr>
          <w:rFonts w:hint="eastAsia" w:ascii="仿宋" w:hAnsi="仿宋" w:eastAsia="仿宋"/>
          <w:b/>
          <w:color w:val="auto"/>
          <w:sz w:val="24"/>
          <w:szCs w:val="24"/>
          <w:highlight w:val="none"/>
        </w:rPr>
        <w:t>一、供应商资格、资质性要求：</w:t>
      </w:r>
      <w:bookmarkEnd w:id="109"/>
    </w:p>
    <w:p w14:paraId="7C402A09">
      <w:pPr>
        <w:pStyle w:val="3"/>
        <w:keepLines w:val="0"/>
        <w:spacing w:before="0" w:after="120" w:line="360" w:lineRule="auto"/>
        <w:ind w:firstLine="480" w:firstLineChars="200"/>
        <w:jc w:val="left"/>
        <w:rPr>
          <w:rFonts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 具有独立承担民事责任的能力。</w:t>
      </w:r>
    </w:p>
    <w:p w14:paraId="22090C25">
      <w:pPr>
        <w:pStyle w:val="24"/>
        <w:spacing w:after="120"/>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（1）供应商若为企业法人：提供“统一社会信用代码营业执照”；</w:t>
      </w:r>
    </w:p>
    <w:p w14:paraId="0E7FFE82">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（2）若为事业法人：提供“统一社会信用代码法人登记证书”；</w:t>
      </w:r>
    </w:p>
    <w:p w14:paraId="0B40C2D4">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（3）若为其他组织：提供“对应主管部门颁发的准许执业证明文件或营业执照”；</w:t>
      </w:r>
    </w:p>
    <w:p w14:paraId="28162F63">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（4）若为自然人：提供“身份证明材料”。</w:t>
      </w:r>
    </w:p>
    <w:p w14:paraId="7DF1579D">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注：提供复印件；以上各项具有同等效力，可根据自身实际任选一项提供。</w:t>
      </w:r>
    </w:p>
    <w:p w14:paraId="2ACCE3AD">
      <w:pPr>
        <w:pStyle w:val="3"/>
        <w:keepLines w:val="0"/>
        <w:spacing w:before="0" w:after="120" w:line="360" w:lineRule="auto"/>
        <w:ind w:firstLine="480" w:firstLineChars="200"/>
        <w:jc w:val="left"/>
        <w:rPr>
          <w:rFonts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 具有良好的商业信誉和健全的财务会计制度。</w:t>
      </w:r>
    </w:p>
    <w:p w14:paraId="5E7A3570">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2.1提供具备良好商业信誉的证明材料（可提供承诺函，格式参照第八章）；</w:t>
      </w:r>
    </w:p>
    <w:p w14:paraId="7234FBCA">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2.2提供具备健全的财务会计制度的证明材料：</w:t>
      </w:r>
    </w:p>
    <w:p w14:paraId="431ED638">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（1）可提供202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或202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年度经审计的财务报告复印件（包含审计报告和审计报告中所涉及的财务报表和报表附注）；</w:t>
      </w:r>
    </w:p>
    <w:p w14:paraId="5A82EB12">
      <w:pPr>
        <w:pStyle w:val="24"/>
        <w:spacing w:after="120"/>
        <w:ind w:firstLine="456"/>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（2）可提供202</w:t>
      </w:r>
      <w:r>
        <w:rPr>
          <w:rFonts w:hint="eastAsia" w:ascii="仿宋" w:hAnsi="仿宋" w:eastAsia="仿宋" w:cs="仿宋"/>
          <w:color w:val="auto"/>
          <w:spacing w:val="-6"/>
          <w:sz w:val="24"/>
          <w:szCs w:val="24"/>
          <w:highlight w:val="none"/>
          <w:lang w:val="en-US" w:eastAsia="zh-CN"/>
        </w:rPr>
        <w:t>4</w:t>
      </w:r>
      <w:r>
        <w:rPr>
          <w:rFonts w:hint="eastAsia" w:ascii="仿宋" w:hAnsi="仿宋" w:eastAsia="仿宋" w:cs="仿宋"/>
          <w:color w:val="auto"/>
          <w:spacing w:val="-6"/>
          <w:sz w:val="24"/>
          <w:szCs w:val="24"/>
          <w:highlight w:val="none"/>
        </w:rPr>
        <w:t>或202</w:t>
      </w:r>
      <w:r>
        <w:rPr>
          <w:rFonts w:hint="eastAsia" w:ascii="仿宋" w:hAnsi="仿宋" w:eastAsia="仿宋" w:cs="仿宋"/>
          <w:color w:val="auto"/>
          <w:spacing w:val="-6"/>
          <w:sz w:val="24"/>
          <w:szCs w:val="24"/>
          <w:highlight w:val="none"/>
          <w:lang w:val="en-US" w:eastAsia="zh-CN"/>
        </w:rPr>
        <w:t>5</w:t>
      </w:r>
      <w:r>
        <w:rPr>
          <w:rFonts w:hint="eastAsia" w:ascii="仿宋" w:hAnsi="仿宋" w:eastAsia="仿宋" w:cs="仿宋"/>
          <w:color w:val="auto"/>
          <w:spacing w:val="-6"/>
          <w:sz w:val="24"/>
          <w:szCs w:val="24"/>
          <w:highlight w:val="none"/>
        </w:rPr>
        <w:t>年度供应商内部的财务报表复印件（至少包含资产负债表）；</w:t>
      </w:r>
    </w:p>
    <w:p w14:paraId="5B71E903">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（3）可提供截至响应文件递交截止日一年内银行出具的资信证明（复印件）；</w:t>
      </w:r>
    </w:p>
    <w:p w14:paraId="2F510FF6">
      <w:pPr>
        <w:pStyle w:val="24"/>
        <w:spacing w:after="120"/>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（4）供应商注册时间截至响应文件递交截止日不足一年的，也可提供加盖备案主管部门印章的公司章程复印件。</w:t>
      </w:r>
    </w:p>
    <w:p w14:paraId="4FE43AA2">
      <w:pPr>
        <w:pStyle w:val="24"/>
        <w:spacing w:after="120"/>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也</w:t>
      </w:r>
      <w:r>
        <w:rPr>
          <w:rFonts w:hint="eastAsia" w:ascii="仿宋" w:hAnsi="仿宋" w:eastAsia="仿宋" w:cs="仿宋"/>
          <w:color w:val="auto"/>
          <w:sz w:val="24"/>
          <w:szCs w:val="24"/>
          <w:highlight w:val="none"/>
        </w:rPr>
        <w:t>可提供承诺函，格式参照第八章</w:t>
      </w:r>
      <w:r>
        <w:rPr>
          <w:rFonts w:hint="eastAsia" w:ascii="仿宋" w:hAnsi="仿宋" w:eastAsia="仿宋" w:cs="仿宋"/>
          <w:color w:val="auto"/>
          <w:sz w:val="24"/>
          <w:szCs w:val="24"/>
          <w:highlight w:val="none"/>
          <w:lang w:eastAsia="zh-CN"/>
        </w:rPr>
        <w:t>。</w:t>
      </w:r>
    </w:p>
    <w:p w14:paraId="03099CDA">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注：以上各项具有同等效力，供应商可根据自身实际任选一项提供。</w:t>
      </w:r>
    </w:p>
    <w:p w14:paraId="70B66945">
      <w:pPr>
        <w:pStyle w:val="3"/>
        <w:keepLines w:val="0"/>
        <w:spacing w:before="0" w:after="120" w:line="360" w:lineRule="auto"/>
        <w:ind w:firstLine="480" w:firstLineChars="200"/>
        <w:jc w:val="left"/>
        <w:rPr>
          <w:rFonts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 具有依法缴纳税收和社会保障资金的良好记录；</w:t>
      </w:r>
    </w:p>
    <w:p w14:paraId="5C4EAC93">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提供证明材料（可提供承诺函，格式参照第八章）；</w:t>
      </w:r>
    </w:p>
    <w:p w14:paraId="1C6EF536">
      <w:pPr>
        <w:pStyle w:val="3"/>
        <w:keepLines w:val="0"/>
        <w:spacing w:before="0" w:after="120" w:line="360" w:lineRule="auto"/>
        <w:ind w:firstLine="480" w:firstLineChars="200"/>
        <w:jc w:val="left"/>
        <w:rPr>
          <w:rFonts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 具备履行合同所必需的设备和专业技术能力；</w:t>
      </w:r>
    </w:p>
    <w:p w14:paraId="64AB0584">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提供证明材料（可提供承诺函，格式参照第八章）；</w:t>
      </w:r>
    </w:p>
    <w:p w14:paraId="350450E7">
      <w:pPr>
        <w:pStyle w:val="3"/>
        <w:keepLines w:val="0"/>
        <w:spacing w:before="0" w:after="120" w:line="360" w:lineRule="auto"/>
        <w:ind w:firstLine="480" w:firstLineChars="200"/>
        <w:jc w:val="left"/>
        <w:rPr>
          <w:rFonts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5. 参加政府采购活动前3年内在经营活动中没有重大违法记录；</w:t>
      </w:r>
    </w:p>
    <w:p w14:paraId="5E98D93D">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提供承诺函，格式参照第八章（注：成立不足三年的，从成立之日起计算）</w:t>
      </w:r>
    </w:p>
    <w:p w14:paraId="58CC0E43">
      <w:pPr>
        <w:pStyle w:val="3"/>
        <w:keepLines w:val="0"/>
        <w:spacing w:before="0" w:after="120" w:line="360" w:lineRule="auto"/>
        <w:ind w:firstLine="480" w:firstLineChars="200"/>
        <w:jc w:val="left"/>
        <w:rPr>
          <w:rFonts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 具备法律、行政法规规定的其他条件。</w:t>
      </w:r>
    </w:p>
    <w:p w14:paraId="39528671">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提供证明材料（可提供承诺函，格式参照第八章）。 </w:t>
      </w:r>
    </w:p>
    <w:p w14:paraId="48AEF004">
      <w:pPr>
        <w:pStyle w:val="24"/>
        <w:keepNext w:val="0"/>
        <w:keepLines w:val="0"/>
        <w:pageBreakBefore w:val="0"/>
        <w:widowControl w:val="0"/>
        <w:kinsoku/>
        <w:wordWrap/>
        <w:overflowPunct/>
        <w:topLinePunct w:val="0"/>
        <w:autoSpaceDE/>
        <w:autoSpaceDN/>
        <w:bidi w:val="0"/>
        <w:adjustRightInd/>
        <w:snapToGrid/>
        <w:spacing w:after="120"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落实政府采购政策需满足的资格要求：</w:t>
      </w:r>
      <w:r>
        <w:rPr>
          <w:rFonts w:hint="eastAsia" w:ascii="仿宋" w:hAnsi="仿宋" w:eastAsia="仿宋" w:cs="仿宋"/>
          <w:color w:val="auto"/>
          <w:sz w:val="24"/>
          <w:szCs w:val="24"/>
          <w:highlight w:val="none"/>
          <w:lang w:eastAsia="zh-CN"/>
        </w:rPr>
        <w:t>本项目专门面向中小企业采购，供应商应为中小微企业(监狱企业、残疾人福利性单位均视同小微企业，</w:t>
      </w:r>
      <w:r>
        <w:rPr>
          <w:rFonts w:hint="eastAsia" w:ascii="仿宋" w:hAnsi="仿宋" w:eastAsia="仿宋" w:cs="仿宋"/>
          <w:color w:val="auto"/>
          <w:sz w:val="24"/>
          <w:szCs w:val="24"/>
          <w:highlight w:val="none"/>
        </w:rPr>
        <w:t>符合中小企业划分标准的个体工商户视同中小企业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olor w:val="auto"/>
          <w:sz w:val="24"/>
          <w:szCs w:val="24"/>
          <w:highlight w:val="none"/>
        </w:rPr>
        <w:t>提供中小企业声明函或残疾人福利性单位声明函或由省级以上监狱管理局、戒毒</w:t>
      </w:r>
      <w:r>
        <w:rPr>
          <w:rFonts w:hint="eastAsia" w:ascii="仿宋" w:hAnsi="仿宋" w:eastAsia="仿宋"/>
          <w:color w:val="auto"/>
          <w:spacing w:val="-6"/>
          <w:sz w:val="24"/>
          <w:szCs w:val="24"/>
          <w:highlight w:val="none"/>
        </w:rPr>
        <w:t>管理局(含新疆生产建设兵团)出具的属于监狱企业的证明文件</w:t>
      </w:r>
      <w:r>
        <w:rPr>
          <w:rFonts w:hint="eastAsia" w:ascii="仿宋" w:hAnsi="仿宋"/>
          <w:color w:val="auto"/>
          <w:spacing w:val="-6"/>
          <w:sz w:val="24"/>
          <w:szCs w:val="24"/>
          <w:highlight w:val="none"/>
          <w:lang w:eastAsia="zh-CN"/>
        </w:rPr>
        <w:t>，</w:t>
      </w:r>
      <w:r>
        <w:rPr>
          <w:rFonts w:hint="eastAsia" w:ascii="仿宋" w:hAnsi="仿宋" w:eastAsia="仿宋"/>
          <w:color w:val="auto"/>
          <w:spacing w:val="-6"/>
          <w:sz w:val="24"/>
          <w:szCs w:val="24"/>
          <w:highlight w:val="none"/>
          <w:lang w:eastAsia="zh-CN"/>
        </w:rPr>
        <w:t>格式参照</w:t>
      </w:r>
      <w:r>
        <w:rPr>
          <w:rFonts w:hint="eastAsia" w:ascii="仿宋" w:hAnsi="仿宋" w:eastAsia="仿宋"/>
          <w:color w:val="auto"/>
          <w:spacing w:val="-6"/>
          <w:sz w:val="24"/>
          <w:szCs w:val="24"/>
          <w:highlight w:val="none"/>
        </w:rPr>
        <w:t>第</w:t>
      </w:r>
      <w:r>
        <w:rPr>
          <w:rFonts w:hint="eastAsia" w:ascii="仿宋" w:hAnsi="仿宋" w:eastAsia="仿宋"/>
          <w:color w:val="auto"/>
          <w:sz w:val="24"/>
          <w:szCs w:val="24"/>
          <w:highlight w:val="none"/>
          <w:lang w:val="en-US" w:eastAsia="zh-CN"/>
        </w:rPr>
        <w:t>八</w:t>
      </w:r>
      <w:r>
        <w:rPr>
          <w:rFonts w:hint="eastAsia" w:ascii="仿宋" w:hAnsi="仿宋" w:eastAsia="仿宋"/>
          <w:color w:val="auto"/>
          <w:spacing w:val="-6"/>
          <w:sz w:val="24"/>
          <w:szCs w:val="24"/>
          <w:highlight w:val="none"/>
        </w:rPr>
        <w:t>章</w:t>
      </w:r>
      <w:r>
        <w:rPr>
          <w:rFonts w:ascii="仿宋" w:hAnsi="仿宋" w:eastAsia="仿宋"/>
          <w:color w:val="auto"/>
          <w:sz w:val="24"/>
          <w:szCs w:val="24"/>
          <w:highlight w:val="none"/>
        </w:rPr>
        <w:t>。</w:t>
      </w:r>
      <w:r>
        <w:rPr>
          <w:rFonts w:hint="eastAsia" w:ascii="仿宋" w:hAnsi="仿宋" w:eastAsia="仿宋"/>
          <w:color w:val="auto"/>
          <w:sz w:val="24"/>
          <w:szCs w:val="24"/>
          <w:highlight w:val="none"/>
          <w:lang w:eastAsia="zh-CN"/>
        </w:rPr>
        <w:t>）</w:t>
      </w:r>
    </w:p>
    <w:p w14:paraId="3182C6F4">
      <w:pPr>
        <w:pStyle w:val="24"/>
        <w:spacing w:line="440"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val="en-US" w:eastAsia="zh-CN"/>
        </w:rPr>
        <w:t>具有</w:t>
      </w:r>
      <w:r>
        <w:rPr>
          <w:rFonts w:hint="eastAsia" w:ascii="仿宋" w:hAnsi="仿宋" w:eastAsia="仿宋" w:cs="仿宋"/>
          <w:color w:val="auto"/>
          <w:sz w:val="24"/>
          <w:highlight w:val="none"/>
        </w:rPr>
        <w:t>行政主管部门颁发</w:t>
      </w:r>
      <w:r>
        <w:rPr>
          <w:rFonts w:hint="eastAsia" w:ascii="仿宋" w:hAnsi="仿宋" w:eastAsia="仿宋" w:cs="仿宋"/>
          <w:color w:val="auto"/>
          <w:sz w:val="24"/>
          <w:highlight w:val="none"/>
          <w:lang w:val="en-US" w:eastAsia="zh-CN"/>
        </w:rPr>
        <w:t>的有效的建筑工程施工总承包三级及以上资质证书，并具有有效的安全生产许可证</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提供证书复印件</w:t>
      </w:r>
      <w:r>
        <w:rPr>
          <w:rFonts w:hint="eastAsia" w:ascii="仿宋" w:hAnsi="仿宋" w:eastAsia="仿宋" w:cs="仿宋"/>
          <w:color w:val="auto"/>
          <w:sz w:val="24"/>
          <w:highlight w:val="none"/>
          <w:lang w:eastAsia="zh-CN"/>
        </w:rPr>
        <w:t>）</w:t>
      </w:r>
    </w:p>
    <w:p w14:paraId="63FAD613">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.项目负责人要求：项目经理具备行政主管部门颁发的建筑工程专业二级及以上建造师注册证书,同时具备有效的安全生产考核合格证书（</w:t>
      </w:r>
      <w:r>
        <w:rPr>
          <w:rFonts w:hint="eastAsia" w:ascii="仿宋" w:hAnsi="仿宋" w:eastAsia="仿宋" w:cs="仿宋"/>
          <w:color w:val="auto"/>
          <w:sz w:val="24"/>
          <w:highlight w:val="none"/>
          <w:lang w:val="en-US" w:eastAsia="zh-CN"/>
        </w:rPr>
        <w:t>建安</w:t>
      </w:r>
      <w:r>
        <w:rPr>
          <w:rFonts w:hint="eastAsia" w:ascii="仿宋" w:hAnsi="仿宋" w:eastAsia="仿宋" w:cs="仿宋"/>
          <w:color w:val="auto"/>
          <w:sz w:val="24"/>
          <w:highlight w:val="none"/>
        </w:rPr>
        <w:t>B证）且供应商需书面承诺取得成交资格后将拟派本项目的项目经理在本工程完工前不得担任其他项目的项目经理。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提供证书</w:t>
      </w:r>
      <w:r>
        <w:rPr>
          <w:rFonts w:hint="eastAsia" w:ascii="仿宋" w:hAnsi="仿宋" w:eastAsia="仿宋" w:cs="仿宋"/>
          <w:color w:val="auto"/>
          <w:sz w:val="24"/>
          <w:szCs w:val="24"/>
          <w:highlight w:val="none"/>
        </w:rPr>
        <w:t>复印件及</w:t>
      </w:r>
      <w:r>
        <w:rPr>
          <w:rFonts w:hint="eastAsia" w:ascii="仿宋" w:hAnsi="仿宋" w:eastAsia="仿宋" w:cs="仿宋"/>
          <w:b/>
          <w:bCs/>
          <w:color w:val="auto"/>
          <w:sz w:val="24"/>
          <w:szCs w:val="24"/>
          <w:highlight w:val="none"/>
        </w:rPr>
        <w:t>书面承诺函</w:t>
      </w:r>
      <w:r>
        <w:rPr>
          <w:rFonts w:hint="eastAsia" w:ascii="仿宋" w:hAnsi="仿宋" w:eastAsia="仿宋" w:cs="仿宋"/>
          <w:color w:val="auto"/>
          <w:sz w:val="24"/>
          <w:szCs w:val="24"/>
          <w:highlight w:val="none"/>
        </w:rPr>
        <w:t>并加盖供应商公章，承诺函格式自拟）</w:t>
      </w:r>
    </w:p>
    <w:p w14:paraId="2D88DC5E">
      <w:pPr>
        <w:keepNext/>
        <w:keepLines/>
        <w:tabs>
          <w:tab w:val="left" w:pos="720"/>
        </w:tabs>
        <w:spacing w:before="260" w:after="260" w:line="400" w:lineRule="exact"/>
        <w:ind w:firstLine="482" w:firstLineChars="200"/>
        <w:jc w:val="left"/>
        <w:outlineLvl w:val="1"/>
        <w:rPr>
          <w:rFonts w:ascii="仿宋" w:hAnsi="仿宋" w:eastAsia="仿宋"/>
          <w:b/>
          <w:color w:val="auto"/>
          <w:sz w:val="24"/>
          <w:szCs w:val="24"/>
          <w:highlight w:val="none"/>
        </w:rPr>
      </w:pPr>
      <w:bookmarkStart w:id="110" w:name="_Toc4125"/>
      <w:r>
        <w:rPr>
          <w:rFonts w:hint="eastAsia" w:ascii="仿宋" w:hAnsi="仿宋" w:eastAsia="仿宋"/>
          <w:b/>
          <w:color w:val="auto"/>
          <w:sz w:val="24"/>
          <w:szCs w:val="24"/>
          <w:highlight w:val="none"/>
        </w:rPr>
        <w:t>二、其他类似效力要求：</w:t>
      </w:r>
      <w:bookmarkEnd w:id="110"/>
    </w:p>
    <w:p w14:paraId="45663F66">
      <w:pPr>
        <w:pStyle w:val="3"/>
        <w:keepLines w:val="0"/>
        <w:spacing w:before="0" w:after="120" w:line="360" w:lineRule="auto"/>
        <w:ind w:firstLine="480" w:firstLineChars="200"/>
        <w:jc w:val="left"/>
        <w:rPr>
          <w:rFonts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 交纳本次采购要求的磋商保证金；</w:t>
      </w:r>
    </w:p>
    <w:p w14:paraId="198C1FE9">
      <w:pPr>
        <w:spacing w:after="12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提供证明材料。须符合第二章供应商须知附表磋商保证金要求。</w:t>
      </w:r>
    </w:p>
    <w:p w14:paraId="63339DEB">
      <w:pPr>
        <w:pStyle w:val="3"/>
        <w:keepLines w:val="0"/>
        <w:spacing w:before="0" w:after="120" w:line="360" w:lineRule="auto"/>
        <w:ind w:firstLine="480" w:firstLineChars="200"/>
        <w:jc w:val="left"/>
        <w:rPr>
          <w:rFonts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 授权参加本次采购活动的供应商代表证明材料。</w:t>
      </w:r>
    </w:p>
    <w:p w14:paraId="14F72B7C">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（1）法定代表人/单位负责人身份证明材料复印件。</w:t>
      </w:r>
    </w:p>
    <w:p w14:paraId="7D073E7F">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（2）法定代表人/单位负责人授权代理书原件、法定代表人/单位负责人身份证明材料复印件及代理人身份证明材料复印件。</w:t>
      </w:r>
    </w:p>
    <w:p w14:paraId="56E7DC30">
      <w:pPr>
        <w:pStyle w:val="24"/>
        <w:spacing w:after="12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注：如响应文件均由供应商法定代表人/单位负责人签字或加盖私人印章的且法定代表人/单位负责人本人参与磋商的按第（1）项提供，其余情形按第（2）项提供。</w:t>
      </w:r>
    </w:p>
    <w:p w14:paraId="142DAA99">
      <w:pPr>
        <w:spacing w:after="120" w:line="360" w:lineRule="auto"/>
        <w:ind w:firstLine="482" w:firstLineChars="200"/>
        <w:rPr>
          <w:rFonts w:ascii="仿宋" w:hAnsi="仿宋" w:eastAsia="仿宋" w:cs="仿宋"/>
          <w:b/>
          <w:bCs/>
          <w:color w:val="auto"/>
          <w:sz w:val="24"/>
          <w:szCs w:val="24"/>
          <w:highlight w:val="none"/>
        </w:rPr>
      </w:pPr>
    </w:p>
    <w:p w14:paraId="25B541E6">
      <w:pPr>
        <w:spacing w:after="12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注：1.以上要求的资料均须加盖供应商单位的公章（鲜章）。</w:t>
      </w:r>
    </w:p>
    <w:p w14:paraId="34D1CD86">
      <w:pPr>
        <w:spacing w:after="120"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根据国务院办公厅关于加快推进“多证合一”改革的指导意见（国办发〔2017〕41号）等政策要求，若资格要求涉及的登记、备案等有关事项和各类证照已实行多证合一导致供应商无法提供该类证明材料的，供应商须提供“多证合一”的营业执照，并就被“多证合一”整合的相关登记、备案和各类证照的真实性作出承诺（承诺函格式参照第</w:t>
      </w:r>
      <w:r>
        <w:rPr>
          <w:rFonts w:hint="eastAsia" w:ascii="仿宋" w:hAnsi="仿宋" w:eastAsia="仿宋" w:cs="仿宋"/>
          <w:color w:val="auto"/>
          <w:sz w:val="24"/>
          <w:szCs w:val="24"/>
          <w:highlight w:val="none"/>
        </w:rPr>
        <w:t>八</w:t>
      </w:r>
      <w:r>
        <w:rPr>
          <w:rFonts w:hint="eastAsia" w:ascii="仿宋" w:hAnsi="仿宋" w:eastAsia="仿宋" w:cs="仿宋"/>
          <w:color w:val="auto"/>
          <w:kern w:val="0"/>
          <w:sz w:val="24"/>
          <w:szCs w:val="24"/>
          <w:highlight w:val="none"/>
        </w:rPr>
        <w:t>章）。</w:t>
      </w:r>
    </w:p>
    <w:p w14:paraId="5ACAA7F2">
      <w:pPr>
        <w:pStyle w:val="24"/>
        <w:spacing w:before="120" w:beforeLines="50" w:after="120" w:afterLines="5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3.本项目确定供应商重大违法记录中较大数额罚款的金额标准是指：</w:t>
      </w:r>
      <w:r>
        <w:rPr>
          <w:rFonts w:hint="eastAsia" w:ascii="仿宋" w:hAnsi="仿宋" w:eastAsia="仿宋" w:cs="仿宋"/>
          <w:bCs/>
          <w:color w:val="auto"/>
          <w:sz w:val="24"/>
          <w:szCs w:val="24"/>
          <w:highlight w:val="none"/>
        </w:rPr>
        <w:t>根据《财政部关于〈中华人民共和国政府采购法实施条例〉第十九条第一款 “较大数额罚款”具体适用问题的意见》有关规定，《中华人民共和国政府采购法实施条例》第十九条第一款规定的“较大数额罚款”认定为200万元以上的罚款，法律、行政法规以及国务院有关部门明确规定相关领域“较大数额罚款”标准高于200万元的，从其规定。</w:t>
      </w:r>
    </w:p>
    <w:p w14:paraId="633DAB46">
      <w:p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供应商在参加本次采购活动前，被纳入法院、工商行政管理部门、税务部门、银行认定的失信名单且在有效期内，或者在前三年采购合同履约过程中及其他经营活动履约过程中未依法履约被有关行政部门处罚（处理）的，本项目不认定其具有良好的商业信誉。</w:t>
      </w:r>
    </w:p>
    <w:p w14:paraId="40D39DA1">
      <w:pPr>
        <w:adjustRightInd w:val="0"/>
        <w:snapToGrid w:val="0"/>
        <w:spacing w:line="360" w:lineRule="auto"/>
        <w:ind w:firstLine="482" w:firstLineChars="200"/>
        <w:rPr>
          <w:rFonts w:ascii="仿宋" w:hAnsi="仿宋" w:eastAsia="仿宋" w:cs="仿宋"/>
          <w:bCs/>
          <w:color w:val="auto"/>
          <w:sz w:val="24"/>
          <w:szCs w:val="24"/>
          <w:highlight w:val="none"/>
        </w:rPr>
      </w:pPr>
      <w:r>
        <w:rPr>
          <w:rFonts w:hint="eastAsia" w:ascii="仿宋" w:hAnsi="仿宋" w:eastAsia="仿宋" w:cs="仿宋"/>
          <w:b/>
          <w:color w:val="auto"/>
          <w:kern w:val="0"/>
          <w:sz w:val="24"/>
          <w:szCs w:val="24"/>
          <w:highlight w:val="none"/>
        </w:rPr>
        <w:t>5.</w:t>
      </w:r>
      <w:r>
        <w:rPr>
          <w:rFonts w:hint="eastAsia" w:ascii="仿宋" w:hAnsi="仿宋" w:eastAsia="仿宋" w:cs="仿宋"/>
          <w:color w:val="auto"/>
          <w:sz w:val="24"/>
          <w:szCs w:val="24"/>
          <w:highlight w:val="none"/>
        </w:rPr>
        <w:t>资格审查时在‘信用中国’网站、‘中国政府采购网’网站等渠道对供应商进行信用记录查询，并将查询记录存档。凡被列入失信被执行人、</w:t>
      </w:r>
      <w:r>
        <w:rPr>
          <w:rFonts w:hint="eastAsia" w:ascii="仿宋" w:hAnsi="仿宋" w:eastAsia="仿宋" w:cs="仿宋"/>
          <w:color w:val="auto"/>
          <w:sz w:val="24"/>
          <w:szCs w:val="24"/>
          <w:highlight w:val="none"/>
          <w:lang w:eastAsia="zh-CN"/>
        </w:rPr>
        <w:t>重大税收违法失信主体名单、严重失信主体名单</w:t>
      </w:r>
      <w:r>
        <w:rPr>
          <w:rFonts w:hint="eastAsia" w:ascii="仿宋" w:hAnsi="仿宋" w:eastAsia="仿宋" w:cs="仿宋"/>
          <w:color w:val="auto"/>
          <w:sz w:val="24"/>
          <w:szCs w:val="24"/>
          <w:highlight w:val="none"/>
        </w:rPr>
        <w:t>、政府采购严重违法失信行为记录名单的，视为存在不良信用记录，参与本项目的将被视为无效响应。</w:t>
      </w:r>
    </w:p>
    <w:p w14:paraId="520AAA2B">
      <w:pPr>
        <w:spacing w:after="120" w:line="360" w:lineRule="auto"/>
        <w:ind w:firstLine="482" w:firstLineChars="200"/>
        <w:rPr>
          <w:rFonts w:ascii="仿宋" w:hAnsi="仿宋" w:eastAsia="仿宋"/>
          <w:b/>
          <w:color w:val="auto"/>
          <w:sz w:val="24"/>
          <w:szCs w:val="24"/>
          <w:highlight w:val="none"/>
        </w:rPr>
      </w:pPr>
      <w:r>
        <w:rPr>
          <w:rFonts w:hint="eastAsia" w:ascii="仿宋" w:hAnsi="仿宋" w:eastAsia="仿宋" w:cs="仿宋"/>
          <w:b/>
          <w:bCs/>
          <w:color w:val="auto"/>
          <w:sz w:val="24"/>
          <w:szCs w:val="24"/>
          <w:highlight w:val="none"/>
        </w:rPr>
        <w:t>6.以上要求提供的相关证明材料应当结合采购项目具体情况和</w:t>
      </w:r>
      <w:r>
        <w:rPr>
          <w:rFonts w:hint="eastAsia" w:ascii="仿宋" w:hAnsi="仿宋" w:eastAsia="仿宋" w:cs="仿宋"/>
          <w:b/>
          <w:color w:val="auto"/>
          <w:sz w:val="24"/>
          <w:szCs w:val="24"/>
          <w:highlight w:val="none"/>
        </w:rPr>
        <w:t>供应商</w:t>
      </w:r>
      <w:r>
        <w:rPr>
          <w:rFonts w:hint="eastAsia" w:ascii="仿宋" w:hAnsi="仿宋" w:eastAsia="仿宋" w:cs="仿宋"/>
          <w:b/>
          <w:bCs/>
          <w:color w:val="auto"/>
          <w:sz w:val="24"/>
          <w:szCs w:val="24"/>
          <w:highlight w:val="none"/>
        </w:rPr>
        <w:t>的组织机构性质、行业主管部门要求确定，不得一概而论。</w:t>
      </w:r>
    </w:p>
    <w:p w14:paraId="32B0DB75">
      <w:pPr>
        <w:tabs>
          <w:tab w:val="left" w:pos="0"/>
        </w:tabs>
        <w:wordWrap w:val="0"/>
        <w:topLinePunct/>
        <w:spacing w:after="120" w:line="360" w:lineRule="auto"/>
        <w:ind w:firstLine="458" w:firstLineChars="200"/>
        <w:rPr>
          <w:rFonts w:ascii="仿宋" w:hAnsi="仿宋" w:eastAsia="仿宋"/>
          <w:b/>
          <w:snapToGrid w:val="0"/>
          <w:color w:val="auto"/>
          <w:spacing w:val="-6"/>
          <w:sz w:val="24"/>
          <w:szCs w:val="24"/>
          <w:highlight w:val="none"/>
        </w:rPr>
      </w:pPr>
      <w:r>
        <w:rPr>
          <w:rFonts w:hint="eastAsia" w:ascii="仿宋" w:hAnsi="仿宋" w:eastAsia="仿宋"/>
          <w:b/>
          <w:snapToGrid w:val="0"/>
          <w:color w:val="auto"/>
          <w:spacing w:val="-6"/>
          <w:sz w:val="24"/>
          <w:szCs w:val="24"/>
          <w:highlight w:val="none"/>
        </w:rPr>
        <w:t>7.本项目由磋商小组依法对</w:t>
      </w:r>
      <w:r>
        <w:rPr>
          <w:rFonts w:hint="eastAsia" w:ascii="仿宋" w:hAnsi="仿宋" w:eastAsia="仿宋"/>
          <w:b/>
          <w:snapToGrid w:val="0"/>
          <w:color w:val="auto"/>
          <w:sz w:val="24"/>
          <w:szCs w:val="24"/>
          <w:highlight w:val="none"/>
        </w:rPr>
        <w:t>供应商</w:t>
      </w:r>
      <w:r>
        <w:rPr>
          <w:rFonts w:hint="eastAsia" w:ascii="仿宋" w:hAnsi="仿宋" w:eastAsia="仿宋"/>
          <w:b/>
          <w:snapToGrid w:val="0"/>
          <w:color w:val="auto"/>
          <w:spacing w:val="-6"/>
          <w:sz w:val="24"/>
          <w:szCs w:val="24"/>
          <w:highlight w:val="none"/>
        </w:rPr>
        <w:t>的资格进行审查，并出具书面的资格性审查结果。</w:t>
      </w:r>
    </w:p>
    <w:p w14:paraId="563A4474">
      <w:pPr>
        <w:spacing w:after="120" w:line="360" w:lineRule="auto"/>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注：根据 磋商文件 第二章  磋商须知  23.2的查验要求，供应商在编制响应文件时需附上公开查询渠道的链接。</w:t>
      </w:r>
    </w:p>
    <w:p w14:paraId="22B1C9BB">
      <w:pPr>
        <w:rPr>
          <w:color w:val="auto"/>
          <w:highlight w:val="none"/>
        </w:rPr>
      </w:pPr>
      <w:r>
        <w:rPr>
          <w:color w:val="auto"/>
          <w:highlight w:val="none"/>
        </w:rPr>
        <w:br w:type="page"/>
      </w:r>
      <w:bookmarkStart w:id="111" w:name="_Toc509579146"/>
    </w:p>
    <w:bookmarkEnd w:id="111"/>
    <w:p w14:paraId="24F8B4CE">
      <w:pPr>
        <w:pStyle w:val="16"/>
        <w:rPr>
          <w:rFonts w:ascii="仿宋" w:hAnsi="仿宋" w:eastAsia="仿宋" w:cs="仿宋"/>
          <w:color w:val="auto"/>
          <w:highlight w:val="none"/>
        </w:rPr>
      </w:pPr>
      <w:bookmarkStart w:id="112" w:name="_Toc509579147"/>
      <w:bookmarkStart w:id="113" w:name="_Toc24092"/>
      <w:bookmarkStart w:id="114" w:name="_Toc28605"/>
      <w:r>
        <w:rPr>
          <w:rFonts w:hint="eastAsia" w:ascii="仿宋" w:hAnsi="仿宋" w:eastAsia="仿宋" w:cs="仿宋"/>
          <w:color w:val="auto"/>
          <w:highlight w:val="none"/>
        </w:rPr>
        <w:t>第六章  评审方法</w:t>
      </w:r>
      <w:bookmarkEnd w:id="112"/>
      <w:bookmarkEnd w:id="113"/>
      <w:bookmarkEnd w:id="114"/>
    </w:p>
    <w:p w14:paraId="4B64F97A">
      <w:pPr>
        <w:spacing w:line="360" w:lineRule="auto"/>
        <w:ind w:firstLine="470" w:firstLineChars="196"/>
        <w:rPr>
          <w:rFonts w:ascii="仿宋" w:hAnsi="仿宋" w:eastAsia="仿宋"/>
          <w:color w:val="auto"/>
          <w:sz w:val="24"/>
          <w:highlight w:val="none"/>
        </w:rPr>
      </w:pPr>
      <w:bookmarkStart w:id="115" w:name="_Toc101174146"/>
      <w:bookmarkStart w:id="116" w:name="_Toc209847065"/>
      <w:bookmarkStart w:id="117" w:name="_Toc101338358"/>
      <w:bookmarkStart w:id="118" w:name="_Toc101250640"/>
      <w:bookmarkStart w:id="119" w:name="_Toc430773924"/>
    </w:p>
    <w:p w14:paraId="4197BF78">
      <w:pPr>
        <w:spacing w:line="360" w:lineRule="auto"/>
        <w:ind w:firstLine="472" w:firstLineChars="196"/>
        <w:outlineLvl w:val="1"/>
        <w:rPr>
          <w:rFonts w:ascii="仿宋" w:hAnsi="仿宋" w:eastAsia="仿宋"/>
          <w:b/>
          <w:bCs/>
          <w:color w:val="auto"/>
          <w:sz w:val="24"/>
          <w:highlight w:val="none"/>
        </w:rPr>
      </w:pPr>
      <w:bookmarkStart w:id="120" w:name="_Toc31181"/>
      <w:r>
        <w:rPr>
          <w:rFonts w:hint="eastAsia" w:ascii="仿宋" w:hAnsi="仿宋" w:eastAsia="仿宋"/>
          <w:b/>
          <w:bCs/>
          <w:color w:val="auto"/>
          <w:sz w:val="24"/>
          <w:highlight w:val="none"/>
        </w:rPr>
        <w:t>1.总则</w:t>
      </w:r>
      <w:bookmarkEnd w:id="120"/>
    </w:p>
    <w:p w14:paraId="7EA2BFEE">
      <w:pPr>
        <w:spacing w:line="360" w:lineRule="auto"/>
        <w:ind w:firstLine="470" w:firstLineChars="196"/>
        <w:outlineLvl w:val="1"/>
        <w:rPr>
          <w:rFonts w:ascii="仿宋" w:hAnsi="仿宋" w:eastAsia="仿宋"/>
          <w:bCs/>
          <w:color w:val="auto"/>
          <w:sz w:val="24"/>
          <w:highlight w:val="none"/>
        </w:rPr>
      </w:pPr>
      <w:bookmarkStart w:id="121" w:name="_Toc15901"/>
      <w:r>
        <w:rPr>
          <w:rFonts w:hint="eastAsia" w:ascii="仿宋" w:hAnsi="仿宋" w:eastAsia="仿宋"/>
          <w:bCs/>
          <w:color w:val="auto"/>
          <w:sz w:val="24"/>
          <w:highlight w:val="none"/>
        </w:rPr>
        <w:t>1.1 根据本采购项目特点制定本磋商方法。</w:t>
      </w:r>
      <w:bookmarkEnd w:id="121"/>
    </w:p>
    <w:p w14:paraId="33C1CC4E">
      <w:pPr>
        <w:spacing w:line="360" w:lineRule="auto"/>
        <w:ind w:firstLine="470" w:firstLineChars="196"/>
        <w:outlineLvl w:val="1"/>
        <w:rPr>
          <w:rFonts w:ascii="仿宋" w:hAnsi="仿宋" w:eastAsia="仿宋"/>
          <w:bCs/>
          <w:color w:val="auto"/>
          <w:sz w:val="24"/>
          <w:highlight w:val="none"/>
        </w:rPr>
      </w:pPr>
      <w:bookmarkStart w:id="122" w:name="_Toc29112"/>
      <w:r>
        <w:rPr>
          <w:rFonts w:hint="eastAsia" w:ascii="仿宋" w:hAnsi="仿宋" w:eastAsia="仿宋"/>
          <w:bCs/>
          <w:color w:val="auto"/>
          <w:sz w:val="24"/>
          <w:highlight w:val="none"/>
        </w:rPr>
        <w:t>1.2 磋商工作由采购代理机构负责组织，具体磋商由采购代理机构依法组建的磋商小组负责。</w:t>
      </w:r>
      <w:bookmarkEnd w:id="122"/>
    </w:p>
    <w:p w14:paraId="71F91690">
      <w:pPr>
        <w:spacing w:line="360" w:lineRule="auto"/>
        <w:ind w:firstLine="470" w:firstLineChars="196"/>
        <w:outlineLvl w:val="1"/>
        <w:rPr>
          <w:rFonts w:ascii="仿宋" w:hAnsi="仿宋" w:eastAsia="仿宋"/>
          <w:bCs/>
          <w:color w:val="auto"/>
          <w:sz w:val="24"/>
          <w:highlight w:val="none"/>
        </w:rPr>
      </w:pPr>
      <w:bookmarkStart w:id="123" w:name="_Toc16696"/>
      <w:r>
        <w:rPr>
          <w:rFonts w:hint="eastAsia" w:ascii="仿宋" w:hAnsi="仿宋" w:eastAsia="仿宋"/>
          <w:bCs/>
          <w:color w:val="auto"/>
          <w:sz w:val="24"/>
          <w:highlight w:val="none"/>
        </w:rPr>
        <w:t>1.3 磋商工作应遵循公平、公正、科学及择优的原则，并以相同的磋商程序和标准对待所有的供应商。</w:t>
      </w:r>
      <w:bookmarkEnd w:id="123"/>
    </w:p>
    <w:p w14:paraId="71EF1694">
      <w:pPr>
        <w:spacing w:line="360" w:lineRule="auto"/>
        <w:ind w:firstLine="470" w:firstLineChars="196"/>
        <w:outlineLvl w:val="1"/>
        <w:rPr>
          <w:rFonts w:ascii="仿宋" w:hAnsi="仿宋" w:eastAsia="仿宋"/>
          <w:bCs/>
          <w:color w:val="auto"/>
          <w:sz w:val="24"/>
          <w:highlight w:val="none"/>
        </w:rPr>
      </w:pPr>
      <w:bookmarkStart w:id="124" w:name="_Toc4083"/>
      <w:r>
        <w:rPr>
          <w:rFonts w:hint="eastAsia" w:ascii="仿宋" w:hAnsi="仿宋" w:eastAsia="仿宋"/>
          <w:bCs/>
          <w:color w:val="auto"/>
          <w:sz w:val="24"/>
          <w:highlight w:val="none"/>
        </w:rPr>
        <w:t>1.4 磋商小组按照磋商文件规定的磋商程序、评分方法和标准进行评审，并独立履行下列职责：</w:t>
      </w:r>
      <w:bookmarkEnd w:id="124"/>
    </w:p>
    <w:p w14:paraId="7E7D6031">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（一）熟悉和理解磋商文件，确定磋商文件内容是否违反国家有关强制性规定或者磋商文件存在歧义、重大缺陷，根据需要书面要求采购人、采购代理机构对磋商文件作出解释；</w:t>
      </w:r>
    </w:p>
    <w:p w14:paraId="1C88C667">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（二）审查供应商响应文件是否满足磋商文件要求，并作出公正评价；</w:t>
      </w:r>
    </w:p>
    <w:p w14:paraId="68DBA962">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（三）根据需要要求供应商对响应文件中含义不明确、同类问题表述不一致或者有明显文字和计算错误的内容等作出必要的澄清、说明或者更正；</w:t>
      </w:r>
    </w:p>
    <w:p w14:paraId="4F458AC0">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（四）推荐成交供应商，或者受采购人委托确定成交供应商；</w:t>
      </w:r>
    </w:p>
    <w:p w14:paraId="7542FE41">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（五）起草评审报告并进行签署；</w:t>
      </w:r>
    </w:p>
    <w:p w14:paraId="2BC42741">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（六）向采购人/采购代理机构、财政部门或者其他监督部门报告非法干预评审工作的行为；</w:t>
      </w:r>
    </w:p>
    <w:p w14:paraId="61B8C40F">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（七）法律法规和规章规定的其他职责。</w:t>
      </w:r>
    </w:p>
    <w:p w14:paraId="36A0A92E">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1.5磋商过程独立、保密。供应商非法干预磋商过程的，其响应文件作无效处理。</w:t>
      </w:r>
    </w:p>
    <w:p w14:paraId="2FE9BA7D">
      <w:pPr>
        <w:spacing w:line="360" w:lineRule="auto"/>
        <w:ind w:firstLine="413"/>
        <w:rPr>
          <w:rFonts w:ascii="仿宋" w:hAnsi="仿宋" w:eastAsia="仿宋"/>
          <w:color w:val="auto"/>
          <w:highlight w:val="none"/>
        </w:rPr>
      </w:pPr>
    </w:p>
    <w:p w14:paraId="5AFD5D46">
      <w:pPr>
        <w:spacing w:line="360" w:lineRule="auto"/>
        <w:ind w:firstLine="472" w:firstLineChars="196"/>
        <w:outlineLvl w:val="1"/>
        <w:rPr>
          <w:rFonts w:ascii="仿宋" w:hAnsi="仿宋" w:eastAsia="仿宋"/>
          <w:b/>
          <w:bCs/>
          <w:color w:val="auto"/>
          <w:sz w:val="24"/>
          <w:highlight w:val="none"/>
        </w:rPr>
      </w:pPr>
      <w:bookmarkStart w:id="125" w:name="_Toc14207"/>
      <w:r>
        <w:rPr>
          <w:rFonts w:hint="eastAsia" w:ascii="仿宋" w:hAnsi="仿宋" w:eastAsia="仿宋"/>
          <w:b/>
          <w:bCs/>
          <w:color w:val="auto"/>
          <w:sz w:val="24"/>
          <w:highlight w:val="none"/>
        </w:rPr>
        <w:t>2.磋商程序</w:t>
      </w:r>
      <w:bookmarkEnd w:id="125"/>
    </w:p>
    <w:p w14:paraId="069E944E">
      <w:pPr>
        <w:spacing w:line="360" w:lineRule="auto"/>
        <w:ind w:firstLine="470" w:firstLineChars="196"/>
        <w:outlineLvl w:val="1"/>
        <w:rPr>
          <w:rFonts w:ascii="仿宋" w:hAnsi="仿宋" w:eastAsia="仿宋"/>
          <w:bCs/>
          <w:color w:val="auto"/>
          <w:sz w:val="24"/>
          <w:highlight w:val="none"/>
        </w:rPr>
      </w:pPr>
      <w:bookmarkStart w:id="126" w:name="_Toc25431"/>
      <w:r>
        <w:rPr>
          <w:rFonts w:hint="eastAsia" w:ascii="仿宋" w:hAnsi="仿宋" w:eastAsia="仿宋"/>
          <w:bCs/>
          <w:color w:val="auto"/>
          <w:sz w:val="24"/>
          <w:highlight w:val="none"/>
        </w:rPr>
        <w:t>2.1审查磋商文件和停止评审。</w:t>
      </w:r>
      <w:bookmarkEnd w:id="126"/>
    </w:p>
    <w:p w14:paraId="05237487">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2.1.1 磋商小组正式评审前，应当对磋商文件进行熟悉和理解，内容主要包括磋商文件中供应商资格条件要求、采购项目技术、服务和商务要求、磋商办法和标准、采购政策要求以及采购合同主要条款等。</w:t>
      </w:r>
    </w:p>
    <w:p w14:paraId="592184FA">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2.1.2 本磋商文件有下列情形之一的，磋商小组应当停止评审：</w:t>
      </w:r>
    </w:p>
    <w:p w14:paraId="5FC3182B">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（1）磋商文件的规定存在歧义、重大缺陷的；</w:t>
      </w:r>
    </w:p>
    <w:p w14:paraId="6ED81B8E">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（2）磋商文件明显以不合理条件对供应商实行差别待遇或者歧视待遇的；</w:t>
      </w:r>
    </w:p>
    <w:p w14:paraId="459B5BF4">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（3）采购项目属于国家规定的优先、强制采购范围，但是磋商文件未依法体现优先、强制采购相关规定的；</w:t>
      </w:r>
    </w:p>
    <w:p w14:paraId="21351070">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（4）磋商文件将供应商的资格条件列为评分因素的；</w:t>
      </w:r>
    </w:p>
    <w:p w14:paraId="61023FF0">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（5）磋商文件载明的成交原则不合法的；</w:t>
      </w:r>
    </w:p>
    <w:p w14:paraId="00DA8F48">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（6）磋商文件有违反国家其他有关强制性规定的情形。</w:t>
      </w:r>
    </w:p>
    <w:p w14:paraId="29D0F597">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2.1.3 出现本条2.1.2规定应当停止评审情形的，磋商小组应当向采购组织单位书面说明情况。除本条规定的情形外，磋商小组不得以任何方式和理由停止评审。</w:t>
      </w:r>
    </w:p>
    <w:p w14:paraId="712E6851">
      <w:pPr>
        <w:spacing w:line="360" w:lineRule="auto"/>
        <w:ind w:firstLine="470" w:firstLineChars="196"/>
        <w:outlineLvl w:val="1"/>
        <w:rPr>
          <w:rFonts w:ascii="仿宋" w:hAnsi="仿宋" w:eastAsia="仿宋"/>
          <w:bCs/>
          <w:color w:val="auto"/>
          <w:sz w:val="24"/>
          <w:highlight w:val="none"/>
        </w:rPr>
      </w:pPr>
      <w:bookmarkStart w:id="127" w:name="_Toc8007"/>
      <w:r>
        <w:rPr>
          <w:rFonts w:hint="eastAsia" w:ascii="仿宋" w:hAnsi="仿宋" w:eastAsia="仿宋"/>
          <w:bCs/>
          <w:color w:val="auto"/>
          <w:sz w:val="24"/>
          <w:highlight w:val="none"/>
        </w:rPr>
        <w:t>2.2资格性审查。</w:t>
      </w:r>
      <w:bookmarkEnd w:id="127"/>
    </w:p>
    <w:p w14:paraId="74C24AA3">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2.2.1本项目需要磋商小组进行资格性检查。</w:t>
      </w:r>
    </w:p>
    <w:p w14:paraId="188C8C8D">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磋商小组应依据法律法规和磋商文件的规定，对响应文件是否按照规定要求提供资格性证明材料、是否属于禁止参加磋商的供应商等进行审查，以确定供应商是否具备磋商资格。</w:t>
      </w:r>
    </w:p>
    <w:p w14:paraId="31235AA5">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2.2.2资格性审查结束后，磋商小组应当出具资格性审查报告，没有通过资格审查的供应商，磋商小组应当在资格审查报告中说明原因。</w:t>
      </w:r>
    </w:p>
    <w:p w14:paraId="152BA066">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2.2.3采购人或者采购代理机构宣布未通过资格性审查的供应商名单时，应当告知供应商未通过审查的原因。</w:t>
      </w:r>
    </w:p>
    <w:p w14:paraId="31901BFA">
      <w:pPr>
        <w:spacing w:line="360" w:lineRule="auto"/>
        <w:ind w:firstLine="470" w:firstLineChars="196"/>
        <w:outlineLvl w:val="1"/>
        <w:rPr>
          <w:rFonts w:ascii="仿宋" w:hAnsi="仿宋" w:eastAsia="仿宋"/>
          <w:bCs/>
          <w:color w:val="auto"/>
          <w:sz w:val="24"/>
          <w:highlight w:val="none"/>
        </w:rPr>
      </w:pPr>
      <w:bookmarkStart w:id="128" w:name="_Toc30782"/>
      <w:r>
        <w:rPr>
          <w:rFonts w:hint="eastAsia" w:ascii="仿宋" w:hAnsi="仿宋" w:eastAsia="仿宋"/>
          <w:bCs/>
          <w:color w:val="auto"/>
          <w:sz w:val="24"/>
          <w:highlight w:val="none"/>
        </w:rPr>
        <w:t>2.3 通过资格性审查的供应商不足3家的，终止本次采购活动，并发布终止采购活动公告。</w:t>
      </w:r>
      <w:bookmarkEnd w:id="128"/>
    </w:p>
    <w:p w14:paraId="18600D74">
      <w:pPr>
        <w:spacing w:line="360" w:lineRule="auto"/>
        <w:ind w:firstLine="470" w:firstLineChars="196"/>
        <w:outlineLvl w:val="1"/>
        <w:rPr>
          <w:rFonts w:ascii="仿宋" w:hAnsi="仿宋" w:eastAsia="仿宋"/>
          <w:bCs/>
          <w:color w:val="auto"/>
          <w:sz w:val="24"/>
          <w:highlight w:val="none"/>
        </w:rPr>
      </w:pPr>
      <w:bookmarkStart w:id="129" w:name="_Toc9594"/>
      <w:r>
        <w:rPr>
          <w:rFonts w:hint="eastAsia" w:ascii="仿宋" w:hAnsi="仿宋" w:eastAsia="仿宋"/>
          <w:bCs/>
          <w:color w:val="auto"/>
          <w:sz w:val="24"/>
          <w:highlight w:val="none"/>
        </w:rPr>
        <w:t>2.4磋商。</w:t>
      </w:r>
      <w:bookmarkEnd w:id="129"/>
    </w:p>
    <w:p w14:paraId="0AD5494B">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2.4.1磋商小组所有成员集中与单一供应商分别进行一轮或多轮磋商，并给予所有参加磋商的供应商平等的磋商机会。磋商顺序以现场抽签的方式确定。磋商过程中，磋商小组可以根据磋商情况调整磋商轮次。</w:t>
      </w:r>
    </w:p>
    <w:p w14:paraId="7F5DE954">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2.4.2每轮磋商开始前，磋商小组应根据磋商文件的规定，并结合各供应商的响应文件拟定磋商内容。</w:t>
      </w:r>
    </w:p>
    <w:p w14:paraId="43A7BFFD">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2.4.3在磋商过程中，磋商小组可以根据磋商文件和磋商情况实质性变动磋商文件的技术、服务要求以及合同草案条款，但不得变动磋商文件中的其他内容。实质性变动的内容，须经采购人代表书面确认。</w:t>
      </w:r>
    </w:p>
    <w:p w14:paraId="43CABA38">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2.4.4对磋商文件作出的实质性变动是磋商文件的有效组成部分，磋商小组应当及时以书面形式同时通知所有参加磋商的供应商。</w:t>
      </w:r>
    </w:p>
    <w:p w14:paraId="45BBE6C1">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2.4.5磋商过程中，磋商文件变动的，供应商应当按照磋商文件的变动情况和磋商小组的要求重新提交响应文件，并由其法定代表人/主要负责人/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w:t>
      </w:r>
    </w:p>
    <w:p w14:paraId="1CBB17CF">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2.4.6</w:t>
      </w:r>
      <w:r>
        <w:rPr>
          <w:rFonts w:hint="eastAsia" w:ascii="仿宋" w:hAnsi="仿宋" w:eastAsia="仿宋"/>
          <w:color w:val="auto"/>
          <w:sz w:val="24"/>
          <w:highlight w:val="none"/>
          <w:lang w:val="zh-CN"/>
        </w:rPr>
        <w:t>有效性、完整性和响应程度审查</w:t>
      </w:r>
    </w:p>
    <w:p w14:paraId="2595E61F">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2.4.6.1磋商过程中，</w:t>
      </w:r>
      <w:r>
        <w:rPr>
          <w:rFonts w:hint="eastAsia" w:ascii="仿宋" w:hAnsi="仿宋" w:eastAsia="仿宋"/>
          <w:color w:val="auto"/>
          <w:sz w:val="24"/>
          <w:highlight w:val="none"/>
          <w:lang w:val="zh-CN"/>
        </w:rPr>
        <w:t>磋商小组对供应商递交的首次响应文件进行审查，审查中发现供应商首次响应文件有下列情况之一的，应按照无效响应文件处理：</w:t>
      </w:r>
    </w:p>
    <w:p w14:paraId="404244A7">
      <w:pPr>
        <w:tabs>
          <w:tab w:val="left" w:pos="720"/>
        </w:tabs>
        <w:spacing w:line="360" w:lineRule="auto"/>
        <w:ind w:firstLine="480" w:firstLineChars="200"/>
        <w:rPr>
          <w:rFonts w:ascii="仿宋" w:hAnsi="仿宋" w:eastAsia="仿宋"/>
          <w:color w:val="auto"/>
          <w:sz w:val="24"/>
          <w:highlight w:val="none"/>
          <w:lang w:val="zh-CN"/>
        </w:rPr>
      </w:pPr>
      <w:r>
        <w:rPr>
          <w:rFonts w:hint="eastAsia" w:ascii="仿宋" w:hAnsi="仿宋" w:eastAsia="仿宋"/>
          <w:color w:val="auto"/>
          <w:sz w:val="24"/>
          <w:highlight w:val="none"/>
          <w:lang w:val="zh-CN"/>
        </w:rPr>
        <w:t>（1）响应文件正副本数量不足的；</w:t>
      </w:r>
    </w:p>
    <w:p w14:paraId="18E71AB7">
      <w:pPr>
        <w:tabs>
          <w:tab w:val="left" w:pos="720"/>
        </w:tabs>
        <w:spacing w:line="360" w:lineRule="auto"/>
        <w:ind w:firstLine="480" w:firstLineChars="200"/>
        <w:rPr>
          <w:rFonts w:ascii="仿宋" w:hAnsi="仿宋" w:eastAsia="仿宋"/>
          <w:color w:val="auto"/>
          <w:sz w:val="24"/>
          <w:highlight w:val="none"/>
          <w:lang w:val="zh-CN"/>
        </w:rPr>
      </w:pPr>
      <w:r>
        <w:rPr>
          <w:rFonts w:hint="eastAsia" w:ascii="仿宋" w:hAnsi="仿宋" w:eastAsia="仿宋"/>
          <w:color w:val="auto"/>
          <w:sz w:val="24"/>
          <w:highlight w:val="none"/>
          <w:lang w:val="zh-CN"/>
        </w:rPr>
        <w:t>（</w:t>
      </w:r>
      <w:r>
        <w:rPr>
          <w:rFonts w:hint="eastAsia" w:ascii="仿宋" w:hAnsi="仿宋" w:eastAsia="仿宋"/>
          <w:color w:val="auto"/>
          <w:sz w:val="24"/>
          <w:highlight w:val="none"/>
        </w:rPr>
        <w:t>2</w:t>
      </w:r>
      <w:r>
        <w:rPr>
          <w:rFonts w:hint="eastAsia" w:ascii="仿宋" w:hAnsi="仿宋" w:eastAsia="仿宋"/>
          <w:color w:val="auto"/>
          <w:sz w:val="24"/>
          <w:highlight w:val="none"/>
          <w:lang w:val="zh-CN"/>
        </w:rPr>
        <w:t>）响应文件的语言、报价货币、知识产权不符合采购文件的规定，影响磋商小组评判的；</w:t>
      </w:r>
    </w:p>
    <w:p w14:paraId="3E3F3FD8">
      <w:pPr>
        <w:tabs>
          <w:tab w:val="left" w:pos="720"/>
        </w:tabs>
        <w:spacing w:line="360" w:lineRule="auto"/>
        <w:ind w:firstLine="480" w:firstLineChars="200"/>
        <w:rPr>
          <w:rFonts w:ascii="仿宋" w:hAnsi="仿宋" w:eastAsia="仿宋"/>
          <w:color w:val="auto"/>
          <w:sz w:val="24"/>
          <w:highlight w:val="none"/>
          <w:lang w:val="zh-CN"/>
        </w:rPr>
      </w:pPr>
      <w:r>
        <w:rPr>
          <w:rFonts w:hint="eastAsia" w:ascii="仿宋" w:hAnsi="仿宋" w:eastAsia="仿宋"/>
          <w:color w:val="auto"/>
          <w:sz w:val="24"/>
          <w:highlight w:val="none"/>
          <w:lang w:val="zh-CN"/>
        </w:rPr>
        <w:t>（</w:t>
      </w:r>
      <w:r>
        <w:rPr>
          <w:rFonts w:hint="eastAsia" w:ascii="仿宋" w:hAnsi="仿宋" w:eastAsia="仿宋"/>
          <w:color w:val="auto"/>
          <w:sz w:val="24"/>
          <w:highlight w:val="none"/>
        </w:rPr>
        <w:t>3</w:t>
      </w:r>
      <w:r>
        <w:rPr>
          <w:rFonts w:hint="eastAsia" w:ascii="仿宋" w:hAnsi="仿宋" w:eastAsia="仿宋"/>
          <w:color w:val="auto"/>
          <w:sz w:val="24"/>
          <w:highlight w:val="none"/>
          <w:lang w:val="zh-CN"/>
        </w:rPr>
        <w:t>）响应文件中未附已标价工程量清单。</w:t>
      </w:r>
    </w:p>
    <w:p w14:paraId="03F6FEF8">
      <w:pPr>
        <w:tabs>
          <w:tab w:val="left" w:pos="720"/>
        </w:tabs>
        <w:spacing w:line="360" w:lineRule="auto"/>
        <w:ind w:firstLine="480" w:firstLineChars="200"/>
        <w:rPr>
          <w:rFonts w:ascii="仿宋" w:hAnsi="仿宋" w:eastAsia="仿宋"/>
          <w:color w:val="auto"/>
          <w:sz w:val="24"/>
          <w:highlight w:val="none"/>
          <w:lang w:val="zh-CN"/>
        </w:rPr>
      </w:pPr>
      <w:r>
        <w:rPr>
          <w:rFonts w:hint="eastAsia" w:ascii="仿宋" w:hAnsi="仿宋" w:eastAsia="仿宋"/>
          <w:color w:val="auto"/>
          <w:sz w:val="24"/>
          <w:highlight w:val="none"/>
          <w:lang w:val="zh-CN"/>
        </w:rPr>
        <w:t>2.4.6.2对已标价工程量清单的评审</w:t>
      </w:r>
    </w:p>
    <w:p w14:paraId="38865CB4">
      <w:pPr>
        <w:tabs>
          <w:tab w:val="left" w:pos="720"/>
        </w:tabs>
        <w:spacing w:line="360" w:lineRule="auto"/>
        <w:ind w:firstLine="480" w:firstLineChars="200"/>
        <w:rPr>
          <w:rFonts w:ascii="仿宋" w:hAnsi="仿宋" w:eastAsia="仿宋"/>
          <w:color w:val="auto"/>
          <w:sz w:val="24"/>
          <w:highlight w:val="none"/>
          <w:lang w:val="zh-CN"/>
        </w:rPr>
      </w:pPr>
      <w:r>
        <w:rPr>
          <w:rFonts w:hint="eastAsia" w:ascii="仿宋" w:hAnsi="仿宋" w:eastAsia="仿宋"/>
          <w:color w:val="auto"/>
          <w:sz w:val="24"/>
          <w:highlight w:val="none"/>
          <w:lang w:val="zh-CN"/>
        </w:rPr>
        <w:t>（1）供应商已标价工程量清单出现《第五章 采购项目技术、服务、采购合同内容条款及其他商务要求》中第2.9款规定情形之一的，应按照无效响应文件处理；</w:t>
      </w:r>
    </w:p>
    <w:p w14:paraId="442057E8">
      <w:pPr>
        <w:tabs>
          <w:tab w:val="left" w:pos="720"/>
        </w:tabs>
        <w:spacing w:line="360" w:lineRule="auto"/>
        <w:ind w:firstLine="480" w:firstLineChars="200"/>
        <w:rPr>
          <w:rFonts w:ascii="仿宋" w:hAnsi="仿宋" w:eastAsia="仿宋"/>
          <w:color w:val="auto"/>
          <w:sz w:val="24"/>
          <w:highlight w:val="none"/>
          <w:lang w:val="zh-CN"/>
        </w:rPr>
      </w:pPr>
      <w:r>
        <w:rPr>
          <w:rFonts w:hint="eastAsia" w:ascii="仿宋" w:hAnsi="仿宋" w:eastAsia="仿宋"/>
          <w:color w:val="auto"/>
          <w:sz w:val="24"/>
          <w:highlight w:val="none"/>
          <w:lang w:val="zh-CN"/>
        </w:rPr>
        <w:t>（2）磋商小组对供应商已标价工程量清单进行算术性复核，如果出现下列不一致的，按以下原则进行修正：</w:t>
      </w:r>
    </w:p>
    <w:p w14:paraId="524A5E2E">
      <w:pPr>
        <w:tabs>
          <w:tab w:val="left" w:pos="720"/>
        </w:tabs>
        <w:spacing w:line="360" w:lineRule="auto"/>
        <w:ind w:firstLine="480" w:firstLineChars="200"/>
        <w:rPr>
          <w:rFonts w:ascii="仿宋" w:hAnsi="仿宋" w:eastAsia="仿宋"/>
          <w:color w:val="auto"/>
          <w:sz w:val="24"/>
          <w:highlight w:val="none"/>
          <w:lang w:val="zh-CN"/>
        </w:rPr>
      </w:pPr>
      <w:r>
        <w:rPr>
          <w:rFonts w:hint="eastAsia" w:ascii="仿宋" w:hAnsi="仿宋" w:eastAsia="仿宋"/>
          <w:color w:val="auto"/>
          <w:sz w:val="24"/>
          <w:highlight w:val="none"/>
          <w:lang w:val="zh-CN"/>
        </w:rPr>
        <w:t>总价金额与依据单价计算出的结果不一致的，以单价金额为准修正总价，但单价金额小数点有明显错误的除外（包括但不限于工程量清单、单位工程汇总表、单项工程汇总表、投标报价汇总表）。</w:t>
      </w:r>
    </w:p>
    <w:p w14:paraId="097E1F6A">
      <w:pPr>
        <w:autoSpaceDE w:val="0"/>
        <w:autoSpaceDN w:val="0"/>
        <w:adjustRightInd w:val="0"/>
        <w:snapToGrid w:val="0"/>
        <w:spacing w:line="360" w:lineRule="auto"/>
        <w:ind w:firstLine="480" w:firstLineChars="200"/>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修正后的报价经供应商确认后产生约束力，供应商不确认的，其响应文件作为无效处理。供应商确认采取书面且加盖单位公章或者供应商授权代表签字的方式。</w:t>
      </w:r>
    </w:p>
    <w:p w14:paraId="4A202DAB">
      <w:pPr>
        <w:autoSpaceDE w:val="0"/>
        <w:autoSpaceDN w:val="0"/>
        <w:adjustRightInd w:val="0"/>
        <w:snapToGrid w:val="0"/>
        <w:spacing w:line="360" w:lineRule="auto"/>
        <w:ind w:firstLine="480" w:firstLineChars="200"/>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不得未经澄清、说明或者更正，直接将供应商响应文件作为无效处理。</w:t>
      </w:r>
    </w:p>
    <w:p w14:paraId="21F45C77">
      <w:pPr>
        <w:autoSpaceDE w:val="0"/>
        <w:autoSpaceDN w:val="0"/>
        <w:adjustRightInd w:val="0"/>
        <w:snapToGrid w:val="0"/>
        <w:spacing w:line="360" w:lineRule="auto"/>
        <w:ind w:firstLine="480" w:firstLineChars="200"/>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（3）磋商小组对供应商已标价工程量清单的项目单价进行评审，对明显不合理的单价（如明显偏高或偏低）项目，应在评审报告中记录，提醒采购人在签订合同时注意，并在合同履行过程中加强风险防范。</w:t>
      </w:r>
    </w:p>
    <w:p w14:paraId="093C66FD">
      <w:pPr>
        <w:autoSpaceDE w:val="0"/>
        <w:autoSpaceDN w:val="0"/>
        <w:adjustRightInd w:val="0"/>
        <w:snapToGrid w:val="0"/>
        <w:spacing w:line="360" w:lineRule="auto"/>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lang w:val="zh-CN"/>
        </w:rPr>
        <w:t xml:space="preserve">2.4.6.3经最终磋商后，响应文件仍有下列情况之一的，应按照无效响应文件处理： </w:t>
      </w:r>
    </w:p>
    <w:p w14:paraId="4C2C6FA3">
      <w:pPr>
        <w:autoSpaceDE w:val="0"/>
        <w:autoSpaceDN w:val="0"/>
        <w:adjustRightInd w:val="0"/>
        <w:snapToGrid w:val="0"/>
        <w:spacing w:line="360" w:lineRule="auto"/>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（1）</w:t>
      </w:r>
      <w:r>
        <w:rPr>
          <w:rFonts w:ascii="仿宋" w:hAnsi="仿宋" w:eastAsia="仿宋" w:cs="宋体"/>
          <w:color w:val="auto"/>
          <w:sz w:val="24"/>
          <w:highlight w:val="none"/>
          <w:lang w:val="zh-CN"/>
        </w:rPr>
        <w:t>响应文件仍不能完全响应采购文件的实质性要求的</w:t>
      </w:r>
      <w:r>
        <w:rPr>
          <w:rFonts w:hint="eastAsia" w:ascii="仿宋" w:hAnsi="仿宋" w:eastAsia="仿宋" w:cs="宋体"/>
          <w:color w:val="auto"/>
          <w:sz w:val="24"/>
          <w:highlight w:val="none"/>
          <w:lang w:val="zh-CN"/>
        </w:rPr>
        <w:t>；</w:t>
      </w:r>
    </w:p>
    <w:p w14:paraId="64750D74">
      <w:pPr>
        <w:autoSpaceDE w:val="0"/>
        <w:autoSpaceDN w:val="0"/>
        <w:adjustRightInd w:val="0"/>
        <w:snapToGrid w:val="0"/>
        <w:spacing w:line="360" w:lineRule="auto"/>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（2）响应文件中有规定的其他无效响应情形的。</w:t>
      </w:r>
    </w:p>
    <w:p w14:paraId="580F87B1">
      <w:pPr>
        <w:autoSpaceDE w:val="0"/>
        <w:autoSpaceDN w:val="0"/>
        <w:adjustRightInd w:val="0"/>
        <w:snapToGrid w:val="0"/>
        <w:spacing w:line="360" w:lineRule="auto"/>
        <w:ind w:firstLine="480" w:firstLineChars="200"/>
        <w:rPr>
          <w:rFonts w:ascii="仿宋" w:hAnsi="仿宋" w:eastAsia="仿宋" w:cs="宋体"/>
          <w:color w:val="auto"/>
          <w:sz w:val="24"/>
          <w:highlight w:val="none"/>
          <w:lang w:val="zh-CN"/>
        </w:rPr>
      </w:pPr>
      <w:r>
        <w:rPr>
          <w:rFonts w:ascii="仿宋" w:hAnsi="仿宋" w:eastAsia="仿宋" w:cs="宋体"/>
          <w:color w:val="auto"/>
          <w:sz w:val="24"/>
          <w:highlight w:val="none"/>
          <w:lang w:val="zh-CN"/>
        </w:rPr>
        <w:t>但磋商小组对响应文件签署、盖章等进行审查过程中，有下列情形的，磋商小组应</w:t>
      </w:r>
      <w:r>
        <w:rPr>
          <w:rFonts w:hint="eastAsia" w:ascii="仿宋" w:hAnsi="仿宋" w:eastAsia="仿宋" w:cs="仿宋"/>
          <w:color w:val="auto"/>
          <w:spacing w:val="-6"/>
          <w:kern w:val="0"/>
          <w:sz w:val="24"/>
          <w:szCs w:val="20"/>
          <w:highlight w:val="none"/>
          <w:lang w:val="zh-CN" w:eastAsia="zh-CN" w:bidi="ar-SA"/>
        </w:rPr>
        <w:t>当评定为不影响整个响应文件有效性和采购活动公平竞争，并通过响应文件的有效性审查：</w:t>
      </w:r>
    </w:p>
    <w:p w14:paraId="79CB63A8">
      <w:pPr>
        <w:autoSpaceDE w:val="0"/>
        <w:autoSpaceDN w:val="0"/>
        <w:adjustRightInd w:val="0"/>
        <w:snapToGrid w:val="0"/>
        <w:spacing w:line="360" w:lineRule="auto"/>
        <w:ind w:firstLine="480" w:firstLineChars="200"/>
        <w:rPr>
          <w:rFonts w:ascii="仿宋" w:hAnsi="仿宋" w:eastAsia="仿宋" w:cs="宋体"/>
          <w:color w:val="auto"/>
          <w:sz w:val="24"/>
          <w:highlight w:val="none"/>
          <w:lang w:val="zh-CN"/>
        </w:rPr>
      </w:pPr>
      <w:r>
        <w:rPr>
          <w:rFonts w:ascii="仿宋" w:hAnsi="仿宋" w:eastAsia="仿宋" w:cs="宋体"/>
          <w:color w:val="auto"/>
          <w:sz w:val="24"/>
          <w:highlight w:val="none"/>
          <w:lang w:val="zh-CN"/>
        </w:rPr>
        <w:t xml:space="preserve"> （</w:t>
      </w:r>
      <w:r>
        <w:rPr>
          <w:rFonts w:hint="eastAsia" w:ascii="仿宋" w:hAnsi="仿宋" w:eastAsia="仿宋" w:cs="宋体"/>
          <w:color w:val="auto"/>
          <w:sz w:val="24"/>
          <w:highlight w:val="none"/>
        </w:rPr>
        <w:t>1</w:t>
      </w:r>
      <w:r>
        <w:rPr>
          <w:rFonts w:ascii="仿宋" w:hAnsi="仿宋" w:eastAsia="仿宋" w:cs="宋体"/>
          <w:color w:val="auto"/>
          <w:sz w:val="24"/>
          <w:highlight w:val="none"/>
          <w:lang w:val="zh-CN"/>
        </w:rPr>
        <w:t>）响应文件存在个别地方（总数不能超过2个）没有法定代表人/单位负责人签字，但有法定代表人/单位负责人的私人印章或者有效授权代理人签字的；</w:t>
      </w:r>
    </w:p>
    <w:p w14:paraId="593F3BF1">
      <w:pPr>
        <w:autoSpaceDE w:val="0"/>
        <w:autoSpaceDN w:val="0"/>
        <w:adjustRightInd w:val="0"/>
        <w:snapToGrid w:val="0"/>
        <w:spacing w:line="360" w:lineRule="auto"/>
        <w:ind w:firstLine="480" w:firstLineChars="200"/>
        <w:rPr>
          <w:rFonts w:ascii="仿宋" w:hAnsi="仿宋" w:eastAsia="仿宋" w:cs="宋体"/>
          <w:color w:val="auto"/>
          <w:sz w:val="24"/>
          <w:highlight w:val="none"/>
          <w:lang w:val="zh-CN"/>
        </w:rPr>
      </w:pPr>
      <w:r>
        <w:rPr>
          <w:rFonts w:ascii="仿宋" w:hAnsi="仿宋" w:eastAsia="仿宋" w:cs="宋体"/>
          <w:color w:val="auto"/>
          <w:sz w:val="24"/>
          <w:highlight w:val="none"/>
          <w:lang w:val="zh-CN"/>
        </w:rPr>
        <w:t xml:space="preserve"> （</w:t>
      </w:r>
      <w:r>
        <w:rPr>
          <w:rFonts w:hint="eastAsia" w:ascii="仿宋" w:hAnsi="仿宋" w:eastAsia="仿宋" w:cs="宋体"/>
          <w:color w:val="auto"/>
          <w:sz w:val="24"/>
          <w:highlight w:val="none"/>
        </w:rPr>
        <w:t>2</w:t>
      </w:r>
      <w:r>
        <w:rPr>
          <w:rFonts w:ascii="仿宋" w:hAnsi="仿宋" w:eastAsia="仿宋" w:cs="宋体"/>
          <w:color w:val="auto"/>
          <w:sz w:val="24"/>
          <w:highlight w:val="none"/>
          <w:lang w:val="zh-CN"/>
        </w:rPr>
        <w:t>）响应文件除采购文件明确要求加盖单位</w:t>
      </w:r>
      <w:r>
        <w:rPr>
          <w:rFonts w:hint="eastAsia" w:ascii="仿宋" w:hAnsi="仿宋" w:eastAsia="仿宋" w:cs="宋体"/>
          <w:color w:val="auto"/>
          <w:sz w:val="24"/>
          <w:highlight w:val="none"/>
          <w:lang w:val="zh-CN"/>
        </w:rPr>
        <w:t>（</w:t>
      </w:r>
      <w:r>
        <w:rPr>
          <w:rFonts w:ascii="仿宋" w:hAnsi="仿宋" w:eastAsia="仿宋" w:cs="宋体"/>
          <w:color w:val="auto"/>
          <w:sz w:val="24"/>
          <w:highlight w:val="none"/>
          <w:lang w:val="zh-CN"/>
        </w:rPr>
        <w:t>法人</w:t>
      </w:r>
      <w:r>
        <w:rPr>
          <w:rFonts w:hint="eastAsia" w:ascii="仿宋" w:hAnsi="仿宋" w:eastAsia="仿宋" w:cs="宋体"/>
          <w:color w:val="auto"/>
          <w:sz w:val="24"/>
          <w:highlight w:val="none"/>
          <w:lang w:val="zh-CN"/>
        </w:rPr>
        <w:t>）</w:t>
      </w:r>
      <w:r>
        <w:rPr>
          <w:rFonts w:ascii="仿宋" w:hAnsi="仿宋" w:eastAsia="仿宋" w:cs="宋体"/>
          <w:color w:val="auto"/>
          <w:sz w:val="24"/>
          <w:highlight w:val="none"/>
          <w:lang w:val="zh-CN"/>
        </w:rPr>
        <w:t>公章的以外，其他地方以相关专用章加盖的；</w:t>
      </w:r>
    </w:p>
    <w:p w14:paraId="4CB80CC5">
      <w:pPr>
        <w:autoSpaceDE w:val="0"/>
        <w:autoSpaceDN w:val="0"/>
        <w:adjustRightInd w:val="0"/>
        <w:snapToGrid w:val="0"/>
        <w:spacing w:line="360" w:lineRule="auto"/>
        <w:ind w:firstLine="480" w:firstLineChars="200"/>
        <w:rPr>
          <w:rFonts w:ascii="仿宋" w:hAnsi="仿宋" w:eastAsia="仿宋" w:cs="宋体"/>
          <w:color w:val="auto"/>
          <w:sz w:val="24"/>
          <w:highlight w:val="none"/>
          <w:lang w:val="zh-CN"/>
        </w:rPr>
      </w:pPr>
      <w:r>
        <w:rPr>
          <w:rFonts w:ascii="仿宋" w:hAnsi="仿宋" w:eastAsia="仿宋" w:cs="宋体"/>
          <w:color w:val="auto"/>
          <w:sz w:val="24"/>
          <w:highlight w:val="none"/>
          <w:lang w:val="zh-CN"/>
        </w:rPr>
        <w:t xml:space="preserve"> （</w:t>
      </w:r>
      <w:r>
        <w:rPr>
          <w:rFonts w:hint="eastAsia" w:ascii="仿宋" w:hAnsi="仿宋" w:eastAsia="仿宋" w:cs="宋体"/>
          <w:color w:val="auto"/>
          <w:sz w:val="24"/>
          <w:highlight w:val="none"/>
        </w:rPr>
        <w:t>3</w:t>
      </w:r>
      <w:r>
        <w:rPr>
          <w:rFonts w:ascii="仿宋" w:hAnsi="仿宋" w:eastAsia="仿宋" w:cs="宋体"/>
          <w:color w:val="auto"/>
          <w:sz w:val="24"/>
          <w:highlight w:val="none"/>
          <w:lang w:val="zh-CN"/>
        </w:rPr>
        <w:t>）以骑缝章的形式代替响应文件内容逐页盖章的（但是骑缝章模糊不清，印章名称无法辨认的除外）。</w:t>
      </w:r>
    </w:p>
    <w:p w14:paraId="6041DD52">
      <w:pPr>
        <w:autoSpaceDE w:val="0"/>
        <w:autoSpaceDN w:val="0"/>
        <w:adjustRightInd w:val="0"/>
        <w:snapToGrid w:val="0"/>
        <w:spacing w:line="360" w:lineRule="auto"/>
        <w:ind w:firstLine="480" w:firstLineChars="200"/>
        <w:rPr>
          <w:rFonts w:ascii="仿宋" w:hAnsi="仿宋" w:eastAsia="仿宋" w:cs="宋体"/>
          <w:color w:val="auto"/>
          <w:sz w:val="24"/>
          <w:highlight w:val="none"/>
        </w:rPr>
      </w:pPr>
      <w:r>
        <w:rPr>
          <w:rFonts w:ascii="仿宋" w:hAnsi="仿宋" w:eastAsia="仿宋" w:cs="宋体"/>
          <w:color w:val="auto"/>
          <w:sz w:val="24"/>
          <w:highlight w:val="none"/>
        </w:rPr>
        <w:t>磋商小组</w:t>
      </w:r>
      <w:r>
        <w:rPr>
          <w:rFonts w:ascii="仿宋" w:hAnsi="仿宋" w:eastAsia="仿宋" w:cs="宋体"/>
          <w:color w:val="auto"/>
          <w:sz w:val="24"/>
          <w:highlight w:val="none"/>
          <w:lang w:val="zh-CN"/>
        </w:rPr>
        <w:t>对所有响应文件的有效性、完整性和响应程度进行审查</w:t>
      </w:r>
      <w:r>
        <w:rPr>
          <w:rFonts w:ascii="仿宋" w:hAnsi="仿宋" w:eastAsia="仿宋" w:cs="宋体"/>
          <w:color w:val="auto"/>
          <w:sz w:val="24"/>
          <w:highlight w:val="none"/>
        </w:rPr>
        <w:t>后，向采购</w:t>
      </w:r>
      <w:r>
        <w:rPr>
          <w:rFonts w:ascii="仿宋" w:hAnsi="仿宋" w:eastAsia="仿宋" w:cs="宋体"/>
          <w:color w:val="auto"/>
          <w:sz w:val="24"/>
          <w:highlight w:val="none"/>
          <w:lang w:val="zh-CN"/>
        </w:rPr>
        <w:t>代理机构</w:t>
      </w:r>
      <w:r>
        <w:rPr>
          <w:rFonts w:ascii="仿宋" w:hAnsi="仿宋" w:eastAsia="仿宋" w:cs="宋体"/>
          <w:color w:val="auto"/>
          <w:sz w:val="24"/>
          <w:highlight w:val="none"/>
        </w:rPr>
        <w:t>出具</w:t>
      </w:r>
      <w:r>
        <w:rPr>
          <w:rFonts w:ascii="仿宋" w:hAnsi="仿宋" w:eastAsia="仿宋" w:cs="宋体"/>
          <w:color w:val="auto"/>
          <w:sz w:val="24"/>
          <w:highlight w:val="none"/>
          <w:lang w:val="zh-CN"/>
        </w:rPr>
        <w:t>有效性、完整性和响应程度</w:t>
      </w:r>
      <w:r>
        <w:rPr>
          <w:rFonts w:ascii="仿宋" w:hAnsi="仿宋" w:eastAsia="仿宋" w:cs="宋体"/>
          <w:color w:val="auto"/>
          <w:sz w:val="24"/>
          <w:highlight w:val="none"/>
        </w:rPr>
        <w:t>审查报告，确定继续磋商的供应商名单。没有通过</w:t>
      </w:r>
      <w:r>
        <w:rPr>
          <w:rFonts w:ascii="仿宋" w:hAnsi="仿宋" w:eastAsia="仿宋" w:cs="宋体"/>
          <w:color w:val="auto"/>
          <w:sz w:val="24"/>
          <w:highlight w:val="none"/>
          <w:lang w:val="zh-CN"/>
        </w:rPr>
        <w:t>有效性、完整性和响应程度</w:t>
      </w:r>
      <w:r>
        <w:rPr>
          <w:rFonts w:ascii="仿宋" w:hAnsi="仿宋" w:eastAsia="仿宋" w:cs="宋体"/>
          <w:color w:val="auto"/>
          <w:sz w:val="24"/>
          <w:highlight w:val="none"/>
        </w:rPr>
        <w:t>审查的供应商，磋商小组应在</w:t>
      </w:r>
      <w:r>
        <w:rPr>
          <w:rFonts w:ascii="仿宋" w:hAnsi="仿宋" w:eastAsia="仿宋" w:cs="宋体"/>
          <w:color w:val="auto"/>
          <w:sz w:val="24"/>
          <w:highlight w:val="none"/>
          <w:lang w:val="zh-CN"/>
        </w:rPr>
        <w:t>有效性、完整性和响应程度</w:t>
      </w:r>
      <w:r>
        <w:rPr>
          <w:rFonts w:ascii="仿宋" w:hAnsi="仿宋" w:eastAsia="仿宋" w:cs="宋体"/>
          <w:color w:val="auto"/>
          <w:sz w:val="24"/>
          <w:highlight w:val="none"/>
        </w:rPr>
        <w:t>审查报告中说明原因。</w:t>
      </w:r>
    </w:p>
    <w:p w14:paraId="2E799432">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2.4.7磋商过程中，磋商的任何一方不得透露与磋商有关的其他供应商的技术资料、价格和其他信息。</w:t>
      </w:r>
    </w:p>
    <w:p w14:paraId="6AD0E0E5">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2.4.8磋商过程中，磋商小组发现或者知晓供应商存在违法、违纪行为的，磋商小组应当将该供应商响应文件作无效处理，不允许其提交最后报价。</w:t>
      </w:r>
    </w:p>
    <w:p w14:paraId="1B75CDCF">
      <w:pPr>
        <w:tabs>
          <w:tab w:val="left" w:pos="72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2.4.9磋商完成后，磋商小组应出具磋商情况记录表，磋商情况记录表需包含磋商内容、磋商意见、实质性变动内容等。</w:t>
      </w:r>
    </w:p>
    <w:p w14:paraId="6720D8DD">
      <w:pPr>
        <w:spacing w:line="360" w:lineRule="auto"/>
        <w:ind w:firstLine="470" w:firstLineChars="196"/>
        <w:outlineLvl w:val="1"/>
        <w:rPr>
          <w:rFonts w:ascii="仿宋" w:hAnsi="仿宋" w:eastAsia="仿宋"/>
          <w:bCs/>
          <w:color w:val="auto"/>
          <w:sz w:val="24"/>
          <w:highlight w:val="none"/>
        </w:rPr>
      </w:pPr>
      <w:bookmarkStart w:id="130" w:name="_Toc6672"/>
      <w:r>
        <w:rPr>
          <w:rFonts w:hint="eastAsia" w:ascii="仿宋" w:hAnsi="仿宋" w:eastAsia="仿宋"/>
          <w:bCs/>
          <w:color w:val="auto"/>
          <w:sz w:val="24"/>
          <w:highlight w:val="none"/>
        </w:rPr>
        <w:t>2.5报价</w:t>
      </w:r>
      <w:bookmarkEnd w:id="130"/>
    </w:p>
    <w:p w14:paraId="177E0D3E">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2.5.1除首次响应文件中的报价以外，供应商</w:t>
      </w:r>
      <w:r>
        <w:rPr>
          <w:rFonts w:ascii="仿宋" w:hAnsi="仿宋" w:eastAsia="仿宋"/>
          <w:color w:val="auto"/>
          <w:sz w:val="24"/>
          <w:highlight w:val="none"/>
        </w:rPr>
        <w:t>报价</w:t>
      </w:r>
      <w:r>
        <w:rPr>
          <w:rFonts w:hint="eastAsia" w:ascii="仿宋" w:hAnsi="仿宋" w:eastAsia="仿宋"/>
          <w:color w:val="auto"/>
          <w:sz w:val="24"/>
          <w:highlight w:val="none"/>
        </w:rPr>
        <w:t>采用现场报价，参与报价的供应商按磋商小组要求进行报价。报价超过竞争性磋商文件规定的采购预算（或最高限价）或者相关报价不符合采购文件其他报价规定的，应按照无效响应文件处理。</w:t>
      </w:r>
    </w:p>
    <w:p w14:paraId="26969A30">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2.5.2</w:t>
      </w:r>
      <w:r>
        <w:rPr>
          <w:rFonts w:ascii="仿宋" w:hAnsi="仿宋" w:eastAsia="仿宋"/>
          <w:color w:val="auto"/>
          <w:sz w:val="24"/>
          <w:highlight w:val="none"/>
        </w:rPr>
        <w:t>供应商报价大写金额和小写金额不一致的，以大写金额为准，但大写金额文字存在错误的，应当先对大写金额的文字错误进行澄清、说明或者更正，再行修正</w:t>
      </w:r>
      <w:r>
        <w:rPr>
          <w:rFonts w:hint="eastAsia" w:ascii="仿宋" w:hAnsi="仿宋" w:eastAsia="仿宋"/>
          <w:color w:val="auto"/>
          <w:sz w:val="24"/>
          <w:highlight w:val="none"/>
        </w:rPr>
        <w:t>。修正后的报价经供应商确认后产生约束力，供应商不确认的，其响应文件作为无效处理。</w:t>
      </w:r>
    </w:p>
    <w:p w14:paraId="71745EEF">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2.5.3供应商报价应当由法定代表人/主要负责人/本人或其授权代表签字确认（注：供应商为法人的，应当由其法定代表人或者授权代表签字确认；供应商为其他组织的，应当由其主要负责人或者授权代表签字确认；供应商为自然人的，应当由其本人或者授权代表签字确认）或加盖公章。报价是供应商响应文件的有效组成部分。</w:t>
      </w:r>
    </w:p>
    <w:p w14:paraId="2BDDF383">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2.5.4磋商文件能够详细列明采购标的的技术、服务要求的，磋商结束后，磋商小组应当要求所有实质性响应的供应商在规定时间内提交最后报价，提交最后报价的供应商不得少于3家。或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74B2595">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2.5.5若供应商的最后报价提供完整的已标价工程量清单，磋商小组仍应按2.4.6.2的要求对已标价工程量清单进行评审。</w:t>
      </w:r>
    </w:p>
    <w:p w14:paraId="73FAD201">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2.5.6磋商结束后，磋商小组应当要求所有实质性响应的供应商在规定时间内提交最后报价。两轮（若有）以上报价的，供应商在未提高响应文件中承诺的产品及其服务质量的情况下，其最后报价不得高于对该项目之前的报价，否则，磋商小组应当对其响应文件按无效处理，不允许进入综合评分，并书面告知供应商，说明理由。</w:t>
      </w:r>
      <w:r>
        <w:rPr>
          <w:rFonts w:hint="eastAsia" w:ascii="仿宋" w:hAnsi="仿宋" w:eastAsia="仿宋"/>
          <w:color w:val="auto"/>
          <w:sz w:val="24"/>
          <w:highlight w:val="none"/>
          <w:lang w:val="zh-CN"/>
        </w:rPr>
        <w:t>磋商小组认为供应商最后报价低于成本价，在磋商小组发出质询函后供应商未能提供合理的成本分析和价格构成的或对质询函的解释未被磋商小组采信的，</w:t>
      </w:r>
      <w:r>
        <w:rPr>
          <w:rFonts w:hint="eastAsia" w:ascii="仿宋" w:hAnsi="仿宋" w:eastAsia="仿宋" w:cs="宋体"/>
          <w:color w:val="auto"/>
          <w:sz w:val="24"/>
          <w:highlight w:val="none"/>
          <w:lang w:val="zh-CN"/>
        </w:rPr>
        <w:t>应按照无效响应文件处理。</w:t>
      </w:r>
    </w:p>
    <w:p w14:paraId="7DB522D6">
      <w:pPr>
        <w:spacing w:line="360" w:lineRule="auto"/>
        <w:ind w:firstLine="470" w:firstLineChars="196"/>
        <w:outlineLvl w:val="1"/>
        <w:rPr>
          <w:rFonts w:ascii="仿宋" w:hAnsi="仿宋" w:eastAsia="仿宋"/>
          <w:bCs/>
          <w:color w:val="auto"/>
          <w:sz w:val="24"/>
          <w:highlight w:val="none"/>
        </w:rPr>
      </w:pPr>
      <w:bookmarkStart w:id="131" w:name="_Toc6492"/>
      <w:r>
        <w:rPr>
          <w:rFonts w:hint="eastAsia" w:ascii="仿宋" w:hAnsi="仿宋" w:eastAsia="仿宋"/>
          <w:bCs/>
          <w:color w:val="auto"/>
          <w:sz w:val="24"/>
          <w:highlight w:val="none"/>
        </w:rPr>
        <w:t>2.6比较与评价。</w:t>
      </w:r>
      <w:bookmarkEnd w:id="131"/>
    </w:p>
    <w:p w14:paraId="6D17EC0C">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由磋商小组采用综合评分法对提交最后报价的供应商的响应文件和最后报价进行综合评分，具体要求详见本章综合评分部分。</w:t>
      </w:r>
    </w:p>
    <w:p w14:paraId="3AD45412">
      <w:pPr>
        <w:spacing w:line="360" w:lineRule="auto"/>
        <w:ind w:firstLine="470" w:firstLineChars="196"/>
        <w:outlineLvl w:val="1"/>
        <w:rPr>
          <w:rFonts w:ascii="仿宋" w:hAnsi="仿宋" w:eastAsia="仿宋"/>
          <w:bCs/>
          <w:color w:val="auto"/>
          <w:sz w:val="24"/>
          <w:highlight w:val="none"/>
        </w:rPr>
      </w:pPr>
      <w:bookmarkStart w:id="132" w:name="_Toc20096"/>
      <w:r>
        <w:rPr>
          <w:rFonts w:hint="eastAsia" w:ascii="仿宋" w:hAnsi="仿宋" w:eastAsia="仿宋"/>
          <w:bCs/>
          <w:color w:val="auto"/>
          <w:sz w:val="24"/>
          <w:highlight w:val="none"/>
        </w:rPr>
        <w:t>2.7推荐成交候选供应商。</w:t>
      </w:r>
      <w:bookmarkEnd w:id="132"/>
    </w:p>
    <w:p w14:paraId="26605005">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磋商小组应当根据综合评分情况，按照评审得分由高到低顺序推荐3家以上成交候选供应商，并编写磋商报告。评审得分相同的，按照最后报价由低到高的顺序推荐。评审得分且最后报价相同的，按照技术指标优劣顺序推荐。</w:t>
      </w:r>
    </w:p>
    <w:p w14:paraId="5ED904C7">
      <w:pPr>
        <w:spacing w:line="360" w:lineRule="auto"/>
        <w:ind w:firstLine="470" w:firstLineChars="196"/>
        <w:outlineLvl w:val="1"/>
        <w:rPr>
          <w:rFonts w:ascii="仿宋" w:hAnsi="仿宋" w:eastAsia="仿宋"/>
          <w:bCs/>
          <w:color w:val="auto"/>
          <w:sz w:val="24"/>
          <w:highlight w:val="none"/>
        </w:rPr>
      </w:pPr>
      <w:bookmarkStart w:id="133" w:name="_Toc30568"/>
      <w:r>
        <w:rPr>
          <w:rFonts w:hint="eastAsia" w:ascii="仿宋" w:hAnsi="仿宋" w:eastAsia="仿宋"/>
          <w:bCs/>
          <w:color w:val="auto"/>
          <w:sz w:val="24"/>
          <w:highlight w:val="none"/>
        </w:rPr>
        <w:t>2.8磋商小组复核。</w:t>
      </w:r>
      <w:bookmarkEnd w:id="133"/>
    </w:p>
    <w:p w14:paraId="178B4D94">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磋商小组评分汇总结束后，磋商小组应当进行评审复核，对拟推荐为成交候选供应商的、报价最低的、供应商资格审查未通过的、供应商响应文件作无效处理的重点复核。</w:t>
      </w:r>
    </w:p>
    <w:p w14:paraId="5592D536">
      <w:pPr>
        <w:spacing w:line="360" w:lineRule="auto"/>
        <w:ind w:firstLine="470" w:firstLineChars="196"/>
        <w:outlineLvl w:val="1"/>
        <w:rPr>
          <w:rFonts w:ascii="仿宋" w:hAnsi="仿宋" w:eastAsia="仿宋"/>
          <w:bCs/>
          <w:color w:val="auto"/>
          <w:sz w:val="24"/>
          <w:highlight w:val="none"/>
        </w:rPr>
      </w:pPr>
      <w:bookmarkStart w:id="134" w:name="_Toc16231"/>
      <w:r>
        <w:rPr>
          <w:rFonts w:hint="eastAsia" w:ascii="仿宋" w:hAnsi="仿宋" w:eastAsia="仿宋"/>
          <w:bCs/>
          <w:color w:val="auto"/>
          <w:sz w:val="24"/>
          <w:highlight w:val="none"/>
        </w:rPr>
        <w:t>2.9采购组织单位现场复核评审结果。</w:t>
      </w:r>
      <w:bookmarkEnd w:id="134"/>
    </w:p>
    <w:p w14:paraId="2C90A5EF">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2.9.1评审结果汇总完成后，磋商小组拟出具磋商评审报告前，采购代理机构应当组织2名以上的本单位工作人员，在采购现场监督人员的监督之下，依据有关的法律制度和磋商文件对评审结果进行复核，出具复核报告，存在下列情形之一的，采购代理机构应当根据情况书面建议磋商小组现场修改评审结果：</w:t>
      </w:r>
    </w:p>
    <w:p w14:paraId="3A8FD6D3">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（1）资格性审查认定错误的；</w:t>
      </w:r>
    </w:p>
    <w:p w14:paraId="179EB60D">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（2）分值汇总计算错误的；</w:t>
      </w:r>
    </w:p>
    <w:p w14:paraId="2C43ED0F">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（3）分项评分超出评分标准范围的；</w:t>
      </w:r>
    </w:p>
    <w:p w14:paraId="7C98ADD3">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（4）客观评分不一致的。</w:t>
      </w:r>
    </w:p>
    <w:p w14:paraId="65CB6B81">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代理机构书面建议的，应当书面说明理由。采购代理机构书面建议未被磋商小组采纳的，应当按照规定程序要求继续组织实施采购活动，不得擅自中止采购活动。采购代理机构认为磋商小组评审结果不合法的，应当书面报告采购项目同级财政部门。</w:t>
      </w:r>
    </w:p>
    <w:p w14:paraId="4C96063F">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采购代理机构复核过程中，磋商小组成员不得离开评审现场。</w:t>
      </w:r>
    </w:p>
    <w:p w14:paraId="4C33755B">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2.9.2有下列情形之一的，不得现场修改评审结果：</w:t>
      </w:r>
    </w:p>
    <w:p w14:paraId="0E7D55ED">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（1）磋商小组已经出具磋商报告并且离开评审现场的；</w:t>
      </w:r>
    </w:p>
    <w:p w14:paraId="4FEE3ACF">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（2）采购代理机构现场复核时，复核工作人员数量不足的；</w:t>
      </w:r>
    </w:p>
    <w:p w14:paraId="722AAD64">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（3）采购代理机构现场复核时，没有采购监督人员现场监督的；</w:t>
      </w:r>
    </w:p>
    <w:p w14:paraId="2EF40BEB">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（4）采购代理机构现场复核内容超出规定范围的；</w:t>
      </w:r>
    </w:p>
    <w:p w14:paraId="52111DA1">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（5）采购代理机构未提供书面建议的。</w:t>
      </w:r>
    </w:p>
    <w:p w14:paraId="32F736C9">
      <w:pPr>
        <w:spacing w:line="360" w:lineRule="auto"/>
        <w:ind w:firstLine="470" w:firstLineChars="196"/>
        <w:outlineLvl w:val="1"/>
        <w:rPr>
          <w:rFonts w:ascii="仿宋" w:hAnsi="仿宋" w:eastAsia="仿宋"/>
          <w:bCs/>
          <w:color w:val="auto"/>
          <w:sz w:val="24"/>
          <w:highlight w:val="none"/>
        </w:rPr>
      </w:pPr>
      <w:bookmarkStart w:id="135" w:name="_Toc3127"/>
      <w:r>
        <w:rPr>
          <w:rFonts w:hint="eastAsia" w:ascii="仿宋" w:hAnsi="仿宋" w:eastAsia="仿宋"/>
          <w:bCs/>
          <w:color w:val="auto"/>
          <w:sz w:val="24"/>
          <w:highlight w:val="none"/>
        </w:rPr>
        <w:t>2.10编写磋商报告。</w:t>
      </w:r>
      <w:bookmarkEnd w:id="135"/>
    </w:p>
    <w:p w14:paraId="317C12B3">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磋商小组推荐成交候选供应商后，应向采购代理机构出具磋商报告。磋商报告应当包括以下主要内容：</w:t>
      </w:r>
    </w:p>
    <w:p w14:paraId="76CFC155">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（1）邀请供应商参加采购活动的具体方式和相关情况；</w:t>
      </w:r>
    </w:p>
    <w:p w14:paraId="792E35A7">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（2）响应文件开启日期和地点；</w:t>
      </w:r>
    </w:p>
    <w:p w14:paraId="3BEDF4CE">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（3）获取磋商文件的供应商名单和磋商小组成员名单；</w:t>
      </w:r>
    </w:p>
    <w:p w14:paraId="7F503B59">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（4）评审情况记录和说明，包括对供应商的资格审查情况、供应商响应文件审查情况、磋商情况、报价情况等；</w:t>
      </w:r>
    </w:p>
    <w:p w14:paraId="4A8B8FD1">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（5）提出的成交候选供应商的排序名单及理由。</w:t>
      </w:r>
    </w:p>
    <w:p w14:paraId="485A7210">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43D1D5BF">
      <w:pPr>
        <w:spacing w:line="360" w:lineRule="auto"/>
        <w:ind w:firstLine="470" w:firstLineChars="196"/>
        <w:outlineLvl w:val="1"/>
        <w:rPr>
          <w:rFonts w:ascii="仿宋" w:hAnsi="仿宋" w:eastAsia="仿宋"/>
          <w:bCs/>
          <w:color w:val="auto"/>
          <w:sz w:val="24"/>
          <w:highlight w:val="none"/>
        </w:rPr>
      </w:pPr>
      <w:bookmarkStart w:id="136" w:name="_Toc12433"/>
      <w:r>
        <w:rPr>
          <w:rFonts w:hint="eastAsia" w:ascii="仿宋" w:hAnsi="仿宋" w:eastAsia="仿宋"/>
          <w:bCs/>
          <w:color w:val="auto"/>
          <w:sz w:val="24"/>
          <w:highlight w:val="none"/>
        </w:rPr>
        <w:t>2.11磋商异议处理规则。</w:t>
      </w:r>
      <w:bookmarkEnd w:id="136"/>
    </w:p>
    <w:p w14:paraId="0C3EF724">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14:paraId="70B2C8D3">
      <w:pPr>
        <w:spacing w:line="360" w:lineRule="auto"/>
        <w:ind w:firstLine="470" w:firstLineChars="196"/>
        <w:outlineLvl w:val="1"/>
        <w:rPr>
          <w:rFonts w:ascii="仿宋" w:hAnsi="仿宋" w:eastAsia="仿宋"/>
          <w:bCs/>
          <w:color w:val="auto"/>
          <w:sz w:val="24"/>
          <w:highlight w:val="none"/>
        </w:rPr>
      </w:pPr>
      <w:bookmarkStart w:id="137" w:name="_Toc30612"/>
      <w:r>
        <w:rPr>
          <w:rFonts w:hint="eastAsia" w:ascii="仿宋" w:hAnsi="仿宋" w:eastAsia="仿宋"/>
          <w:bCs/>
          <w:color w:val="auto"/>
          <w:sz w:val="24"/>
          <w:highlight w:val="none"/>
        </w:rPr>
        <w:t>2.12供应商澄清、说明</w:t>
      </w:r>
      <w:bookmarkEnd w:id="137"/>
    </w:p>
    <w:p w14:paraId="0B6CF079">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4A22D29">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2.12.2磋商小组要求供应商澄清、说明或者更正响应文件应当以书面形式作出。供应商的澄清、说明或者更正应当由法定代表人/主要负责人/本人或其授权代表签字（</w:t>
      </w:r>
      <w:r>
        <w:rPr>
          <w:rFonts w:hint="eastAsia" w:ascii="仿宋" w:hAnsi="仿宋" w:eastAsia="仿宋"/>
          <w:b/>
          <w:color w:val="auto"/>
          <w:sz w:val="24"/>
          <w:highlight w:val="none"/>
        </w:rPr>
        <w:t>注：</w:t>
      </w:r>
      <w:r>
        <w:rPr>
          <w:rFonts w:hint="eastAsia" w:ascii="仿宋" w:hAnsi="仿宋" w:eastAsia="仿宋"/>
          <w:color w:val="auto"/>
          <w:sz w:val="24"/>
          <w:highlight w:val="none"/>
        </w:rPr>
        <w:t>供应商为法人的，应当由其法定代表人或者授权代表签字确认；供应商为其他组织的，应当由其主要负责人或者授权代表签字确认；供应商为自然人的，应当由其本人或者授权代表签字确认）或者加盖公章。</w:t>
      </w:r>
    </w:p>
    <w:p w14:paraId="6F779CB5">
      <w:pPr>
        <w:spacing w:line="360" w:lineRule="auto"/>
        <w:ind w:firstLine="470" w:firstLineChars="196"/>
        <w:outlineLvl w:val="1"/>
        <w:rPr>
          <w:rFonts w:ascii="仿宋" w:hAnsi="仿宋" w:eastAsia="仿宋"/>
          <w:bCs/>
          <w:color w:val="auto"/>
          <w:sz w:val="24"/>
          <w:highlight w:val="none"/>
        </w:rPr>
      </w:pPr>
      <w:bookmarkStart w:id="138" w:name="_Toc18697"/>
      <w:r>
        <w:rPr>
          <w:rFonts w:hint="eastAsia" w:ascii="仿宋" w:hAnsi="仿宋" w:eastAsia="仿宋"/>
          <w:bCs/>
          <w:color w:val="auto"/>
          <w:sz w:val="24"/>
          <w:highlight w:val="none"/>
        </w:rPr>
        <w:t>2.13终止磋商采购活动。</w:t>
      </w:r>
      <w:bookmarkEnd w:id="138"/>
    </w:p>
    <w:p w14:paraId="16C89C7B">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出现下列情形之一的，采购人或者采购代理机构应当终止竞争性磋商采购活动，发布项目终止公告并说明原因，重新开展采购活动：</w:t>
      </w:r>
    </w:p>
    <w:p w14:paraId="358DC1AD">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（1）因情况变化，不再符合规定的竞争性磋商采购方式适用情形的；</w:t>
      </w:r>
    </w:p>
    <w:p w14:paraId="7F5D70E0">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（2）出现影响采购公正的违法、违规行为的；</w:t>
      </w:r>
    </w:p>
    <w:p w14:paraId="061FECCE">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w:t>
      </w:r>
      <w:r>
        <w:rPr>
          <w:rFonts w:hint="eastAsia" w:ascii="仿宋" w:hAnsi="仿宋" w:eastAsia="仿宋" w:cs="仿宋"/>
          <w:color w:val="auto"/>
          <w:spacing w:val="-6"/>
          <w:kern w:val="0"/>
          <w:sz w:val="24"/>
          <w:szCs w:val="20"/>
          <w:highlight w:val="none"/>
          <w:lang w:val="en-US" w:eastAsia="zh-CN" w:bidi="ar-SA"/>
        </w:rPr>
        <w:t>在采购过程中符合要求的供应商或者报价未超过采购预算的供应商不足3家的。</w:t>
      </w:r>
    </w:p>
    <w:p w14:paraId="761C4881">
      <w:pPr>
        <w:spacing w:line="360" w:lineRule="auto"/>
        <w:ind w:firstLine="472" w:firstLineChars="196"/>
        <w:outlineLvl w:val="1"/>
        <w:rPr>
          <w:rFonts w:ascii="仿宋" w:hAnsi="仿宋" w:eastAsia="仿宋"/>
          <w:b/>
          <w:bCs/>
          <w:color w:val="auto"/>
          <w:sz w:val="24"/>
          <w:highlight w:val="none"/>
        </w:rPr>
      </w:pPr>
      <w:bookmarkStart w:id="139" w:name="_Toc22817"/>
      <w:r>
        <w:rPr>
          <w:rFonts w:hint="eastAsia" w:ascii="仿宋" w:hAnsi="仿宋" w:eastAsia="仿宋"/>
          <w:b/>
          <w:bCs/>
          <w:color w:val="auto"/>
          <w:sz w:val="24"/>
          <w:highlight w:val="none"/>
        </w:rPr>
        <w:t>3.综合评分</w:t>
      </w:r>
      <w:bookmarkEnd w:id="139"/>
    </w:p>
    <w:p w14:paraId="7B567904">
      <w:pPr>
        <w:spacing w:line="360" w:lineRule="auto"/>
        <w:ind w:firstLine="470" w:firstLineChars="196"/>
        <w:outlineLvl w:val="1"/>
        <w:rPr>
          <w:rFonts w:ascii="仿宋" w:hAnsi="仿宋" w:eastAsia="仿宋"/>
          <w:bCs/>
          <w:color w:val="auto"/>
          <w:sz w:val="24"/>
          <w:highlight w:val="none"/>
        </w:rPr>
      </w:pPr>
      <w:bookmarkStart w:id="140" w:name="_Toc29599"/>
      <w:r>
        <w:rPr>
          <w:rFonts w:hint="eastAsia" w:ascii="仿宋" w:hAnsi="仿宋" w:eastAsia="仿宋"/>
          <w:bCs/>
          <w:color w:val="auto"/>
          <w:sz w:val="24"/>
          <w:highlight w:val="none"/>
        </w:rPr>
        <w:t>3.1本次综合评分的因素详见3.2.3综合评分明细表。</w:t>
      </w:r>
      <w:bookmarkEnd w:id="140"/>
    </w:p>
    <w:p w14:paraId="0BC18839">
      <w:pPr>
        <w:spacing w:line="360" w:lineRule="auto"/>
        <w:ind w:firstLine="470" w:firstLineChars="196"/>
        <w:outlineLvl w:val="1"/>
        <w:rPr>
          <w:rFonts w:ascii="仿宋" w:hAnsi="仿宋" w:eastAsia="仿宋"/>
          <w:bCs/>
          <w:color w:val="auto"/>
          <w:sz w:val="24"/>
          <w:highlight w:val="none"/>
        </w:rPr>
      </w:pPr>
      <w:bookmarkStart w:id="141" w:name="_Toc31552"/>
      <w:r>
        <w:rPr>
          <w:rFonts w:hint="eastAsia" w:ascii="仿宋" w:hAnsi="仿宋" w:eastAsia="仿宋"/>
          <w:bCs/>
          <w:color w:val="auto"/>
          <w:sz w:val="24"/>
          <w:highlight w:val="none"/>
        </w:rPr>
        <w:t>3.2综合评分明细表</w:t>
      </w:r>
      <w:bookmarkEnd w:id="141"/>
    </w:p>
    <w:p w14:paraId="16729FCE">
      <w:pPr>
        <w:tabs>
          <w:tab w:val="left" w:pos="60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3.2.1综合评分明细表的制定以科学合理、降低评委会自由裁量权为原则。</w:t>
      </w:r>
    </w:p>
    <w:p w14:paraId="6FB87B39">
      <w:pPr>
        <w:tabs>
          <w:tab w:val="left" w:pos="600"/>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3.2.2 综合评分明细表中</w:t>
      </w:r>
      <w:r>
        <w:rPr>
          <w:rFonts w:ascii="仿宋" w:hAnsi="仿宋" w:eastAsia="仿宋"/>
          <w:color w:val="auto"/>
          <w:sz w:val="24"/>
          <w:highlight w:val="none"/>
        </w:rPr>
        <w:t>的报价应</w:t>
      </w:r>
      <w:r>
        <w:rPr>
          <w:rFonts w:hint="eastAsia" w:ascii="仿宋" w:hAnsi="仿宋" w:eastAsia="仿宋"/>
          <w:color w:val="auto"/>
          <w:sz w:val="24"/>
          <w:highlight w:val="none"/>
        </w:rPr>
        <w:t>先</w:t>
      </w:r>
      <w:r>
        <w:rPr>
          <w:rFonts w:ascii="仿宋" w:hAnsi="仿宋" w:eastAsia="仿宋"/>
          <w:color w:val="auto"/>
          <w:sz w:val="24"/>
          <w:highlight w:val="none"/>
        </w:rPr>
        <w:t>按</w:t>
      </w:r>
      <w:r>
        <w:rPr>
          <w:rFonts w:hint="eastAsia" w:ascii="仿宋" w:hAnsi="仿宋" w:eastAsia="仿宋"/>
          <w:color w:val="auto"/>
          <w:sz w:val="24"/>
          <w:highlight w:val="none"/>
        </w:rPr>
        <w:t>供应</w:t>
      </w:r>
      <w:r>
        <w:rPr>
          <w:rFonts w:ascii="仿宋" w:hAnsi="仿宋" w:eastAsia="仿宋"/>
          <w:color w:val="auto"/>
          <w:sz w:val="24"/>
          <w:highlight w:val="none"/>
        </w:rPr>
        <w:t>商须知附表中的相关要求进行价格调整，再</w:t>
      </w:r>
      <w:r>
        <w:rPr>
          <w:rFonts w:hint="eastAsia" w:ascii="仿宋" w:hAnsi="仿宋" w:eastAsia="仿宋"/>
          <w:color w:val="auto"/>
          <w:sz w:val="24"/>
          <w:highlight w:val="none"/>
        </w:rPr>
        <w:t>进行报价评分。</w:t>
      </w:r>
    </w:p>
    <w:p w14:paraId="54A8DE03">
      <w:pPr>
        <w:tabs>
          <w:tab w:val="left" w:pos="600"/>
        </w:tabs>
        <w:spacing w:line="360" w:lineRule="auto"/>
        <w:ind w:firstLine="480" w:firstLineChars="200"/>
        <w:rPr>
          <w:rFonts w:hint="eastAsia" w:eastAsia="仿宋"/>
          <w:color w:val="auto"/>
          <w:highlight w:val="none"/>
          <w:lang w:val="en-US" w:eastAsia="zh-CN"/>
        </w:rPr>
      </w:pPr>
      <w:r>
        <w:rPr>
          <w:rFonts w:hint="eastAsia" w:ascii="仿宋" w:hAnsi="仿宋" w:eastAsia="仿宋"/>
          <w:bCs/>
          <w:color w:val="auto"/>
          <w:sz w:val="24"/>
          <w:highlight w:val="none"/>
        </w:rPr>
        <w:t>3.2.3综合评分明细</w:t>
      </w:r>
      <w:r>
        <w:rPr>
          <w:rFonts w:hint="eastAsia" w:ascii="仿宋" w:hAnsi="仿宋" w:eastAsia="仿宋"/>
          <w:bCs/>
          <w:color w:val="auto"/>
          <w:sz w:val="24"/>
          <w:highlight w:val="none"/>
          <w:lang w:val="en-US" w:eastAsia="zh-CN"/>
        </w:rPr>
        <w:t>表</w:t>
      </w:r>
    </w:p>
    <w:tbl>
      <w:tblPr>
        <w:tblStyle w:val="18"/>
        <w:tblW w:w="49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811"/>
        <w:gridCol w:w="1054"/>
        <w:gridCol w:w="698"/>
        <w:gridCol w:w="4957"/>
        <w:gridCol w:w="1051"/>
      </w:tblGrid>
      <w:tr w14:paraId="64AD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254" w:type="pct"/>
            <w:noWrap w:val="0"/>
            <w:vAlign w:val="center"/>
          </w:tcPr>
          <w:p w14:paraId="3F75097C">
            <w:pPr>
              <w:spacing w:line="360" w:lineRule="auto"/>
              <w:ind w:firstLine="28"/>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033" w:type="pct"/>
            <w:gridSpan w:val="2"/>
            <w:noWrap w:val="0"/>
            <w:vAlign w:val="center"/>
          </w:tcPr>
          <w:p w14:paraId="36944C67">
            <w:pPr>
              <w:spacing w:line="360" w:lineRule="auto"/>
              <w:ind w:firstLine="28"/>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评分因素及权重</w:t>
            </w:r>
          </w:p>
        </w:tc>
        <w:tc>
          <w:tcPr>
            <w:tcW w:w="386" w:type="pct"/>
            <w:noWrap w:val="0"/>
            <w:vAlign w:val="center"/>
          </w:tcPr>
          <w:p w14:paraId="19B14CE8">
            <w:pPr>
              <w:spacing w:line="360" w:lineRule="auto"/>
              <w:ind w:firstLine="28"/>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分值</w:t>
            </w:r>
          </w:p>
        </w:tc>
        <w:tc>
          <w:tcPr>
            <w:tcW w:w="2742" w:type="pct"/>
            <w:noWrap w:val="0"/>
            <w:vAlign w:val="center"/>
          </w:tcPr>
          <w:p w14:paraId="346D1E6A">
            <w:pPr>
              <w:spacing w:line="360" w:lineRule="auto"/>
              <w:ind w:firstLine="28"/>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评分标准</w:t>
            </w:r>
          </w:p>
        </w:tc>
        <w:tc>
          <w:tcPr>
            <w:tcW w:w="582" w:type="pct"/>
            <w:noWrap w:val="0"/>
            <w:vAlign w:val="center"/>
          </w:tcPr>
          <w:p w14:paraId="30B9ED46">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说 明</w:t>
            </w:r>
          </w:p>
        </w:tc>
      </w:tr>
      <w:tr w14:paraId="539C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trPr>
        <w:tc>
          <w:tcPr>
            <w:tcW w:w="254" w:type="pct"/>
            <w:noWrap w:val="0"/>
            <w:vAlign w:val="center"/>
          </w:tcPr>
          <w:p w14:paraId="4E6AD470">
            <w:pPr>
              <w:spacing w:line="360" w:lineRule="auto"/>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033" w:type="pct"/>
            <w:gridSpan w:val="2"/>
            <w:noWrap w:val="0"/>
            <w:vAlign w:val="center"/>
          </w:tcPr>
          <w:p w14:paraId="77102EB5">
            <w:pPr>
              <w:spacing w:line="360" w:lineRule="auto"/>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w:t>
            </w:r>
          </w:p>
          <w:p w14:paraId="78B9530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20%</w:t>
            </w:r>
          </w:p>
        </w:tc>
        <w:tc>
          <w:tcPr>
            <w:tcW w:w="386" w:type="pct"/>
            <w:noWrap w:val="0"/>
            <w:vAlign w:val="center"/>
          </w:tcPr>
          <w:p w14:paraId="16833DF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20分</w:t>
            </w:r>
          </w:p>
        </w:tc>
        <w:tc>
          <w:tcPr>
            <w:tcW w:w="2742" w:type="pct"/>
            <w:noWrap w:val="0"/>
            <w:vAlign w:val="center"/>
          </w:tcPr>
          <w:p w14:paraId="0CC5999B">
            <w:pPr>
              <w:pStyle w:val="7"/>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评审基准价为所有最终报价中（可竞争费用）有效最低价，其价格分为满分。</w:t>
            </w:r>
          </w:p>
          <w:p w14:paraId="14B8F088">
            <w:pPr>
              <w:pStyle w:val="7"/>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其他供应商的报价分统一按照下列公式计算：报价得分=(评审基准价／最终报价中的可竞争费用)×20。</w:t>
            </w:r>
          </w:p>
          <w:p w14:paraId="22B6891B">
            <w:pPr>
              <w:pStyle w:val="7"/>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得分保留小数点后2位，四舍五入。</w:t>
            </w:r>
          </w:p>
        </w:tc>
        <w:tc>
          <w:tcPr>
            <w:tcW w:w="582" w:type="pct"/>
            <w:noWrap w:val="0"/>
            <w:vAlign w:val="center"/>
          </w:tcPr>
          <w:p w14:paraId="1AD3164A">
            <w:pPr>
              <w:widowControl/>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客观评审因素</w:t>
            </w:r>
          </w:p>
        </w:tc>
      </w:tr>
      <w:tr w14:paraId="2F2B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4" w:type="pct"/>
            <w:vMerge w:val="restart"/>
            <w:noWrap w:val="0"/>
            <w:vAlign w:val="center"/>
          </w:tcPr>
          <w:p w14:paraId="3A72D78C">
            <w:pPr>
              <w:spacing w:line="360" w:lineRule="auto"/>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449" w:type="pct"/>
            <w:vMerge w:val="restart"/>
            <w:noWrap w:val="0"/>
            <w:vAlign w:val="center"/>
          </w:tcPr>
          <w:p w14:paraId="1F036BC8">
            <w:pPr>
              <w:spacing w:line="360" w:lineRule="auto"/>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项目总体方案4</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p>
        </w:tc>
        <w:tc>
          <w:tcPr>
            <w:tcW w:w="583" w:type="pct"/>
            <w:noWrap w:val="0"/>
            <w:vAlign w:val="center"/>
          </w:tcPr>
          <w:p w14:paraId="27CC7408">
            <w:pPr>
              <w:pStyle w:val="36"/>
              <w:spacing w:line="360" w:lineRule="auto"/>
              <w:jc w:val="center"/>
              <w:rPr>
                <w:rStyle w:val="31"/>
                <w:rFonts w:hint="eastAsia" w:ascii="仿宋" w:hAnsi="仿宋" w:eastAsia="仿宋" w:cs="仿宋"/>
                <w:color w:val="auto"/>
                <w:sz w:val="24"/>
                <w:szCs w:val="24"/>
                <w:highlight w:val="none"/>
              </w:rPr>
            </w:pPr>
            <w:r>
              <w:rPr>
                <w:rStyle w:val="31"/>
                <w:rFonts w:hint="eastAsia" w:ascii="仿宋" w:hAnsi="仿宋" w:eastAsia="仿宋" w:cs="仿宋"/>
                <w:color w:val="auto"/>
                <w:sz w:val="24"/>
                <w:szCs w:val="24"/>
                <w:highlight w:val="none"/>
              </w:rPr>
              <w:t>施工方案与技术措施</w:t>
            </w:r>
          </w:p>
        </w:tc>
        <w:tc>
          <w:tcPr>
            <w:tcW w:w="386" w:type="pct"/>
            <w:noWrap w:val="0"/>
            <w:vAlign w:val="center"/>
          </w:tcPr>
          <w:p w14:paraId="1A3CB363">
            <w:pPr>
              <w:pStyle w:val="36"/>
              <w:spacing w:line="360" w:lineRule="auto"/>
              <w:jc w:val="center"/>
              <w:rPr>
                <w:rFonts w:hint="eastAsia" w:ascii="仿宋" w:hAnsi="仿宋" w:eastAsia="仿宋" w:cs="仿宋"/>
                <w:color w:val="auto"/>
                <w:sz w:val="24"/>
                <w:szCs w:val="24"/>
                <w:highlight w:val="none"/>
                <w:lang w:eastAsia="zh-CN"/>
              </w:rPr>
            </w:pPr>
            <w:r>
              <w:rPr>
                <w:rStyle w:val="31"/>
                <w:rFonts w:hint="eastAsia" w:ascii="仿宋" w:hAnsi="仿宋" w:eastAsia="仿宋" w:cs="仿宋"/>
                <w:color w:val="auto"/>
                <w:sz w:val="24"/>
                <w:szCs w:val="24"/>
                <w:highlight w:val="none"/>
                <w:lang w:eastAsia="zh-CN"/>
              </w:rPr>
              <w:t>9分</w:t>
            </w:r>
          </w:p>
        </w:tc>
        <w:tc>
          <w:tcPr>
            <w:tcW w:w="2742" w:type="pct"/>
            <w:noWrap w:val="0"/>
            <w:vAlign w:val="top"/>
          </w:tcPr>
          <w:p w14:paraId="66FB4742">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供应商针对项目提供的施工方案与技术措施进行综合评审，内容包括：（1）施工前的准备工作计划；（2）各分项工程施工方法和施工工艺施工安排（有针对性地对施工用电、用水、交通进行部署）；（3）施工过程重难点分析及解决方案。上述三项内容无缺失且无缺陷的得9分，每有一项缺失的扣3分，每有一处内容缺陷的扣1.5分，扣完为止。</w:t>
            </w:r>
          </w:p>
          <w:p w14:paraId="28CF7C16">
            <w:pPr>
              <w:pStyle w:val="36"/>
              <w:spacing w:line="360" w:lineRule="auto"/>
              <w:ind w:firstLine="482" w:firstLineChars="200"/>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2"/>
                <w:sz w:val="24"/>
                <w:szCs w:val="24"/>
                <w:highlight w:val="none"/>
                <w:lang w:eastAsia="zh-CN"/>
              </w:rPr>
              <w:t>注：方案中存在缺陷是指存在①项目名称错误、地点区域错误</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②引用法律、规范、标准存在失效或错误；③内容与本项目需求无关或不能满足本项目需求；④复制或套用其他项目内容中的任意一种情形；⑤内容缺乏可操作性；⑥不符合项目实际情况</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⑦仅有框架或标题</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⑧适用的标准（</w:t>
            </w:r>
            <w:r>
              <w:rPr>
                <w:rFonts w:hint="eastAsia" w:ascii="仿宋" w:hAnsi="仿宋" w:eastAsia="仿宋" w:cs="仿宋"/>
                <w:b/>
                <w:bCs/>
                <w:color w:val="auto"/>
                <w:kern w:val="2"/>
                <w:sz w:val="24"/>
                <w:szCs w:val="24"/>
                <w:highlight w:val="none"/>
                <w:lang w:val="en-US" w:eastAsia="zh-CN"/>
              </w:rPr>
              <w:t>或</w:t>
            </w:r>
            <w:r>
              <w:rPr>
                <w:rFonts w:hint="eastAsia" w:ascii="仿宋" w:hAnsi="仿宋" w:eastAsia="仿宋" w:cs="仿宋"/>
                <w:b/>
                <w:bCs/>
                <w:color w:val="auto"/>
                <w:kern w:val="2"/>
                <w:sz w:val="24"/>
                <w:szCs w:val="24"/>
                <w:highlight w:val="none"/>
                <w:lang w:eastAsia="zh-CN"/>
              </w:rPr>
              <w:t>方法）错误中的任意一种情形。</w:t>
            </w:r>
          </w:p>
        </w:tc>
        <w:tc>
          <w:tcPr>
            <w:tcW w:w="582" w:type="pct"/>
            <w:vMerge w:val="restart"/>
            <w:noWrap w:val="0"/>
            <w:vAlign w:val="center"/>
          </w:tcPr>
          <w:p w14:paraId="64B7D48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主观</w:t>
            </w:r>
            <w:r>
              <w:rPr>
                <w:rFonts w:hint="eastAsia" w:ascii="仿宋" w:hAnsi="仿宋" w:eastAsia="仿宋" w:cs="仿宋"/>
                <w:color w:val="auto"/>
                <w:sz w:val="24"/>
                <w:highlight w:val="none"/>
              </w:rPr>
              <w:t>评审因素</w:t>
            </w:r>
          </w:p>
        </w:tc>
      </w:tr>
      <w:tr w14:paraId="45D1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4" w:type="pct"/>
            <w:vMerge w:val="continue"/>
            <w:noWrap w:val="0"/>
            <w:vAlign w:val="center"/>
          </w:tcPr>
          <w:p w14:paraId="39EF7B2B">
            <w:pPr>
              <w:spacing w:line="360" w:lineRule="auto"/>
              <w:ind w:firstLine="28"/>
              <w:jc w:val="center"/>
              <w:rPr>
                <w:rFonts w:hint="eastAsia" w:ascii="仿宋" w:hAnsi="仿宋" w:eastAsia="仿宋" w:cs="仿宋"/>
                <w:color w:val="auto"/>
                <w:sz w:val="24"/>
                <w:highlight w:val="none"/>
              </w:rPr>
            </w:pPr>
          </w:p>
        </w:tc>
        <w:tc>
          <w:tcPr>
            <w:tcW w:w="449" w:type="pct"/>
            <w:vMerge w:val="continue"/>
            <w:noWrap w:val="0"/>
            <w:vAlign w:val="center"/>
          </w:tcPr>
          <w:p w14:paraId="7383A33A">
            <w:pPr>
              <w:spacing w:line="360" w:lineRule="auto"/>
              <w:ind w:firstLine="28"/>
              <w:jc w:val="center"/>
              <w:rPr>
                <w:rFonts w:hint="eastAsia" w:ascii="仿宋" w:hAnsi="仿宋" w:eastAsia="仿宋" w:cs="仿宋"/>
                <w:color w:val="auto"/>
                <w:sz w:val="24"/>
                <w:highlight w:val="none"/>
              </w:rPr>
            </w:pPr>
          </w:p>
        </w:tc>
        <w:tc>
          <w:tcPr>
            <w:tcW w:w="583" w:type="pct"/>
            <w:noWrap w:val="0"/>
            <w:vAlign w:val="center"/>
          </w:tcPr>
          <w:p w14:paraId="57CBE626">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rPr>
              <w:t>质量保证措施</w:t>
            </w:r>
          </w:p>
        </w:tc>
        <w:tc>
          <w:tcPr>
            <w:tcW w:w="386" w:type="pct"/>
            <w:noWrap w:val="0"/>
            <w:vAlign w:val="center"/>
          </w:tcPr>
          <w:p w14:paraId="0CE543B3">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rPr>
              <w:t>9分</w:t>
            </w:r>
          </w:p>
        </w:tc>
        <w:tc>
          <w:tcPr>
            <w:tcW w:w="2742" w:type="pct"/>
            <w:noWrap w:val="0"/>
            <w:vAlign w:val="top"/>
          </w:tcPr>
          <w:p w14:paraId="2C796BCB">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根据供应商针对项目提供的</w:t>
            </w:r>
            <w:r>
              <w:rPr>
                <w:rStyle w:val="31"/>
                <w:rFonts w:hint="eastAsia" w:ascii="仿宋" w:hAnsi="仿宋" w:eastAsia="仿宋" w:cs="仿宋"/>
                <w:color w:val="auto"/>
                <w:sz w:val="24"/>
                <w:szCs w:val="24"/>
                <w:highlight w:val="none"/>
              </w:rPr>
              <w:t>质量保证措施</w:t>
            </w:r>
            <w:r>
              <w:rPr>
                <w:rFonts w:hint="eastAsia" w:ascii="仿宋" w:hAnsi="仿宋" w:eastAsia="仿宋" w:cs="仿宋"/>
                <w:color w:val="auto"/>
                <w:sz w:val="24"/>
                <w:szCs w:val="24"/>
                <w:highlight w:val="none"/>
              </w:rPr>
              <w:t>进行综合评审，内容包括：（1）质量目标及确保质量目标实现的组织保障措施和技术保障措施；（2）针对本项目的质量管理体系；（3）质量管理制度及隐蔽工程自查与验收管理制度。上述三项内容无缺失且无缺陷的得9分，每有一项缺失的扣3分，每有一处内容缺陷的扣1.5分，扣完为止。</w:t>
            </w:r>
          </w:p>
          <w:p w14:paraId="696C3BCC">
            <w:pPr>
              <w:pStyle w:val="36"/>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lang w:eastAsia="zh-CN"/>
              </w:rPr>
              <w:t>注：方案中存在缺陷是指存在①项目名称错误、地点区域错误</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②引用法律、规范、标准存在失效或错误；③内容与本项目需求无关或不能满足本项目需求；④复制或套用其他项目内容中的任意一种情形；⑤内容缺乏可操作性；⑥不符合项目实际情况</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⑦仅有框架或标题</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⑧适用的标准（</w:t>
            </w:r>
            <w:r>
              <w:rPr>
                <w:rFonts w:hint="eastAsia" w:ascii="仿宋" w:hAnsi="仿宋" w:eastAsia="仿宋" w:cs="仿宋"/>
                <w:b/>
                <w:bCs/>
                <w:color w:val="auto"/>
                <w:kern w:val="2"/>
                <w:sz w:val="24"/>
                <w:szCs w:val="24"/>
                <w:highlight w:val="none"/>
                <w:lang w:val="en-US" w:eastAsia="zh-CN"/>
              </w:rPr>
              <w:t>或</w:t>
            </w:r>
            <w:r>
              <w:rPr>
                <w:rFonts w:hint="eastAsia" w:ascii="仿宋" w:hAnsi="仿宋" w:eastAsia="仿宋" w:cs="仿宋"/>
                <w:b/>
                <w:bCs/>
                <w:color w:val="auto"/>
                <w:kern w:val="2"/>
                <w:sz w:val="24"/>
                <w:szCs w:val="24"/>
                <w:highlight w:val="none"/>
                <w:lang w:eastAsia="zh-CN"/>
              </w:rPr>
              <w:t>方法）错误中的任意一种情形。</w:t>
            </w:r>
          </w:p>
        </w:tc>
        <w:tc>
          <w:tcPr>
            <w:tcW w:w="582" w:type="pct"/>
            <w:vMerge w:val="continue"/>
            <w:noWrap w:val="0"/>
            <w:vAlign w:val="center"/>
          </w:tcPr>
          <w:p w14:paraId="069355C2">
            <w:pPr>
              <w:spacing w:line="360" w:lineRule="auto"/>
              <w:jc w:val="center"/>
              <w:rPr>
                <w:rFonts w:hint="eastAsia" w:ascii="仿宋" w:hAnsi="仿宋" w:eastAsia="仿宋" w:cs="仿宋"/>
                <w:color w:val="auto"/>
                <w:sz w:val="24"/>
                <w:highlight w:val="none"/>
              </w:rPr>
            </w:pPr>
          </w:p>
        </w:tc>
      </w:tr>
      <w:tr w14:paraId="2EA6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4" w:type="pct"/>
            <w:vMerge w:val="continue"/>
            <w:noWrap w:val="0"/>
            <w:vAlign w:val="center"/>
          </w:tcPr>
          <w:p w14:paraId="308B710C">
            <w:pPr>
              <w:spacing w:line="360" w:lineRule="auto"/>
              <w:ind w:firstLine="28"/>
              <w:jc w:val="center"/>
              <w:rPr>
                <w:rFonts w:hint="eastAsia" w:ascii="仿宋" w:hAnsi="仿宋" w:eastAsia="仿宋" w:cs="仿宋"/>
                <w:color w:val="auto"/>
                <w:sz w:val="24"/>
                <w:highlight w:val="none"/>
              </w:rPr>
            </w:pPr>
          </w:p>
        </w:tc>
        <w:tc>
          <w:tcPr>
            <w:tcW w:w="449" w:type="pct"/>
            <w:vMerge w:val="continue"/>
            <w:noWrap w:val="0"/>
            <w:vAlign w:val="center"/>
          </w:tcPr>
          <w:p w14:paraId="7F353C67">
            <w:pPr>
              <w:spacing w:line="360" w:lineRule="auto"/>
              <w:ind w:firstLine="28"/>
              <w:jc w:val="center"/>
              <w:rPr>
                <w:rFonts w:hint="eastAsia" w:ascii="仿宋" w:hAnsi="仿宋" w:eastAsia="仿宋" w:cs="仿宋"/>
                <w:color w:val="auto"/>
                <w:sz w:val="24"/>
                <w:highlight w:val="none"/>
              </w:rPr>
            </w:pPr>
          </w:p>
        </w:tc>
        <w:tc>
          <w:tcPr>
            <w:tcW w:w="583" w:type="pct"/>
            <w:noWrap w:val="0"/>
            <w:vAlign w:val="center"/>
          </w:tcPr>
          <w:p w14:paraId="14F38A53">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rPr>
              <w:t>工期保证措施</w:t>
            </w:r>
          </w:p>
        </w:tc>
        <w:tc>
          <w:tcPr>
            <w:tcW w:w="386" w:type="pct"/>
            <w:noWrap w:val="0"/>
            <w:vAlign w:val="center"/>
          </w:tcPr>
          <w:p w14:paraId="6A9CAD74">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rPr>
              <w:t>6分</w:t>
            </w:r>
          </w:p>
        </w:tc>
        <w:tc>
          <w:tcPr>
            <w:tcW w:w="2742" w:type="pct"/>
            <w:noWrap w:val="0"/>
            <w:vAlign w:val="top"/>
          </w:tcPr>
          <w:p w14:paraId="4F1E6D18">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根据供应商针对项目提供</w:t>
            </w:r>
            <w:r>
              <w:rPr>
                <w:rStyle w:val="31"/>
                <w:rFonts w:hint="eastAsia" w:ascii="仿宋" w:hAnsi="仿宋" w:eastAsia="仿宋" w:cs="仿宋"/>
                <w:color w:val="auto"/>
                <w:sz w:val="24"/>
                <w:szCs w:val="24"/>
                <w:highlight w:val="none"/>
              </w:rPr>
              <w:t>工期保证措施</w:t>
            </w:r>
            <w:r>
              <w:rPr>
                <w:rFonts w:hint="eastAsia" w:ascii="仿宋" w:hAnsi="仿宋" w:eastAsia="仿宋" w:cs="仿宋"/>
                <w:color w:val="auto"/>
                <w:sz w:val="24"/>
                <w:szCs w:val="24"/>
                <w:highlight w:val="none"/>
              </w:rPr>
              <w:t>进行综合评审，内容包括：</w:t>
            </w:r>
            <w:r>
              <w:rPr>
                <w:rFonts w:hint="eastAsia" w:ascii="仿宋" w:hAnsi="仿宋" w:eastAsia="仿宋" w:cs="仿宋"/>
                <w:color w:val="auto"/>
                <w:kern w:val="0"/>
                <w:sz w:val="24"/>
                <w:szCs w:val="24"/>
                <w:highlight w:val="none"/>
              </w:rPr>
              <w:t>（1）符合本项目工期要求的进度计划；（2）针对进度计划制定的确保各项施工进度按时完成的具体措施计划；（3）根据进度计划制定的材料、机械、人员保障措施。</w:t>
            </w:r>
            <w:r>
              <w:rPr>
                <w:rFonts w:hint="eastAsia" w:ascii="仿宋" w:hAnsi="仿宋" w:eastAsia="仿宋" w:cs="仿宋"/>
                <w:color w:val="auto"/>
                <w:sz w:val="24"/>
                <w:szCs w:val="24"/>
                <w:highlight w:val="none"/>
              </w:rPr>
              <w:t>上述三项内容无缺失且无缺陷的得6分，每有一项缺失的扣2分，每有一处内容缺陷的扣1分，扣完为止。</w:t>
            </w:r>
          </w:p>
          <w:p w14:paraId="3176E3A3">
            <w:pPr>
              <w:pStyle w:val="36"/>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lang w:eastAsia="zh-CN"/>
              </w:rPr>
              <w:t>注：方案中存在缺陷是指存在①项目名称错误、地点区域错误</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②引用法律、规范、标准存在失效或错误；③内容与本项目需求无关或不能满足本项目需求；④复制或套用其他项目内容中的任意一种情形；⑤内容缺乏可操作性；⑥不符合项目实际情况</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⑦仅有框架或标题</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⑧适用的标准（</w:t>
            </w:r>
            <w:r>
              <w:rPr>
                <w:rFonts w:hint="eastAsia" w:ascii="仿宋" w:hAnsi="仿宋" w:eastAsia="仿宋" w:cs="仿宋"/>
                <w:b/>
                <w:bCs/>
                <w:color w:val="auto"/>
                <w:kern w:val="2"/>
                <w:sz w:val="24"/>
                <w:szCs w:val="24"/>
                <w:highlight w:val="none"/>
                <w:lang w:val="en-US" w:eastAsia="zh-CN"/>
              </w:rPr>
              <w:t>或</w:t>
            </w:r>
            <w:r>
              <w:rPr>
                <w:rFonts w:hint="eastAsia" w:ascii="仿宋" w:hAnsi="仿宋" w:eastAsia="仿宋" w:cs="仿宋"/>
                <w:b/>
                <w:bCs/>
                <w:color w:val="auto"/>
                <w:kern w:val="2"/>
                <w:sz w:val="24"/>
                <w:szCs w:val="24"/>
                <w:highlight w:val="none"/>
                <w:lang w:eastAsia="zh-CN"/>
              </w:rPr>
              <w:t>方法）错误中的任意一种情形。</w:t>
            </w:r>
          </w:p>
        </w:tc>
        <w:tc>
          <w:tcPr>
            <w:tcW w:w="582" w:type="pct"/>
            <w:vMerge w:val="continue"/>
            <w:noWrap w:val="0"/>
            <w:vAlign w:val="center"/>
          </w:tcPr>
          <w:p w14:paraId="14B47112">
            <w:pPr>
              <w:spacing w:line="360" w:lineRule="auto"/>
              <w:jc w:val="center"/>
              <w:rPr>
                <w:rFonts w:hint="eastAsia" w:ascii="仿宋" w:hAnsi="仿宋" w:eastAsia="仿宋" w:cs="仿宋"/>
                <w:color w:val="auto"/>
                <w:sz w:val="24"/>
                <w:highlight w:val="none"/>
              </w:rPr>
            </w:pPr>
          </w:p>
        </w:tc>
      </w:tr>
      <w:tr w14:paraId="6525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4" w:type="pct"/>
            <w:vMerge w:val="continue"/>
            <w:noWrap w:val="0"/>
            <w:vAlign w:val="center"/>
          </w:tcPr>
          <w:p w14:paraId="0084D1B9">
            <w:pPr>
              <w:spacing w:line="360" w:lineRule="auto"/>
              <w:ind w:firstLine="28"/>
              <w:jc w:val="center"/>
              <w:rPr>
                <w:rFonts w:hint="eastAsia" w:ascii="仿宋" w:hAnsi="仿宋" w:eastAsia="仿宋" w:cs="仿宋"/>
                <w:color w:val="auto"/>
                <w:sz w:val="24"/>
                <w:highlight w:val="none"/>
              </w:rPr>
            </w:pPr>
          </w:p>
        </w:tc>
        <w:tc>
          <w:tcPr>
            <w:tcW w:w="449" w:type="pct"/>
            <w:vMerge w:val="continue"/>
            <w:noWrap w:val="0"/>
            <w:vAlign w:val="center"/>
          </w:tcPr>
          <w:p w14:paraId="513645F1">
            <w:pPr>
              <w:spacing w:line="360" w:lineRule="auto"/>
              <w:ind w:firstLine="28"/>
              <w:jc w:val="center"/>
              <w:rPr>
                <w:rFonts w:hint="eastAsia" w:ascii="仿宋" w:hAnsi="仿宋" w:eastAsia="仿宋" w:cs="仿宋"/>
                <w:color w:val="auto"/>
                <w:sz w:val="24"/>
                <w:highlight w:val="none"/>
              </w:rPr>
            </w:pPr>
          </w:p>
        </w:tc>
        <w:tc>
          <w:tcPr>
            <w:tcW w:w="583" w:type="pct"/>
            <w:noWrap w:val="0"/>
            <w:vAlign w:val="center"/>
          </w:tcPr>
          <w:p w14:paraId="5B390C44">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rPr>
              <w:t>安全保证措施</w:t>
            </w:r>
          </w:p>
        </w:tc>
        <w:tc>
          <w:tcPr>
            <w:tcW w:w="386" w:type="pct"/>
            <w:noWrap w:val="0"/>
            <w:vAlign w:val="center"/>
          </w:tcPr>
          <w:p w14:paraId="1E3CD09C">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lang w:val="en-US" w:eastAsia="zh-CN"/>
              </w:rPr>
              <w:t>9</w:t>
            </w:r>
            <w:r>
              <w:rPr>
                <w:rStyle w:val="31"/>
                <w:rFonts w:hint="eastAsia" w:ascii="仿宋" w:hAnsi="仿宋" w:eastAsia="仿宋" w:cs="仿宋"/>
                <w:color w:val="auto"/>
                <w:sz w:val="24"/>
                <w:highlight w:val="none"/>
              </w:rPr>
              <w:t>分</w:t>
            </w:r>
          </w:p>
        </w:tc>
        <w:tc>
          <w:tcPr>
            <w:tcW w:w="2742" w:type="pct"/>
            <w:noWrap w:val="0"/>
            <w:vAlign w:val="top"/>
          </w:tcPr>
          <w:p w14:paraId="0E2846EF">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根据供应商针对项目提供的</w:t>
            </w:r>
            <w:r>
              <w:rPr>
                <w:rStyle w:val="31"/>
                <w:rFonts w:hint="eastAsia" w:ascii="仿宋" w:hAnsi="仿宋" w:eastAsia="仿宋" w:cs="仿宋"/>
                <w:color w:val="auto"/>
                <w:sz w:val="24"/>
                <w:szCs w:val="24"/>
                <w:highlight w:val="none"/>
              </w:rPr>
              <w:t>安全保证措施</w:t>
            </w:r>
            <w:r>
              <w:rPr>
                <w:rFonts w:hint="eastAsia" w:ascii="仿宋" w:hAnsi="仿宋" w:eastAsia="仿宋" w:cs="仿宋"/>
                <w:color w:val="auto"/>
                <w:sz w:val="24"/>
                <w:szCs w:val="24"/>
                <w:highlight w:val="none"/>
              </w:rPr>
              <w:t>进行综合评审，内容包括：</w:t>
            </w:r>
            <w:r>
              <w:rPr>
                <w:rFonts w:hint="eastAsia" w:ascii="仿宋" w:hAnsi="仿宋" w:eastAsia="仿宋" w:cs="仿宋"/>
                <w:color w:val="auto"/>
                <w:kern w:val="0"/>
                <w:sz w:val="24"/>
                <w:szCs w:val="24"/>
                <w:highlight w:val="none"/>
              </w:rPr>
              <w:t>（1）针对本项目的安全组织措施和安全技术措施；（2）施工人员安全教育和培训计划；（3）安全应急预案（包括常规施工安全应急预案、针对本项目具体情况的安全应预案）。</w:t>
            </w:r>
            <w:r>
              <w:rPr>
                <w:rFonts w:hint="eastAsia" w:ascii="仿宋" w:hAnsi="仿宋" w:eastAsia="仿宋" w:cs="仿宋"/>
                <w:color w:val="auto"/>
                <w:sz w:val="24"/>
                <w:szCs w:val="24"/>
                <w:highlight w:val="none"/>
              </w:rPr>
              <w:t>上述三项内容无缺失且无缺陷的得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分，每有一项缺失的扣</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分，每有一处内容缺陷的扣1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分，扣完为止。</w:t>
            </w:r>
          </w:p>
          <w:p w14:paraId="491DC790">
            <w:pPr>
              <w:pStyle w:val="36"/>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lang w:eastAsia="zh-CN"/>
              </w:rPr>
              <w:t>注：方案中存在缺陷是指存在①项目名称错误、地点区域错误</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②引用法律、规范、标准存在失效或错误；③内容与本项目需求无关或不能满足本项目需求；④复制或套用其他项目内容中的任意一种情形；⑤内容缺乏可操作性；⑥不符合项目实际情况</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⑦仅有框架或标题</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⑧适用的标准（</w:t>
            </w:r>
            <w:r>
              <w:rPr>
                <w:rFonts w:hint="eastAsia" w:ascii="仿宋" w:hAnsi="仿宋" w:eastAsia="仿宋" w:cs="仿宋"/>
                <w:b/>
                <w:bCs/>
                <w:color w:val="auto"/>
                <w:kern w:val="2"/>
                <w:sz w:val="24"/>
                <w:szCs w:val="24"/>
                <w:highlight w:val="none"/>
                <w:lang w:val="en-US" w:eastAsia="zh-CN"/>
              </w:rPr>
              <w:t>或</w:t>
            </w:r>
            <w:r>
              <w:rPr>
                <w:rFonts w:hint="eastAsia" w:ascii="仿宋" w:hAnsi="仿宋" w:eastAsia="仿宋" w:cs="仿宋"/>
                <w:b/>
                <w:bCs/>
                <w:color w:val="auto"/>
                <w:kern w:val="2"/>
                <w:sz w:val="24"/>
                <w:szCs w:val="24"/>
                <w:highlight w:val="none"/>
                <w:lang w:eastAsia="zh-CN"/>
              </w:rPr>
              <w:t>方法）错误中的任意一种情形。</w:t>
            </w:r>
          </w:p>
        </w:tc>
        <w:tc>
          <w:tcPr>
            <w:tcW w:w="582" w:type="pct"/>
            <w:vMerge w:val="continue"/>
            <w:noWrap w:val="0"/>
            <w:vAlign w:val="center"/>
          </w:tcPr>
          <w:p w14:paraId="18A23E34">
            <w:pPr>
              <w:spacing w:line="360" w:lineRule="auto"/>
              <w:jc w:val="center"/>
              <w:rPr>
                <w:rFonts w:hint="eastAsia" w:ascii="仿宋" w:hAnsi="仿宋" w:eastAsia="仿宋" w:cs="仿宋"/>
                <w:color w:val="auto"/>
                <w:sz w:val="24"/>
                <w:highlight w:val="none"/>
              </w:rPr>
            </w:pPr>
          </w:p>
        </w:tc>
      </w:tr>
      <w:tr w14:paraId="5742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4" w:type="pct"/>
            <w:vMerge w:val="continue"/>
            <w:noWrap w:val="0"/>
            <w:vAlign w:val="center"/>
          </w:tcPr>
          <w:p w14:paraId="1DE04287">
            <w:pPr>
              <w:spacing w:line="360" w:lineRule="auto"/>
              <w:ind w:firstLine="28"/>
              <w:jc w:val="center"/>
              <w:rPr>
                <w:rFonts w:hint="eastAsia" w:ascii="仿宋" w:hAnsi="仿宋" w:eastAsia="仿宋" w:cs="仿宋"/>
                <w:color w:val="auto"/>
                <w:sz w:val="24"/>
                <w:highlight w:val="none"/>
              </w:rPr>
            </w:pPr>
          </w:p>
        </w:tc>
        <w:tc>
          <w:tcPr>
            <w:tcW w:w="449" w:type="pct"/>
            <w:vMerge w:val="continue"/>
            <w:noWrap w:val="0"/>
            <w:vAlign w:val="center"/>
          </w:tcPr>
          <w:p w14:paraId="6A85100C">
            <w:pPr>
              <w:spacing w:line="360" w:lineRule="auto"/>
              <w:ind w:firstLine="28"/>
              <w:jc w:val="center"/>
              <w:rPr>
                <w:rFonts w:hint="eastAsia" w:ascii="仿宋" w:hAnsi="仿宋" w:eastAsia="仿宋" w:cs="仿宋"/>
                <w:color w:val="auto"/>
                <w:sz w:val="24"/>
                <w:highlight w:val="none"/>
              </w:rPr>
            </w:pPr>
          </w:p>
        </w:tc>
        <w:tc>
          <w:tcPr>
            <w:tcW w:w="583" w:type="pct"/>
            <w:noWrap w:val="0"/>
            <w:vAlign w:val="center"/>
          </w:tcPr>
          <w:p w14:paraId="6CB59CC6">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rPr>
              <w:t>环保和文明施工措施</w:t>
            </w:r>
          </w:p>
        </w:tc>
        <w:tc>
          <w:tcPr>
            <w:tcW w:w="386" w:type="pct"/>
            <w:noWrap w:val="0"/>
            <w:vAlign w:val="center"/>
          </w:tcPr>
          <w:p w14:paraId="1B6AD2AB">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rPr>
              <w:t>6分</w:t>
            </w:r>
          </w:p>
        </w:tc>
        <w:tc>
          <w:tcPr>
            <w:tcW w:w="2742" w:type="pct"/>
            <w:noWrap w:val="0"/>
            <w:vAlign w:val="top"/>
          </w:tcPr>
          <w:p w14:paraId="115EB1F6">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根据供应商针对项目提供的</w:t>
            </w:r>
            <w:r>
              <w:rPr>
                <w:rStyle w:val="31"/>
                <w:rFonts w:hint="eastAsia" w:ascii="仿宋" w:hAnsi="仿宋" w:eastAsia="仿宋" w:cs="仿宋"/>
                <w:color w:val="auto"/>
                <w:sz w:val="24"/>
                <w:szCs w:val="24"/>
                <w:highlight w:val="none"/>
              </w:rPr>
              <w:t>安全保证措施</w:t>
            </w:r>
            <w:r>
              <w:rPr>
                <w:rFonts w:hint="eastAsia" w:ascii="仿宋" w:hAnsi="仿宋" w:eastAsia="仿宋" w:cs="仿宋"/>
                <w:color w:val="auto"/>
                <w:sz w:val="24"/>
                <w:szCs w:val="24"/>
                <w:highlight w:val="none"/>
              </w:rPr>
              <w:t>进行综合评审，内容包括：</w:t>
            </w:r>
            <w:r>
              <w:rPr>
                <w:rFonts w:hint="eastAsia" w:ascii="仿宋" w:hAnsi="仿宋" w:eastAsia="仿宋" w:cs="仿宋"/>
                <w:color w:val="auto"/>
                <w:kern w:val="0"/>
                <w:sz w:val="24"/>
                <w:szCs w:val="24"/>
                <w:highlight w:val="none"/>
              </w:rPr>
              <w:t>（1）针对本项目的校园内施工环境保护措施和噪音控制措施；（2）针对本项目的污染物处理措施；（3）环境保护管理体系及文明施工措施。</w:t>
            </w:r>
            <w:r>
              <w:rPr>
                <w:rFonts w:hint="eastAsia" w:ascii="仿宋" w:hAnsi="仿宋" w:eastAsia="仿宋" w:cs="仿宋"/>
                <w:color w:val="auto"/>
                <w:sz w:val="24"/>
                <w:szCs w:val="24"/>
                <w:highlight w:val="none"/>
              </w:rPr>
              <w:t>上述三项内容无缺失且无缺陷的得6分，每有一项缺失的扣2分，每有一处内容缺陷的扣1分，扣完为止。</w:t>
            </w:r>
          </w:p>
          <w:p w14:paraId="32A248BD">
            <w:pPr>
              <w:pStyle w:val="36"/>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lang w:eastAsia="zh-CN"/>
              </w:rPr>
              <w:t>注：方案中存在缺陷是指存在①项目名称错误、地点区域错误</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②引用法律、规范、标准存在失效或错误；③内容与本项目需求无关或不能满足本项目需求；④复制或套用其他项目内容中的任意一种情形；⑤内容缺乏可操作性；⑥不符合项目实际情况</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⑦仅有框架或标题</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⑧适用的标准（</w:t>
            </w:r>
            <w:r>
              <w:rPr>
                <w:rFonts w:hint="eastAsia" w:ascii="仿宋" w:hAnsi="仿宋" w:eastAsia="仿宋" w:cs="仿宋"/>
                <w:b/>
                <w:bCs/>
                <w:color w:val="auto"/>
                <w:kern w:val="2"/>
                <w:sz w:val="24"/>
                <w:szCs w:val="24"/>
                <w:highlight w:val="none"/>
                <w:lang w:val="en-US" w:eastAsia="zh-CN"/>
              </w:rPr>
              <w:t>或</w:t>
            </w:r>
            <w:r>
              <w:rPr>
                <w:rFonts w:hint="eastAsia" w:ascii="仿宋" w:hAnsi="仿宋" w:eastAsia="仿宋" w:cs="仿宋"/>
                <w:b/>
                <w:bCs/>
                <w:color w:val="auto"/>
                <w:kern w:val="2"/>
                <w:sz w:val="24"/>
                <w:szCs w:val="24"/>
                <w:highlight w:val="none"/>
                <w:lang w:eastAsia="zh-CN"/>
              </w:rPr>
              <w:t>方法）错误中的任意一种情形。</w:t>
            </w:r>
          </w:p>
        </w:tc>
        <w:tc>
          <w:tcPr>
            <w:tcW w:w="582" w:type="pct"/>
            <w:vMerge w:val="continue"/>
            <w:noWrap w:val="0"/>
            <w:vAlign w:val="center"/>
          </w:tcPr>
          <w:p w14:paraId="43BEA266">
            <w:pPr>
              <w:spacing w:line="360" w:lineRule="auto"/>
              <w:jc w:val="center"/>
              <w:rPr>
                <w:rFonts w:hint="eastAsia" w:ascii="仿宋" w:hAnsi="仿宋" w:eastAsia="仿宋" w:cs="仿宋"/>
                <w:color w:val="auto"/>
                <w:sz w:val="24"/>
                <w:highlight w:val="none"/>
              </w:rPr>
            </w:pPr>
          </w:p>
        </w:tc>
      </w:tr>
      <w:tr w14:paraId="421D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4" w:type="pct"/>
            <w:vMerge w:val="continue"/>
            <w:noWrap w:val="0"/>
            <w:vAlign w:val="center"/>
          </w:tcPr>
          <w:p w14:paraId="35647804">
            <w:pPr>
              <w:spacing w:line="360" w:lineRule="auto"/>
              <w:ind w:firstLine="28"/>
              <w:jc w:val="center"/>
              <w:rPr>
                <w:rFonts w:hint="eastAsia" w:ascii="仿宋" w:hAnsi="仿宋" w:eastAsia="仿宋" w:cs="仿宋"/>
                <w:color w:val="auto"/>
                <w:sz w:val="24"/>
                <w:highlight w:val="none"/>
              </w:rPr>
            </w:pPr>
          </w:p>
        </w:tc>
        <w:tc>
          <w:tcPr>
            <w:tcW w:w="449" w:type="pct"/>
            <w:vMerge w:val="continue"/>
            <w:noWrap w:val="0"/>
            <w:vAlign w:val="center"/>
          </w:tcPr>
          <w:p w14:paraId="3723CF9A">
            <w:pPr>
              <w:spacing w:line="360" w:lineRule="auto"/>
              <w:ind w:firstLine="28"/>
              <w:jc w:val="center"/>
              <w:rPr>
                <w:rFonts w:hint="eastAsia" w:ascii="仿宋" w:hAnsi="仿宋" w:eastAsia="仿宋" w:cs="仿宋"/>
                <w:color w:val="auto"/>
                <w:sz w:val="24"/>
                <w:highlight w:val="none"/>
              </w:rPr>
            </w:pPr>
          </w:p>
        </w:tc>
        <w:tc>
          <w:tcPr>
            <w:tcW w:w="583" w:type="pct"/>
            <w:noWrap w:val="0"/>
            <w:vAlign w:val="center"/>
          </w:tcPr>
          <w:p w14:paraId="460F21D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后期服务方案</w:t>
            </w:r>
          </w:p>
        </w:tc>
        <w:tc>
          <w:tcPr>
            <w:tcW w:w="386" w:type="pct"/>
            <w:noWrap w:val="0"/>
            <w:vAlign w:val="center"/>
          </w:tcPr>
          <w:p w14:paraId="7AE59A9D">
            <w:pPr>
              <w:spacing w:line="360" w:lineRule="auto"/>
              <w:jc w:val="center"/>
              <w:rPr>
                <w:rFonts w:hint="eastAsia" w:ascii="仿宋" w:hAnsi="仿宋" w:eastAsia="仿宋" w:cs="仿宋"/>
                <w:color w:val="auto"/>
                <w:sz w:val="24"/>
                <w:highlight w:val="none"/>
              </w:rPr>
            </w:pPr>
            <w:r>
              <w:rPr>
                <w:rStyle w:val="31"/>
                <w:rFonts w:hint="eastAsia" w:ascii="仿宋" w:hAnsi="仿宋" w:eastAsia="仿宋" w:cs="仿宋"/>
                <w:color w:val="auto"/>
                <w:sz w:val="24"/>
                <w:highlight w:val="none"/>
                <w:lang w:val="en-US" w:eastAsia="zh-CN"/>
              </w:rPr>
              <w:t>6</w:t>
            </w:r>
            <w:r>
              <w:rPr>
                <w:rStyle w:val="31"/>
                <w:rFonts w:hint="eastAsia" w:ascii="仿宋" w:hAnsi="仿宋" w:eastAsia="仿宋" w:cs="仿宋"/>
                <w:color w:val="auto"/>
                <w:sz w:val="24"/>
                <w:highlight w:val="none"/>
              </w:rPr>
              <w:t>分</w:t>
            </w:r>
          </w:p>
        </w:tc>
        <w:tc>
          <w:tcPr>
            <w:tcW w:w="2742" w:type="pct"/>
            <w:noWrap w:val="0"/>
            <w:vAlign w:val="top"/>
          </w:tcPr>
          <w:p w14:paraId="3363D08C">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根据供应商针对项目提供的</w:t>
            </w:r>
            <w:r>
              <w:rPr>
                <w:rStyle w:val="31"/>
                <w:rFonts w:hint="eastAsia" w:ascii="仿宋" w:hAnsi="仿宋" w:eastAsia="仿宋" w:cs="仿宋"/>
                <w:color w:val="auto"/>
                <w:sz w:val="24"/>
                <w:szCs w:val="24"/>
                <w:highlight w:val="none"/>
              </w:rPr>
              <w:t>安全保证措施</w:t>
            </w:r>
            <w:r>
              <w:rPr>
                <w:rFonts w:hint="eastAsia" w:ascii="仿宋" w:hAnsi="仿宋" w:eastAsia="仿宋" w:cs="仿宋"/>
                <w:color w:val="auto"/>
                <w:sz w:val="24"/>
                <w:szCs w:val="24"/>
                <w:highlight w:val="none"/>
              </w:rPr>
              <w:t>进行综合评审，内容包括：</w:t>
            </w:r>
            <w:r>
              <w:rPr>
                <w:rFonts w:hint="eastAsia" w:ascii="仿宋" w:hAnsi="仿宋" w:eastAsia="仿宋" w:cs="仿宋"/>
                <w:color w:val="auto"/>
                <w:kern w:val="0"/>
                <w:sz w:val="24"/>
                <w:szCs w:val="24"/>
                <w:highlight w:val="none"/>
              </w:rPr>
              <w:t>（1）响应时间与处理时间及售后服务要求；（2）</w:t>
            </w:r>
            <w:r>
              <w:rPr>
                <w:rFonts w:hint="eastAsia" w:ascii="仿宋" w:hAnsi="仿宋" w:eastAsia="仿宋" w:cs="仿宋"/>
                <w:color w:val="auto"/>
                <w:sz w:val="24"/>
                <w:szCs w:val="24"/>
                <w:highlight w:val="none"/>
                <w:shd w:val="clear" w:color="auto" w:fill="FFFFFF"/>
              </w:rPr>
              <w:t>质保与延续服务要求</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上述两项内容无缺失且无缺陷的得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分，每有一项缺失的扣</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分，每有一处内容缺陷的扣1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分，扣完为止。</w:t>
            </w:r>
          </w:p>
          <w:p w14:paraId="156C8607">
            <w:pPr>
              <w:pStyle w:val="36"/>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lang w:eastAsia="zh-CN"/>
              </w:rPr>
              <w:t>注：方案中存在缺陷是指存在①项目名称错误、地点区域错误</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②引用法律、规范、标准存在失效或错误；③内容与本项目需求无关或不能满足本项目需求；④复制或套用其他项目内容中的任意一种情形；⑤内容缺乏可操作性；⑥不符合项目实际情况</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⑦仅有框架或标题</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eastAsia="zh-CN"/>
              </w:rPr>
              <w:t>⑧适用的标准（</w:t>
            </w:r>
            <w:r>
              <w:rPr>
                <w:rFonts w:hint="eastAsia" w:ascii="仿宋" w:hAnsi="仿宋" w:eastAsia="仿宋" w:cs="仿宋"/>
                <w:b/>
                <w:bCs/>
                <w:color w:val="auto"/>
                <w:kern w:val="2"/>
                <w:sz w:val="24"/>
                <w:szCs w:val="24"/>
                <w:highlight w:val="none"/>
                <w:lang w:val="en-US" w:eastAsia="zh-CN"/>
              </w:rPr>
              <w:t>或</w:t>
            </w:r>
            <w:r>
              <w:rPr>
                <w:rFonts w:hint="eastAsia" w:ascii="仿宋" w:hAnsi="仿宋" w:eastAsia="仿宋" w:cs="仿宋"/>
                <w:b/>
                <w:bCs/>
                <w:color w:val="auto"/>
                <w:kern w:val="2"/>
                <w:sz w:val="24"/>
                <w:szCs w:val="24"/>
                <w:highlight w:val="none"/>
                <w:lang w:eastAsia="zh-CN"/>
              </w:rPr>
              <w:t>方法）错误中的任意一种情形。</w:t>
            </w:r>
          </w:p>
        </w:tc>
        <w:tc>
          <w:tcPr>
            <w:tcW w:w="582" w:type="pct"/>
            <w:vMerge w:val="continue"/>
            <w:noWrap w:val="0"/>
            <w:vAlign w:val="center"/>
          </w:tcPr>
          <w:p w14:paraId="733B2989">
            <w:pPr>
              <w:spacing w:line="360" w:lineRule="auto"/>
              <w:jc w:val="center"/>
              <w:rPr>
                <w:rFonts w:hint="eastAsia" w:ascii="仿宋" w:hAnsi="仿宋" w:eastAsia="仿宋" w:cs="仿宋"/>
                <w:color w:val="auto"/>
                <w:sz w:val="24"/>
                <w:highlight w:val="none"/>
              </w:rPr>
            </w:pPr>
          </w:p>
        </w:tc>
      </w:tr>
      <w:tr w14:paraId="1004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254" w:type="pct"/>
            <w:noWrap w:val="0"/>
            <w:vAlign w:val="center"/>
          </w:tcPr>
          <w:p w14:paraId="3CF8DA0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033" w:type="pct"/>
            <w:gridSpan w:val="2"/>
            <w:noWrap w:val="0"/>
            <w:vAlign w:val="center"/>
          </w:tcPr>
          <w:p w14:paraId="2F8E168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类似业绩1</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w:t>
            </w:r>
          </w:p>
        </w:tc>
        <w:tc>
          <w:tcPr>
            <w:tcW w:w="386" w:type="pct"/>
            <w:noWrap w:val="0"/>
            <w:vAlign w:val="center"/>
          </w:tcPr>
          <w:p w14:paraId="618DAF1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2742" w:type="pct"/>
            <w:noWrap w:val="0"/>
            <w:vAlign w:val="center"/>
          </w:tcPr>
          <w:p w14:paraId="52A171C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供应商提供自2023年1月1日（含）至递交响应文件截止之日已完工的</w:t>
            </w:r>
            <w:r>
              <w:rPr>
                <w:rFonts w:hint="eastAsia" w:ascii="仿宋" w:hAnsi="仿宋" w:eastAsia="仿宋" w:cs="仿宋"/>
                <w:color w:val="auto"/>
                <w:sz w:val="24"/>
                <w:highlight w:val="none"/>
                <w:lang w:val="en-US" w:eastAsia="zh-CN"/>
              </w:rPr>
              <w:t>建筑类</w:t>
            </w:r>
            <w:r>
              <w:rPr>
                <w:rFonts w:hint="eastAsia" w:ascii="仿宋" w:hAnsi="仿宋" w:eastAsia="仿宋" w:cs="仿宋"/>
                <w:color w:val="auto"/>
                <w:sz w:val="24"/>
                <w:highlight w:val="none"/>
              </w:rPr>
              <w:t>业绩，每有一</w:t>
            </w:r>
            <w:bookmarkStart w:id="191" w:name="_GoBack"/>
            <w:bookmarkEnd w:id="191"/>
            <w:r>
              <w:rPr>
                <w:rFonts w:hint="eastAsia" w:ascii="仿宋" w:hAnsi="仿宋" w:eastAsia="仿宋" w:cs="仿宋"/>
                <w:color w:val="auto"/>
                <w:sz w:val="24"/>
                <w:highlight w:val="none"/>
              </w:rPr>
              <w:t>个得6分，最多得18分。</w:t>
            </w:r>
          </w:p>
          <w:p w14:paraId="4AC4A42F">
            <w:pPr>
              <w:spacing w:line="360" w:lineRule="auto"/>
              <w:ind w:firstLine="482" w:firstLineChars="20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注：业绩证明材料提供合同协议书、工程接收证书（工程竣工验收证书）或竣工验收的证明材料并加盖供应商公章。业绩时间以工程接收证书（工程竣工验收证书）或竣工验收证明材料的时间为准。</w:t>
            </w:r>
          </w:p>
        </w:tc>
        <w:tc>
          <w:tcPr>
            <w:tcW w:w="582" w:type="pct"/>
            <w:noWrap w:val="0"/>
            <w:vAlign w:val="center"/>
          </w:tcPr>
          <w:p w14:paraId="7CE630A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客观</w:t>
            </w:r>
            <w:r>
              <w:rPr>
                <w:rFonts w:hint="eastAsia" w:ascii="仿宋" w:hAnsi="仿宋" w:eastAsia="仿宋" w:cs="仿宋"/>
                <w:color w:val="auto"/>
                <w:sz w:val="24"/>
                <w:highlight w:val="none"/>
              </w:rPr>
              <w:t>评审因素</w:t>
            </w:r>
          </w:p>
        </w:tc>
      </w:tr>
      <w:tr w14:paraId="06D6A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trPr>
        <w:tc>
          <w:tcPr>
            <w:tcW w:w="254" w:type="pct"/>
            <w:noWrap w:val="0"/>
            <w:vAlign w:val="center"/>
          </w:tcPr>
          <w:p w14:paraId="1FE48B4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033" w:type="pct"/>
            <w:gridSpan w:val="2"/>
            <w:noWrap w:val="0"/>
            <w:vAlign w:val="center"/>
          </w:tcPr>
          <w:p w14:paraId="6F0DB45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人员配置</w:t>
            </w:r>
            <w:r>
              <w:rPr>
                <w:rFonts w:hint="eastAsia" w:ascii="仿宋" w:hAnsi="仿宋" w:eastAsia="仿宋" w:cs="仿宋"/>
                <w:color w:val="auto"/>
                <w:sz w:val="24"/>
                <w:highlight w:val="none"/>
                <w:lang w:val="en-US" w:eastAsia="zh-CN"/>
              </w:rPr>
              <w:t>17</w:t>
            </w:r>
            <w:r>
              <w:rPr>
                <w:rFonts w:hint="eastAsia" w:ascii="仿宋" w:hAnsi="仿宋" w:eastAsia="仿宋" w:cs="仿宋"/>
                <w:color w:val="auto"/>
                <w:sz w:val="24"/>
                <w:highlight w:val="none"/>
              </w:rPr>
              <w:t>%</w:t>
            </w:r>
          </w:p>
        </w:tc>
        <w:tc>
          <w:tcPr>
            <w:tcW w:w="386" w:type="pct"/>
            <w:noWrap w:val="0"/>
            <w:vAlign w:val="center"/>
          </w:tcPr>
          <w:p w14:paraId="7D222EF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17</w:t>
            </w:r>
            <w:r>
              <w:rPr>
                <w:rFonts w:hint="eastAsia" w:ascii="仿宋" w:hAnsi="仿宋" w:eastAsia="仿宋" w:cs="仿宋"/>
                <w:color w:val="auto"/>
                <w:sz w:val="24"/>
                <w:highlight w:val="none"/>
              </w:rPr>
              <w:t>分</w:t>
            </w:r>
          </w:p>
        </w:tc>
        <w:tc>
          <w:tcPr>
            <w:tcW w:w="2742" w:type="pct"/>
            <w:noWrap w:val="0"/>
            <w:vAlign w:val="center"/>
          </w:tcPr>
          <w:p w14:paraId="681A2946">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项目经理（项目负责人）：</w:t>
            </w:r>
          </w:p>
          <w:p w14:paraId="4EA5FE05">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具备建筑工程相关专业中级</w:t>
            </w:r>
            <w:r>
              <w:rPr>
                <w:rFonts w:hint="eastAsia" w:ascii="仿宋" w:hAnsi="仿宋" w:eastAsia="仿宋" w:cs="仿宋"/>
                <w:color w:val="auto"/>
                <w:sz w:val="24"/>
                <w:szCs w:val="24"/>
                <w:highlight w:val="none"/>
                <w:lang w:val="en-US" w:eastAsia="zh-CN"/>
              </w:rPr>
              <w:t>及以上</w:t>
            </w:r>
            <w:r>
              <w:rPr>
                <w:rFonts w:hint="eastAsia" w:ascii="仿宋" w:hAnsi="仿宋" w:eastAsia="仿宋" w:cs="仿宋"/>
                <w:color w:val="auto"/>
                <w:sz w:val="24"/>
                <w:szCs w:val="24"/>
                <w:highlight w:val="none"/>
              </w:rPr>
              <w:t>职称的得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val="en-US" w:eastAsia="zh-CN"/>
              </w:rPr>
              <w:t>项</w:t>
            </w:r>
            <w:r>
              <w:rPr>
                <w:rFonts w:hint="eastAsia" w:ascii="仿宋" w:hAnsi="仿宋" w:eastAsia="仿宋" w:cs="仿宋"/>
                <w:color w:val="auto"/>
                <w:sz w:val="24"/>
                <w:szCs w:val="24"/>
                <w:highlight w:val="none"/>
              </w:rPr>
              <w:t>最</w:t>
            </w:r>
            <w:r>
              <w:rPr>
                <w:rFonts w:hint="eastAsia" w:ascii="仿宋" w:hAnsi="仿宋" w:eastAsia="仿宋" w:cs="仿宋"/>
                <w:color w:val="auto"/>
                <w:sz w:val="24"/>
                <w:szCs w:val="24"/>
                <w:highlight w:val="none"/>
                <w:lang w:val="en-US" w:eastAsia="zh-CN"/>
              </w:rPr>
              <w:t>多</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p w14:paraId="7140BC3A">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（2）自2023年1月1日（含）至递交响应文件截止之日，作为项目经理（项目负责人）具备一个</w:t>
            </w:r>
            <w:r>
              <w:rPr>
                <w:rFonts w:hint="eastAsia" w:ascii="仿宋" w:hAnsi="仿宋" w:eastAsia="仿宋" w:cs="仿宋"/>
                <w:color w:val="auto"/>
                <w:sz w:val="24"/>
                <w:highlight w:val="none"/>
              </w:rPr>
              <w:t>已完工的</w:t>
            </w:r>
            <w:r>
              <w:rPr>
                <w:rFonts w:hint="eastAsia" w:ascii="仿宋" w:hAnsi="仿宋" w:eastAsia="仿宋" w:cs="仿宋"/>
                <w:color w:val="auto"/>
                <w:sz w:val="24"/>
                <w:highlight w:val="none"/>
                <w:lang w:val="en-US" w:eastAsia="zh-CN"/>
              </w:rPr>
              <w:t>建筑类</w:t>
            </w:r>
            <w:r>
              <w:rPr>
                <w:rFonts w:hint="eastAsia" w:ascii="仿宋" w:hAnsi="仿宋" w:eastAsia="仿宋" w:cs="仿宋"/>
                <w:color w:val="auto"/>
                <w:sz w:val="24"/>
                <w:highlight w:val="none"/>
              </w:rPr>
              <w:t>业绩</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分；本</w:t>
            </w:r>
            <w:r>
              <w:rPr>
                <w:rFonts w:hint="eastAsia" w:ascii="仿宋" w:hAnsi="仿宋" w:eastAsia="仿宋" w:cs="仿宋"/>
                <w:color w:val="auto"/>
                <w:sz w:val="24"/>
                <w:szCs w:val="24"/>
                <w:highlight w:val="none"/>
                <w:lang w:val="en-US" w:eastAsia="zh-CN"/>
              </w:rPr>
              <w:t>项</w:t>
            </w:r>
            <w:r>
              <w:rPr>
                <w:rFonts w:hint="eastAsia" w:ascii="仿宋" w:hAnsi="仿宋" w:eastAsia="仿宋" w:cs="仿宋"/>
                <w:color w:val="auto"/>
                <w:sz w:val="24"/>
                <w:szCs w:val="24"/>
                <w:highlight w:val="none"/>
              </w:rPr>
              <w:t>最</w:t>
            </w:r>
            <w:r>
              <w:rPr>
                <w:rFonts w:hint="eastAsia" w:ascii="仿宋" w:hAnsi="仿宋" w:eastAsia="仿宋" w:cs="仿宋"/>
                <w:color w:val="auto"/>
                <w:sz w:val="24"/>
                <w:szCs w:val="24"/>
                <w:highlight w:val="none"/>
                <w:lang w:val="en-US" w:eastAsia="zh-CN"/>
              </w:rPr>
              <w:t>多</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p w14:paraId="41D81516">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2.技术负责人：具备建筑工程专业二级及以上建造师注册证书得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分；具备建筑工程相关专业中级及以上职称得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分；本项最</w:t>
            </w:r>
            <w:r>
              <w:rPr>
                <w:rFonts w:hint="eastAsia" w:ascii="仿宋" w:hAnsi="仿宋" w:eastAsia="仿宋" w:cs="仿宋"/>
                <w:color w:val="auto"/>
                <w:sz w:val="24"/>
                <w:szCs w:val="24"/>
                <w:highlight w:val="none"/>
                <w:lang w:val="en-US" w:eastAsia="zh-CN"/>
              </w:rPr>
              <w:t>多</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2B63E8D8">
            <w:pPr>
              <w:pStyle w:val="37"/>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3.除项目经理（项目负责人）、技术负责人外，每具有一个建筑工程相关专业中级及以上职称得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分，单人具备不同职称不重复得分，本项最多得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01B18D49">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注：提供人员在供应商单位任职的劳动关系证明材料及证书扫描（复印）件并加盖供应商公章。</w:t>
            </w:r>
          </w:p>
        </w:tc>
        <w:tc>
          <w:tcPr>
            <w:tcW w:w="582" w:type="pct"/>
            <w:noWrap w:val="0"/>
            <w:vAlign w:val="center"/>
          </w:tcPr>
          <w:p w14:paraId="1E5B9784">
            <w:pPr>
              <w:spacing w:line="360" w:lineRule="auto"/>
              <w:jc w:val="center"/>
              <w:rPr>
                <w:rFonts w:hint="eastAsia" w:ascii="仿宋" w:hAnsi="仿宋" w:eastAsia="仿宋" w:cs="仿宋"/>
                <w:b/>
                <w:color w:val="auto"/>
                <w:sz w:val="24"/>
                <w:highlight w:val="none"/>
              </w:rPr>
            </w:pPr>
            <w:r>
              <w:rPr>
                <w:rFonts w:hint="eastAsia" w:ascii="仿宋" w:hAnsi="仿宋" w:eastAsia="仿宋" w:cs="仿宋"/>
                <w:color w:val="auto"/>
                <w:kern w:val="0"/>
                <w:sz w:val="24"/>
                <w:highlight w:val="none"/>
              </w:rPr>
              <w:t>客观评审因素</w:t>
            </w:r>
          </w:p>
        </w:tc>
      </w:tr>
    </w:tbl>
    <w:p w14:paraId="1CD08A63">
      <w:pPr>
        <w:pStyle w:val="4"/>
        <w:ind w:firstLine="0" w:firstLineChars="0"/>
        <w:rPr>
          <w:rFonts w:ascii="仿宋" w:hAnsi="仿宋" w:eastAsia="仿宋"/>
          <w:bCs/>
          <w:color w:val="auto"/>
          <w:sz w:val="24"/>
          <w:highlight w:val="none"/>
        </w:rPr>
      </w:pPr>
    </w:p>
    <w:p w14:paraId="078F139D">
      <w:pPr>
        <w:spacing w:line="360" w:lineRule="auto"/>
        <w:ind w:firstLine="360" w:firstLineChars="150"/>
        <w:rPr>
          <w:rFonts w:hint="eastAsia" w:ascii="仿宋" w:hAnsi="仿宋" w:eastAsia="仿宋"/>
          <w:color w:val="auto"/>
          <w:sz w:val="24"/>
          <w:highlight w:val="none"/>
        </w:rPr>
      </w:pPr>
      <w:r>
        <w:rPr>
          <w:rFonts w:hint="eastAsia" w:ascii="仿宋" w:hAnsi="仿宋" w:eastAsia="仿宋"/>
          <w:color w:val="auto"/>
          <w:sz w:val="24"/>
          <w:highlight w:val="none"/>
        </w:rPr>
        <w:t xml:space="preserve">注： </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rPr>
        <w:t>评分的取值按四舍五入法，保留小数点后两位。</w:t>
      </w:r>
      <w:bookmarkEnd w:id="115"/>
      <w:bookmarkEnd w:id="116"/>
      <w:bookmarkEnd w:id="117"/>
      <w:bookmarkEnd w:id="118"/>
    </w:p>
    <w:p w14:paraId="3C65A778">
      <w:pPr>
        <w:spacing w:after="120" w:line="360" w:lineRule="auto"/>
        <w:ind w:firstLine="480" w:firstLineChars="200"/>
        <w:rPr>
          <w:rFonts w:hint="default" w:ascii="仿宋" w:hAnsi="仿宋" w:eastAsia="仿宋" w:cs="仿宋"/>
          <w:b/>
          <w:bCs/>
          <w:color w:val="auto"/>
          <w:sz w:val="24"/>
          <w:szCs w:val="24"/>
          <w:highlight w:val="none"/>
          <w:lang w:val="en-US" w:eastAsia="zh-CN"/>
        </w:rPr>
      </w:pPr>
      <w:r>
        <w:rPr>
          <w:rFonts w:hint="eastAsia" w:ascii="仿宋" w:hAnsi="仿宋" w:eastAsia="仿宋"/>
          <w:color w:val="auto"/>
          <w:sz w:val="24"/>
          <w:highlight w:val="none"/>
          <w:lang w:val="en-US" w:eastAsia="zh-CN"/>
        </w:rPr>
        <w:t>2.</w:t>
      </w:r>
      <w:r>
        <w:rPr>
          <w:rFonts w:hint="eastAsia" w:ascii="仿宋" w:hAnsi="仿宋" w:eastAsia="仿宋" w:cs="仿宋"/>
          <w:b/>
          <w:bCs/>
          <w:color w:val="auto"/>
          <w:sz w:val="24"/>
          <w:szCs w:val="24"/>
          <w:highlight w:val="none"/>
          <w:lang w:val="en-US" w:eastAsia="zh-CN"/>
        </w:rPr>
        <w:t>根据 磋商文件 第二章  磋商须知  23.2的查验要求，供应商在编制响应文件时需附上公开查询渠道的链接。</w:t>
      </w:r>
    </w:p>
    <w:p w14:paraId="50531BE9">
      <w:pPr>
        <w:spacing w:line="360" w:lineRule="auto"/>
        <w:ind w:firstLine="472" w:firstLineChars="196"/>
        <w:outlineLvl w:val="1"/>
        <w:rPr>
          <w:rFonts w:ascii="仿宋" w:hAnsi="仿宋" w:eastAsia="仿宋"/>
          <w:b/>
          <w:bCs/>
          <w:color w:val="auto"/>
          <w:sz w:val="24"/>
          <w:highlight w:val="none"/>
        </w:rPr>
      </w:pPr>
      <w:bookmarkStart w:id="142" w:name="_Toc30909"/>
      <w:r>
        <w:rPr>
          <w:rFonts w:hint="eastAsia" w:ascii="仿宋" w:hAnsi="仿宋" w:eastAsia="仿宋"/>
          <w:b/>
          <w:bCs/>
          <w:color w:val="auto"/>
          <w:sz w:val="24"/>
          <w:highlight w:val="none"/>
        </w:rPr>
        <w:t>4.磋商纪律及注意事项</w:t>
      </w:r>
      <w:bookmarkEnd w:id="142"/>
    </w:p>
    <w:p w14:paraId="5C9E20B5">
      <w:pPr>
        <w:tabs>
          <w:tab w:val="left" w:pos="851"/>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4.1磋商小组内部讨论的情况和意见必须保密，任何人不得以任何形式透露给供应商或与供应商有关的单位或个人。</w:t>
      </w:r>
    </w:p>
    <w:p w14:paraId="2BFB076A">
      <w:pPr>
        <w:tabs>
          <w:tab w:val="left" w:pos="851"/>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4.2在磋商过程中，供应商不得以任何形式对磋商小组成员进行旨在影响磋商结果的私下接触，否则将取消其参与磋商的资格。</w:t>
      </w:r>
    </w:p>
    <w:p w14:paraId="433AC730">
      <w:pPr>
        <w:tabs>
          <w:tab w:val="left" w:pos="851"/>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4.3对各供应商的商业秘密，磋商小组成员应予以保密，不得泄露给其他供应商。</w:t>
      </w:r>
    </w:p>
    <w:p w14:paraId="3BF0F12C">
      <w:pPr>
        <w:tabs>
          <w:tab w:val="left" w:pos="851"/>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4.4 磋商小组独立评判，推荐成交候选人，并写出书面报告。</w:t>
      </w:r>
    </w:p>
    <w:p w14:paraId="2B585CBC">
      <w:pPr>
        <w:tabs>
          <w:tab w:val="left" w:pos="851"/>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4.5 磋商小组可根据需要对供应商进行实地考察。</w:t>
      </w:r>
    </w:p>
    <w:p w14:paraId="2FDEB758">
      <w:pPr>
        <w:spacing w:line="360" w:lineRule="auto"/>
        <w:ind w:firstLine="472" w:firstLineChars="196"/>
        <w:outlineLvl w:val="1"/>
        <w:rPr>
          <w:rFonts w:ascii="仿宋" w:hAnsi="仿宋" w:eastAsia="仿宋"/>
          <w:b/>
          <w:bCs/>
          <w:color w:val="auto"/>
          <w:sz w:val="24"/>
          <w:highlight w:val="none"/>
        </w:rPr>
      </w:pPr>
      <w:bookmarkStart w:id="143" w:name="_Toc13848"/>
      <w:r>
        <w:rPr>
          <w:rFonts w:hint="eastAsia" w:ascii="仿宋" w:hAnsi="仿宋" w:eastAsia="仿宋"/>
          <w:b/>
          <w:bCs/>
          <w:color w:val="auto"/>
          <w:sz w:val="24"/>
          <w:highlight w:val="none"/>
        </w:rPr>
        <w:t>5.</w:t>
      </w:r>
      <w:bookmarkEnd w:id="119"/>
      <w:r>
        <w:rPr>
          <w:rFonts w:hint="eastAsia" w:ascii="仿宋" w:hAnsi="仿宋" w:eastAsia="仿宋"/>
          <w:b/>
          <w:bCs/>
          <w:color w:val="auto"/>
          <w:sz w:val="24"/>
          <w:highlight w:val="none"/>
        </w:rPr>
        <w:t>磋商小组在采购活动中承担以下义务：</w:t>
      </w:r>
      <w:bookmarkEnd w:id="143"/>
    </w:p>
    <w:p w14:paraId="5A43C815">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（一）遵守评审工作纪律；</w:t>
      </w:r>
    </w:p>
    <w:p w14:paraId="6BEA9E9D">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（二）按照客观、公正、审慎的原则，根据磋商文件规定的评审程序、评审方法和评审标准进行独立评审；</w:t>
      </w:r>
    </w:p>
    <w:p w14:paraId="2087A89C">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（三）不得泄露评审文件、评审情况和在评审过程中获悉的商业秘密；</w:t>
      </w:r>
    </w:p>
    <w:p w14:paraId="3D0A5899">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（四）及时向财政部门报告评审过程中发现的采购人、采购代理机构向评审专家做倾向性、误导性的解释或者说明，以及供应商行贿、提供虚假材料或者串通等违法行为；</w:t>
      </w:r>
    </w:p>
    <w:p w14:paraId="1B389E60">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（五）发现磋商文件内容违反国家有关强制性规定或者磋商文件存在歧义、重大缺陷导致评审工作无法进行时，停止评审并向采购人或者采购代理机构书面说明情况；</w:t>
      </w:r>
    </w:p>
    <w:p w14:paraId="0368D220">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（六）及时向财政、监察等部门举报在评审过程中受到非法干预的情况；</w:t>
      </w:r>
    </w:p>
    <w:p w14:paraId="6DEC7D1A">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（七）配合答复处理供应商的询问、质疑和投诉等事项；</w:t>
      </w:r>
    </w:p>
    <w:p w14:paraId="2FCACC80">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（八）法律法规和规章规定的其他义务。</w:t>
      </w:r>
    </w:p>
    <w:p w14:paraId="3B5709C3">
      <w:pPr>
        <w:spacing w:line="360" w:lineRule="auto"/>
        <w:ind w:firstLine="472" w:firstLineChars="196"/>
        <w:outlineLvl w:val="1"/>
        <w:rPr>
          <w:rFonts w:ascii="仿宋" w:hAnsi="仿宋" w:eastAsia="仿宋"/>
          <w:b/>
          <w:bCs/>
          <w:color w:val="auto"/>
          <w:sz w:val="24"/>
          <w:highlight w:val="none"/>
        </w:rPr>
      </w:pPr>
      <w:bookmarkStart w:id="144" w:name="_Toc17350"/>
      <w:r>
        <w:rPr>
          <w:rFonts w:hint="eastAsia" w:ascii="仿宋" w:hAnsi="仿宋" w:eastAsia="仿宋"/>
          <w:b/>
          <w:bCs/>
          <w:color w:val="auto"/>
          <w:sz w:val="24"/>
          <w:highlight w:val="none"/>
        </w:rPr>
        <w:t>6.评审专家在采购活动中应当遵守以下工作纪律：</w:t>
      </w:r>
      <w:bookmarkEnd w:id="144"/>
    </w:p>
    <w:p w14:paraId="2592025D">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（一）不得参加与自己有《中华人民共和国政府采购法实施条例》第九条规定的利害关系的采购项目的评审活动。发现参加了与自己有利害关系的评审活动，须主动提出回避，退出评审；</w:t>
      </w:r>
    </w:p>
    <w:p w14:paraId="105AA1EC">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（二）评审前，应当将通讯工具或者相关电子设备交由采购代理机构统一保管；</w:t>
      </w:r>
    </w:p>
    <w:p w14:paraId="42398FC7">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（三）评审过程中，不得与外界联系，因发生不可预见情况，确实需要与外界联系的，应当在监督人员监督之下办理；</w:t>
      </w:r>
    </w:p>
    <w:p w14:paraId="17A371CF">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四）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14:paraId="22143EF9">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（五）在评审过程中和评审结束后，不得记录、复制或带走任何评审资料，不得向外界透露评审内容；</w:t>
      </w:r>
    </w:p>
    <w:p w14:paraId="591AB6EE">
      <w:pPr>
        <w:tabs>
          <w:tab w:val="left" w:pos="7665"/>
        </w:tabs>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（六）评审现场服从采购代理机构工作人员的管理，接受现场监督人员的合法监督；</w:t>
      </w:r>
    </w:p>
    <w:p w14:paraId="0B0DC467">
      <w:pPr>
        <w:tabs>
          <w:tab w:val="left" w:pos="7665"/>
        </w:tabs>
        <w:spacing w:line="360" w:lineRule="auto"/>
        <w:ind w:firstLine="480" w:firstLineChars="200"/>
        <w:rPr>
          <w:rFonts w:ascii="仿宋" w:hAnsi="仿宋" w:eastAsia="仿宋"/>
          <w:color w:val="auto"/>
          <w:highlight w:val="none"/>
        </w:rPr>
      </w:pPr>
      <w:r>
        <w:rPr>
          <w:rFonts w:hint="eastAsia" w:ascii="仿宋" w:hAnsi="仿宋" w:eastAsia="仿宋"/>
          <w:color w:val="auto"/>
          <w:sz w:val="24"/>
          <w:highlight w:val="none"/>
        </w:rPr>
        <w:t>（七）遵守有关廉洁自律规定，不得私下接触供应商，不得收受供应商及有关业务单位和个人的财物或好处，不得接受采购代理机构的请托。</w:t>
      </w:r>
    </w:p>
    <w:p w14:paraId="50F5EE2E">
      <w:pPr>
        <w:spacing w:before="240" w:after="60"/>
        <w:jc w:val="center"/>
        <w:outlineLvl w:val="0"/>
        <w:rPr>
          <w:rFonts w:ascii="仿宋" w:hAnsi="仿宋" w:eastAsia="仿宋" w:cs="仿宋"/>
          <w:b/>
          <w:bCs/>
          <w:color w:val="auto"/>
          <w:sz w:val="32"/>
          <w:szCs w:val="32"/>
          <w:highlight w:val="none"/>
        </w:rPr>
      </w:pPr>
      <w:r>
        <w:rPr>
          <w:rFonts w:ascii="仿宋" w:hAnsi="仿宋" w:eastAsia="仿宋" w:cs="宋体"/>
          <w:b/>
          <w:bCs/>
          <w:color w:val="auto"/>
          <w:sz w:val="32"/>
          <w:szCs w:val="32"/>
          <w:highlight w:val="none"/>
        </w:rPr>
        <w:br w:type="page"/>
      </w:r>
      <w:bookmarkStart w:id="145" w:name="_Toc509579148"/>
      <w:bookmarkStart w:id="146" w:name="_Toc21485"/>
      <w:bookmarkStart w:id="147" w:name="_Toc3744"/>
      <w:r>
        <w:rPr>
          <w:rFonts w:hint="eastAsia" w:ascii="仿宋" w:hAnsi="仿宋" w:eastAsia="仿宋" w:cs="仿宋"/>
          <w:b/>
          <w:bCs/>
          <w:color w:val="auto"/>
          <w:sz w:val="32"/>
          <w:szCs w:val="32"/>
          <w:highlight w:val="none"/>
        </w:rPr>
        <w:t>第七章  合同条款</w:t>
      </w:r>
      <w:bookmarkEnd w:id="58"/>
      <w:bookmarkEnd w:id="100"/>
      <w:bookmarkEnd w:id="101"/>
      <w:bookmarkEnd w:id="102"/>
      <w:bookmarkEnd w:id="145"/>
      <w:r>
        <w:rPr>
          <w:rFonts w:hint="eastAsia" w:ascii="仿宋" w:hAnsi="仿宋" w:eastAsia="仿宋" w:cs="仿宋"/>
          <w:b/>
          <w:bCs/>
          <w:color w:val="auto"/>
          <w:sz w:val="32"/>
          <w:szCs w:val="32"/>
          <w:highlight w:val="none"/>
        </w:rPr>
        <w:t>（草案）</w:t>
      </w:r>
      <w:bookmarkEnd w:id="146"/>
      <w:bookmarkEnd w:id="147"/>
    </w:p>
    <w:p w14:paraId="37BB0B77">
      <w:pPr>
        <w:rPr>
          <w:color w:val="auto"/>
          <w:sz w:val="18"/>
          <w:szCs w:val="21"/>
          <w:highlight w:val="none"/>
        </w:rPr>
      </w:pPr>
    </w:p>
    <w:p w14:paraId="7AA03DD2">
      <w:pPr>
        <w:jc w:val="center"/>
        <w:rPr>
          <w:rFonts w:ascii="方正小标宋_GBK" w:hAnsi="方正小标宋_GBK" w:eastAsia="方正小标宋_GBK" w:cs="方正小标宋_GBK"/>
          <w:color w:val="auto"/>
          <w:sz w:val="44"/>
          <w:szCs w:val="44"/>
          <w:highlight w:val="none"/>
          <w:lang w:eastAsia="zh-CN"/>
        </w:rPr>
      </w:pPr>
      <w:r>
        <w:rPr>
          <w:rFonts w:hint="eastAsia" w:ascii="方正小标宋_GBK" w:hAnsi="方正小标宋_GBK" w:eastAsia="方正小标宋_GBK" w:cs="方正小标宋_GBK"/>
          <w:color w:val="auto"/>
          <w:sz w:val="44"/>
          <w:szCs w:val="44"/>
          <w:highlight w:val="none"/>
          <w:lang w:eastAsia="zh-CN"/>
        </w:rPr>
        <w:t>西南民族大学维修改造</w:t>
      </w:r>
    </w:p>
    <w:p w14:paraId="14787C17">
      <w:pPr>
        <w:jc w:val="center"/>
        <w:rPr>
          <w:rFonts w:ascii="方正小标宋_GBK" w:hAnsi="方正小标宋_GBK" w:eastAsia="方正小标宋_GBK" w:cs="方正小标宋_GBK"/>
          <w:color w:val="auto"/>
          <w:sz w:val="44"/>
          <w:szCs w:val="44"/>
          <w:highlight w:val="none"/>
          <w:lang w:eastAsia="zh-CN"/>
        </w:rPr>
      </w:pPr>
      <w:r>
        <w:rPr>
          <w:rFonts w:hint="eastAsia" w:ascii="方正小标宋_GBK" w:hAnsi="方正小标宋_GBK" w:eastAsia="方正小标宋_GBK" w:cs="方正小标宋_GBK"/>
          <w:color w:val="auto"/>
          <w:sz w:val="44"/>
          <w:szCs w:val="44"/>
          <w:highlight w:val="none"/>
          <w:lang w:eastAsia="zh-CN"/>
        </w:rPr>
        <w:t>施工合同</w:t>
      </w:r>
    </w:p>
    <w:p w14:paraId="3B3B2837">
      <w:pPr>
        <w:rPr>
          <w:rFonts w:ascii="方正小标宋_GBK" w:hAnsi="方正小标宋_GBK" w:eastAsia="方正小标宋_GBK" w:cs="方正小标宋_GBK"/>
          <w:color w:val="auto"/>
          <w:sz w:val="44"/>
          <w:szCs w:val="44"/>
          <w:highlight w:val="none"/>
          <w:lang w:eastAsia="zh-CN"/>
        </w:rPr>
      </w:pPr>
    </w:p>
    <w:p w14:paraId="4CE54240">
      <w:pPr>
        <w:rPr>
          <w:rFonts w:ascii="方正小标宋_GBK" w:hAnsi="方正小标宋_GBK" w:eastAsia="方正小标宋_GBK" w:cs="方正小标宋_GBK"/>
          <w:color w:val="auto"/>
          <w:sz w:val="44"/>
          <w:szCs w:val="44"/>
          <w:highlight w:val="none"/>
          <w:lang w:eastAsia="zh-CN"/>
        </w:rPr>
      </w:pPr>
    </w:p>
    <w:p w14:paraId="39E5CD75">
      <w:pPr>
        <w:pStyle w:val="6"/>
        <w:rPr>
          <w:color w:val="auto"/>
          <w:sz w:val="18"/>
          <w:szCs w:val="21"/>
          <w:highlight w:val="none"/>
          <w:lang w:eastAsia="zh-CN"/>
        </w:rPr>
      </w:pPr>
    </w:p>
    <w:p w14:paraId="3A544666">
      <w:pPr>
        <w:pStyle w:val="6"/>
        <w:ind w:firstLine="420"/>
        <w:rPr>
          <w:color w:val="auto"/>
          <w:sz w:val="18"/>
          <w:szCs w:val="21"/>
          <w:highlight w:val="none"/>
          <w:lang w:eastAsia="zh-CN"/>
        </w:rPr>
      </w:pPr>
    </w:p>
    <w:p w14:paraId="0D1624FF">
      <w:pPr>
        <w:ind w:left="420" w:firstLine="42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施工项目名称：</w:t>
      </w:r>
      <w:bookmarkStart w:id="148" w:name="合同名称"/>
      <w:bookmarkEnd w:id="148"/>
      <w:r>
        <w:rPr>
          <w:rFonts w:hint="eastAsia" w:ascii="仿宋" w:hAnsi="仿宋" w:eastAsia="仿宋" w:cs="仿宋"/>
          <w:color w:val="auto"/>
          <w:sz w:val="24"/>
          <w:szCs w:val="24"/>
          <w:highlight w:val="none"/>
          <w:u w:val="single"/>
          <w:lang w:eastAsia="zh-CN"/>
        </w:rPr>
        <w:t xml:space="preserve">                        </w:t>
      </w:r>
    </w:p>
    <w:p w14:paraId="2CEF74D6">
      <w:pP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                             </w:t>
      </w:r>
    </w:p>
    <w:p w14:paraId="60DC4363">
      <w:pPr>
        <w:ind w:left="420" w:firstLine="420"/>
        <w:rPr>
          <w:rFonts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发包人（甲方）：</w:t>
      </w:r>
      <w:r>
        <w:rPr>
          <w:rFonts w:hint="eastAsia" w:ascii="仿宋" w:hAnsi="仿宋" w:eastAsia="仿宋" w:cs="仿宋"/>
          <w:color w:val="auto"/>
          <w:sz w:val="24"/>
          <w:szCs w:val="24"/>
          <w:highlight w:val="none"/>
          <w:u w:val="single"/>
          <w:lang w:eastAsia="zh-CN"/>
        </w:rPr>
        <w:t xml:space="preserve">    西南民族大学   </w:t>
      </w:r>
    </w:p>
    <w:p w14:paraId="0B9B91EF">
      <w:pPr>
        <w:rPr>
          <w:rFonts w:ascii="仿宋" w:hAnsi="仿宋" w:eastAsia="仿宋" w:cs="仿宋"/>
          <w:color w:val="auto"/>
          <w:sz w:val="24"/>
          <w:szCs w:val="24"/>
          <w:highlight w:val="none"/>
          <w:u w:val="single"/>
          <w:lang w:eastAsia="zh-CN"/>
        </w:rPr>
      </w:pPr>
    </w:p>
    <w:p w14:paraId="283C0B76">
      <w:pPr>
        <w:ind w:left="420" w:firstLine="42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承包人（乙方）：</w:t>
      </w:r>
      <w:bookmarkStart w:id="149" w:name="乙方名称"/>
      <w:bookmarkEnd w:id="149"/>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w:t>
      </w:r>
    </w:p>
    <w:p w14:paraId="252116C6">
      <w:pPr>
        <w:rPr>
          <w:rFonts w:ascii="仿宋" w:hAnsi="仿宋" w:eastAsia="仿宋" w:cs="仿宋"/>
          <w:color w:val="auto"/>
          <w:sz w:val="24"/>
          <w:szCs w:val="24"/>
          <w:highlight w:val="none"/>
          <w:lang w:eastAsia="zh-CN"/>
        </w:rPr>
      </w:pPr>
    </w:p>
    <w:p w14:paraId="2744C1B2">
      <w:pPr>
        <w:jc w:val="center"/>
        <w:rPr>
          <w:rFonts w:ascii="仿宋" w:hAnsi="仿宋" w:eastAsia="仿宋" w:cs="仿宋"/>
          <w:color w:val="auto"/>
          <w:sz w:val="24"/>
          <w:szCs w:val="24"/>
          <w:highlight w:val="none"/>
          <w:lang w:eastAsia="zh-CN"/>
        </w:rPr>
      </w:pPr>
    </w:p>
    <w:p w14:paraId="0BF6D3E9">
      <w:pPr>
        <w:ind w:firstLine="720" w:firstLineChars="300"/>
        <w:jc w:val="both"/>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合同编号：</w:t>
      </w:r>
      <w:bookmarkStart w:id="150" w:name="合同编号"/>
      <w:bookmarkEnd w:id="150"/>
      <w:r>
        <w:rPr>
          <w:rFonts w:hint="eastAsia" w:ascii="仿宋" w:hAnsi="仿宋" w:eastAsia="仿宋" w:cs="仿宋"/>
          <w:color w:val="auto"/>
          <w:sz w:val="24"/>
          <w:szCs w:val="24"/>
          <w:highlight w:val="none"/>
          <w:u w:val="single"/>
          <w:lang w:eastAsia="zh-CN"/>
        </w:rPr>
        <w:t xml:space="preserve">              </w:t>
      </w:r>
    </w:p>
    <w:p w14:paraId="57C6B69C">
      <w:pPr>
        <w:ind w:firstLine="720" w:firstLineChars="300"/>
        <w:jc w:val="both"/>
        <w:rPr>
          <w:rFonts w:hint="eastAsia" w:ascii="仿宋" w:hAnsi="仿宋" w:eastAsia="仿宋" w:cs="仿宋"/>
          <w:color w:val="auto"/>
          <w:sz w:val="24"/>
          <w:szCs w:val="24"/>
          <w:highlight w:val="none"/>
          <w:u w:val="single"/>
          <w:lang w:eastAsia="zh-CN"/>
        </w:rPr>
      </w:pPr>
    </w:p>
    <w:p w14:paraId="3F81F62D">
      <w:pPr>
        <w:ind w:firstLine="720" w:firstLineChars="300"/>
        <w:jc w:val="both"/>
        <w:rPr>
          <w:rFonts w:hint="eastAsia" w:ascii="仿宋" w:hAnsi="仿宋" w:eastAsia="仿宋" w:cs="仿宋"/>
          <w:color w:val="auto"/>
          <w:sz w:val="24"/>
          <w:szCs w:val="24"/>
          <w:highlight w:val="none"/>
          <w:u w:val="single"/>
          <w:lang w:eastAsia="zh-CN"/>
        </w:rPr>
      </w:pPr>
    </w:p>
    <w:p w14:paraId="1B9BCC17">
      <w:pPr>
        <w:ind w:firstLine="720" w:firstLineChars="300"/>
        <w:jc w:val="both"/>
        <w:rPr>
          <w:rFonts w:hint="eastAsia" w:ascii="仿宋" w:hAnsi="仿宋" w:eastAsia="仿宋" w:cs="仿宋"/>
          <w:color w:val="auto"/>
          <w:sz w:val="24"/>
          <w:szCs w:val="24"/>
          <w:highlight w:val="none"/>
          <w:u w:val="single"/>
          <w:lang w:eastAsia="zh-CN"/>
        </w:rPr>
      </w:pPr>
    </w:p>
    <w:p w14:paraId="2E035709">
      <w:pPr>
        <w:ind w:firstLine="720" w:firstLineChars="300"/>
        <w:jc w:val="both"/>
        <w:rPr>
          <w:rFonts w:hint="eastAsia" w:ascii="仿宋" w:hAnsi="仿宋" w:eastAsia="仿宋" w:cs="仿宋"/>
          <w:color w:val="auto"/>
          <w:sz w:val="24"/>
          <w:szCs w:val="24"/>
          <w:highlight w:val="none"/>
          <w:u w:val="single"/>
          <w:lang w:eastAsia="zh-CN"/>
        </w:rPr>
      </w:pPr>
    </w:p>
    <w:p w14:paraId="20A2E636">
      <w:pPr>
        <w:pStyle w:val="4"/>
        <w:rPr>
          <w:rFonts w:ascii="仿宋" w:hAnsi="仿宋" w:eastAsia="仿宋" w:cs="仿宋"/>
          <w:color w:val="auto"/>
          <w:sz w:val="18"/>
          <w:szCs w:val="21"/>
          <w:highlight w:val="none"/>
          <w:lang w:eastAsia="zh-CN"/>
        </w:rPr>
      </w:pPr>
    </w:p>
    <w:p w14:paraId="34FF0627">
      <w:pPr>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签订时间：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70C6CB1">
      <w:pPr>
        <w:spacing w:line="600" w:lineRule="exact"/>
        <w:ind w:firstLine="480" w:firstLineChars="200"/>
        <w:rPr>
          <w:rFonts w:ascii="仿宋" w:hAnsi="仿宋" w:eastAsia="仿宋" w:cs="仿宋"/>
          <w:color w:val="auto"/>
          <w:sz w:val="24"/>
          <w:szCs w:val="24"/>
          <w:highlight w:val="none"/>
          <w:lang w:eastAsia="zh-CN"/>
        </w:rPr>
        <w:sectPr>
          <w:footerReference r:id="rId6" w:type="default"/>
          <w:pgSz w:w="11906" w:h="16838"/>
          <w:pgMar w:top="2098" w:right="1531" w:bottom="1984" w:left="1531" w:header="851" w:footer="992" w:gutter="0"/>
          <w:cols w:space="425" w:num="1"/>
          <w:docGrid w:type="lines" w:linePitch="312" w:charSpace="0"/>
        </w:sectPr>
      </w:pPr>
    </w:p>
    <w:p w14:paraId="771EE33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发包人（甲方）：</w:t>
      </w:r>
      <w:r>
        <w:rPr>
          <w:rFonts w:hint="eastAsia" w:ascii="仿宋" w:hAnsi="仿宋" w:eastAsia="仿宋" w:cs="仿宋"/>
          <w:color w:val="auto"/>
          <w:sz w:val="24"/>
          <w:szCs w:val="24"/>
          <w:highlight w:val="none"/>
          <w:u w:val="single"/>
          <w:lang w:eastAsia="zh-CN"/>
        </w:rPr>
        <w:t xml:space="preserve">         西南民族大学         </w:t>
      </w:r>
    </w:p>
    <w:p w14:paraId="42D007D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住所地：</w:t>
      </w:r>
      <w:r>
        <w:rPr>
          <w:rFonts w:hint="eastAsia" w:ascii="仿宋" w:hAnsi="仿宋" w:eastAsia="仿宋" w:cs="仿宋"/>
          <w:color w:val="auto"/>
          <w:sz w:val="24"/>
          <w:szCs w:val="24"/>
          <w:highlight w:val="none"/>
          <w:u w:val="single"/>
          <w:lang w:eastAsia="zh-CN"/>
        </w:rPr>
        <w:t xml:space="preserve">四川省成都市武侯区一环路南四段 16 号 </w:t>
      </w:r>
    </w:p>
    <w:p w14:paraId="59E895A3">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lang w:val="en-US" w:eastAsia="zh-CN"/>
        </w:rPr>
        <w:t>麦贤敏</w:t>
      </w:r>
    </w:p>
    <w:p w14:paraId="5547727C">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统一社会信用代码：</w:t>
      </w:r>
      <w:r>
        <w:rPr>
          <w:rFonts w:hint="eastAsia" w:ascii="仿宋" w:hAnsi="仿宋" w:eastAsia="仿宋" w:cs="仿宋"/>
          <w:color w:val="auto"/>
          <w:sz w:val="24"/>
          <w:szCs w:val="24"/>
          <w:highlight w:val="none"/>
          <w:u w:val="single"/>
          <w:lang w:eastAsia="zh-CN"/>
        </w:rPr>
        <w:t>12100000450725738G</w:t>
      </w:r>
    </w:p>
    <w:p w14:paraId="732CBF53">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承包人（乙方）：</w:t>
      </w:r>
      <w:bookmarkStart w:id="151" w:name="乙方名称3"/>
      <w:bookmarkEnd w:id="151"/>
      <w:r>
        <w:rPr>
          <w:rFonts w:hint="eastAsia" w:ascii="仿宋" w:hAnsi="仿宋" w:eastAsia="仿宋" w:cs="仿宋"/>
          <w:color w:val="auto"/>
          <w:sz w:val="24"/>
          <w:szCs w:val="24"/>
          <w:highlight w:val="none"/>
          <w:u w:val="single"/>
          <w:lang w:eastAsia="zh-CN"/>
        </w:rPr>
        <w:t xml:space="preserve">    </w:t>
      </w:r>
      <w:bookmarkStart w:id="152" w:name="合同名称2"/>
      <w:bookmarkEnd w:id="152"/>
      <w:r>
        <w:rPr>
          <w:rFonts w:hint="eastAsia" w:ascii="仿宋" w:hAnsi="仿宋" w:eastAsia="仿宋" w:cs="仿宋"/>
          <w:color w:val="auto"/>
          <w:sz w:val="24"/>
          <w:szCs w:val="24"/>
          <w:highlight w:val="none"/>
          <w:u w:val="single"/>
          <w:lang w:eastAsia="zh-CN"/>
        </w:rPr>
        <w:t xml:space="preserve">    </w:t>
      </w:r>
    </w:p>
    <w:p w14:paraId="37184FE0">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住所地：</w:t>
      </w:r>
      <w:r>
        <w:rPr>
          <w:rFonts w:hint="eastAsia" w:ascii="仿宋" w:hAnsi="仿宋" w:eastAsia="仿宋" w:cs="仿宋"/>
          <w:color w:val="auto"/>
          <w:sz w:val="24"/>
          <w:szCs w:val="24"/>
          <w:highlight w:val="none"/>
          <w:u w:val="single"/>
          <w:lang w:eastAsia="zh-CN"/>
        </w:rPr>
        <w:t xml:space="preserve">      </w:t>
      </w:r>
    </w:p>
    <w:p w14:paraId="33F88B48">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u w:val="single"/>
          <w:lang w:eastAsia="zh-CN"/>
        </w:rPr>
        <w:t xml:space="preserve">     </w:t>
      </w:r>
    </w:p>
    <w:p w14:paraId="19B91B6B">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统一社会信用代码：</w:t>
      </w:r>
      <w:r>
        <w:rPr>
          <w:rFonts w:hint="eastAsia" w:ascii="仿宋" w:hAnsi="仿宋" w:eastAsia="仿宋" w:cs="仿宋"/>
          <w:color w:val="auto"/>
          <w:sz w:val="24"/>
          <w:szCs w:val="24"/>
          <w:highlight w:val="none"/>
          <w:u w:val="single"/>
          <w:lang w:eastAsia="zh-CN"/>
        </w:rPr>
        <w:t xml:space="preserve">      </w:t>
      </w:r>
    </w:p>
    <w:p w14:paraId="279FDC4E">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因乙方为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项目成交供应商，现根据《中华人民共和国民法典》、《中华人民共和国建筑法》及有关法律规定，遵循平等、自愿、公平和诚实信用的原则，双方协商一致，共同达成如下协议：</w:t>
      </w:r>
    </w:p>
    <w:p w14:paraId="0AEB4261">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第一条  工程概况</w:t>
      </w:r>
    </w:p>
    <w:p w14:paraId="226FFD01">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 工程名称：</w:t>
      </w:r>
      <w:r>
        <w:rPr>
          <w:rFonts w:hint="eastAsia" w:ascii="仿宋" w:hAnsi="仿宋" w:eastAsia="仿宋" w:cs="仿宋"/>
          <w:color w:val="auto"/>
          <w:sz w:val="24"/>
          <w:szCs w:val="24"/>
          <w:highlight w:val="none"/>
          <w:u w:val="single"/>
          <w:lang w:eastAsia="zh-CN"/>
        </w:rPr>
        <w:t xml:space="preserve">                           </w:t>
      </w:r>
    </w:p>
    <w:p w14:paraId="1BA4278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1.2 工程地点：</w:t>
      </w:r>
      <w:r>
        <w:rPr>
          <w:rFonts w:hint="eastAsia" w:ascii="仿宋" w:hAnsi="仿宋" w:eastAsia="仿宋" w:cs="仿宋"/>
          <w:color w:val="auto"/>
          <w:sz w:val="24"/>
          <w:szCs w:val="24"/>
          <w:highlight w:val="none"/>
          <w:u w:val="single"/>
          <w:lang w:eastAsia="zh-CN"/>
        </w:rPr>
        <w:t xml:space="preserve">                           </w:t>
      </w:r>
    </w:p>
    <w:p w14:paraId="09A076AB">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 工程范围：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w:t>
      </w:r>
    </w:p>
    <w:p w14:paraId="75E781A7">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1.4 承包方式：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乙方包工包料承包完成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eastAsia="zh-CN"/>
        </w:rPr>
        <w:t>。</w:t>
      </w:r>
    </w:p>
    <w:p w14:paraId="48B3F4C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1.5 施工工期：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日历天，自甲方签署开工报告之日起开始计算。</w:t>
      </w:r>
    </w:p>
    <w:p w14:paraId="0543960D">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1.6 工程质量：</w:t>
      </w:r>
      <w:r>
        <w:rPr>
          <w:rFonts w:hint="eastAsia" w:ascii="仿宋" w:hAnsi="仿宋" w:eastAsia="仿宋" w:cs="仿宋"/>
          <w:color w:val="auto"/>
          <w:sz w:val="24"/>
          <w:szCs w:val="24"/>
          <w:highlight w:val="none"/>
          <w:u w:val="single"/>
          <w:lang w:eastAsia="zh-CN"/>
        </w:rPr>
        <w:t xml:space="preserve">  一次性验收合格  </w:t>
      </w:r>
      <w:r>
        <w:rPr>
          <w:rFonts w:hint="eastAsia" w:ascii="仿宋" w:hAnsi="仿宋" w:eastAsia="仿宋" w:cs="仿宋"/>
          <w:color w:val="auto"/>
          <w:sz w:val="24"/>
          <w:szCs w:val="24"/>
          <w:highlight w:val="none"/>
          <w:lang w:eastAsia="zh-CN"/>
        </w:rPr>
        <w:t>。</w:t>
      </w:r>
    </w:p>
    <w:p w14:paraId="42F7F059">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1.7 合同暂定价（人民币）：</w:t>
      </w:r>
      <w:bookmarkStart w:id="153" w:name="合同金额"/>
      <w:bookmarkEnd w:id="153"/>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元，大写：</w:t>
      </w:r>
      <w:bookmarkStart w:id="154" w:name="金额大写"/>
      <w:bookmarkEnd w:id="154"/>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。最终金额以甲方审计单位的审定金额为准。</w:t>
      </w:r>
    </w:p>
    <w:p w14:paraId="7D105B1A">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第二条  发包人（甲方）工作</w:t>
      </w:r>
    </w:p>
    <w:p w14:paraId="4C04610C">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2.1 甲方指定</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为现场管理员，负责项目的安全、质量、进度和造价管理。</w:t>
      </w:r>
    </w:p>
    <w:p w14:paraId="712305F3">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2.2 开工前向乙方进行技术交底，涉及变更部分需经由甲方授权的主管部门技术负责人审核签字后交由乙方进行施工。</w:t>
      </w:r>
    </w:p>
    <w:p w14:paraId="332B63FD">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2.3 对工程质量、进度进行监督检查，并按规定办理验收、变更、签证等手续和其他事项。</w:t>
      </w:r>
    </w:p>
    <w:p w14:paraId="32303A9E">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2.4 由甲方审计部门按照相关规定对该项工程进行工程审计。</w:t>
      </w:r>
    </w:p>
    <w:p w14:paraId="3BD88DEF">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第三条  承包人（乙方）工作</w:t>
      </w:r>
    </w:p>
    <w:p w14:paraId="2615C435">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3.1 需根据甲方使用需求对改造方案进行细化设计，根据工程实际需要，按甲方的要求明确</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lang w:eastAsia="zh-CN"/>
        </w:rPr>
        <w:t>设计方案和</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lang w:eastAsia="zh-CN"/>
        </w:rPr>
        <w:t>施工方案，并交由甲方审核后进行施工。乙方违反此条约定的，甲方有权拒绝支付后续款项且不承担违约责任。</w:t>
      </w:r>
    </w:p>
    <w:p w14:paraId="07D23694">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3.2 工程竣工资料及送审资料应在自工程竣工验收后30个工作日内交于甲方。逾期未送审的，视为违约，按照每天2000元计算违约金，违约金在工程结算时，由甲方审计单位在工程结算价款中扣除。维修工程审计事项按审计工作相关文件执行。乙方违反此条约定未送审或送审资料不符合要求的，甲方有权拒绝支付后续款项且不承担违约责任。</w:t>
      </w:r>
    </w:p>
    <w:p w14:paraId="69056FE2">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3.3 乙方指派</w:t>
      </w:r>
      <w:r>
        <w:rPr>
          <w:rFonts w:hint="eastAsia" w:ascii="仿宋" w:hAnsi="仿宋" w:eastAsia="仿宋" w:cs="仿宋"/>
          <w:color w:val="auto"/>
          <w:sz w:val="24"/>
          <w:szCs w:val="24"/>
          <w:highlight w:val="none"/>
          <w:u w:val="single"/>
          <w:lang w:eastAsia="zh-CN"/>
        </w:rPr>
        <w:t xml:space="preserve">    （身份证号：      证书号：    ）</w:t>
      </w:r>
      <w:r>
        <w:rPr>
          <w:rFonts w:hint="eastAsia" w:ascii="仿宋" w:hAnsi="仿宋" w:eastAsia="仿宋" w:cs="仿宋"/>
          <w:color w:val="auto"/>
          <w:sz w:val="24"/>
          <w:szCs w:val="24"/>
          <w:highlight w:val="none"/>
          <w:lang w:eastAsia="zh-CN"/>
        </w:rPr>
        <w:t>为项目经理，负责合同履行，组织施工，协调施工相关事宜。未经甲方书面同意，乙方不得擅自更换项目经理。项目经理应是乙方正式聘用的员工，乙方应在本合同生效后 10 日内向甲方提交项目经理与乙方之间的劳动合同，以及乙方为项目经理缴纳社会保险的有效证明。乙方不提交上述文件的，项目经理无权履行职责，甲方有权要求更换项目经理，由此增加的费用和（或）延误的工期由乙方承担，且乙方应向甲方支付合同暂定价10%的违约金。</w:t>
      </w:r>
    </w:p>
    <w:p w14:paraId="29B696FA">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3.4 乙方应保质、保量按期完成施工任务。</w:t>
      </w:r>
    </w:p>
    <w:p w14:paraId="010717A7">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3.5 除本合同另有约定外，乙方明确表示或者以其行为表明不履行合同主要义务的，甲方有权单方解除合同，乙方应向甲方支付合同暂定价20%的违约金并赔偿甲方因此遭受的一切损失。</w:t>
      </w:r>
    </w:p>
    <w:p w14:paraId="3EB093FE">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3.6 因乙方自身原因导致其已无法继续履行合同，甲方有权单方解除合同，乙方还应向甲方支付合同暂定价20%的违约金并赔偿甲方因此所遭受的一切损失。</w:t>
      </w:r>
    </w:p>
    <w:p w14:paraId="190CFA03">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3.7 乙方严格执行施工规范，安全操作规范，防火安全规定。严格按照图纸或作法说明施工。参加竣工验收，编制工程结算。乙方履行合同不满足要求的，甲方有权要求乙方进行整改。</w:t>
      </w:r>
    </w:p>
    <w:p w14:paraId="3165D019">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3.8 乙方应遵守国家和甲方有关部门对施工现场管理的规定，妥善保护好施工现场周围建筑物，设备管线，古树名木不受损坏，协助甲方作好余土和建渣的消纳工作，处理好因施工带来的扰民问题与民扰问题的关系。若乙方违反此条约定给甲方造成损失的，乙方应全额赔偿。</w:t>
      </w:r>
    </w:p>
    <w:p w14:paraId="6A6E7DA8">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3.9 乙方不得擅自占用、挪用和改变甲方的设备设施，且施工过程中应当对甲方的设备设施采取有效的保护措施。乙方在履行合同过程中损坏甲方设备设施的，应当按甲方要求进行维修或者照价赔偿。乙方拒绝维修或赔偿的，甲方有权不经过乙方同意直接委托第三方维修或采购替换产品，因此产生的一切费用由乙方承担。甲方有权从任何应付款项、履约保证金和/或质保金中直接扣除该部分费用，不足部分，由乙方继续补足。</w:t>
      </w:r>
    </w:p>
    <w:p w14:paraId="4070E187">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3.10 乙方须做好项目安全培训工作，相关人员必须持证上岗、规范操作，并承担造成甲方或第三方人身、财产损害的赔偿责任。赔偿范围包括但不限于甲方因此支付的违约金、赔偿金、补偿金、罚款、诉讼或仲裁费、保全费、保全保险费、鉴定费、评估拍卖费、执行费、律师费等一切费用。乙方在履行合同过程中造成乙方人员人身、财产损害的，由乙方自行承担全部责任，与甲方无关。</w:t>
      </w:r>
    </w:p>
    <w:p w14:paraId="7DBE7B48">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3.11 乙方在收到甲方支付的项目款后，应优先安排项目施工工人、农民工工资的支付，不得无故或恶意拖欠。不能出现因拖欠施工工人、农民工工资发生静坐、围堵、拉标语等社会事件。如导致甲方被追索时，甲方在根据行政要求、司法及仲裁裁决先支付建筑工人工资及相关费用后，除有权向乙方追偿上述代付款外，还有权按与代付款等额的金额向乙方收取违约金，甲方有权从履约保证金或应付的任何款项中扣回。</w:t>
      </w:r>
    </w:p>
    <w:p w14:paraId="3C5FDF15">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3.12 乙方进出校园的电动车，需按甲方相关规定办理通行标识。校园电动车行驶速度不超过 15 公里/小时，电动车应按划定区域有序停放，严禁在消防通道、人行道、草坪、教学楼、宿舍等禁停区域停放，不得影响校园交通秩序和其他车辆停放。电动车须到集中充电装置点充电，并使用符合规范的充电器。损坏停放场地内的设施、装置的，由乙方承担赔偿责任。严禁在建筑物公共门厅、疏散走道、楼梯间、安全出口或周边停放电动车或者为电动车充电。严禁在室内或私自拉线充电。乙方工作人员违反以上义务视为乙方违反以上义务。乙方违反上述规定，因此给甲方造成损失的，乙方应当全额赔偿。</w:t>
      </w:r>
    </w:p>
    <w:p w14:paraId="59B0FB23">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3.13 乙方应保证对项目款资金专款专用，不得挪用本项目资金（如将项目进度款用于与本项目无关的其它项目）。</w:t>
      </w:r>
    </w:p>
    <w:p w14:paraId="43DEEC60">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3.14 乙方不得随意解除本合同。</w:t>
      </w:r>
    </w:p>
    <w:p w14:paraId="670AA8F0">
      <w:pPr>
        <w:spacing w:line="600" w:lineRule="exact"/>
        <w:ind w:firstLine="480" w:firstLineChars="200"/>
        <w:rPr>
          <w:rStyle w:val="23"/>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3.15 除本合同另有约定外，乙方如果有其他违反本合同约定的违约行为的，每违反一次或一项，应向甲方支付合同暂定价10%的违约金并赔偿因此给甲方造成的全部损失</w:t>
      </w:r>
      <w:r>
        <w:rPr>
          <w:rStyle w:val="23"/>
          <w:rFonts w:hint="eastAsia" w:ascii="仿宋" w:hAnsi="仿宋" w:eastAsia="仿宋" w:cs="仿宋"/>
          <w:color w:val="auto"/>
          <w:sz w:val="24"/>
          <w:szCs w:val="24"/>
          <w:highlight w:val="none"/>
          <w:lang w:eastAsia="zh-CN"/>
        </w:rPr>
        <w:t>。</w:t>
      </w:r>
    </w:p>
    <w:p w14:paraId="1077C72B">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第四条  关于工期的约定</w:t>
      </w:r>
    </w:p>
    <w:p w14:paraId="3D6448B0">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4.1 合同工期自合同生效后，甲方签订开工报告日期起开始计算，至竣工验收合格之日。</w:t>
      </w:r>
    </w:p>
    <w:p w14:paraId="19BBEE9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4.2 因变更方案或其他非乙方原因造成的工期延误，经甲方书面确认后可工期顺延。</w:t>
      </w:r>
    </w:p>
    <w:p w14:paraId="099DF464">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4.3 因异常恶劣的气候条件：十级以上大风、连续雨天、泥石流、冰雹、断道等，经甲方书面认可后导致的工期延误可顺延。</w:t>
      </w:r>
    </w:p>
    <w:p w14:paraId="0AFF97B0">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4.4 由于乙方原因造成不能按期竣工的，逾期竣工违约金按每天2000元支付逾期违约金。工程结算时，由甲方审计单位在工程结算价款中扣除。逾期超过60日的，甲方有权解除合同，乙方应向甲方支付合同暂定价20%的违约金，并赔偿因此给甲方造成的一切损失。</w:t>
      </w:r>
    </w:p>
    <w:p w14:paraId="112C47A5">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第五条  关于工程质量及验收的约定</w:t>
      </w:r>
    </w:p>
    <w:p w14:paraId="0E3D7F96">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5.1 本工程以施工图纸作法说明、设计变更和国家制定的有关施工及验收规范为质量评定验收标准。</w:t>
      </w:r>
    </w:p>
    <w:p w14:paraId="6AAEF817">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5.2 本工程质量应达到国家质量评定合格标准。</w:t>
      </w:r>
    </w:p>
    <w:p w14:paraId="11B39AF1">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5.3 工程竣工后，乙方书面通知甲方验收，甲方接到通知   后组织验收，并办理相关手续。</w:t>
      </w:r>
    </w:p>
    <w:p w14:paraId="2C7FE7D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5.4 工程竣工验收时同时提交竣工资料一式肆套、竣工图一式肆套及电子文档一套。如乙方未按要求提交相关资料甲方有权拒绝验收，因此造成工期延误等均由乙方自行承担一切后果。</w:t>
      </w:r>
    </w:p>
    <w:p w14:paraId="6AB0F1E9">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5.5 乙方对所承担的工程所发生的施工质量问题及事故应承担全部责任。不论是否经过甲方质量验收或第三方监理，都不能免除所应承担的责任，不得以任何理由提出增加费用或推迟进度。</w:t>
      </w:r>
    </w:p>
    <w:p w14:paraId="6DCB3ED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5.6 工程应达到项目所在地竣工验收的要求。如达不到，甲方有权要求乙方返工，直到符合约定条件，因此产生的一切费用由乙方承担且工期不予顺延。返工后仍达不到约定要求或因返工造成工程延期的，乙方按照本合同第4.4款之约定承担违约责任。</w:t>
      </w:r>
    </w:p>
    <w:p w14:paraId="557D6062">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第六条  关于工程价款及结算的约定</w:t>
      </w:r>
    </w:p>
    <w:p w14:paraId="650B932C">
      <w:pPr>
        <w:spacing w:line="60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szCs w:val="24"/>
          <w:highlight w:val="none"/>
          <w:lang w:eastAsia="zh-CN"/>
        </w:rPr>
        <w:t>6.1 结算方式：</w:t>
      </w:r>
      <w:r>
        <w:rPr>
          <w:rFonts w:hint="eastAsia" w:ascii="仿宋" w:hAnsi="仿宋" w:eastAsia="仿宋" w:cs="仿宋"/>
          <w:color w:val="auto"/>
          <w:kern w:val="2"/>
          <w:sz w:val="24"/>
          <w:szCs w:val="24"/>
          <w:highlight w:val="none"/>
          <w:lang w:eastAsia="zh-CN"/>
        </w:rPr>
        <w:t>按照以下第（</w:t>
      </w:r>
      <w:r>
        <w:rPr>
          <w:rFonts w:hint="eastAsia" w:ascii="仿宋" w:hAnsi="仿宋" w:eastAsia="仿宋" w:cs="仿宋"/>
          <w:color w:val="auto"/>
          <w:kern w:val="2"/>
          <w:sz w:val="24"/>
          <w:szCs w:val="24"/>
          <w:highlight w:val="none"/>
          <w:u w:val="single"/>
          <w:lang w:eastAsia="zh-CN"/>
        </w:rPr>
        <w:t xml:space="preserve">   </w:t>
      </w:r>
      <w:r>
        <w:rPr>
          <w:rFonts w:hint="eastAsia" w:ascii="仿宋" w:hAnsi="仿宋" w:eastAsia="仿宋" w:cs="仿宋"/>
          <w:color w:val="auto"/>
          <w:kern w:val="2"/>
          <w:sz w:val="24"/>
          <w:szCs w:val="24"/>
          <w:highlight w:val="none"/>
          <w:lang w:eastAsia="zh-CN"/>
        </w:rPr>
        <w:t>）种方式进行结算。</w:t>
      </w:r>
    </w:p>
    <w:p w14:paraId="4B26863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①实际结算价=可竞争费用+以可竞争费用中相应费用为计价基础计算出的不可竞争费用+税金（按国家税务机关颁发的税务登记表进行核算）。经审计单位审定金额作为结算价款。</w:t>
      </w:r>
    </w:p>
    <w:p w14:paraId="777776EB">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可竞争费用为分部分项工程清单费、除安全文明施工费外的措施费；</w:t>
      </w:r>
    </w:p>
    <w:p w14:paraId="56C9D2D7">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分部分项工程清单费=投标清单单价为基准*（1-</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浮动比例]）*甲方审核认可的实际工程量。清单中未包含的项目按照现行中华人民共和国国家标准《建设工程量清单计价规范》（GB50500）和现行《四川省建设工程工程量清单计价定额》计价并按照浮动比例进行下浮（新旧规范或新旧定额并行期间根据实际情况选用）。现行《建设工程量清单计价规范》（GB50500）和《四川省建设工程工程量清单计价定额》及投标清单中没有的材料按《成都市工程造价信息》执行当期信息价（厂商报价及广告价不予采纳），信息价中未包含的材料由甲方参照市场价进行材料认质认价确认执行价格。</w:t>
      </w:r>
    </w:p>
    <w:p w14:paraId="34B0992B">
      <w:pPr>
        <w:spacing w:line="600" w:lineRule="exact"/>
        <w:ind w:firstLine="482" w:firstLineChars="200"/>
        <w:rPr>
          <w:rFonts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浮动比例</w:t>
      </w:r>
      <w:r>
        <w:rPr>
          <w:rFonts w:hint="eastAsia" w:ascii="仿宋" w:hAnsi="仿宋" w:eastAsia="仿宋" w:cs="仿宋"/>
          <w:color w:val="auto"/>
          <w:sz w:val="24"/>
          <w:szCs w:val="24"/>
          <w:highlight w:val="none"/>
          <w:lang w:eastAsia="zh-CN"/>
        </w:rPr>
        <w:t>=（1-最后报价中可竞争费用/初次报价可竞争费用）×100%，浮动比例可精确到小数点后两位。</w:t>
      </w:r>
    </w:p>
    <w:p w14:paraId="7A4250AE">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不可竞争费用为安全文明施工费、规费、其他项目费（暂列金、暂估价等），其中规费按以承包人的企业资质等级按规定计取；安全文明施工费按基本费率计取。</w:t>
      </w:r>
    </w:p>
    <w:p w14:paraId="661F4C86">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②实际结算价=可竞争费用+以可竞争费用中相应费用为计价基础计算出的不可竞争费用+税金（按国家税务机关颁发的税务登记表进行核算）。经审计单位审定金额作为结算价款。</w:t>
      </w:r>
    </w:p>
    <w:p w14:paraId="4715F86B">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可竞争费用为分部分项工程清单费、除安全文明施工费外的措施费；</w:t>
      </w:r>
    </w:p>
    <w:p w14:paraId="30E53102">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分部分项工程清单费=投标清单单价为基准*甲方审核认可的实际工程量。清单中未包含的项目按照现行中华人民共和国国家标准《建设工程量清单计价规范》（GB50500）和现行《四川省建设工程工程量清单计价定额》计算（新旧规范或新旧定额并行期间根据实际情况选用），并按照招标控制价和中标价格进行同比例下浮。现行《建设工程量清单计价规范》（GB50500）和《四川省建设工程工程量清单计价定额》、投标清单中没有的材料按《成都市工程造价信息》执行当期信息价（厂商报价及广告价不予采纳），信息价中未包含的项目由甲方参照市场价进行材料认质认价确认执行价格。</w:t>
      </w:r>
    </w:p>
    <w:p w14:paraId="0F75302B">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不可竞争费用为安全文明施工费、规费、其他项目费（暂列金、暂估价等），其中规费按以承包人的企业资质等级按规定计取；安全文明施工费按基本费率计取。</w:t>
      </w:r>
    </w:p>
    <w:p w14:paraId="213161B8">
      <w:pPr>
        <w:spacing w:line="600" w:lineRule="exact"/>
        <w:ind w:firstLine="480" w:firstLineChars="200"/>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③</w:t>
      </w:r>
      <w:r>
        <w:rPr>
          <w:rFonts w:hint="eastAsia" w:ascii="仿宋" w:hAnsi="仿宋" w:eastAsia="仿宋" w:cs="仿宋"/>
          <w:color w:val="auto"/>
          <w:sz w:val="24"/>
          <w:szCs w:val="24"/>
          <w:highlight w:val="none"/>
          <w:lang w:eastAsia="zh-CN"/>
        </w:rPr>
        <w:t>甲方审核认可的施工图和实际工程量，按照现行中华人民共和国国家标准《建设工程量清单计价规范》（GB50500）和现行《四川省建设工程工程量清单计价定额》计算（新旧规范或新旧定额并行期间根据实际情况选用）。实际结算价=可竞争费用*（1-</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%[成交的下浮率]）+以可竞争费用中相应费用为计价基础计算出的不可竞争费用+税金（以</w:t>
      </w:r>
      <w:r>
        <w:rPr>
          <w:rFonts w:hint="eastAsia" w:ascii="仿宋" w:hAnsi="仿宋" w:eastAsia="仿宋" w:cs="仿宋"/>
          <w:color w:val="auto"/>
          <w:sz w:val="24"/>
          <w:szCs w:val="24"/>
          <w:highlight w:val="none"/>
          <w:lang w:val="en-US" w:eastAsia="zh-CN"/>
        </w:rPr>
        <w:t>下浮后的</w:t>
      </w:r>
      <w:r>
        <w:rPr>
          <w:rFonts w:hint="eastAsia" w:ascii="仿宋" w:hAnsi="仿宋" w:eastAsia="仿宋" w:cs="仿宋"/>
          <w:color w:val="auto"/>
          <w:sz w:val="24"/>
          <w:szCs w:val="24"/>
          <w:highlight w:val="none"/>
          <w:lang w:eastAsia="zh-CN"/>
        </w:rPr>
        <w:t>可竞争费用与不可竞争费用为计价基础乘以相应税率），经审计单位审定金额作为结算价款。其中规费按施工企业取费证相应费率计取；安全文明施工费按基本费率计取；材料价格执行当期信息价《成都市工程造价信息》中有的材料价格（厂商报价及广告价不予采纳），信息价中未包含的材料由甲方参照市场价进行材料认质认价确认执行价格。</w:t>
      </w:r>
    </w:p>
    <w:p w14:paraId="4BFA5C15">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上述3种结算方式总价均包括工程所需的全部责任，包括但不仅限于人工、材料安装、设备、检验、运输、验收、管理、利润、税金、措施费、移交费用、按行业和政府相关规定需要乙方办理的手续费用及政策性文件规定的各项应有费用及合同明示或暗示的所有一切风险（包括但不仅限于材料价格、人工费用等市场价格风险）、责任和义务的费用；由乙方包工、包料、包机械、包运输、包安装、包管理、包质量、包工期、包安全施工、包文明施工、包检验、包验收、包现场协调达到设计、使用要求和甲方要求及技术规范、规程要求的所有费用。</w:t>
      </w:r>
    </w:p>
    <w:p w14:paraId="458F49FE">
      <w:pPr>
        <w:spacing w:line="6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 付款方式：按照以下第（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）种方式支付。</w:t>
      </w:r>
    </w:p>
    <w:p w14:paraId="7B5F9A5D">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①合同生效后</w:t>
      </w:r>
      <w:r>
        <w:rPr>
          <w:rFonts w:hint="eastAsia" w:ascii="仿宋" w:hAnsi="仿宋" w:eastAsia="仿宋" w:cs="仿宋"/>
          <w:color w:val="auto"/>
          <w:sz w:val="24"/>
          <w:szCs w:val="24"/>
          <w:highlight w:val="none"/>
          <w:u w:val="single"/>
          <w:lang w:eastAsia="zh-CN"/>
        </w:rPr>
        <w:t xml:space="preserve"> 15 </w:t>
      </w:r>
      <w:r>
        <w:rPr>
          <w:rFonts w:hint="eastAsia" w:ascii="仿宋" w:hAnsi="仿宋" w:eastAsia="仿宋" w:cs="仿宋"/>
          <w:color w:val="auto"/>
          <w:sz w:val="24"/>
          <w:szCs w:val="24"/>
          <w:highlight w:val="none"/>
          <w:lang w:eastAsia="zh-CN"/>
        </w:rPr>
        <w:t>个工作日内甲方支付合同暂定价的30%作为预付款。经工程验收合格、乙方按约定交付竣工资料及工程质保金和水电费等、工程结算审计确认后乙方根据审计确定金额开具剩余工程款增值税发票经甲方审核无误后15日内按审定金额支付剩余价款。</w:t>
      </w:r>
    </w:p>
    <w:p w14:paraId="53FCD703">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②合同生效后</w:t>
      </w:r>
      <w:r>
        <w:rPr>
          <w:rFonts w:hint="eastAsia" w:ascii="仿宋" w:hAnsi="仿宋" w:eastAsia="仿宋" w:cs="仿宋"/>
          <w:color w:val="auto"/>
          <w:sz w:val="24"/>
          <w:szCs w:val="24"/>
          <w:highlight w:val="none"/>
          <w:u w:val="single"/>
          <w:lang w:eastAsia="zh-CN"/>
        </w:rPr>
        <w:t xml:space="preserve"> 15 </w:t>
      </w:r>
      <w:r>
        <w:rPr>
          <w:rFonts w:hint="eastAsia" w:ascii="仿宋" w:hAnsi="仿宋" w:eastAsia="仿宋" w:cs="仿宋"/>
          <w:color w:val="auto"/>
          <w:sz w:val="24"/>
          <w:szCs w:val="24"/>
          <w:highlight w:val="none"/>
          <w:lang w:eastAsia="zh-CN"/>
        </w:rPr>
        <w:t>个工作日内甲方支付合同暂定价的30%作为预付款，工程竣工验收后甲方支付合同暂定价的</w:t>
      </w:r>
      <w:r>
        <w:rPr>
          <w:rFonts w:ascii="仿宋" w:hAnsi="仿宋" w:eastAsia="仿宋" w:cs="仿宋"/>
          <w:color w:val="auto"/>
          <w:sz w:val="24"/>
          <w:szCs w:val="24"/>
          <w:highlight w:val="none"/>
          <w:u w:val="single"/>
          <w:lang w:eastAsia="zh-CN"/>
        </w:rPr>
        <w:t>___</w:t>
      </w:r>
      <w:r>
        <w:rPr>
          <w:rFonts w:hint="eastAsia" w:ascii="仿宋" w:hAnsi="仿宋" w:eastAsia="仿宋" w:cs="仿宋"/>
          <w:color w:val="auto"/>
          <w:sz w:val="24"/>
          <w:szCs w:val="24"/>
          <w:highlight w:val="none"/>
          <w:lang w:eastAsia="zh-CN"/>
        </w:rPr>
        <w:t>%的进度款，乙方按约定交付竣工资料及工程质保金和水电费等、工程结算审计确认后乙方根据审计确定金额开具剩余工程款增值税发票经甲方审核无误后15日内按审定金额支付剩余价款。</w:t>
      </w:r>
    </w:p>
    <w:p w14:paraId="1B5931A8">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③经甲方验收合格、工程结算审计后一次性支付款项。</w:t>
      </w:r>
    </w:p>
    <w:p w14:paraId="0EF2383D">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上述3种支付方式所支付款项累计总金额均不得超过本合同暂定价。乙方不得要求甲方支付超过合同暂定价。甲方不得支付超过部分价款(按照本合同第13.5条约定经过审批的除外)。</w:t>
      </w:r>
    </w:p>
    <w:p w14:paraId="23F4866C">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6.3甲方无正当理由逾期付款的，应以应付未付金额为基数，按照一年期贷款市场报价利率标准计算违约金，且以应付未付金额的5%为上限。</w:t>
      </w:r>
    </w:p>
    <w:p w14:paraId="728BCDDB">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6.4 每次付款前15个工作日，乙方应向甲方据实出具足额、真实、合法、有效且满足甲方财务要求的正规发票，用于款项支付。否则，甲方有权顺延付款期限且不承担违约责任，且乙方应当按照合同约定全面履行己方义务。</w:t>
      </w:r>
    </w:p>
    <w:p w14:paraId="29467FBE">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6.5 履约保证金：按照以下第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种方式执行。</w:t>
      </w:r>
    </w:p>
    <w:p w14:paraId="2C9E26D8">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①本项目无需缴纳履约保证金。</w:t>
      </w:r>
    </w:p>
    <w:p w14:paraId="17FC8537">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②以金融机构、担保机构出具的保函等非现金形式，在合同签订前提交履约保函，担保金额不低于</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元。保函在担保有效期后，担保责任终止。保函应满足但不限于以下要求</w:t>
      </w:r>
      <w:r>
        <w:rPr>
          <w:rFonts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eastAsia="zh-CN"/>
        </w:rPr>
        <w:t>承包人</w:t>
      </w:r>
      <w:r>
        <w:rPr>
          <w:rFonts w:ascii="仿宋" w:hAnsi="仿宋" w:eastAsia="仿宋" w:cs="仿宋"/>
          <w:color w:val="auto"/>
          <w:sz w:val="24"/>
          <w:szCs w:val="24"/>
          <w:highlight w:val="none"/>
          <w:lang w:eastAsia="zh-CN"/>
        </w:rPr>
        <w:t>名称、项目名称；(2)保函需明确受益人为“西南民族大学”；(3)保函的最高担保金额不低于本项目要求提交的履约保证金的金额；(4)保函担保的有效期应不短于本项目的</w:t>
      </w:r>
      <w:r>
        <w:rPr>
          <w:rFonts w:hint="eastAsia" w:ascii="仿宋" w:hAnsi="仿宋" w:eastAsia="仿宋" w:cs="仿宋"/>
          <w:color w:val="auto"/>
          <w:sz w:val="24"/>
          <w:szCs w:val="24"/>
          <w:highlight w:val="none"/>
          <w:lang w:eastAsia="zh-CN"/>
        </w:rPr>
        <w:t>工期，如保函到期后项目还未竣工验收，乙方应在保函到期前对保函进行延续至项目竣工验收；</w:t>
      </w:r>
      <w:r>
        <w:rPr>
          <w:rFonts w:ascii="仿宋" w:hAnsi="仿宋" w:eastAsia="仿宋" w:cs="仿宋"/>
          <w:color w:val="auto"/>
          <w:sz w:val="24"/>
          <w:szCs w:val="24"/>
          <w:highlight w:val="none"/>
          <w:lang w:eastAsia="zh-CN"/>
        </w:rPr>
        <w:t>(5)在收到发包人加盖公章的书面索赔通知后10个工作日内，不争辩、不挑剔、不可撤销地向受益人支付索赔款，直至保函担保的最高担保金额。</w:t>
      </w:r>
      <w:r>
        <w:rPr>
          <w:rFonts w:hint="eastAsia" w:ascii="仿宋" w:hAnsi="仿宋" w:eastAsia="仿宋" w:cs="仿宋"/>
          <w:color w:val="auto"/>
          <w:sz w:val="24"/>
          <w:szCs w:val="24"/>
          <w:highlight w:val="none"/>
          <w:lang w:eastAsia="zh-CN"/>
        </w:rPr>
        <w:t>若因承包人原因（包括但不限于保函失效、提供的保函不满足本合同约定等）导致发包人无法行使该项权利，应由承包人向发包人支付相应索赔款项。</w:t>
      </w:r>
    </w:p>
    <w:p w14:paraId="04DAE5CF">
      <w:pPr>
        <w:spacing w:line="600" w:lineRule="exact"/>
        <w:ind w:firstLine="480" w:firstLineChars="200"/>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③</w:t>
      </w:r>
      <w:r>
        <w:rPr>
          <w:rFonts w:hint="eastAsia" w:ascii="仿宋" w:hAnsi="仿宋" w:eastAsia="仿宋" w:cs="仿宋"/>
          <w:color w:val="auto"/>
          <w:sz w:val="24"/>
          <w:szCs w:val="24"/>
          <w:highlight w:val="none"/>
          <w:lang w:eastAsia="zh-CN"/>
        </w:rPr>
        <w:t>合同签订前,乙方向甲方指定账户对公转账，缴纳履约保证金</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元。工程验收合格后15日内一次性返还履约保证金（不计息）。如合同履行过程中乙方违约的，则甲方只负责向乙方退还扣除乙方相应违约行为应支付的违约金及相关赔偿后的余额，如履约保证金不足以支付包括但不限于违约金或者赔偿金等费用的，则乙方应当向甲方继续支付。履约保证金扣除包括但不限于违约金或者赔偿金等费用后，乙方应当按照甲方的要求及时补足。</w:t>
      </w:r>
    </w:p>
    <w:p w14:paraId="70AAF8D2">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6.6 质保金：在甲方支付最后一笔工程款前，乙方通过转账向甲方支付工程审定金额的3%作为质保金，</w:t>
      </w:r>
      <w:r>
        <w:rPr>
          <w:rFonts w:hint="eastAsia" w:ascii="仿宋" w:hAnsi="仿宋" w:eastAsia="仿宋" w:cs="仿宋"/>
          <w:color w:val="auto"/>
          <w:sz w:val="24"/>
          <w:szCs w:val="24"/>
          <w:highlight w:val="none"/>
        </w:rPr>
        <w:sym w:font="Wingdings 2" w:char="0052"/>
      </w:r>
      <w:r>
        <w:rPr>
          <w:rFonts w:hint="eastAsia" w:ascii="仿宋" w:hAnsi="仿宋" w:eastAsia="仿宋" w:cs="仿宋"/>
          <w:color w:val="auto"/>
          <w:sz w:val="24"/>
          <w:szCs w:val="24"/>
          <w:highlight w:val="none"/>
          <w:lang w:eastAsia="zh-CN"/>
        </w:rPr>
        <w:t>缺陷责任期</w:t>
      </w:r>
      <w:r>
        <w:rPr>
          <w:rFonts w:hint="eastAsia" w:ascii="仿宋" w:hAnsi="仿宋" w:eastAsia="仿宋" w:cs="仿宋"/>
          <w:color w:val="auto"/>
          <w:sz w:val="24"/>
          <w:szCs w:val="24"/>
          <w:highlight w:val="none"/>
        </w:rPr>
        <w:sym w:font="Wingdings 2" w:char="00A3"/>
      </w:r>
      <w:r>
        <w:rPr>
          <w:rFonts w:hint="eastAsia" w:ascii="仿宋" w:hAnsi="仿宋" w:eastAsia="仿宋" w:cs="仿宋"/>
          <w:color w:val="auto"/>
          <w:sz w:val="24"/>
          <w:szCs w:val="24"/>
          <w:highlight w:val="none"/>
          <w:lang w:eastAsia="zh-CN"/>
        </w:rPr>
        <w:t>质保期满后返还质保金余额（3%的工程款）（不计息）。</w:t>
      </w:r>
    </w:p>
    <w:p w14:paraId="49C62780">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6.7 双方的账号名称、开户银行及账号以本合同提供的为准。</w:t>
      </w:r>
    </w:p>
    <w:p w14:paraId="03A702AD">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甲方名称：西南民族大学</w:t>
      </w:r>
    </w:p>
    <w:p w14:paraId="4346B5F0">
      <w:pPr>
        <w:pStyle w:val="6"/>
        <w:spacing w:line="600" w:lineRule="exact"/>
        <w:rPr>
          <w:rFonts w:ascii="仿宋" w:hAnsi="仿宋" w:eastAsia="仿宋" w:cs="仿宋"/>
          <w:color w:val="auto"/>
          <w:sz w:val="24"/>
          <w:szCs w:val="24"/>
          <w:highlight w:val="none"/>
          <w:lang w:eastAsia="zh-CN"/>
        </w:rPr>
      </w:pPr>
    </w:p>
    <w:p w14:paraId="69FDCF14">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乙方名称：</w:t>
      </w:r>
      <w:r>
        <w:rPr>
          <w:rFonts w:hint="eastAsia" w:ascii="仿宋" w:hAnsi="仿宋" w:eastAsia="仿宋" w:cs="仿宋"/>
          <w:color w:val="auto"/>
          <w:sz w:val="24"/>
          <w:szCs w:val="24"/>
          <w:highlight w:val="none"/>
          <w:u w:val="single"/>
          <w:lang w:eastAsia="zh-CN"/>
        </w:rPr>
        <w:t xml:space="preserve">          </w:t>
      </w:r>
    </w:p>
    <w:p w14:paraId="6C723C3B">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税号：</w:t>
      </w:r>
      <w:r>
        <w:rPr>
          <w:rFonts w:hint="eastAsia" w:ascii="仿宋" w:hAnsi="仿宋" w:eastAsia="仿宋" w:cs="仿宋"/>
          <w:color w:val="auto"/>
          <w:sz w:val="24"/>
          <w:szCs w:val="24"/>
          <w:highlight w:val="none"/>
          <w:u w:val="single"/>
          <w:lang w:eastAsia="zh-CN"/>
        </w:rPr>
        <w:t xml:space="preserve">          </w:t>
      </w:r>
    </w:p>
    <w:p w14:paraId="6FB970C9">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地址：</w:t>
      </w:r>
      <w:r>
        <w:rPr>
          <w:rFonts w:hint="eastAsia" w:ascii="仿宋" w:hAnsi="仿宋" w:eastAsia="仿宋" w:cs="仿宋"/>
          <w:color w:val="auto"/>
          <w:sz w:val="24"/>
          <w:szCs w:val="24"/>
          <w:highlight w:val="none"/>
          <w:u w:val="single"/>
          <w:lang w:eastAsia="zh-CN"/>
        </w:rPr>
        <w:t xml:space="preserve">          </w:t>
      </w:r>
    </w:p>
    <w:p w14:paraId="0EEC695A">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开户行：</w:t>
      </w:r>
      <w:r>
        <w:rPr>
          <w:rFonts w:hint="eastAsia" w:ascii="仿宋" w:hAnsi="仿宋" w:eastAsia="仿宋" w:cs="仿宋"/>
          <w:color w:val="auto"/>
          <w:sz w:val="24"/>
          <w:szCs w:val="24"/>
          <w:highlight w:val="none"/>
          <w:u w:val="single"/>
          <w:lang w:eastAsia="zh-CN"/>
        </w:rPr>
        <w:t xml:space="preserve">     </w:t>
      </w:r>
    </w:p>
    <w:p w14:paraId="0EF2A32E">
      <w:pPr>
        <w:spacing w:line="600" w:lineRule="exact"/>
        <w:ind w:firstLine="480" w:firstLineChars="200"/>
        <w:rPr>
          <w:rFonts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账号：</w:t>
      </w:r>
      <w:r>
        <w:rPr>
          <w:rFonts w:hint="eastAsia" w:ascii="仿宋" w:hAnsi="仿宋" w:eastAsia="仿宋" w:cs="仿宋"/>
          <w:color w:val="auto"/>
          <w:sz w:val="24"/>
          <w:szCs w:val="24"/>
          <w:highlight w:val="none"/>
          <w:u w:val="single"/>
          <w:lang w:eastAsia="zh-CN"/>
        </w:rPr>
        <w:t xml:space="preserve">     </w:t>
      </w:r>
    </w:p>
    <w:p w14:paraId="6128F36E">
      <w:pPr>
        <w:spacing w:line="600" w:lineRule="exact"/>
        <w:ind w:firstLine="480" w:firstLineChars="200"/>
        <w:rPr>
          <w:rFonts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乙方确认以上是其合法有效的收款账户信息，如乙方的上述账户信息发生变更，须提前30日通知甲方，否则一切不利后果由乙方承担。</w:t>
      </w:r>
    </w:p>
    <w:p w14:paraId="1EDEA83B">
      <w:pPr>
        <w:spacing w:line="600" w:lineRule="exact"/>
        <w:ind w:firstLine="482" w:firstLineChars="200"/>
        <w:rPr>
          <w:rFonts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第七条  工程质保：</w:t>
      </w:r>
      <w:r>
        <w:rPr>
          <w:rFonts w:hint="eastAsia" w:ascii="仿宋" w:hAnsi="仿宋" w:eastAsia="仿宋" w:cs="仿宋"/>
          <w:color w:val="auto"/>
          <w:sz w:val="24"/>
          <w:szCs w:val="24"/>
          <w:highlight w:val="none"/>
          <w:lang w:eastAsia="zh-CN"/>
        </w:rPr>
        <w:t>自工程竣工验收合格之日起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年。工程质保期内，出现任何质量问题乙方均应当在接到甲方通知后48小时内免费维修，</w:t>
      </w:r>
      <w:r>
        <w:rPr>
          <w:rFonts w:hint="eastAsia" w:ascii="仿宋" w:hAnsi="仿宋" w:eastAsia="仿宋" w:cs="仿宋"/>
          <w:color w:val="auto"/>
          <w:sz w:val="24"/>
          <w:szCs w:val="24"/>
          <w:highlight w:val="none"/>
          <w:u w:val="single"/>
          <w:lang w:eastAsia="zh-CN"/>
        </w:rPr>
        <w:t xml:space="preserve"> 48 </w:t>
      </w:r>
      <w:r>
        <w:rPr>
          <w:rFonts w:hint="eastAsia" w:ascii="仿宋" w:hAnsi="仿宋" w:eastAsia="仿宋" w:cs="仿宋"/>
          <w:color w:val="auto"/>
          <w:sz w:val="24"/>
          <w:szCs w:val="24"/>
          <w:highlight w:val="none"/>
          <w:lang w:eastAsia="zh-CN"/>
        </w:rPr>
        <w:t>小时内排除故障/解决问题，若乙方未在规定时间内维修的，甲方可以委托第三方进行维修，乙方应当承担相应的维修费用以及因质量问题给甲方或第三方造成的人身或财产损失。</w:t>
      </w:r>
    </w:p>
    <w:p w14:paraId="3FFA9C9C">
      <w:pPr>
        <w:spacing w:line="600" w:lineRule="exact"/>
        <w:ind w:firstLine="482" w:firstLineChars="200"/>
        <w:rPr>
          <w:rFonts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第八条  缺陷责任期：</w:t>
      </w:r>
      <w:r>
        <w:rPr>
          <w:rFonts w:hint="eastAsia" w:ascii="仿宋" w:hAnsi="仿宋" w:eastAsia="仿宋" w:cs="仿宋"/>
          <w:color w:val="auto"/>
          <w:sz w:val="24"/>
          <w:szCs w:val="24"/>
          <w:highlight w:val="none"/>
          <w:lang w:eastAsia="zh-CN"/>
        </w:rPr>
        <w:t>自工程竣工验收合格之日起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p>
    <w:p w14:paraId="71458566">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第九条  关于材料供应的约定</w:t>
      </w:r>
    </w:p>
    <w:p w14:paraId="0886F9D4">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9.1 本工程全部材料由乙方自行采购，材料应为符合设计要求、符合国家标准、行业规范的合格产品。因材料质量原因造成的损失由乙方负责。</w:t>
      </w:r>
    </w:p>
    <w:p w14:paraId="27FB96B6">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9.2 乙方进场后及时向甲方提交工程应报价材料的样品，样品应注明名称、规格、品牌、单价，甲方核定后由乙方进行采购。乙方应在方案确定后施工开始前三天，上报材料使用计划及核价申请，若因乙方无法及时提交材料核价申请导致工期延误，由乙方自行承担责任。</w:t>
      </w:r>
    </w:p>
    <w:p w14:paraId="48146706">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第十条  关于安全生产的约定</w:t>
      </w:r>
    </w:p>
    <w:p w14:paraId="5B8AAEEA">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10.1 由乙方绘制施工图纸，应符合《中华人民共和国消防法》和有关防火设计规范，并需经甲方审定。甲方的审定不免除乙方的责任。</w:t>
      </w:r>
    </w:p>
    <w:p w14:paraId="6AE5AB78">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10.2 乙方在施工期间应派驻</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为安全员进行每日巡检，确保施工过程严格遵守建筑安装工程安全技术规程、建筑安装工人安全操作规程、中华人民共和国消防法和其他相关法规、规范。</w:t>
      </w:r>
    </w:p>
    <w:p w14:paraId="14307110">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10.3 由于乙方在施工生产过程中违反有关安全操作规程和消防法律法规，若导致发生安全或火灾事故，乙方应承担由此引发的一切法律责任和全部经济损失。因此给甲方造成损失的，乙方应全部赔偿。</w:t>
      </w:r>
    </w:p>
    <w:p w14:paraId="2720EBB8">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第十一条 其它</w:t>
      </w:r>
    </w:p>
    <w:p w14:paraId="0F8B83ED">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11.1 乙方施工中所需的暂设工程场地在甲方指定的区域内搭设，施工用水、电在甲方指定的点位驳接并加装计量表，不具备装表计量条件的，按照合同金额千分之一计费。工程完工时一次性结清水电费。</w:t>
      </w:r>
    </w:p>
    <w:p w14:paraId="47EED4D8">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11.2 本工程在学校运行期间施工，应采取必要的适当的安全措施，确保施工安全及甲方教职员工出行安全。</w:t>
      </w:r>
    </w:p>
    <w:p w14:paraId="54A29555">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11.3 施工过程中产生的建筑垃圾应及时清理出场。</w:t>
      </w:r>
    </w:p>
    <w:p w14:paraId="372C06C5">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11.4 认真做好防尘降噪措施，保证学生生活正常秩序。</w:t>
      </w:r>
    </w:p>
    <w:p w14:paraId="41A1A608">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11.5 施工车辆、人员必须按照保卫部门规定执行。</w:t>
      </w:r>
    </w:p>
    <w:p w14:paraId="37DF815E">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11.6 除本合同另有约定外，任何一方违约，均应承担违约责任。支付违约金并赔偿因此给对方造成的实际经济损失。双方同意违约金为合同暂定价的20%，若存在多项违约情形的，违约金累计计算。</w:t>
      </w:r>
    </w:p>
    <w:p w14:paraId="0ED02FDA">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11.7 甲方依据合同所有的应扣乙方的款项（包括但不限于违约金、赔偿金、补偿金、罚款等）均可由甲方直接从应付合同款项中扣除，不足部分由乙方在3日内以现金/转账方式支付。</w:t>
      </w:r>
    </w:p>
    <w:p w14:paraId="37407F8A">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11.8 本项目禁止转包或分包，如乙方将本项目进行转包或分包的，视同拒绝履行本合同义务，甲方有权解除合同，乙方应退还甲方所有已支付费用，向甲方支付合同总价20%的违约金,并承担因此给甲方造成的一切损失。</w:t>
      </w:r>
    </w:p>
    <w:p w14:paraId="59330052">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11.9 如乙方逾期完工60天及以上，甲方有权解除合同，乙方应向甲方支付合同总价20%的违约金,并承担因此给甲方造成的一切损失。</w:t>
      </w:r>
    </w:p>
    <w:p w14:paraId="70BC8D95">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第十二条  通知与送达</w:t>
      </w:r>
    </w:p>
    <w:p w14:paraId="56165D0C">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12.1 各方确认本合同项下的送达方式如下：</w:t>
      </w:r>
    </w:p>
    <w:p w14:paraId="3B7196AF">
      <w:pPr>
        <w:spacing w:line="600" w:lineRule="exact"/>
        <w:ind w:firstLine="480" w:firstLineChars="200"/>
        <w:rPr>
          <w:rFonts w:ascii="仿宋" w:hAnsi="仿宋" w:eastAsia="仿宋" w:cs="仿宋"/>
          <w:color w:val="auto"/>
          <w:sz w:val="24"/>
          <w:szCs w:val="24"/>
          <w:highlight w:val="none"/>
          <w:lang w:eastAsia="zh-CN"/>
        </w:rPr>
      </w:pPr>
    </w:p>
    <w:tbl>
      <w:tblPr>
        <w:tblStyle w:val="35"/>
        <w:tblW w:w="8750" w:type="dxa"/>
        <w:tblInd w:w="2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7"/>
        <w:gridCol w:w="1225"/>
        <w:gridCol w:w="2682"/>
        <w:gridCol w:w="1685"/>
        <w:gridCol w:w="2261"/>
      </w:tblGrid>
      <w:tr w14:paraId="37764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97" w:type="dxa"/>
            <w:vAlign w:val="center"/>
          </w:tcPr>
          <w:p w14:paraId="532A43C5">
            <w:pPr>
              <w:spacing w:line="600" w:lineRule="exact"/>
              <w:jc w:val="center"/>
              <w:rPr>
                <w:rFonts w:ascii="仿宋" w:hAnsi="仿宋" w:eastAsia="仿宋" w:cs="仿宋"/>
                <w:color w:val="auto"/>
                <w:sz w:val="24"/>
                <w:szCs w:val="24"/>
                <w:highlight w:val="none"/>
                <w:lang w:eastAsia="zh-CN"/>
              </w:rPr>
            </w:pPr>
          </w:p>
        </w:tc>
        <w:tc>
          <w:tcPr>
            <w:tcW w:w="1225" w:type="dxa"/>
            <w:vAlign w:val="center"/>
          </w:tcPr>
          <w:p w14:paraId="4AAEDD46">
            <w:pPr>
              <w:spacing w:line="6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2682" w:type="dxa"/>
            <w:vAlign w:val="center"/>
          </w:tcPr>
          <w:p w14:paraId="01E6BF17">
            <w:pPr>
              <w:spacing w:line="6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联系地址</w:t>
            </w:r>
          </w:p>
        </w:tc>
        <w:tc>
          <w:tcPr>
            <w:tcW w:w="1685" w:type="dxa"/>
            <w:vAlign w:val="center"/>
          </w:tcPr>
          <w:p w14:paraId="01EF1B9A">
            <w:pPr>
              <w:spacing w:line="6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tc>
        <w:tc>
          <w:tcPr>
            <w:tcW w:w="2261" w:type="dxa"/>
            <w:vAlign w:val="center"/>
          </w:tcPr>
          <w:p w14:paraId="474C09A5">
            <w:pPr>
              <w:spacing w:line="6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tc>
      </w:tr>
      <w:tr w14:paraId="773B9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97" w:type="dxa"/>
            <w:vAlign w:val="center"/>
          </w:tcPr>
          <w:p w14:paraId="4B4B3505">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p>
        </w:tc>
        <w:tc>
          <w:tcPr>
            <w:tcW w:w="1225" w:type="dxa"/>
            <w:vAlign w:val="center"/>
          </w:tcPr>
          <w:p w14:paraId="69E51FCA">
            <w:pPr>
              <w:spacing w:line="24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18"/>
                <w:szCs w:val="21"/>
                <w:highlight w:val="none"/>
                <w:lang w:eastAsia="zh-CN"/>
              </w:rPr>
              <w:t>袁林</w:t>
            </w:r>
          </w:p>
        </w:tc>
        <w:tc>
          <w:tcPr>
            <w:tcW w:w="2682" w:type="dxa"/>
            <w:vAlign w:val="center"/>
          </w:tcPr>
          <w:p w14:paraId="67FB53BF">
            <w:pPr>
              <w:spacing w:line="24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18"/>
                <w:szCs w:val="21"/>
                <w:highlight w:val="none"/>
                <w:lang w:eastAsia="zh-CN"/>
              </w:rPr>
              <w:t>西南民族大学航空港校区后勤保障处103</w:t>
            </w:r>
            <w:r>
              <w:rPr>
                <w:rFonts w:hint="eastAsia" w:ascii="仿宋" w:hAnsi="仿宋" w:eastAsia="仿宋" w:cs="仿宋"/>
                <w:color w:val="auto"/>
                <w:sz w:val="24"/>
                <w:szCs w:val="24"/>
                <w:highlight w:val="none"/>
                <w:lang w:eastAsia="zh-CN"/>
              </w:rPr>
              <w:t xml:space="preserve"> </w:t>
            </w:r>
          </w:p>
        </w:tc>
        <w:tc>
          <w:tcPr>
            <w:tcW w:w="1685" w:type="dxa"/>
            <w:vAlign w:val="center"/>
          </w:tcPr>
          <w:p w14:paraId="5B0DFB8D">
            <w:pPr>
              <w:spacing w:line="24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18"/>
                <w:szCs w:val="21"/>
                <w:highlight w:val="none"/>
                <w:lang w:eastAsia="zh-CN"/>
              </w:rPr>
              <w:t>85709987</w:t>
            </w:r>
          </w:p>
        </w:tc>
        <w:tc>
          <w:tcPr>
            <w:tcW w:w="2261" w:type="dxa"/>
            <w:vAlign w:val="center"/>
          </w:tcPr>
          <w:p w14:paraId="0201C04C">
            <w:pPr>
              <w:spacing w:line="24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18"/>
                <w:szCs w:val="21"/>
                <w:highlight w:val="none"/>
                <w:lang w:eastAsia="zh-CN"/>
              </w:rPr>
              <w:t>2643299643@qq.com</w:t>
            </w:r>
          </w:p>
        </w:tc>
      </w:tr>
      <w:tr w14:paraId="0DF96B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97" w:type="dxa"/>
            <w:vAlign w:val="center"/>
          </w:tcPr>
          <w:p w14:paraId="2A9B4B9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p>
        </w:tc>
        <w:tc>
          <w:tcPr>
            <w:tcW w:w="1225" w:type="dxa"/>
            <w:vAlign w:val="center"/>
          </w:tcPr>
          <w:p w14:paraId="37CCDA77">
            <w:pPr>
              <w:spacing w:line="24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18"/>
                <w:szCs w:val="21"/>
                <w:highlight w:val="none"/>
                <w:lang w:eastAsia="zh-CN"/>
              </w:rPr>
              <w:t xml:space="preserve"> </w:t>
            </w:r>
          </w:p>
        </w:tc>
        <w:tc>
          <w:tcPr>
            <w:tcW w:w="2682" w:type="dxa"/>
            <w:vAlign w:val="center"/>
          </w:tcPr>
          <w:p w14:paraId="430DF050">
            <w:pPr>
              <w:spacing w:line="24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18"/>
                <w:szCs w:val="21"/>
                <w:highlight w:val="none"/>
                <w:lang w:eastAsia="zh-CN"/>
              </w:rPr>
              <w:t xml:space="preserve">  </w:t>
            </w:r>
          </w:p>
        </w:tc>
        <w:tc>
          <w:tcPr>
            <w:tcW w:w="1685" w:type="dxa"/>
            <w:vAlign w:val="center"/>
          </w:tcPr>
          <w:p w14:paraId="13D87E56">
            <w:pPr>
              <w:spacing w:line="24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18"/>
                <w:szCs w:val="21"/>
                <w:highlight w:val="none"/>
                <w:lang w:eastAsia="zh-CN"/>
              </w:rPr>
              <w:t xml:space="preserve">  </w:t>
            </w:r>
          </w:p>
        </w:tc>
        <w:tc>
          <w:tcPr>
            <w:tcW w:w="2261" w:type="dxa"/>
            <w:vAlign w:val="center"/>
          </w:tcPr>
          <w:p w14:paraId="5F90A021">
            <w:pPr>
              <w:spacing w:line="24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18"/>
                <w:szCs w:val="21"/>
                <w:highlight w:val="none"/>
                <w:lang w:eastAsia="zh-CN"/>
              </w:rPr>
              <w:t xml:space="preserve">  </w:t>
            </w:r>
          </w:p>
        </w:tc>
      </w:tr>
    </w:tbl>
    <w:p w14:paraId="35B69343">
      <w:pPr>
        <w:spacing w:line="600" w:lineRule="exact"/>
        <w:ind w:firstLine="480" w:firstLineChars="200"/>
        <w:rPr>
          <w:rFonts w:ascii="仿宋" w:hAnsi="仿宋" w:eastAsia="仿宋" w:cs="仿宋"/>
          <w:color w:val="auto"/>
          <w:sz w:val="24"/>
          <w:szCs w:val="24"/>
          <w:highlight w:val="none"/>
        </w:rPr>
      </w:pPr>
    </w:p>
    <w:p w14:paraId="139083BE">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12.2 本条第1款载明的联系人、联系电话、联系地址及电子邮箱均为双方联系方式，一方联系方式有变化应在变化的同时书面通知对方。否则，甲方通过邮寄方式将法律文书及其他文件送达上述联系地址即视为送达完成。</w:t>
      </w:r>
    </w:p>
    <w:p w14:paraId="3CB3EBDD">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12.3 本合同项下的任何通知、要求，一经发出即为送达；邮政信函于投寄之日即为送达日；若派人专程送达，则签收日为送达日，受送达方拒收的，送达人可采取拍照、录像方式记录送达过程，并将文书留置之日为送达日；电子邮件和手机短信于发送日为送达日。</w:t>
      </w:r>
    </w:p>
    <w:p w14:paraId="46F1DEB3">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12.4 甲方联系人仅负责有关文件的签收、传递、接收以及指令的发布等程序性事务；除甲方加盖公章确认外，其对文件的签收并不表明甲方对签收文件内容的确认。</w:t>
      </w:r>
    </w:p>
    <w:p w14:paraId="5B61FBCC">
      <w:pPr>
        <w:spacing w:line="600" w:lineRule="exact"/>
        <w:ind w:firstLine="482" w:firstLineChars="200"/>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第十三条  附则</w:t>
      </w:r>
    </w:p>
    <w:p w14:paraId="5B9A2214">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13.1 本合同一式捌份，经双方法定代表人/法定代理人（或相关负责人）或授权代表签字并加盖单位公章之日起生效。甲方、乙方各执肆份，具有同等法律效力。</w:t>
      </w:r>
    </w:p>
    <w:p w14:paraId="01063396">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13.2 本合同履行完成后，自行终止。</w:t>
      </w:r>
    </w:p>
    <w:p w14:paraId="30FBACDF">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13.3 因履行本合同过程中发生争议的，甲乙双方应先行协商解决，协商未果的，则应通过工程所在地有管辖权的法院提起诉讼解决。除判决另有规定外，一切涉诉合理费用（包括但不限于代理费、差旅费、诉讼费、执行费、保全费、保全保险费等）均由违约方承担。</w:t>
      </w:r>
    </w:p>
    <w:p w14:paraId="70022A76">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13.4 本合同签订后，甲方的后勤保障处维修与能源（节能降碳）服务中心为本合同项下除收取款项、办理结算、签订协议以外有关的通知、送达、签收、传递、接收以及指令的发布等事宜的具体经办部门。</w:t>
      </w:r>
    </w:p>
    <w:p w14:paraId="522415BC">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13.5 甲乙双方严格控制工程价款，不得超合同暂定价支付。超合同金额10%以内的，履行相应审批程序，经审批同意的可另签补充合同支付。超过10%的部分不得支付，由乙方自行承担。</w:t>
      </w:r>
    </w:p>
    <w:p w14:paraId="054A80F6">
      <w:pPr>
        <w:spacing w:line="60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13.6其他未约定事项参照2017年10月1日起执行的《建设工程施工合同》（G-2017-0201）中通用合同条款规定执行。本合同与《建设工程施工合同》（GF-2017-0201）中通用合同条款规定不一致的，以本合同约定为准。</w:t>
      </w:r>
    </w:p>
    <w:p w14:paraId="215C45FC">
      <w:pPr>
        <w:pStyle w:val="4"/>
        <w:spacing w:line="600" w:lineRule="exact"/>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（以下无正文）</w:t>
      </w:r>
    </w:p>
    <w:p w14:paraId="5E914586">
      <w:pPr>
        <w:pStyle w:val="4"/>
        <w:spacing w:line="600" w:lineRule="exact"/>
        <w:rPr>
          <w:rFonts w:ascii="仿宋" w:hAnsi="仿宋" w:eastAsia="仿宋" w:cs="仿宋"/>
          <w:color w:val="auto"/>
          <w:sz w:val="24"/>
          <w:szCs w:val="24"/>
          <w:highlight w:val="none"/>
          <w:lang w:eastAsia="zh-CN"/>
        </w:rPr>
      </w:pPr>
    </w:p>
    <w:p w14:paraId="180F0C79">
      <w:pPr>
        <w:pStyle w:val="4"/>
        <w:spacing w:line="600" w:lineRule="exact"/>
        <w:rPr>
          <w:rFonts w:ascii="仿宋" w:hAnsi="仿宋" w:eastAsia="仿宋" w:cs="仿宋"/>
          <w:color w:val="auto"/>
          <w:sz w:val="24"/>
          <w:szCs w:val="24"/>
          <w:highlight w:val="none"/>
          <w:lang w:eastAsia="zh-CN"/>
        </w:rPr>
      </w:pPr>
    </w:p>
    <w:tbl>
      <w:tblPr>
        <w:tblStyle w:val="19"/>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0"/>
        <w:gridCol w:w="4260"/>
      </w:tblGrid>
      <w:tr w14:paraId="5CAD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4260" w:type="dxa"/>
            <w:tcBorders>
              <w:top w:val="nil"/>
              <w:left w:val="nil"/>
              <w:bottom w:val="nil"/>
              <w:right w:val="nil"/>
            </w:tcBorders>
          </w:tcPr>
          <w:p w14:paraId="1CC6A59C">
            <w:pPr>
              <w:widowControl w:val="0"/>
              <w:spacing w:line="600" w:lineRule="exact"/>
              <w:jc w:val="both"/>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甲方（盖章）：   </w:t>
            </w:r>
          </w:p>
        </w:tc>
        <w:tc>
          <w:tcPr>
            <w:tcW w:w="4260" w:type="dxa"/>
            <w:tcBorders>
              <w:top w:val="nil"/>
              <w:left w:val="nil"/>
              <w:bottom w:val="nil"/>
              <w:right w:val="nil"/>
            </w:tcBorders>
          </w:tcPr>
          <w:p w14:paraId="27A1CFFA">
            <w:pPr>
              <w:widowControl w:val="0"/>
              <w:spacing w:line="600" w:lineRule="exact"/>
              <w:jc w:val="both"/>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乙方（盖章）：   </w:t>
            </w:r>
          </w:p>
        </w:tc>
      </w:tr>
      <w:tr w14:paraId="0E9B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4260" w:type="dxa"/>
            <w:tcBorders>
              <w:top w:val="nil"/>
              <w:left w:val="nil"/>
              <w:bottom w:val="nil"/>
              <w:right w:val="nil"/>
            </w:tcBorders>
          </w:tcPr>
          <w:p w14:paraId="3451B2A2">
            <w:pPr>
              <w:widowControl w:val="0"/>
              <w:spacing w:line="600" w:lineRule="exact"/>
              <w:jc w:val="both"/>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单位负责人/授权代表：   </w:t>
            </w:r>
          </w:p>
        </w:tc>
        <w:tc>
          <w:tcPr>
            <w:tcW w:w="4260" w:type="dxa"/>
            <w:tcBorders>
              <w:top w:val="nil"/>
              <w:left w:val="nil"/>
              <w:bottom w:val="nil"/>
              <w:right w:val="nil"/>
            </w:tcBorders>
          </w:tcPr>
          <w:p w14:paraId="79849C14">
            <w:pPr>
              <w:widowControl w:val="0"/>
              <w:spacing w:line="600" w:lineRule="exact"/>
              <w:jc w:val="both"/>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法定代表人/授权代表：   </w:t>
            </w:r>
          </w:p>
        </w:tc>
      </w:tr>
      <w:tr w14:paraId="2535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8520" w:type="dxa"/>
            <w:gridSpan w:val="2"/>
            <w:tcBorders>
              <w:top w:val="nil"/>
              <w:left w:val="nil"/>
              <w:bottom w:val="nil"/>
              <w:right w:val="nil"/>
            </w:tcBorders>
            <w:vAlign w:val="bottom"/>
          </w:tcPr>
          <w:p w14:paraId="5271E90F">
            <w:pPr>
              <w:widowControl w:val="0"/>
              <w:spacing w:line="600" w:lineRule="exact"/>
              <w:jc w:val="right"/>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合同签订日期：   年   月   日</w:t>
            </w:r>
          </w:p>
        </w:tc>
      </w:tr>
    </w:tbl>
    <w:p w14:paraId="61423B09">
      <w:pPr>
        <w:autoSpaceDE w:val="0"/>
        <w:autoSpaceDN w:val="0"/>
        <w:adjustRightInd w:val="0"/>
        <w:spacing w:line="360" w:lineRule="auto"/>
        <w:jc w:val="center"/>
        <w:rPr>
          <w:rFonts w:ascii="仿宋" w:hAnsi="仿宋" w:eastAsia="仿宋" w:cs="仿宋"/>
          <w:b/>
          <w:bCs/>
          <w:color w:val="auto"/>
          <w:sz w:val="28"/>
          <w:szCs w:val="21"/>
          <w:highlight w:val="none"/>
        </w:rPr>
      </w:pPr>
    </w:p>
    <w:p w14:paraId="33491CFF">
      <w:pPr>
        <w:autoSpaceDE w:val="0"/>
        <w:autoSpaceDN w:val="0"/>
        <w:adjustRightInd w:val="0"/>
        <w:spacing w:line="360" w:lineRule="auto"/>
        <w:jc w:val="center"/>
        <w:rPr>
          <w:rFonts w:ascii="仿宋" w:hAnsi="仿宋" w:eastAsia="仿宋" w:cs="仿宋"/>
          <w:b/>
          <w:bCs/>
          <w:color w:val="auto"/>
          <w:sz w:val="28"/>
          <w:szCs w:val="21"/>
          <w:highlight w:val="none"/>
        </w:rPr>
      </w:pPr>
    </w:p>
    <w:p w14:paraId="33B29FB8">
      <w:pPr>
        <w:autoSpaceDE w:val="0"/>
        <w:autoSpaceDN w:val="0"/>
        <w:adjustRightInd w:val="0"/>
        <w:spacing w:line="360" w:lineRule="auto"/>
        <w:jc w:val="center"/>
        <w:rPr>
          <w:rFonts w:ascii="仿宋" w:hAnsi="仿宋" w:eastAsia="仿宋" w:cs="仿宋"/>
          <w:b/>
          <w:bCs/>
          <w:color w:val="auto"/>
          <w:sz w:val="28"/>
          <w:szCs w:val="21"/>
          <w:highlight w:val="none"/>
        </w:rPr>
      </w:pPr>
    </w:p>
    <w:p w14:paraId="58B5E000">
      <w:pPr>
        <w:rPr>
          <w:rFonts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br w:type="page"/>
      </w:r>
    </w:p>
    <w:p w14:paraId="272D48D3">
      <w:pPr>
        <w:pStyle w:val="16"/>
        <w:rPr>
          <w:rFonts w:ascii="仿宋" w:hAnsi="仿宋" w:eastAsia="仿宋" w:cs="仿宋"/>
          <w:color w:val="auto"/>
          <w:highlight w:val="none"/>
        </w:rPr>
      </w:pPr>
      <w:bookmarkStart w:id="155" w:name="_Toc26017"/>
      <w:bookmarkStart w:id="156" w:name="_Toc6295"/>
      <w:r>
        <w:rPr>
          <w:rFonts w:hint="eastAsia" w:ascii="仿宋" w:hAnsi="仿宋" w:eastAsia="仿宋" w:cs="仿宋"/>
          <w:color w:val="auto"/>
          <w:highlight w:val="none"/>
        </w:rPr>
        <w:t>第八章  响应文件格式</w:t>
      </w:r>
      <w:bookmarkEnd w:id="155"/>
      <w:bookmarkEnd w:id="156"/>
    </w:p>
    <w:p w14:paraId="410B7BBC">
      <w:pPr>
        <w:tabs>
          <w:tab w:val="left" w:pos="7665"/>
        </w:tabs>
        <w:spacing w:line="360" w:lineRule="auto"/>
        <w:ind w:firstLine="480"/>
        <w:rPr>
          <w:rFonts w:ascii="仿宋" w:hAnsi="仿宋" w:eastAsia="仿宋"/>
          <w:bCs/>
          <w:color w:val="auto"/>
          <w:sz w:val="24"/>
          <w:highlight w:val="none"/>
        </w:rPr>
      </w:pPr>
    </w:p>
    <w:p w14:paraId="02EA7DD5">
      <w:pPr>
        <w:spacing w:line="360" w:lineRule="auto"/>
        <w:jc w:val="left"/>
        <w:rPr>
          <w:rFonts w:ascii="仿宋" w:hAnsi="仿宋" w:eastAsia="仿宋"/>
          <w:b/>
          <w:color w:val="auto"/>
          <w:sz w:val="32"/>
          <w:szCs w:val="32"/>
          <w:highlight w:val="none"/>
        </w:rPr>
      </w:pPr>
    </w:p>
    <w:p w14:paraId="3A60A543">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一、本章所制响应文件格式，除格式中明确将该格式作为实质性要求的，一律不具有强制性，但是，供应商响应文件相关资料和本章所制格式不一致的，磋商小组将在评分时以响应文件不规范予以扣分处理。</w:t>
      </w:r>
    </w:p>
    <w:p w14:paraId="1491B480">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二、本章所制响应文件格式有关表格中的备注栏，由供应商根据自身响应情况作解释性说明，不作为必填项。</w:t>
      </w:r>
    </w:p>
    <w:p w14:paraId="348F8BF8">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三、本章所制响应文件格式中需要填写的相关内容事项，可能会与本采购项目无关，在不改变响应文件原义、不影响本项目采购需求的情况下，供应商可以不予填写，但应当注明。</w:t>
      </w:r>
    </w:p>
    <w:p w14:paraId="69C23604">
      <w:pPr>
        <w:spacing w:line="360" w:lineRule="auto"/>
        <w:jc w:val="center"/>
        <w:rPr>
          <w:rFonts w:ascii="仿宋" w:hAnsi="仿宋" w:eastAsia="仿宋"/>
          <w:b/>
          <w:color w:val="auto"/>
          <w:sz w:val="32"/>
          <w:szCs w:val="32"/>
          <w:highlight w:val="none"/>
        </w:rPr>
      </w:pPr>
    </w:p>
    <w:p w14:paraId="3561DF64">
      <w:pPr>
        <w:spacing w:line="360" w:lineRule="auto"/>
        <w:jc w:val="center"/>
        <w:rPr>
          <w:rFonts w:ascii="仿宋" w:hAnsi="仿宋" w:eastAsia="仿宋"/>
          <w:b/>
          <w:color w:val="auto"/>
          <w:sz w:val="32"/>
          <w:szCs w:val="32"/>
          <w:highlight w:val="none"/>
        </w:rPr>
      </w:pPr>
      <w:r>
        <w:rPr>
          <w:rFonts w:ascii="仿宋" w:hAnsi="仿宋" w:eastAsia="仿宋"/>
          <w:b/>
          <w:color w:val="auto"/>
          <w:sz w:val="32"/>
          <w:szCs w:val="32"/>
          <w:highlight w:val="none"/>
        </w:rPr>
        <w:br w:type="page"/>
      </w:r>
      <w:r>
        <w:rPr>
          <w:rFonts w:ascii="仿宋" w:hAnsi="仿宋" w:eastAsia="仿宋"/>
          <w:b/>
          <w:color w:val="auto"/>
          <w:sz w:val="32"/>
          <w:highlight w:val="none"/>
        </w:rPr>
        <w:t xml:space="preserve">第一部分     </w:t>
      </w:r>
      <w:r>
        <w:rPr>
          <w:rFonts w:hint="eastAsia" w:ascii="仿宋" w:hAnsi="仿宋" w:eastAsia="仿宋"/>
          <w:b/>
          <w:color w:val="auto"/>
          <w:sz w:val="32"/>
          <w:highlight w:val="none"/>
        </w:rPr>
        <w:t>“</w:t>
      </w:r>
      <w:r>
        <w:rPr>
          <w:rFonts w:ascii="仿宋" w:hAnsi="仿宋" w:eastAsia="仿宋"/>
          <w:b/>
          <w:color w:val="auto"/>
          <w:sz w:val="32"/>
          <w:highlight w:val="none"/>
        </w:rPr>
        <w:t>资格性</w:t>
      </w:r>
      <w:r>
        <w:rPr>
          <w:rFonts w:hint="eastAsia" w:ascii="仿宋" w:hAnsi="仿宋" w:eastAsia="仿宋"/>
          <w:b/>
          <w:color w:val="auto"/>
          <w:sz w:val="32"/>
          <w:highlight w:val="none"/>
        </w:rPr>
        <w:t>响应</w:t>
      </w:r>
      <w:r>
        <w:rPr>
          <w:rFonts w:ascii="仿宋" w:hAnsi="仿宋" w:eastAsia="仿宋"/>
          <w:b/>
          <w:color w:val="auto"/>
          <w:sz w:val="32"/>
          <w:highlight w:val="none"/>
        </w:rPr>
        <w:t>文件</w:t>
      </w:r>
      <w:r>
        <w:rPr>
          <w:rFonts w:hint="eastAsia" w:ascii="仿宋" w:hAnsi="仿宋" w:eastAsia="仿宋"/>
          <w:b/>
          <w:color w:val="auto"/>
          <w:sz w:val="32"/>
          <w:highlight w:val="none"/>
        </w:rPr>
        <w:t>”</w:t>
      </w:r>
      <w:r>
        <w:rPr>
          <w:rFonts w:ascii="仿宋" w:hAnsi="仿宋" w:eastAsia="仿宋"/>
          <w:b/>
          <w:color w:val="auto"/>
          <w:sz w:val="32"/>
          <w:highlight w:val="none"/>
        </w:rPr>
        <w:t>格式</w:t>
      </w:r>
    </w:p>
    <w:p w14:paraId="2C915D3E">
      <w:pPr>
        <w:widowControl/>
        <w:jc w:val="left"/>
        <w:outlineLvl w:val="1"/>
        <w:rPr>
          <w:rFonts w:ascii="仿宋" w:hAnsi="仿宋" w:eastAsia="仿宋" w:cs="仿宋"/>
          <w:b/>
          <w:color w:val="auto"/>
          <w:sz w:val="32"/>
          <w:szCs w:val="32"/>
          <w:highlight w:val="none"/>
        </w:rPr>
      </w:pPr>
      <w:bookmarkStart w:id="157" w:name="_Toc18732"/>
      <w:r>
        <w:rPr>
          <w:rFonts w:hint="eastAsia" w:ascii="仿宋" w:hAnsi="仿宋" w:eastAsia="仿宋" w:cs="仿宋"/>
          <w:b/>
          <w:color w:val="auto"/>
          <w:sz w:val="32"/>
          <w:szCs w:val="32"/>
          <w:highlight w:val="none"/>
        </w:rPr>
        <w:t>格式1-1</w:t>
      </w:r>
      <w:bookmarkEnd w:id="157"/>
    </w:p>
    <w:p w14:paraId="68E0A0C4">
      <w:pPr>
        <w:spacing w:line="360" w:lineRule="auto"/>
        <w:jc w:val="center"/>
        <w:rPr>
          <w:rFonts w:ascii="仿宋" w:hAnsi="仿宋" w:eastAsia="仿宋"/>
          <w:b/>
          <w:color w:val="auto"/>
          <w:sz w:val="32"/>
          <w:szCs w:val="32"/>
          <w:highlight w:val="none"/>
        </w:rPr>
      </w:pPr>
    </w:p>
    <w:p w14:paraId="3A1A8460">
      <w:pPr>
        <w:spacing w:line="360" w:lineRule="auto"/>
        <w:jc w:val="right"/>
        <w:rPr>
          <w:rFonts w:ascii="仿宋" w:hAnsi="仿宋" w:eastAsia="仿宋"/>
          <w:b/>
          <w:color w:val="auto"/>
          <w:sz w:val="36"/>
          <w:highlight w:val="none"/>
        </w:rPr>
      </w:pPr>
      <w:r>
        <w:rPr>
          <w:rFonts w:ascii="仿宋" w:hAnsi="仿宋" w:eastAsia="仿宋"/>
          <w:b/>
          <w:color w:val="auto"/>
          <w:sz w:val="36"/>
          <w:highlight w:val="none"/>
        </w:rPr>
        <w:t>（正本/副本）</w:t>
      </w:r>
    </w:p>
    <w:p w14:paraId="44D2341D">
      <w:pPr>
        <w:spacing w:line="360" w:lineRule="auto"/>
        <w:jc w:val="center"/>
        <w:rPr>
          <w:rFonts w:ascii="仿宋" w:hAnsi="仿宋" w:eastAsia="仿宋"/>
          <w:b/>
          <w:color w:val="auto"/>
          <w:sz w:val="72"/>
          <w:highlight w:val="none"/>
        </w:rPr>
      </w:pPr>
      <w:r>
        <w:rPr>
          <w:rFonts w:hint="eastAsia" w:ascii="仿宋" w:hAnsi="仿宋" w:eastAsia="仿宋"/>
          <w:b/>
          <w:color w:val="auto"/>
          <w:sz w:val="40"/>
          <w:szCs w:val="48"/>
          <w:highlight w:val="none"/>
          <w:u w:val="single"/>
        </w:rPr>
        <w:t>XX</w:t>
      </w:r>
      <w:r>
        <w:rPr>
          <w:rFonts w:hint="eastAsia" w:ascii="仿宋" w:hAnsi="仿宋" w:eastAsia="仿宋"/>
          <w:b/>
          <w:color w:val="auto"/>
          <w:sz w:val="40"/>
          <w:szCs w:val="48"/>
          <w:highlight w:val="none"/>
        </w:rPr>
        <w:t>项目</w:t>
      </w:r>
    </w:p>
    <w:p w14:paraId="746A74E6">
      <w:pPr>
        <w:spacing w:line="360" w:lineRule="auto"/>
        <w:rPr>
          <w:rFonts w:ascii="仿宋" w:hAnsi="仿宋" w:eastAsia="仿宋"/>
          <w:b/>
          <w:color w:val="auto"/>
          <w:sz w:val="52"/>
          <w:szCs w:val="52"/>
          <w:highlight w:val="none"/>
        </w:rPr>
      </w:pPr>
    </w:p>
    <w:p w14:paraId="78D2043D">
      <w:pPr>
        <w:spacing w:line="360" w:lineRule="auto"/>
        <w:jc w:val="center"/>
        <w:rPr>
          <w:rFonts w:ascii="仿宋" w:hAnsi="仿宋" w:eastAsia="仿宋"/>
          <w:b/>
          <w:color w:val="auto"/>
          <w:sz w:val="32"/>
          <w:szCs w:val="32"/>
          <w:highlight w:val="none"/>
        </w:rPr>
      </w:pPr>
      <w:r>
        <w:rPr>
          <w:rFonts w:hint="eastAsia" w:ascii="仿宋" w:hAnsi="仿宋" w:eastAsia="仿宋"/>
          <w:b/>
          <w:color w:val="auto"/>
          <w:sz w:val="52"/>
          <w:szCs w:val="52"/>
          <w:highlight w:val="none"/>
        </w:rPr>
        <w:t>资格性响应文件</w:t>
      </w:r>
    </w:p>
    <w:p w14:paraId="25A7D67D">
      <w:pPr>
        <w:spacing w:line="360" w:lineRule="auto"/>
        <w:rPr>
          <w:rFonts w:ascii="仿宋" w:hAnsi="仿宋" w:eastAsia="仿宋"/>
          <w:b/>
          <w:color w:val="auto"/>
          <w:sz w:val="36"/>
          <w:highlight w:val="none"/>
        </w:rPr>
      </w:pPr>
    </w:p>
    <w:p w14:paraId="22268D9B">
      <w:pPr>
        <w:spacing w:line="360" w:lineRule="auto"/>
        <w:rPr>
          <w:rFonts w:ascii="仿宋" w:hAnsi="仿宋" w:eastAsia="仿宋"/>
          <w:b/>
          <w:color w:val="auto"/>
          <w:sz w:val="36"/>
          <w:highlight w:val="none"/>
        </w:rPr>
      </w:pPr>
    </w:p>
    <w:p w14:paraId="66AB26EB">
      <w:pPr>
        <w:spacing w:line="360" w:lineRule="auto"/>
        <w:ind w:firstLine="643" w:firstLineChars="200"/>
        <w:jc w:val="left"/>
        <w:rPr>
          <w:rFonts w:ascii="仿宋" w:hAnsi="仿宋" w:eastAsia="仿宋"/>
          <w:b/>
          <w:color w:val="auto"/>
          <w:sz w:val="32"/>
          <w:highlight w:val="none"/>
          <w:u w:val="single"/>
        </w:rPr>
      </w:pPr>
      <w:r>
        <w:rPr>
          <w:rFonts w:hint="eastAsia" w:ascii="仿宋" w:hAnsi="仿宋" w:eastAsia="仿宋"/>
          <w:b/>
          <w:color w:val="auto"/>
          <w:sz w:val="32"/>
          <w:highlight w:val="none"/>
        </w:rPr>
        <w:t>供 应 商</w:t>
      </w:r>
      <w:r>
        <w:rPr>
          <w:rFonts w:ascii="仿宋" w:hAnsi="仿宋" w:eastAsia="仿宋"/>
          <w:b/>
          <w:color w:val="auto"/>
          <w:sz w:val="32"/>
          <w:highlight w:val="none"/>
        </w:rPr>
        <w:t>名称：</w:t>
      </w:r>
    </w:p>
    <w:p w14:paraId="13F88093">
      <w:pPr>
        <w:spacing w:line="360" w:lineRule="auto"/>
        <w:ind w:firstLine="643" w:firstLineChars="200"/>
        <w:jc w:val="left"/>
        <w:rPr>
          <w:rFonts w:ascii="仿宋" w:hAnsi="仿宋" w:eastAsia="仿宋"/>
          <w:b/>
          <w:color w:val="auto"/>
          <w:sz w:val="32"/>
          <w:highlight w:val="none"/>
          <w:u w:val="single"/>
        </w:rPr>
      </w:pPr>
      <w:r>
        <w:rPr>
          <w:rFonts w:hint="eastAsia" w:ascii="仿宋" w:hAnsi="仿宋" w:eastAsia="仿宋"/>
          <w:b/>
          <w:color w:val="auto"/>
          <w:sz w:val="32"/>
          <w:highlight w:val="none"/>
        </w:rPr>
        <w:t>采购项目</w:t>
      </w:r>
      <w:r>
        <w:rPr>
          <w:rFonts w:ascii="仿宋" w:hAnsi="仿宋" w:eastAsia="仿宋"/>
          <w:b/>
          <w:color w:val="auto"/>
          <w:sz w:val="32"/>
          <w:highlight w:val="none"/>
        </w:rPr>
        <w:t>编号：</w:t>
      </w:r>
    </w:p>
    <w:p w14:paraId="20BA5AF3">
      <w:pPr>
        <w:spacing w:line="360" w:lineRule="auto"/>
        <w:ind w:firstLine="643" w:firstLineChars="200"/>
        <w:jc w:val="left"/>
        <w:rPr>
          <w:rFonts w:ascii="仿宋" w:hAnsi="仿宋" w:eastAsia="仿宋"/>
          <w:b/>
          <w:color w:val="auto"/>
          <w:sz w:val="36"/>
          <w:highlight w:val="none"/>
        </w:rPr>
      </w:pPr>
      <w:r>
        <w:rPr>
          <w:rFonts w:hint="eastAsia" w:ascii="仿宋" w:hAnsi="仿宋" w:eastAsia="仿宋"/>
          <w:b/>
          <w:color w:val="auto"/>
          <w:sz w:val="32"/>
          <w:highlight w:val="none"/>
        </w:rPr>
        <w:t>包        号</w:t>
      </w:r>
      <w:r>
        <w:rPr>
          <w:rFonts w:ascii="仿宋" w:hAnsi="仿宋" w:eastAsia="仿宋"/>
          <w:b/>
          <w:color w:val="auto"/>
          <w:sz w:val="32"/>
          <w:highlight w:val="none"/>
        </w:rPr>
        <w:t>：</w:t>
      </w:r>
    </w:p>
    <w:p w14:paraId="63538814">
      <w:pPr>
        <w:spacing w:line="360" w:lineRule="auto"/>
        <w:jc w:val="center"/>
        <w:rPr>
          <w:rFonts w:ascii="仿宋" w:hAnsi="仿宋" w:eastAsia="仿宋"/>
          <w:b/>
          <w:color w:val="auto"/>
          <w:sz w:val="36"/>
          <w:highlight w:val="none"/>
        </w:rPr>
      </w:pPr>
    </w:p>
    <w:p w14:paraId="258C37BD">
      <w:pPr>
        <w:spacing w:line="360" w:lineRule="auto"/>
        <w:jc w:val="center"/>
        <w:rPr>
          <w:rFonts w:ascii="仿宋" w:hAnsi="仿宋" w:eastAsia="仿宋"/>
          <w:b/>
          <w:color w:val="auto"/>
          <w:sz w:val="36"/>
          <w:highlight w:val="none"/>
        </w:rPr>
      </w:pPr>
    </w:p>
    <w:p w14:paraId="226A3885">
      <w:pPr>
        <w:spacing w:line="360" w:lineRule="auto"/>
        <w:jc w:val="center"/>
        <w:rPr>
          <w:rFonts w:ascii="仿宋" w:hAnsi="仿宋" w:eastAsia="仿宋" w:cs="Arial"/>
          <w:b/>
          <w:bCs/>
          <w:color w:val="auto"/>
          <w:sz w:val="32"/>
          <w:szCs w:val="32"/>
          <w:highlight w:val="none"/>
        </w:rPr>
      </w:pPr>
      <w:r>
        <w:rPr>
          <w:rFonts w:hint="eastAsia" w:ascii="仿宋" w:hAnsi="仿宋" w:eastAsia="仿宋"/>
          <w:b/>
          <w:color w:val="auto"/>
          <w:sz w:val="32"/>
          <w:highlight w:val="none"/>
        </w:rPr>
        <w:t>XX年XX</w:t>
      </w:r>
      <w:r>
        <w:rPr>
          <w:rFonts w:ascii="仿宋" w:hAnsi="仿宋" w:eastAsia="仿宋"/>
          <w:b/>
          <w:color w:val="auto"/>
          <w:sz w:val="32"/>
          <w:highlight w:val="none"/>
        </w:rPr>
        <w:t>月</w:t>
      </w:r>
      <w:r>
        <w:rPr>
          <w:rFonts w:hint="eastAsia" w:ascii="仿宋" w:hAnsi="仿宋" w:eastAsia="仿宋"/>
          <w:b/>
          <w:color w:val="auto"/>
          <w:sz w:val="32"/>
          <w:highlight w:val="none"/>
        </w:rPr>
        <w:t>XX</w:t>
      </w:r>
      <w:r>
        <w:rPr>
          <w:rFonts w:ascii="仿宋" w:hAnsi="仿宋" w:eastAsia="仿宋"/>
          <w:b/>
          <w:color w:val="auto"/>
          <w:sz w:val="32"/>
          <w:highlight w:val="none"/>
        </w:rPr>
        <w:t>日</w:t>
      </w:r>
    </w:p>
    <w:p w14:paraId="41069E40">
      <w:pPr>
        <w:widowControl/>
        <w:jc w:val="left"/>
        <w:rPr>
          <w:rFonts w:ascii="仿宋" w:hAnsi="仿宋" w:eastAsia="仿宋"/>
          <w:b/>
          <w:color w:val="auto"/>
          <w:sz w:val="32"/>
          <w:szCs w:val="32"/>
          <w:highlight w:val="none"/>
        </w:rPr>
      </w:pPr>
      <w:r>
        <w:rPr>
          <w:rFonts w:ascii="仿宋" w:hAnsi="仿宋" w:eastAsia="仿宋"/>
          <w:b/>
          <w:color w:val="auto"/>
          <w:sz w:val="32"/>
          <w:szCs w:val="32"/>
          <w:highlight w:val="none"/>
        </w:rPr>
        <w:br w:type="page"/>
      </w:r>
    </w:p>
    <w:p w14:paraId="7626D9C8">
      <w:pPr>
        <w:rPr>
          <w:color w:val="auto"/>
          <w:highlight w:val="none"/>
        </w:rPr>
      </w:pPr>
    </w:p>
    <w:p w14:paraId="0F4E8668">
      <w:pPr>
        <w:widowControl/>
        <w:jc w:val="left"/>
        <w:outlineLvl w:val="1"/>
        <w:rPr>
          <w:rFonts w:ascii="仿宋" w:hAnsi="仿宋" w:eastAsia="仿宋" w:cs="仿宋"/>
          <w:b/>
          <w:color w:val="auto"/>
          <w:sz w:val="32"/>
          <w:szCs w:val="32"/>
          <w:highlight w:val="none"/>
        </w:rPr>
      </w:pPr>
      <w:bookmarkStart w:id="158" w:name="_Toc25056"/>
      <w:r>
        <w:rPr>
          <w:rFonts w:hint="eastAsia" w:ascii="仿宋" w:hAnsi="仿宋" w:eastAsia="仿宋" w:cs="仿宋"/>
          <w:b/>
          <w:color w:val="auto"/>
          <w:sz w:val="32"/>
          <w:szCs w:val="32"/>
          <w:highlight w:val="none"/>
        </w:rPr>
        <w:t>格式1-2</w:t>
      </w:r>
      <w:bookmarkEnd w:id="158"/>
    </w:p>
    <w:p w14:paraId="3C8854F0">
      <w:pPr>
        <w:widowControl/>
        <w:spacing w:line="360" w:lineRule="atLeast"/>
        <w:jc w:val="center"/>
        <w:outlineLvl w:val="1"/>
        <w:rPr>
          <w:rFonts w:ascii="仿宋" w:hAnsi="仿宋" w:eastAsia="仿宋"/>
          <w:b/>
          <w:color w:val="auto"/>
          <w:sz w:val="32"/>
          <w:szCs w:val="32"/>
          <w:highlight w:val="none"/>
        </w:rPr>
      </w:pPr>
      <w:bookmarkStart w:id="159" w:name="_Toc26070"/>
      <w:r>
        <w:rPr>
          <w:rFonts w:hint="eastAsia" w:ascii="仿宋" w:hAnsi="仿宋" w:eastAsia="仿宋"/>
          <w:b/>
          <w:color w:val="auto"/>
          <w:sz w:val="32"/>
          <w:szCs w:val="32"/>
          <w:highlight w:val="none"/>
        </w:rPr>
        <w:t>一、法定代表人/单位负责人授权书</w:t>
      </w:r>
      <w:bookmarkEnd w:id="159"/>
    </w:p>
    <w:p w14:paraId="257AC219">
      <w:pPr>
        <w:widowControl/>
        <w:spacing w:line="360" w:lineRule="auto"/>
        <w:ind w:firstLine="472" w:firstLineChars="196"/>
        <w:jc w:val="left"/>
        <w:rPr>
          <w:rFonts w:ascii="仿宋" w:hAnsi="仿宋" w:eastAsia="仿宋"/>
          <w:b/>
          <w:color w:val="auto"/>
          <w:sz w:val="24"/>
          <w:highlight w:val="none"/>
        </w:rPr>
      </w:pPr>
    </w:p>
    <w:p w14:paraId="78C52923">
      <w:pPr>
        <w:widowControl/>
        <w:spacing w:line="360" w:lineRule="auto"/>
        <w:ind w:firstLine="472" w:firstLineChars="196"/>
        <w:jc w:val="left"/>
        <w:rPr>
          <w:rFonts w:ascii="仿宋" w:hAnsi="仿宋" w:eastAsia="仿宋"/>
          <w:b/>
          <w:color w:val="auto"/>
          <w:sz w:val="24"/>
          <w:highlight w:val="none"/>
        </w:rPr>
      </w:pPr>
    </w:p>
    <w:p w14:paraId="0A2A0C63">
      <w:pPr>
        <w:widowControl/>
        <w:spacing w:line="360" w:lineRule="auto"/>
        <w:jc w:val="left"/>
        <w:rPr>
          <w:rFonts w:ascii="仿宋" w:hAnsi="仿宋" w:eastAsia="仿宋"/>
          <w:color w:val="auto"/>
          <w:sz w:val="24"/>
          <w:highlight w:val="none"/>
        </w:rPr>
      </w:pPr>
      <w:r>
        <w:rPr>
          <w:rFonts w:hint="eastAsia" w:ascii="仿宋" w:hAnsi="仿宋" w:eastAsia="仿宋"/>
          <w:color w:val="auto"/>
          <w:sz w:val="24"/>
          <w:highlight w:val="none"/>
        </w:rPr>
        <w:t>XXXXXXXX（采购代理机构名称）：</w:t>
      </w:r>
    </w:p>
    <w:p w14:paraId="41154327">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本授权声明： XXXX（供应商名称）XXXX（法定代表人/单位负责人姓名、职务）授权XXXX（被授权人姓名、职务）为我方 “XXXXXXXX” 项目（采购项目编号：XXXX）磋商采购活动的合法代表，以我方名义全权处理该项目有关磋商采购、签订合同以及执行合同等一切事宜。</w:t>
      </w:r>
    </w:p>
    <w:p w14:paraId="257E42DC">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特此声明。</w:t>
      </w:r>
    </w:p>
    <w:p w14:paraId="2CA9BE62">
      <w:pPr>
        <w:widowControl/>
        <w:spacing w:line="360" w:lineRule="auto"/>
        <w:ind w:firstLine="470" w:firstLineChars="196"/>
        <w:jc w:val="left"/>
        <w:rPr>
          <w:rFonts w:ascii="仿宋" w:hAnsi="仿宋" w:eastAsia="仿宋"/>
          <w:color w:val="auto"/>
          <w:sz w:val="24"/>
          <w:highlight w:val="none"/>
        </w:rPr>
      </w:pPr>
    </w:p>
    <w:p w14:paraId="411C0581">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法定代表人/单位负责人（委托人）签字或加盖个人印章：XXXX。</w:t>
      </w:r>
    </w:p>
    <w:p w14:paraId="08C8E4D7">
      <w:pPr>
        <w:widowControl/>
        <w:spacing w:line="360" w:lineRule="auto"/>
        <w:ind w:firstLine="470" w:firstLineChars="196"/>
        <w:jc w:val="left"/>
        <w:rPr>
          <w:rFonts w:ascii="仿宋" w:hAnsi="仿宋" w:eastAsia="仿宋"/>
          <w:color w:val="auto"/>
          <w:sz w:val="24"/>
          <w:highlight w:val="none"/>
        </w:rPr>
      </w:pPr>
    </w:p>
    <w:p w14:paraId="55016825">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授权代表（被授权人）签字：XXXX。</w:t>
      </w:r>
    </w:p>
    <w:p w14:paraId="795F354A">
      <w:pPr>
        <w:widowControl/>
        <w:spacing w:line="360" w:lineRule="auto"/>
        <w:ind w:firstLine="470" w:firstLineChars="196"/>
        <w:jc w:val="left"/>
        <w:rPr>
          <w:rFonts w:ascii="仿宋" w:hAnsi="仿宋" w:eastAsia="仿宋"/>
          <w:color w:val="auto"/>
          <w:sz w:val="24"/>
          <w:highlight w:val="none"/>
        </w:rPr>
      </w:pPr>
    </w:p>
    <w:p w14:paraId="769C982F">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供应商名称：XXXX（单位盖章）。</w:t>
      </w:r>
    </w:p>
    <w:p w14:paraId="0CDA6BEA">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日    期：XXXX。</w:t>
      </w:r>
    </w:p>
    <w:p w14:paraId="790749CF">
      <w:pPr>
        <w:widowControl/>
        <w:spacing w:line="360" w:lineRule="auto"/>
        <w:jc w:val="left"/>
        <w:rPr>
          <w:rFonts w:ascii="仿宋" w:hAnsi="仿宋" w:eastAsia="仿宋"/>
          <w:b/>
          <w:color w:val="auto"/>
          <w:sz w:val="24"/>
          <w:highlight w:val="none"/>
        </w:rPr>
      </w:pPr>
      <w:bookmarkStart w:id="160" w:name="_Toc217446084"/>
    </w:p>
    <w:p w14:paraId="294C5C9B">
      <w:pPr>
        <w:widowControl/>
        <w:spacing w:line="360" w:lineRule="auto"/>
        <w:jc w:val="left"/>
        <w:rPr>
          <w:rFonts w:ascii="仿宋" w:hAnsi="仿宋" w:eastAsia="仿宋"/>
          <w:b/>
          <w:color w:val="auto"/>
          <w:sz w:val="24"/>
          <w:highlight w:val="none"/>
        </w:rPr>
      </w:pPr>
    </w:p>
    <w:p w14:paraId="19CDA34F">
      <w:pPr>
        <w:widowControl/>
        <w:spacing w:line="360" w:lineRule="auto"/>
        <w:jc w:val="left"/>
        <w:rPr>
          <w:rFonts w:ascii="仿宋" w:hAnsi="仿宋" w:eastAsia="仿宋"/>
          <w:b/>
          <w:color w:val="auto"/>
          <w:sz w:val="24"/>
          <w:highlight w:val="none"/>
        </w:rPr>
      </w:pPr>
    </w:p>
    <w:p w14:paraId="39BA1FE4">
      <w:pPr>
        <w:spacing w:line="360" w:lineRule="auto"/>
        <w:ind w:left="840" w:hanging="840" w:hangingChars="350"/>
        <w:jc w:val="left"/>
        <w:rPr>
          <w:rFonts w:ascii="仿宋" w:hAnsi="仿宋" w:eastAsia="仿宋"/>
          <w:color w:val="auto"/>
          <w:sz w:val="24"/>
          <w:highlight w:val="none"/>
        </w:rPr>
      </w:pPr>
      <w:r>
        <w:rPr>
          <w:rFonts w:hint="eastAsia" w:ascii="仿宋" w:hAnsi="仿宋" w:eastAsia="仿宋"/>
          <w:color w:val="auto"/>
          <w:sz w:val="24"/>
          <w:highlight w:val="none"/>
        </w:rPr>
        <w:t>注：</w:t>
      </w:r>
    </w:p>
    <w:p w14:paraId="6C5ADC0D">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1、供应商为法人单位时提供“法定代表人授权书”，供应商为其他组织时提供“单位负责人授权书”，供应商为自然人时提供“自然人身份证明材料”。</w:t>
      </w:r>
    </w:p>
    <w:p w14:paraId="145A8C87">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2、应附法定代表人/单位负责人身份证明材料复印件和授权代表身份证明材料复印件。</w:t>
      </w:r>
    </w:p>
    <w:p w14:paraId="59589F9C">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3、身份证明材料包括居民身份证或户口本或军官证或护照等。</w:t>
      </w:r>
    </w:p>
    <w:p w14:paraId="34BC9A00">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4、身份证明材料应同时提供其在有效期的材料，如居民身份证正、反面复印件。</w:t>
      </w:r>
      <w:bookmarkEnd w:id="160"/>
    </w:p>
    <w:p w14:paraId="56B935C2">
      <w:pPr>
        <w:spacing w:line="360" w:lineRule="auto"/>
        <w:rPr>
          <w:rFonts w:ascii="仿宋" w:hAnsi="仿宋" w:eastAsia="仿宋"/>
          <w:b/>
          <w:color w:val="auto"/>
          <w:sz w:val="32"/>
          <w:szCs w:val="32"/>
          <w:highlight w:val="none"/>
        </w:rPr>
      </w:pPr>
      <w:r>
        <w:rPr>
          <w:rFonts w:hint="eastAsia" w:ascii="仿宋" w:hAnsi="仿宋" w:eastAsia="仿宋"/>
          <w:b/>
          <w:color w:val="auto"/>
          <w:sz w:val="32"/>
          <w:szCs w:val="32"/>
          <w:highlight w:val="none"/>
        </w:rPr>
        <w:br w:type="page"/>
      </w:r>
    </w:p>
    <w:p w14:paraId="6D73BFC5">
      <w:pPr>
        <w:widowControl/>
        <w:jc w:val="left"/>
        <w:outlineLvl w:val="1"/>
        <w:rPr>
          <w:rFonts w:ascii="仿宋" w:hAnsi="仿宋" w:eastAsia="仿宋" w:cs="仿宋"/>
          <w:b/>
          <w:color w:val="auto"/>
          <w:sz w:val="32"/>
          <w:szCs w:val="32"/>
          <w:highlight w:val="none"/>
        </w:rPr>
      </w:pPr>
      <w:bookmarkStart w:id="161" w:name="_Toc18286"/>
      <w:r>
        <w:rPr>
          <w:rFonts w:hint="eastAsia" w:ascii="仿宋" w:hAnsi="仿宋" w:eastAsia="仿宋" w:cs="仿宋"/>
          <w:b/>
          <w:color w:val="auto"/>
          <w:sz w:val="32"/>
          <w:szCs w:val="32"/>
          <w:highlight w:val="none"/>
        </w:rPr>
        <w:t>格式1-3</w:t>
      </w:r>
      <w:bookmarkEnd w:id="161"/>
    </w:p>
    <w:p w14:paraId="32A08B54">
      <w:pPr>
        <w:widowControl/>
        <w:spacing w:line="360" w:lineRule="atLeast"/>
        <w:jc w:val="center"/>
        <w:outlineLvl w:val="1"/>
        <w:rPr>
          <w:rFonts w:ascii="仿宋" w:hAnsi="仿宋" w:eastAsia="仿宋"/>
          <w:b/>
          <w:color w:val="auto"/>
          <w:sz w:val="32"/>
          <w:szCs w:val="32"/>
          <w:highlight w:val="none"/>
        </w:rPr>
      </w:pPr>
      <w:bookmarkStart w:id="162" w:name="_Toc4905"/>
      <w:r>
        <w:rPr>
          <w:rFonts w:hint="eastAsia" w:ascii="仿宋" w:hAnsi="仿宋" w:eastAsia="仿宋"/>
          <w:b/>
          <w:color w:val="auto"/>
          <w:sz w:val="32"/>
          <w:szCs w:val="32"/>
          <w:highlight w:val="none"/>
        </w:rPr>
        <w:t>二、承诺函</w:t>
      </w:r>
      <w:bookmarkEnd w:id="162"/>
    </w:p>
    <w:p w14:paraId="02E3DC0D">
      <w:pPr>
        <w:widowControl/>
        <w:spacing w:line="360" w:lineRule="auto"/>
        <w:jc w:val="center"/>
        <w:rPr>
          <w:rFonts w:ascii="仿宋" w:hAnsi="仿宋" w:eastAsia="仿宋"/>
          <w:b/>
          <w:color w:val="auto"/>
          <w:sz w:val="24"/>
          <w:highlight w:val="none"/>
        </w:rPr>
      </w:pPr>
    </w:p>
    <w:p w14:paraId="6C1C24C3">
      <w:pPr>
        <w:widowControl/>
        <w:spacing w:line="360" w:lineRule="auto"/>
        <w:jc w:val="left"/>
        <w:rPr>
          <w:rFonts w:ascii="仿宋" w:hAnsi="仿宋" w:eastAsia="仿宋"/>
          <w:color w:val="auto"/>
          <w:sz w:val="24"/>
          <w:highlight w:val="none"/>
        </w:rPr>
      </w:pPr>
      <w:r>
        <w:rPr>
          <w:rFonts w:hint="eastAsia" w:ascii="仿宋" w:hAnsi="仿宋" w:eastAsia="仿宋"/>
          <w:color w:val="auto"/>
          <w:sz w:val="24"/>
          <w:highlight w:val="none"/>
        </w:rPr>
        <w:t>XXXX（采购代理机构名称）：</w:t>
      </w:r>
    </w:p>
    <w:p w14:paraId="69BB4996">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我单位作为本次采购项目的供应商，根据磋商文件要求，现郑重承诺如下：</w:t>
      </w:r>
    </w:p>
    <w:p w14:paraId="332EC715">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具备本项目规定的条件：</w:t>
      </w:r>
    </w:p>
    <w:p w14:paraId="16FFDCC3">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（一）具有独立承担民事责任的能力；</w:t>
      </w:r>
    </w:p>
    <w:p w14:paraId="1DB30A9B">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（二）具有良好的商业信誉和健全的财务会计制度；</w:t>
      </w:r>
    </w:p>
    <w:p w14:paraId="4918864F">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（三）具有履行合同所必需的设备和专业技术能力；</w:t>
      </w:r>
    </w:p>
    <w:p w14:paraId="74A87291">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（四）有依法缴纳税收和社会保障资金的良好记录；</w:t>
      </w:r>
    </w:p>
    <w:p w14:paraId="6372D1FB">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（五）参加采购活动前三年内，在经营活动中没有重大违法记录；</w:t>
      </w:r>
    </w:p>
    <w:p w14:paraId="345756DE">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（六）法律、行政法规规定的其他条件；</w:t>
      </w:r>
    </w:p>
    <w:p w14:paraId="62B563E4">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（七）根据采购项目提出的特殊条件</w:t>
      </w:r>
      <w:r>
        <w:rPr>
          <w:rFonts w:ascii="仿宋" w:hAnsi="仿宋" w:eastAsia="仿宋"/>
          <w:color w:val="auto"/>
          <w:sz w:val="24"/>
          <w:highlight w:val="none"/>
        </w:rPr>
        <w:t>。</w:t>
      </w:r>
    </w:p>
    <w:p w14:paraId="7E29EFFB">
      <w:pPr>
        <w:widowControl/>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本单位对上述承诺的内容和事项真实性负责。如经查实上述承诺的内容事项存在虚假，我单位愿意接受以提供虚假材料谋取成交追究法律责任。</w:t>
      </w:r>
    </w:p>
    <w:p w14:paraId="66A90FD4">
      <w:pPr>
        <w:widowControl/>
        <w:spacing w:line="360" w:lineRule="auto"/>
        <w:ind w:firstLine="470" w:firstLineChars="196"/>
        <w:jc w:val="left"/>
        <w:rPr>
          <w:rFonts w:ascii="仿宋" w:hAnsi="仿宋" w:eastAsia="仿宋"/>
          <w:color w:val="auto"/>
          <w:sz w:val="24"/>
          <w:highlight w:val="none"/>
        </w:rPr>
      </w:pPr>
    </w:p>
    <w:p w14:paraId="0251EF9D">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供应商名称：XXXX（单位公章）。</w:t>
      </w:r>
    </w:p>
    <w:p w14:paraId="01530A15">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法定代表人/单位负责人或授权代表（签字或加盖个人印章）：XXXX。</w:t>
      </w:r>
    </w:p>
    <w:p w14:paraId="4D0785D2">
      <w:pPr>
        <w:widowControl/>
        <w:spacing w:line="360" w:lineRule="auto"/>
        <w:ind w:firstLine="470" w:firstLineChars="196"/>
        <w:jc w:val="left"/>
        <w:rPr>
          <w:rFonts w:ascii="仿宋" w:hAnsi="仿宋" w:eastAsia="仿宋"/>
          <w:color w:val="auto"/>
          <w:sz w:val="24"/>
          <w:highlight w:val="none"/>
        </w:rPr>
      </w:pPr>
      <w:r>
        <w:rPr>
          <w:rFonts w:hint="eastAsia" w:ascii="仿宋" w:hAnsi="仿宋" w:eastAsia="仿宋"/>
          <w:color w:val="auto"/>
          <w:sz w:val="24"/>
          <w:highlight w:val="none"/>
        </w:rPr>
        <w:t>日    期：XXXX。</w:t>
      </w:r>
    </w:p>
    <w:p w14:paraId="58F3F6E9">
      <w:pPr>
        <w:spacing w:line="360" w:lineRule="auto"/>
        <w:rPr>
          <w:rFonts w:ascii="仿宋" w:hAnsi="仿宋" w:eastAsia="仿宋"/>
          <w:color w:val="auto"/>
          <w:sz w:val="24"/>
          <w:highlight w:val="none"/>
        </w:rPr>
      </w:pPr>
      <w:r>
        <w:rPr>
          <w:rFonts w:hint="eastAsia" w:ascii="仿宋" w:hAnsi="仿宋" w:eastAsia="仿宋"/>
          <w:color w:val="auto"/>
          <w:sz w:val="24"/>
          <w:highlight w:val="none"/>
        </w:rPr>
        <w:br w:type="page"/>
      </w:r>
    </w:p>
    <w:p w14:paraId="3E716D9C">
      <w:pPr>
        <w:widowControl/>
        <w:jc w:val="left"/>
        <w:outlineLvl w:val="1"/>
        <w:rPr>
          <w:rFonts w:ascii="仿宋" w:hAnsi="仿宋" w:eastAsia="仿宋" w:cs="仿宋"/>
          <w:b/>
          <w:color w:val="auto"/>
          <w:sz w:val="32"/>
          <w:szCs w:val="32"/>
          <w:highlight w:val="none"/>
        </w:rPr>
      </w:pPr>
      <w:bookmarkStart w:id="163" w:name="_Toc1982"/>
      <w:r>
        <w:rPr>
          <w:rFonts w:hint="eastAsia" w:ascii="仿宋" w:hAnsi="仿宋" w:eastAsia="仿宋" w:cs="仿宋"/>
          <w:b/>
          <w:color w:val="auto"/>
          <w:sz w:val="32"/>
          <w:szCs w:val="32"/>
          <w:highlight w:val="none"/>
        </w:rPr>
        <w:t>格式1-4</w:t>
      </w:r>
      <w:bookmarkEnd w:id="163"/>
    </w:p>
    <w:p w14:paraId="58472247">
      <w:pPr>
        <w:widowControl/>
        <w:spacing w:line="360" w:lineRule="atLeast"/>
        <w:jc w:val="center"/>
        <w:outlineLvl w:val="1"/>
        <w:rPr>
          <w:rFonts w:ascii="仿宋" w:hAnsi="仿宋" w:eastAsia="仿宋"/>
          <w:b/>
          <w:color w:val="auto"/>
          <w:sz w:val="32"/>
          <w:szCs w:val="32"/>
          <w:highlight w:val="none"/>
        </w:rPr>
      </w:pPr>
      <w:bookmarkStart w:id="164" w:name="_Toc27025"/>
      <w:r>
        <w:rPr>
          <w:rFonts w:hint="eastAsia" w:ascii="仿宋" w:hAnsi="仿宋" w:eastAsia="仿宋"/>
          <w:b/>
          <w:color w:val="auto"/>
          <w:sz w:val="32"/>
          <w:szCs w:val="32"/>
          <w:highlight w:val="none"/>
        </w:rPr>
        <w:t>供应商和报价产品其他资格、资质性及其他类似效力要求的相关证明材料</w:t>
      </w:r>
      <w:bookmarkEnd w:id="164"/>
    </w:p>
    <w:p w14:paraId="43E558EF">
      <w:pPr>
        <w:spacing w:line="36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注：供应商应按磋商文件第五章相关要求提供佐证材料，有格式要求的从其要求，无格式要求的格式自拟。</w:t>
      </w:r>
    </w:p>
    <w:p w14:paraId="3FA0A459">
      <w:pPr>
        <w:widowControl/>
        <w:spacing w:line="360" w:lineRule="auto"/>
        <w:jc w:val="left"/>
        <w:rPr>
          <w:rFonts w:ascii="仿宋" w:hAnsi="仿宋" w:eastAsia="仿宋"/>
          <w:b/>
          <w:color w:val="auto"/>
          <w:sz w:val="32"/>
          <w:highlight w:val="none"/>
        </w:rPr>
      </w:pPr>
      <w:r>
        <w:rPr>
          <w:rFonts w:hint="eastAsia" w:ascii="仿宋" w:hAnsi="仿宋" w:eastAsia="仿宋"/>
          <w:b/>
          <w:color w:val="auto"/>
          <w:sz w:val="32"/>
          <w:szCs w:val="32"/>
          <w:highlight w:val="none"/>
        </w:rPr>
        <w:br w:type="page"/>
      </w:r>
      <w:r>
        <w:rPr>
          <w:rFonts w:ascii="仿宋" w:hAnsi="仿宋" w:eastAsia="仿宋"/>
          <w:b/>
          <w:color w:val="auto"/>
          <w:sz w:val="32"/>
          <w:highlight w:val="none"/>
        </w:rPr>
        <w:t>第</w:t>
      </w:r>
      <w:r>
        <w:rPr>
          <w:rFonts w:hint="eastAsia" w:ascii="仿宋" w:hAnsi="仿宋" w:eastAsia="仿宋"/>
          <w:b/>
          <w:color w:val="auto"/>
          <w:sz w:val="32"/>
          <w:highlight w:val="none"/>
        </w:rPr>
        <w:t>二</w:t>
      </w:r>
      <w:r>
        <w:rPr>
          <w:rFonts w:ascii="仿宋" w:hAnsi="仿宋" w:eastAsia="仿宋"/>
          <w:b/>
          <w:color w:val="auto"/>
          <w:sz w:val="32"/>
          <w:highlight w:val="none"/>
        </w:rPr>
        <w:t xml:space="preserve">部分     </w:t>
      </w:r>
      <w:r>
        <w:rPr>
          <w:rFonts w:hint="eastAsia" w:ascii="仿宋" w:hAnsi="仿宋" w:eastAsia="仿宋"/>
          <w:b/>
          <w:color w:val="auto"/>
          <w:sz w:val="32"/>
          <w:highlight w:val="none"/>
        </w:rPr>
        <w:t>“其他响应</w:t>
      </w:r>
      <w:r>
        <w:rPr>
          <w:rFonts w:ascii="仿宋" w:hAnsi="仿宋" w:eastAsia="仿宋"/>
          <w:b/>
          <w:color w:val="auto"/>
          <w:sz w:val="32"/>
          <w:highlight w:val="none"/>
        </w:rPr>
        <w:t>文件</w:t>
      </w:r>
      <w:r>
        <w:rPr>
          <w:rFonts w:hint="eastAsia" w:ascii="仿宋" w:hAnsi="仿宋" w:eastAsia="仿宋"/>
          <w:b/>
          <w:color w:val="auto"/>
          <w:sz w:val="32"/>
          <w:highlight w:val="none"/>
        </w:rPr>
        <w:t>”</w:t>
      </w:r>
      <w:r>
        <w:rPr>
          <w:rFonts w:ascii="仿宋" w:hAnsi="仿宋" w:eastAsia="仿宋"/>
          <w:b/>
          <w:color w:val="auto"/>
          <w:sz w:val="32"/>
          <w:highlight w:val="none"/>
        </w:rPr>
        <w:t>格式</w:t>
      </w:r>
    </w:p>
    <w:p w14:paraId="1E1DD9BB">
      <w:pPr>
        <w:widowControl/>
        <w:jc w:val="left"/>
        <w:outlineLvl w:val="1"/>
        <w:rPr>
          <w:rFonts w:ascii="仿宋" w:hAnsi="仿宋" w:eastAsia="仿宋" w:cs="仿宋"/>
          <w:b/>
          <w:color w:val="auto"/>
          <w:sz w:val="32"/>
          <w:szCs w:val="32"/>
          <w:highlight w:val="none"/>
        </w:rPr>
      </w:pPr>
      <w:bookmarkStart w:id="165" w:name="_Toc28022"/>
      <w:r>
        <w:rPr>
          <w:rFonts w:hint="eastAsia" w:ascii="仿宋" w:hAnsi="仿宋" w:eastAsia="仿宋" w:cs="仿宋"/>
          <w:b/>
          <w:color w:val="auto"/>
          <w:sz w:val="32"/>
          <w:szCs w:val="32"/>
          <w:highlight w:val="none"/>
        </w:rPr>
        <w:t>格式2-1</w:t>
      </w:r>
      <w:bookmarkEnd w:id="165"/>
    </w:p>
    <w:p w14:paraId="05296AD3">
      <w:pPr>
        <w:spacing w:line="360" w:lineRule="auto"/>
        <w:rPr>
          <w:rFonts w:ascii="仿宋" w:hAnsi="仿宋" w:eastAsia="仿宋"/>
          <w:b/>
          <w:color w:val="auto"/>
          <w:sz w:val="32"/>
          <w:szCs w:val="32"/>
          <w:highlight w:val="none"/>
        </w:rPr>
      </w:pPr>
      <w:r>
        <w:rPr>
          <w:rFonts w:hint="eastAsia" w:ascii="仿宋" w:hAnsi="仿宋" w:eastAsia="仿宋"/>
          <w:b/>
          <w:color w:val="auto"/>
          <w:sz w:val="32"/>
          <w:szCs w:val="32"/>
          <w:highlight w:val="none"/>
        </w:rPr>
        <w:t>封面：</w:t>
      </w:r>
    </w:p>
    <w:p w14:paraId="331C0B40">
      <w:pPr>
        <w:spacing w:line="360" w:lineRule="auto"/>
        <w:jc w:val="right"/>
        <w:rPr>
          <w:rFonts w:ascii="仿宋" w:hAnsi="仿宋" w:eastAsia="仿宋"/>
          <w:b/>
          <w:color w:val="auto"/>
          <w:sz w:val="36"/>
          <w:highlight w:val="none"/>
        </w:rPr>
      </w:pPr>
      <w:r>
        <w:rPr>
          <w:rFonts w:ascii="仿宋" w:hAnsi="仿宋" w:eastAsia="仿宋"/>
          <w:b/>
          <w:color w:val="auto"/>
          <w:sz w:val="36"/>
          <w:highlight w:val="none"/>
        </w:rPr>
        <w:t>（正本/副本）</w:t>
      </w:r>
    </w:p>
    <w:p w14:paraId="7AE3786B">
      <w:pPr>
        <w:spacing w:line="360" w:lineRule="auto"/>
        <w:rPr>
          <w:rFonts w:ascii="仿宋" w:hAnsi="仿宋" w:eastAsia="仿宋"/>
          <w:b/>
          <w:color w:val="auto"/>
          <w:sz w:val="32"/>
          <w:szCs w:val="32"/>
          <w:highlight w:val="none"/>
        </w:rPr>
      </w:pPr>
    </w:p>
    <w:p w14:paraId="624B6D5F">
      <w:pPr>
        <w:spacing w:line="360" w:lineRule="auto"/>
        <w:jc w:val="center"/>
        <w:rPr>
          <w:rFonts w:ascii="仿宋" w:hAnsi="仿宋" w:eastAsia="仿宋"/>
          <w:b/>
          <w:color w:val="auto"/>
          <w:sz w:val="72"/>
          <w:highlight w:val="none"/>
        </w:rPr>
      </w:pPr>
      <w:r>
        <w:rPr>
          <w:rFonts w:hint="eastAsia" w:ascii="仿宋" w:hAnsi="仿宋" w:eastAsia="仿宋"/>
          <w:b/>
          <w:color w:val="auto"/>
          <w:sz w:val="40"/>
          <w:szCs w:val="48"/>
          <w:highlight w:val="none"/>
        </w:rPr>
        <w:t>XX项目</w:t>
      </w:r>
    </w:p>
    <w:p w14:paraId="0EE91817">
      <w:pPr>
        <w:spacing w:line="360" w:lineRule="auto"/>
        <w:rPr>
          <w:rFonts w:ascii="仿宋" w:hAnsi="仿宋" w:eastAsia="仿宋"/>
          <w:b/>
          <w:color w:val="auto"/>
          <w:sz w:val="52"/>
          <w:szCs w:val="52"/>
          <w:highlight w:val="none"/>
        </w:rPr>
      </w:pPr>
    </w:p>
    <w:p w14:paraId="00C7BCD2">
      <w:pPr>
        <w:spacing w:line="360" w:lineRule="auto"/>
        <w:jc w:val="center"/>
        <w:rPr>
          <w:rFonts w:ascii="仿宋" w:hAnsi="仿宋" w:eastAsia="仿宋"/>
          <w:b/>
          <w:color w:val="auto"/>
          <w:sz w:val="32"/>
          <w:szCs w:val="32"/>
          <w:highlight w:val="none"/>
        </w:rPr>
      </w:pPr>
      <w:r>
        <w:rPr>
          <w:rFonts w:hint="eastAsia" w:ascii="仿宋" w:hAnsi="仿宋" w:eastAsia="仿宋"/>
          <w:b/>
          <w:color w:val="auto"/>
          <w:sz w:val="52"/>
          <w:szCs w:val="52"/>
          <w:highlight w:val="none"/>
        </w:rPr>
        <w:t>其他响应文件</w:t>
      </w:r>
    </w:p>
    <w:p w14:paraId="7F0D0616">
      <w:pPr>
        <w:spacing w:line="360" w:lineRule="auto"/>
        <w:rPr>
          <w:rFonts w:ascii="仿宋" w:hAnsi="仿宋" w:eastAsia="仿宋"/>
          <w:b/>
          <w:color w:val="auto"/>
          <w:sz w:val="36"/>
          <w:highlight w:val="none"/>
        </w:rPr>
      </w:pPr>
    </w:p>
    <w:p w14:paraId="6426735F">
      <w:pPr>
        <w:spacing w:line="360" w:lineRule="auto"/>
        <w:rPr>
          <w:rFonts w:ascii="仿宋" w:hAnsi="仿宋" w:eastAsia="仿宋"/>
          <w:b/>
          <w:color w:val="auto"/>
          <w:sz w:val="36"/>
          <w:highlight w:val="none"/>
        </w:rPr>
      </w:pPr>
    </w:p>
    <w:p w14:paraId="46715890">
      <w:pPr>
        <w:spacing w:line="360" w:lineRule="auto"/>
        <w:ind w:firstLine="643" w:firstLineChars="200"/>
        <w:jc w:val="left"/>
        <w:rPr>
          <w:rFonts w:ascii="仿宋" w:hAnsi="仿宋" w:eastAsia="仿宋"/>
          <w:b/>
          <w:color w:val="auto"/>
          <w:sz w:val="32"/>
          <w:highlight w:val="none"/>
          <w:u w:val="single"/>
        </w:rPr>
      </w:pPr>
      <w:r>
        <w:rPr>
          <w:rFonts w:hint="eastAsia" w:ascii="仿宋" w:hAnsi="仿宋" w:eastAsia="仿宋"/>
          <w:b/>
          <w:color w:val="auto"/>
          <w:sz w:val="32"/>
          <w:highlight w:val="none"/>
        </w:rPr>
        <w:t>供 应 商</w:t>
      </w:r>
      <w:r>
        <w:rPr>
          <w:rFonts w:ascii="仿宋" w:hAnsi="仿宋" w:eastAsia="仿宋"/>
          <w:b/>
          <w:color w:val="auto"/>
          <w:sz w:val="32"/>
          <w:highlight w:val="none"/>
        </w:rPr>
        <w:t>名称：</w:t>
      </w:r>
    </w:p>
    <w:p w14:paraId="2E97F3DB">
      <w:pPr>
        <w:spacing w:line="360" w:lineRule="auto"/>
        <w:ind w:firstLine="643" w:firstLineChars="200"/>
        <w:jc w:val="left"/>
        <w:rPr>
          <w:rFonts w:ascii="仿宋" w:hAnsi="仿宋" w:eastAsia="仿宋"/>
          <w:b/>
          <w:color w:val="auto"/>
          <w:sz w:val="32"/>
          <w:highlight w:val="none"/>
          <w:u w:val="single"/>
        </w:rPr>
      </w:pPr>
      <w:r>
        <w:rPr>
          <w:rFonts w:hint="eastAsia" w:ascii="仿宋" w:hAnsi="仿宋" w:eastAsia="仿宋"/>
          <w:b/>
          <w:color w:val="auto"/>
          <w:sz w:val="32"/>
          <w:highlight w:val="none"/>
        </w:rPr>
        <w:t>采购项目</w:t>
      </w:r>
      <w:r>
        <w:rPr>
          <w:rFonts w:ascii="仿宋" w:hAnsi="仿宋" w:eastAsia="仿宋"/>
          <w:b/>
          <w:color w:val="auto"/>
          <w:sz w:val="32"/>
          <w:highlight w:val="none"/>
        </w:rPr>
        <w:t>编号：</w:t>
      </w:r>
    </w:p>
    <w:p w14:paraId="4D252448">
      <w:pPr>
        <w:spacing w:line="360" w:lineRule="auto"/>
        <w:ind w:firstLine="643" w:firstLineChars="200"/>
        <w:jc w:val="left"/>
        <w:rPr>
          <w:rFonts w:ascii="仿宋" w:hAnsi="仿宋" w:eastAsia="仿宋"/>
          <w:b/>
          <w:color w:val="auto"/>
          <w:sz w:val="32"/>
          <w:highlight w:val="none"/>
          <w:u w:val="single"/>
        </w:rPr>
      </w:pPr>
      <w:r>
        <w:rPr>
          <w:rFonts w:hint="eastAsia" w:ascii="仿宋" w:hAnsi="仿宋" w:eastAsia="仿宋"/>
          <w:b/>
          <w:color w:val="auto"/>
          <w:sz w:val="32"/>
          <w:highlight w:val="none"/>
        </w:rPr>
        <w:t>包        号</w:t>
      </w:r>
      <w:r>
        <w:rPr>
          <w:rFonts w:ascii="仿宋" w:hAnsi="仿宋" w:eastAsia="仿宋"/>
          <w:b/>
          <w:color w:val="auto"/>
          <w:sz w:val="32"/>
          <w:highlight w:val="none"/>
        </w:rPr>
        <w:t>：</w:t>
      </w:r>
    </w:p>
    <w:p w14:paraId="7EE4A7FC">
      <w:pPr>
        <w:spacing w:line="360" w:lineRule="auto"/>
        <w:ind w:firstLine="790" w:firstLineChars="246"/>
        <w:jc w:val="center"/>
        <w:rPr>
          <w:rFonts w:ascii="仿宋" w:hAnsi="仿宋" w:eastAsia="仿宋"/>
          <w:b/>
          <w:color w:val="auto"/>
          <w:sz w:val="32"/>
          <w:highlight w:val="none"/>
        </w:rPr>
      </w:pPr>
    </w:p>
    <w:p w14:paraId="7121B199">
      <w:pPr>
        <w:spacing w:line="360" w:lineRule="auto"/>
        <w:ind w:firstLine="790" w:firstLineChars="246"/>
        <w:jc w:val="center"/>
        <w:rPr>
          <w:rFonts w:ascii="仿宋" w:hAnsi="仿宋" w:eastAsia="仿宋"/>
          <w:b/>
          <w:color w:val="auto"/>
          <w:sz w:val="32"/>
          <w:highlight w:val="none"/>
        </w:rPr>
      </w:pPr>
      <w:r>
        <w:rPr>
          <w:rFonts w:hint="eastAsia" w:ascii="仿宋" w:hAnsi="仿宋" w:eastAsia="仿宋"/>
          <w:b/>
          <w:color w:val="auto"/>
          <w:sz w:val="32"/>
          <w:highlight w:val="none"/>
        </w:rPr>
        <w:t>XX年XX</w:t>
      </w:r>
      <w:r>
        <w:rPr>
          <w:rFonts w:ascii="仿宋" w:hAnsi="仿宋" w:eastAsia="仿宋"/>
          <w:b/>
          <w:color w:val="auto"/>
          <w:sz w:val="32"/>
          <w:highlight w:val="none"/>
        </w:rPr>
        <w:t>月</w:t>
      </w:r>
      <w:r>
        <w:rPr>
          <w:rFonts w:hint="eastAsia" w:ascii="仿宋" w:hAnsi="仿宋" w:eastAsia="仿宋"/>
          <w:b/>
          <w:color w:val="auto"/>
          <w:sz w:val="32"/>
          <w:highlight w:val="none"/>
        </w:rPr>
        <w:t>XX</w:t>
      </w:r>
      <w:r>
        <w:rPr>
          <w:rFonts w:ascii="仿宋" w:hAnsi="仿宋" w:eastAsia="仿宋"/>
          <w:b/>
          <w:color w:val="auto"/>
          <w:sz w:val="32"/>
          <w:highlight w:val="none"/>
        </w:rPr>
        <w:t>日</w:t>
      </w:r>
    </w:p>
    <w:p w14:paraId="137B20E9">
      <w:pPr>
        <w:spacing w:line="360" w:lineRule="auto"/>
        <w:rPr>
          <w:rFonts w:ascii="仿宋" w:hAnsi="仿宋" w:eastAsia="仿宋"/>
          <w:b/>
          <w:color w:val="auto"/>
          <w:sz w:val="32"/>
          <w:highlight w:val="none"/>
        </w:rPr>
      </w:pPr>
      <w:r>
        <w:rPr>
          <w:rFonts w:ascii="仿宋" w:hAnsi="仿宋" w:eastAsia="仿宋"/>
          <w:b/>
          <w:color w:val="auto"/>
          <w:sz w:val="32"/>
          <w:highlight w:val="none"/>
        </w:rPr>
        <w:br w:type="page"/>
      </w:r>
    </w:p>
    <w:p w14:paraId="7254CB97">
      <w:pPr>
        <w:widowControl/>
        <w:jc w:val="left"/>
        <w:outlineLvl w:val="1"/>
        <w:rPr>
          <w:rFonts w:ascii="仿宋" w:hAnsi="仿宋" w:eastAsia="仿宋" w:cs="仿宋"/>
          <w:b/>
          <w:color w:val="auto"/>
          <w:sz w:val="32"/>
          <w:szCs w:val="32"/>
          <w:highlight w:val="none"/>
        </w:rPr>
      </w:pPr>
      <w:bookmarkStart w:id="166" w:name="_Toc6617"/>
      <w:r>
        <w:rPr>
          <w:rFonts w:hint="eastAsia" w:ascii="仿宋" w:hAnsi="仿宋" w:eastAsia="仿宋" w:cs="仿宋"/>
          <w:b/>
          <w:color w:val="auto"/>
          <w:sz w:val="32"/>
          <w:szCs w:val="32"/>
          <w:highlight w:val="none"/>
        </w:rPr>
        <w:t>格式2-2</w:t>
      </w:r>
      <w:bookmarkEnd w:id="166"/>
    </w:p>
    <w:p w14:paraId="15FB1CE0">
      <w:pPr>
        <w:widowControl/>
        <w:spacing w:line="360" w:lineRule="atLeast"/>
        <w:jc w:val="center"/>
        <w:outlineLvl w:val="1"/>
        <w:rPr>
          <w:rFonts w:ascii="仿宋" w:hAnsi="仿宋" w:eastAsia="仿宋"/>
          <w:b/>
          <w:color w:val="auto"/>
          <w:sz w:val="32"/>
          <w:szCs w:val="32"/>
          <w:highlight w:val="none"/>
        </w:rPr>
      </w:pPr>
      <w:bookmarkStart w:id="167" w:name="_Toc4075"/>
      <w:bookmarkStart w:id="168" w:name="_Toc308164824"/>
      <w:r>
        <w:rPr>
          <w:rFonts w:hint="eastAsia" w:ascii="仿宋" w:hAnsi="仿宋" w:eastAsia="仿宋"/>
          <w:b/>
          <w:color w:val="auto"/>
          <w:sz w:val="32"/>
          <w:szCs w:val="32"/>
          <w:highlight w:val="none"/>
        </w:rPr>
        <w:t>一、报价函</w:t>
      </w:r>
      <w:bookmarkEnd w:id="167"/>
    </w:p>
    <w:p w14:paraId="3780B699">
      <w:pPr>
        <w:spacing w:line="360" w:lineRule="auto"/>
        <w:rPr>
          <w:rFonts w:ascii="仿宋" w:hAnsi="仿宋" w:eastAsia="仿宋"/>
          <w:color w:val="auto"/>
          <w:sz w:val="24"/>
          <w:highlight w:val="none"/>
        </w:rPr>
      </w:pPr>
      <w:r>
        <w:rPr>
          <w:rFonts w:hint="eastAsia" w:ascii="仿宋" w:hAnsi="仿宋" w:eastAsia="仿宋"/>
          <w:color w:val="auto"/>
          <w:sz w:val="24"/>
          <w:highlight w:val="none"/>
          <w:u w:val="single"/>
        </w:rPr>
        <w:t>XXXXXXX</w:t>
      </w:r>
      <w:r>
        <w:rPr>
          <w:rFonts w:hint="eastAsia" w:ascii="仿宋" w:hAnsi="仿宋" w:eastAsia="仿宋"/>
          <w:color w:val="auto"/>
          <w:sz w:val="24"/>
          <w:highlight w:val="none"/>
        </w:rPr>
        <w:t xml:space="preserve">（采购代理机构名称）： </w:t>
      </w:r>
    </w:p>
    <w:p w14:paraId="5B534D7A">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1．我方已仔细研究了（项目名称）磋商文件的全部内容，愿意以人民币（大写）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的总报价，工期</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日历天，按合同约定实施和完成承包工程，修补工程中的任何缺陷，工程质量达到</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w:t>
      </w:r>
    </w:p>
    <w:p w14:paraId="0B0BA13F">
      <w:pPr>
        <w:spacing w:line="360" w:lineRule="auto"/>
        <w:rPr>
          <w:rFonts w:ascii="仿宋" w:hAnsi="仿宋" w:eastAsia="仿宋"/>
          <w:color w:val="auto"/>
          <w:sz w:val="24"/>
          <w:highlight w:val="none"/>
        </w:rPr>
      </w:pPr>
      <w:r>
        <w:rPr>
          <w:rFonts w:hint="eastAsia" w:ascii="仿宋" w:hAnsi="仿宋" w:eastAsia="仿宋"/>
          <w:color w:val="auto"/>
          <w:sz w:val="24"/>
          <w:highlight w:val="none"/>
        </w:rPr>
        <w:t>2.我方为本项目提交的响应文件正本1份，副本XX份，用于磋商响应。</w:t>
      </w:r>
    </w:p>
    <w:p w14:paraId="24BE51BB">
      <w:pPr>
        <w:spacing w:line="360" w:lineRule="auto"/>
        <w:rPr>
          <w:rFonts w:ascii="仿宋" w:hAnsi="仿宋" w:eastAsia="仿宋"/>
          <w:color w:val="auto"/>
          <w:sz w:val="24"/>
          <w:highlight w:val="none"/>
        </w:rPr>
      </w:pPr>
      <w:r>
        <w:rPr>
          <w:rFonts w:hint="eastAsia" w:ascii="仿宋" w:hAnsi="仿宋" w:eastAsia="仿宋"/>
          <w:color w:val="auto"/>
          <w:sz w:val="24"/>
          <w:highlight w:val="none"/>
        </w:rPr>
        <w:t>3.本次磋商，我方递交的响应文件有效期为磋商文件规定起算之日起</w:t>
      </w:r>
      <w:r>
        <w:rPr>
          <w:rFonts w:hint="eastAsia" w:ascii="仿宋" w:hAnsi="仿宋" w:eastAsia="仿宋"/>
          <w:b/>
          <w:bCs/>
          <w:color w:val="auto"/>
          <w:sz w:val="24"/>
          <w:highlight w:val="none"/>
          <w:lang w:val="en-US" w:eastAsia="zh-CN"/>
        </w:rPr>
        <w:t>90</w:t>
      </w:r>
      <w:r>
        <w:rPr>
          <w:rFonts w:hint="eastAsia" w:ascii="仿宋" w:hAnsi="仿宋" w:eastAsia="仿宋"/>
          <w:color w:val="auto"/>
          <w:sz w:val="24"/>
          <w:highlight w:val="none"/>
        </w:rPr>
        <w:t>天。</w:t>
      </w:r>
    </w:p>
    <w:p w14:paraId="058294EC">
      <w:pPr>
        <w:spacing w:line="360" w:lineRule="auto"/>
        <w:rPr>
          <w:rFonts w:ascii="仿宋" w:hAnsi="仿宋" w:eastAsia="仿宋"/>
          <w:color w:val="auto"/>
          <w:sz w:val="24"/>
          <w:highlight w:val="none"/>
        </w:rPr>
      </w:pPr>
      <w:r>
        <w:rPr>
          <w:rFonts w:hint="eastAsia" w:ascii="仿宋" w:hAnsi="仿宋" w:eastAsia="仿宋"/>
          <w:color w:val="auto"/>
          <w:sz w:val="24"/>
          <w:highlight w:val="none"/>
        </w:rPr>
        <w:t>4．如我方成交：</w:t>
      </w:r>
    </w:p>
    <w:p w14:paraId="44AD5D99">
      <w:pPr>
        <w:spacing w:line="360" w:lineRule="auto"/>
        <w:ind w:firstLine="120" w:firstLineChars="50"/>
        <w:rPr>
          <w:rFonts w:ascii="仿宋" w:hAnsi="仿宋" w:eastAsia="仿宋"/>
          <w:color w:val="auto"/>
          <w:sz w:val="24"/>
          <w:highlight w:val="none"/>
        </w:rPr>
      </w:pPr>
      <w:r>
        <w:rPr>
          <w:rFonts w:hint="eastAsia" w:ascii="仿宋" w:hAnsi="仿宋" w:eastAsia="仿宋"/>
          <w:color w:val="auto"/>
          <w:sz w:val="24"/>
          <w:highlight w:val="none"/>
        </w:rPr>
        <w:t>（l）我方承诺在收到成交通知书后，在规定的期限内与采购</w:t>
      </w:r>
      <w:r>
        <w:rPr>
          <w:rFonts w:ascii="仿宋" w:hAnsi="仿宋" w:eastAsia="仿宋"/>
          <w:color w:val="auto"/>
          <w:sz w:val="24"/>
          <w:highlight w:val="none"/>
        </w:rPr>
        <w:t>人</w:t>
      </w:r>
      <w:r>
        <w:rPr>
          <w:rFonts w:hint="eastAsia" w:ascii="仿宋" w:hAnsi="仿宋" w:eastAsia="仿宋"/>
          <w:color w:val="auto"/>
          <w:sz w:val="24"/>
          <w:highlight w:val="none"/>
        </w:rPr>
        <w:t>签订合同。</w:t>
      </w:r>
    </w:p>
    <w:p w14:paraId="4D4E848D">
      <w:pPr>
        <w:spacing w:line="360" w:lineRule="auto"/>
        <w:rPr>
          <w:rFonts w:ascii="仿宋" w:hAnsi="仿宋" w:eastAsia="仿宋"/>
          <w:color w:val="auto"/>
          <w:sz w:val="24"/>
          <w:highlight w:val="none"/>
        </w:rPr>
      </w:pPr>
      <w:r>
        <w:rPr>
          <w:rFonts w:hint="eastAsia" w:ascii="仿宋" w:hAnsi="仿宋" w:eastAsia="仿宋"/>
          <w:color w:val="auto"/>
          <w:sz w:val="24"/>
          <w:highlight w:val="none"/>
        </w:rPr>
        <w:t>（2）我方承诺按照磋商文件规定向采购</w:t>
      </w:r>
      <w:r>
        <w:rPr>
          <w:rFonts w:ascii="仿宋" w:hAnsi="仿宋" w:eastAsia="仿宋"/>
          <w:color w:val="auto"/>
          <w:sz w:val="24"/>
          <w:highlight w:val="none"/>
        </w:rPr>
        <w:t>人</w:t>
      </w:r>
      <w:r>
        <w:rPr>
          <w:rFonts w:hint="eastAsia" w:ascii="仿宋" w:hAnsi="仿宋" w:eastAsia="仿宋"/>
          <w:color w:val="auto"/>
          <w:sz w:val="24"/>
          <w:highlight w:val="none"/>
        </w:rPr>
        <w:t>递交履约担保。</w:t>
      </w:r>
    </w:p>
    <w:p w14:paraId="3EE2A8D6">
      <w:pPr>
        <w:spacing w:line="360" w:lineRule="auto"/>
        <w:rPr>
          <w:rFonts w:ascii="仿宋" w:hAnsi="仿宋" w:eastAsia="仿宋"/>
          <w:color w:val="auto"/>
          <w:sz w:val="24"/>
          <w:highlight w:val="none"/>
        </w:rPr>
      </w:pPr>
      <w:r>
        <w:rPr>
          <w:rFonts w:hint="eastAsia" w:ascii="仿宋" w:hAnsi="仿宋" w:eastAsia="仿宋"/>
          <w:color w:val="auto"/>
          <w:sz w:val="24"/>
          <w:highlight w:val="none"/>
        </w:rPr>
        <w:t>（3）我方将严格履行采购合同规定的责任和义务。</w:t>
      </w:r>
    </w:p>
    <w:p w14:paraId="5C769907">
      <w:pPr>
        <w:spacing w:line="360" w:lineRule="auto"/>
        <w:rPr>
          <w:rFonts w:ascii="仿宋" w:hAnsi="仿宋" w:eastAsia="仿宋"/>
          <w:color w:val="auto"/>
          <w:sz w:val="24"/>
          <w:highlight w:val="none"/>
        </w:rPr>
      </w:pPr>
      <w:r>
        <w:rPr>
          <w:rFonts w:hint="eastAsia" w:ascii="仿宋" w:hAnsi="仿宋" w:eastAsia="仿宋"/>
          <w:color w:val="auto"/>
          <w:sz w:val="24"/>
          <w:highlight w:val="none"/>
        </w:rPr>
        <w:t>（4）我方愿意提供贵单位可能另外要求的，与磋商报价有关的文件资料，并保证我方已提供和将要提供的文件资料是真实、准确的。</w:t>
      </w:r>
    </w:p>
    <w:p w14:paraId="5C897D93">
      <w:pPr>
        <w:spacing w:line="360" w:lineRule="auto"/>
        <w:rPr>
          <w:rFonts w:ascii="仿宋" w:hAnsi="仿宋" w:eastAsia="仿宋"/>
          <w:color w:val="auto"/>
          <w:sz w:val="24"/>
          <w:highlight w:val="none"/>
        </w:rPr>
      </w:pPr>
      <w:r>
        <w:rPr>
          <w:rFonts w:hint="eastAsia" w:ascii="仿宋" w:hAnsi="仿宋" w:eastAsia="仿宋"/>
          <w:color w:val="auto"/>
          <w:sz w:val="24"/>
          <w:highlight w:val="none"/>
        </w:rPr>
        <w:t>（5）（其他补充说明）。</w:t>
      </w:r>
    </w:p>
    <w:p w14:paraId="57532D44">
      <w:pPr>
        <w:adjustRightInd w:val="0"/>
        <w:spacing w:line="360" w:lineRule="auto"/>
        <w:ind w:firstLine="480" w:firstLineChars="200"/>
        <w:jc w:val="left"/>
        <w:rPr>
          <w:rFonts w:ascii="仿宋" w:hAnsi="仿宋" w:eastAsia="仿宋"/>
          <w:color w:val="auto"/>
          <w:sz w:val="24"/>
          <w:highlight w:val="none"/>
        </w:rPr>
      </w:pPr>
    </w:p>
    <w:p w14:paraId="27F40DFD">
      <w:pPr>
        <w:adjustRightInd w:val="0"/>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供应商名称：XXX（盖单位公章）</w:t>
      </w:r>
    </w:p>
    <w:p w14:paraId="3A11621F">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法定代表人/单位负责人或授权代表（签字或加盖个人印章）：XXX</w:t>
      </w:r>
    </w:p>
    <w:p w14:paraId="34F698E6">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通讯地址：XXX</w:t>
      </w:r>
    </w:p>
    <w:p w14:paraId="68A21C5C">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邮政编码：XXX</w:t>
      </w:r>
    </w:p>
    <w:p w14:paraId="727CA7FE">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联系电话：XXX</w:t>
      </w:r>
    </w:p>
    <w:p w14:paraId="3A6F6169">
      <w:pPr>
        <w:spacing w:line="360" w:lineRule="auto"/>
        <w:ind w:firstLine="470" w:firstLineChars="196"/>
        <w:rPr>
          <w:rFonts w:ascii="仿宋" w:hAnsi="仿宋" w:eastAsia="仿宋"/>
          <w:color w:val="auto"/>
          <w:sz w:val="24"/>
          <w:highlight w:val="none"/>
        </w:rPr>
      </w:pPr>
      <w:r>
        <w:rPr>
          <w:rFonts w:hint="eastAsia" w:ascii="仿宋" w:hAnsi="仿宋" w:eastAsia="仿宋"/>
          <w:color w:val="auto"/>
          <w:sz w:val="24"/>
          <w:highlight w:val="none"/>
        </w:rPr>
        <w:t>传    真：XXX</w:t>
      </w:r>
    </w:p>
    <w:p w14:paraId="7B15D45D">
      <w:pPr>
        <w:spacing w:line="360" w:lineRule="auto"/>
        <w:ind w:firstLine="470" w:firstLineChars="196"/>
        <w:rPr>
          <w:rFonts w:ascii="仿宋" w:hAnsi="仿宋" w:eastAsia="仿宋"/>
          <w:b/>
          <w:color w:val="auto"/>
          <w:sz w:val="32"/>
          <w:szCs w:val="32"/>
          <w:highlight w:val="none"/>
        </w:rPr>
      </w:pPr>
      <w:r>
        <w:rPr>
          <w:rFonts w:hint="eastAsia" w:ascii="仿宋" w:hAnsi="仿宋" w:eastAsia="仿宋"/>
          <w:color w:val="auto"/>
          <w:sz w:val="24"/>
          <w:highlight w:val="none"/>
        </w:rPr>
        <w:t>日    期：XXX年XXX月XXX日</w:t>
      </w:r>
      <w:r>
        <w:rPr>
          <w:rFonts w:hint="eastAsia" w:ascii="仿宋" w:hAnsi="仿宋" w:eastAsia="仿宋"/>
          <w:b/>
          <w:color w:val="auto"/>
          <w:sz w:val="32"/>
          <w:szCs w:val="32"/>
          <w:highlight w:val="none"/>
        </w:rPr>
        <w:br w:type="page"/>
      </w:r>
    </w:p>
    <w:p w14:paraId="64A92597">
      <w:pPr>
        <w:widowControl/>
        <w:jc w:val="left"/>
        <w:outlineLvl w:val="1"/>
        <w:rPr>
          <w:rFonts w:ascii="仿宋" w:hAnsi="仿宋" w:eastAsia="仿宋" w:cs="仿宋"/>
          <w:b/>
          <w:color w:val="auto"/>
          <w:sz w:val="32"/>
          <w:szCs w:val="32"/>
          <w:highlight w:val="none"/>
        </w:rPr>
      </w:pPr>
      <w:bookmarkStart w:id="169" w:name="_Toc4534"/>
      <w:r>
        <w:rPr>
          <w:rFonts w:hint="eastAsia" w:ascii="仿宋" w:hAnsi="仿宋" w:eastAsia="仿宋" w:cs="仿宋"/>
          <w:b/>
          <w:color w:val="auto"/>
          <w:sz w:val="32"/>
          <w:szCs w:val="32"/>
          <w:highlight w:val="none"/>
        </w:rPr>
        <w:t>格式2-3</w:t>
      </w:r>
      <w:bookmarkEnd w:id="169"/>
    </w:p>
    <w:p w14:paraId="74501A3F">
      <w:pPr>
        <w:widowControl/>
        <w:spacing w:line="360" w:lineRule="atLeast"/>
        <w:jc w:val="center"/>
        <w:outlineLvl w:val="1"/>
        <w:rPr>
          <w:rFonts w:ascii="仿宋" w:hAnsi="仿宋" w:eastAsia="仿宋"/>
          <w:b/>
          <w:color w:val="auto"/>
          <w:sz w:val="32"/>
          <w:szCs w:val="32"/>
          <w:highlight w:val="none"/>
        </w:rPr>
      </w:pPr>
      <w:bookmarkStart w:id="170" w:name="_Toc7997"/>
      <w:r>
        <w:rPr>
          <w:rFonts w:hint="eastAsia" w:ascii="仿宋" w:hAnsi="仿宋" w:eastAsia="仿宋"/>
          <w:b/>
          <w:color w:val="auto"/>
          <w:sz w:val="32"/>
          <w:szCs w:val="32"/>
          <w:highlight w:val="none"/>
        </w:rPr>
        <w:t>二、承诺函（实质性要求）</w:t>
      </w:r>
      <w:bookmarkEnd w:id="170"/>
    </w:p>
    <w:p w14:paraId="6BDAACC4">
      <w:pPr>
        <w:widowControl/>
        <w:jc w:val="center"/>
        <w:rPr>
          <w:rFonts w:ascii="仿宋" w:hAnsi="仿宋" w:eastAsia="仿宋"/>
          <w:b/>
          <w:color w:val="auto"/>
          <w:sz w:val="24"/>
          <w:highlight w:val="none"/>
        </w:rPr>
      </w:pPr>
    </w:p>
    <w:p w14:paraId="2FE9E2AB">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XXX（采购代理机构名称）：</w:t>
      </w:r>
    </w:p>
    <w:p w14:paraId="070D6724">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我方作为本次采购项目的供应商，根据磋商文件要求，现郑重承诺如下：</w:t>
      </w:r>
    </w:p>
    <w:p w14:paraId="359085B3">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一、我方已认真阅读并接受本项目</w:t>
      </w:r>
      <w:r>
        <w:rPr>
          <w:rFonts w:ascii="仿宋" w:hAnsi="仿宋" w:eastAsia="仿宋"/>
          <w:color w:val="auto"/>
          <w:sz w:val="24"/>
          <w:highlight w:val="none"/>
        </w:rPr>
        <w:t>磋商</w:t>
      </w:r>
      <w:r>
        <w:rPr>
          <w:rFonts w:hint="eastAsia" w:ascii="仿宋" w:hAnsi="仿宋" w:eastAsia="仿宋"/>
          <w:color w:val="auto"/>
          <w:sz w:val="24"/>
          <w:highlight w:val="none"/>
        </w:rPr>
        <w:t>文件第二章的全部实质性要求（含国家规定的强制采购范围）</w:t>
      </w:r>
      <w:r>
        <w:rPr>
          <w:rFonts w:ascii="仿宋" w:hAnsi="仿宋" w:eastAsia="仿宋"/>
          <w:color w:val="auto"/>
          <w:sz w:val="24"/>
          <w:highlight w:val="none"/>
        </w:rPr>
        <w:t>，如对磋商</w:t>
      </w:r>
      <w:r>
        <w:rPr>
          <w:rFonts w:hint="eastAsia" w:ascii="仿宋" w:hAnsi="仿宋" w:eastAsia="仿宋"/>
          <w:color w:val="auto"/>
          <w:sz w:val="24"/>
          <w:highlight w:val="none"/>
        </w:rPr>
        <w:t>文件</w:t>
      </w:r>
      <w:r>
        <w:rPr>
          <w:rFonts w:ascii="仿宋" w:hAnsi="仿宋" w:eastAsia="仿宋"/>
          <w:color w:val="auto"/>
          <w:sz w:val="24"/>
          <w:highlight w:val="none"/>
        </w:rPr>
        <w:t>有异议，</w:t>
      </w:r>
      <w:r>
        <w:rPr>
          <w:rFonts w:hint="eastAsia" w:ascii="仿宋" w:hAnsi="仿宋" w:eastAsia="仿宋"/>
          <w:color w:val="auto"/>
          <w:sz w:val="24"/>
          <w:highlight w:val="none"/>
        </w:rPr>
        <w:t>已</w:t>
      </w:r>
      <w:r>
        <w:rPr>
          <w:rFonts w:ascii="仿宋" w:hAnsi="仿宋" w:eastAsia="仿宋"/>
          <w:color w:val="auto"/>
          <w:sz w:val="24"/>
          <w:highlight w:val="none"/>
        </w:rPr>
        <w:t>依法进行维权救济，不存在对磋商</w:t>
      </w:r>
      <w:r>
        <w:rPr>
          <w:rFonts w:hint="eastAsia" w:ascii="仿宋" w:hAnsi="仿宋" w:eastAsia="仿宋"/>
          <w:color w:val="auto"/>
          <w:sz w:val="24"/>
          <w:highlight w:val="none"/>
        </w:rPr>
        <w:t>文件</w:t>
      </w:r>
      <w:r>
        <w:rPr>
          <w:rFonts w:ascii="仿宋" w:hAnsi="仿宋" w:eastAsia="仿宋"/>
          <w:color w:val="auto"/>
          <w:sz w:val="24"/>
          <w:highlight w:val="none"/>
        </w:rPr>
        <w:t>有异议的同时又参加</w:t>
      </w:r>
      <w:r>
        <w:rPr>
          <w:rFonts w:hint="eastAsia" w:ascii="仿宋" w:hAnsi="仿宋" w:eastAsia="仿宋"/>
          <w:color w:val="auto"/>
          <w:sz w:val="24"/>
          <w:highlight w:val="none"/>
        </w:rPr>
        <w:t>磋商</w:t>
      </w:r>
      <w:r>
        <w:rPr>
          <w:rFonts w:ascii="仿宋" w:hAnsi="仿宋" w:eastAsia="仿宋"/>
          <w:color w:val="auto"/>
          <w:sz w:val="24"/>
          <w:highlight w:val="none"/>
        </w:rPr>
        <w:t>以求侥幸</w:t>
      </w:r>
      <w:r>
        <w:rPr>
          <w:rFonts w:hint="eastAsia" w:ascii="仿宋" w:hAnsi="仿宋" w:eastAsia="仿宋"/>
          <w:color w:val="auto"/>
          <w:sz w:val="24"/>
          <w:highlight w:val="none"/>
        </w:rPr>
        <w:t>成交</w:t>
      </w:r>
      <w:r>
        <w:rPr>
          <w:rFonts w:ascii="仿宋" w:hAnsi="仿宋" w:eastAsia="仿宋"/>
          <w:color w:val="auto"/>
          <w:sz w:val="24"/>
          <w:highlight w:val="none"/>
        </w:rPr>
        <w:t>或者为实现其他非法目的的行为。</w:t>
      </w:r>
    </w:p>
    <w:p w14:paraId="56149965">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二、在参加本次采购活动中，不存在与单位负责人为同一人或者存在直接控股、管理关系的其他供应商参与同一合同项下的采购活动的行为。</w:t>
      </w:r>
    </w:p>
    <w:p w14:paraId="39063A26">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三、响应文件中提供的任何资料和技术、服务、商务等响应承诺情况都是真实的、有效的、合法的。</w:t>
      </w:r>
    </w:p>
    <w:p w14:paraId="7E12B1B6">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四、如本项目磋商采购过程中需要提供样品，</w:t>
      </w:r>
      <w:r>
        <w:rPr>
          <w:rFonts w:hint="eastAsia" w:ascii="仿宋" w:hAnsi="仿宋" w:eastAsia="仿宋" w:cs="仿宋"/>
          <w:color w:val="auto"/>
          <w:sz w:val="24"/>
          <w:highlight w:val="none"/>
        </w:rPr>
        <w:t>则我方提供的样品将作为成交后履约验收的参考</w:t>
      </w:r>
      <w:r>
        <w:rPr>
          <w:rFonts w:hint="eastAsia" w:ascii="仿宋" w:hAnsi="仿宋" w:eastAsia="仿宋"/>
          <w:color w:val="auto"/>
          <w:sz w:val="24"/>
          <w:highlight w:val="none"/>
        </w:rPr>
        <w:t>，我方对提供样品的性能和质量负责，因样品存在缺陷或者不符合磋商文件要求导致未能成交的，我方愿意承担相应不利后果。</w:t>
      </w:r>
    </w:p>
    <w:p w14:paraId="7B69089C">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五、国家或行业主管部门对采购产品的技术标准、质量标准和资格资质条件等有强制性规定的，我方</w:t>
      </w:r>
      <w:r>
        <w:rPr>
          <w:rFonts w:ascii="仿宋" w:hAnsi="仿宋" w:eastAsia="仿宋"/>
          <w:color w:val="auto"/>
          <w:sz w:val="24"/>
          <w:highlight w:val="none"/>
        </w:rPr>
        <w:t>承诺符合其要求。</w:t>
      </w:r>
    </w:p>
    <w:p w14:paraId="48EAFCB5">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六、参加本次采购活动，我方完全同意磋商</w:t>
      </w:r>
      <w:r>
        <w:rPr>
          <w:rFonts w:ascii="仿宋" w:hAnsi="仿宋" w:eastAsia="仿宋"/>
          <w:color w:val="auto"/>
          <w:sz w:val="24"/>
          <w:highlight w:val="none"/>
        </w:rPr>
        <w:t>文件第二章关于</w:t>
      </w:r>
      <w:r>
        <w:rPr>
          <w:rFonts w:hint="eastAsia" w:ascii="仿宋" w:hAnsi="仿宋" w:eastAsia="仿宋"/>
          <w:color w:val="auto"/>
          <w:sz w:val="24"/>
          <w:highlight w:val="none"/>
        </w:rPr>
        <w:t>“磋商费用”“合同</w:t>
      </w:r>
      <w:r>
        <w:rPr>
          <w:rFonts w:ascii="仿宋" w:hAnsi="仿宋" w:eastAsia="仿宋"/>
          <w:color w:val="auto"/>
          <w:sz w:val="24"/>
          <w:highlight w:val="none"/>
        </w:rPr>
        <w:t>分包</w:t>
      </w:r>
      <w:r>
        <w:rPr>
          <w:rFonts w:hint="eastAsia" w:ascii="仿宋" w:hAnsi="仿宋" w:eastAsia="仿宋"/>
          <w:color w:val="auto"/>
          <w:sz w:val="24"/>
          <w:highlight w:val="none"/>
        </w:rPr>
        <w:t>”</w:t>
      </w:r>
      <w:r>
        <w:rPr>
          <w:rFonts w:ascii="仿宋" w:hAnsi="仿宋" w:eastAsia="仿宋"/>
          <w:color w:val="auto"/>
          <w:sz w:val="24"/>
          <w:highlight w:val="none"/>
        </w:rPr>
        <w:t>“</w:t>
      </w:r>
      <w:r>
        <w:rPr>
          <w:rFonts w:hint="eastAsia" w:ascii="仿宋" w:hAnsi="仿宋" w:eastAsia="仿宋"/>
          <w:color w:val="auto"/>
          <w:sz w:val="24"/>
          <w:highlight w:val="none"/>
        </w:rPr>
        <w:t>合同</w:t>
      </w:r>
      <w:r>
        <w:rPr>
          <w:rFonts w:ascii="仿宋" w:hAnsi="仿宋" w:eastAsia="仿宋"/>
          <w:color w:val="auto"/>
          <w:sz w:val="24"/>
          <w:highlight w:val="none"/>
        </w:rPr>
        <w:t>转包”“</w:t>
      </w:r>
      <w:r>
        <w:rPr>
          <w:rFonts w:hint="eastAsia" w:ascii="仿宋" w:hAnsi="仿宋" w:eastAsia="仿宋"/>
          <w:color w:val="auto"/>
          <w:sz w:val="24"/>
          <w:highlight w:val="none"/>
        </w:rPr>
        <w:t>履约</w:t>
      </w:r>
      <w:r>
        <w:rPr>
          <w:rFonts w:ascii="仿宋" w:hAnsi="仿宋" w:eastAsia="仿宋"/>
          <w:color w:val="auto"/>
          <w:sz w:val="24"/>
          <w:highlight w:val="none"/>
        </w:rPr>
        <w:t>保证金”</w:t>
      </w:r>
      <w:r>
        <w:rPr>
          <w:rFonts w:hint="eastAsia" w:ascii="仿宋" w:hAnsi="仿宋" w:eastAsia="仿宋"/>
          <w:color w:val="auto"/>
          <w:sz w:val="24"/>
          <w:highlight w:val="none"/>
        </w:rPr>
        <w:t>的</w:t>
      </w:r>
      <w:r>
        <w:rPr>
          <w:rFonts w:ascii="仿宋" w:hAnsi="仿宋" w:eastAsia="仿宋"/>
          <w:color w:val="auto"/>
          <w:sz w:val="24"/>
          <w:highlight w:val="none"/>
        </w:rPr>
        <w:t>实质性要求</w:t>
      </w:r>
      <w:r>
        <w:rPr>
          <w:rFonts w:hint="eastAsia" w:ascii="仿宋" w:hAnsi="仿宋" w:eastAsia="仿宋"/>
          <w:color w:val="auto"/>
          <w:sz w:val="24"/>
          <w:highlight w:val="none"/>
        </w:rPr>
        <w:t>，</w:t>
      </w:r>
      <w:r>
        <w:rPr>
          <w:rFonts w:ascii="仿宋" w:hAnsi="仿宋" w:eastAsia="仿宋"/>
          <w:color w:val="auto"/>
          <w:sz w:val="24"/>
          <w:highlight w:val="none"/>
        </w:rPr>
        <w:t>并承诺严格按照</w:t>
      </w:r>
      <w:r>
        <w:rPr>
          <w:rFonts w:hint="eastAsia" w:ascii="仿宋" w:hAnsi="仿宋" w:eastAsia="仿宋"/>
          <w:color w:val="auto"/>
          <w:sz w:val="24"/>
          <w:highlight w:val="none"/>
        </w:rPr>
        <w:t>磋商</w:t>
      </w:r>
      <w:r>
        <w:rPr>
          <w:rFonts w:ascii="仿宋" w:hAnsi="仿宋" w:eastAsia="仿宋"/>
          <w:color w:val="auto"/>
          <w:sz w:val="24"/>
          <w:highlight w:val="none"/>
        </w:rPr>
        <w:t>文件要求</w:t>
      </w:r>
      <w:r>
        <w:rPr>
          <w:rFonts w:hint="eastAsia" w:ascii="仿宋" w:hAnsi="仿宋" w:eastAsia="仿宋"/>
          <w:color w:val="auto"/>
          <w:sz w:val="24"/>
          <w:highlight w:val="none"/>
        </w:rPr>
        <w:t>履行</w:t>
      </w:r>
      <w:r>
        <w:rPr>
          <w:rFonts w:ascii="仿宋" w:hAnsi="仿宋" w:eastAsia="仿宋"/>
          <w:color w:val="auto"/>
          <w:sz w:val="24"/>
          <w:highlight w:val="none"/>
        </w:rPr>
        <w:t>。</w:t>
      </w:r>
    </w:p>
    <w:p w14:paraId="1DE72054">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七</w:t>
      </w:r>
      <w:r>
        <w:rPr>
          <w:rFonts w:ascii="仿宋" w:hAnsi="仿宋" w:eastAsia="仿宋"/>
          <w:color w:val="auto"/>
          <w:sz w:val="24"/>
          <w:highlight w:val="none"/>
        </w:rPr>
        <w:t>、</w:t>
      </w:r>
      <w:r>
        <w:rPr>
          <w:rFonts w:hint="eastAsia" w:ascii="仿宋" w:hAnsi="仿宋" w:eastAsia="仿宋"/>
          <w:color w:val="auto"/>
          <w:sz w:val="24"/>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磋商文件特别规定，采购人享有本项目实施过程中产生的知识成果及知识产权。如我方在采购项目实施过程中采用自有或者第三方知识成果的，使用该知识成果后，我方</w:t>
      </w:r>
      <w:r>
        <w:rPr>
          <w:rFonts w:ascii="仿宋" w:hAnsi="仿宋" w:eastAsia="仿宋"/>
          <w:color w:val="auto"/>
          <w:sz w:val="24"/>
          <w:highlight w:val="none"/>
        </w:rPr>
        <w:t>承诺</w:t>
      </w:r>
      <w:r>
        <w:rPr>
          <w:rFonts w:hint="eastAsia" w:ascii="仿宋" w:hAnsi="仿宋" w:eastAsia="仿宋"/>
          <w:color w:val="auto"/>
          <w:sz w:val="24"/>
          <w:highlight w:val="none"/>
        </w:rPr>
        <w:t>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9638031">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我方对上述承诺的内容事项真实性负责。如经查实上述承诺的内容事项存在虚假，我方愿意接受以提供虚假材料谋取成交的法律责任。</w:t>
      </w:r>
    </w:p>
    <w:p w14:paraId="6E2BC821">
      <w:pPr>
        <w:spacing w:line="440" w:lineRule="exact"/>
        <w:ind w:firstLine="480" w:firstLineChars="200"/>
        <w:rPr>
          <w:rFonts w:ascii="仿宋" w:hAnsi="仿宋" w:eastAsia="仿宋"/>
          <w:color w:val="auto"/>
          <w:sz w:val="24"/>
          <w:highlight w:val="none"/>
        </w:rPr>
      </w:pPr>
    </w:p>
    <w:p w14:paraId="2849AF88">
      <w:pPr>
        <w:spacing w:line="440" w:lineRule="exact"/>
        <w:ind w:firstLine="480" w:firstLineChars="200"/>
        <w:rPr>
          <w:rFonts w:ascii="仿宋" w:hAnsi="仿宋" w:eastAsia="仿宋"/>
          <w:color w:val="auto"/>
          <w:sz w:val="24"/>
          <w:highlight w:val="none"/>
        </w:rPr>
      </w:pPr>
    </w:p>
    <w:p w14:paraId="3A5493E9">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法定代表人/单位负责人</w:t>
      </w:r>
      <w:r>
        <w:rPr>
          <w:rFonts w:hint="eastAsia" w:ascii="仿宋" w:hAnsi="仿宋" w:eastAsia="仿宋" w:cs="仿宋"/>
          <w:color w:val="auto"/>
          <w:sz w:val="24"/>
          <w:highlight w:val="none"/>
        </w:rPr>
        <w:t>或授权代表</w:t>
      </w:r>
      <w:r>
        <w:rPr>
          <w:rFonts w:hint="eastAsia" w:ascii="仿宋" w:hAnsi="仿宋" w:eastAsia="仿宋"/>
          <w:color w:val="auto"/>
          <w:sz w:val="24"/>
          <w:highlight w:val="none"/>
        </w:rPr>
        <w:t>签字或加盖个人印章：XXXX</w:t>
      </w:r>
    </w:p>
    <w:p w14:paraId="4D7AAF61">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授权代表签字：XXXX</w:t>
      </w:r>
    </w:p>
    <w:p w14:paraId="54362E8E">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供应商名称：XXXX（盖章）</w:t>
      </w:r>
    </w:p>
    <w:p w14:paraId="3742BD2B">
      <w:pPr>
        <w:spacing w:line="44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日    期：XXX年XXX月XXX日</w:t>
      </w:r>
    </w:p>
    <w:p w14:paraId="30CA9AF7">
      <w:pPr>
        <w:spacing w:line="360" w:lineRule="auto"/>
        <w:ind w:firstLine="480" w:firstLineChars="200"/>
        <w:rPr>
          <w:rFonts w:ascii="仿宋" w:hAnsi="仿宋" w:eastAsia="仿宋"/>
          <w:color w:val="auto"/>
          <w:sz w:val="24"/>
          <w:highlight w:val="none"/>
        </w:rPr>
      </w:pPr>
    </w:p>
    <w:p w14:paraId="74228BDD">
      <w:pPr>
        <w:spacing w:line="360" w:lineRule="auto"/>
        <w:rPr>
          <w:rFonts w:ascii="仿宋" w:hAnsi="仿宋" w:eastAsia="仿宋"/>
          <w:b/>
          <w:color w:val="auto"/>
          <w:sz w:val="32"/>
          <w:szCs w:val="32"/>
          <w:highlight w:val="none"/>
        </w:rPr>
      </w:pPr>
      <w:r>
        <w:rPr>
          <w:rFonts w:hint="eastAsia" w:ascii="仿宋" w:hAnsi="仿宋" w:eastAsia="仿宋"/>
          <w:b/>
          <w:color w:val="auto"/>
          <w:sz w:val="32"/>
          <w:szCs w:val="32"/>
          <w:highlight w:val="none"/>
        </w:rPr>
        <w:br w:type="page"/>
      </w:r>
      <w:bookmarkEnd w:id="168"/>
      <w:bookmarkStart w:id="171" w:name="_Toc217446087"/>
    </w:p>
    <w:p w14:paraId="39FCE90E">
      <w:pPr>
        <w:widowControl/>
        <w:jc w:val="left"/>
        <w:outlineLvl w:val="1"/>
        <w:rPr>
          <w:rFonts w:ascii="仿宋" w:hAnsi="仿宋" w:eastAsia="仿宋" w:cs="仿宋"/>
          <w:b/>
          <w:color w:val="auto"/>
          <w:sz w:val="32"/>
          <w:szCs w:val="32"/>
          <w:highlight w:val="none"/>
        </w:rPr>
      </w:pPr>
      <w:bookmarkStart w:id="172" w:name="_Toc16674"/>
      <w:r>
        <w:rPr>
          <w:rFonts w:hint="eastAsia" w:ascii="仿宋" w:hAnsi="仿宋" w:eastAsia="仿宋" w:cs="仿宋"/>
          <w:b/>
          <w:color w:val="auto"/>
          <w:sz w:val="32"/>
          <w:szCs w:val="32"/>
          <w:highlight w:val="none"/>
        </w:rPr>
        <w:t>格式2-4</w:t>
      </w:r>
      <w:bookmarkEnd w:id="172"/>
    </w:p>
    <w:p w14:paraId="0B52670A">
      <w:pPr>
        <w:widowControl/>
        <w:spacing w:line="360" w:lineRule="auto"/>
        <w:jc w:val="center"/>
        <w:rPr>
          <w:rFonts w:ascii="仿宋" w:hAnsi="仿宋" w:eastAsia="仿宋"/>
          <w:b/>
          <w:color w:val="auto"/>
          <w:sz w:val="32"/>
          <w:szCs w:val="32"/>
          <w:highlight w:val="none"/>
        </w:rPr>
      </w:pPr>
    </w:p>
    <w:p w14:paraId="692AC923">
      <w:pPr>
        <w:widowControl/>
        <w:spacing w:line="360" w:lineRule="atLeast"/>
        <w:jc w:val="center"/>
        <w:outlineLvl w:val="1"/>
        <w:rPr>
          <w:rFonts w:ascii="仿宋" w:hAnsi="仿宋" w:eastAsia="仿宋"/>
          <w:b/>
          <w:color w:val="auto"/>
          <w:sz w:val="32"/>
          <w:szCs w:val="32"/>
          <w:highlight w:val="none"/>
        </w:rPr>
      </w:pPr>
      <w:bookmarkStart w:id="173" w:name="_Toc12915"/>
      <w:r>
        <w:rPr>
          <w:rFonts w:hint="eastAsia" w:ascii="仿宋" w:hAnsi="仿宋" w:eastAsia="仿宋"/>
          <w:b/>
          <w:color w:val="auto"/>
          <w:sz w:val="32"/>
          <w:szCs w:val="32"/>
          <w:highlight w:val="none"/>
        </w:rPr>
        <w:t>三、已标价工程量清单、施工组织设计（实施方案）</w:t>
      </w:r>
      <w:bookmarkEnd w:id="173"/>
    </w:p>
    <w:p w14:paraId="28D393C5">
      <w:pPr>
        <w:widowControl/>
        <w:spacing w:line="360" w:lineRule="auto"/>
        <w:jc w:val="center"/>
        <w:rPr>
          <w:rFonts w:ascii="仿宋" w:hAnsi="仿宋" w:eastAsia="仿宋"/>
          <w:b/>
          <w:color w:val="auto"/>
          <w:sz w:val="32"/>
          <w:szCs w:val="32"/>
          <w:highlight w:val="none"/>
        </w:rPr>
      </w:pPr>
    </w:p>
    <w:p w14:paraId="78173AAF">
      <w:pPr>
        <w:widowControl/>
        <w:numPr>
          <w:ilvl w:val="0"/>
          <w:numId w:val="3"/>
        </w:numPr>
        <w:spacing w:line="360" w:lineRule="auto"/>
        <w:rPr>
          <w:rFonts w:ascii="仿宋" w:hAnsi="仿宋" w:eastAsia="仿宋"/>
          <w:color w:val="auto"/>
          <w:sz w:val="24"/>
          <w:highlight w:val="none"/>
        </w:rPr>
      </w:pPr>
      <w:r>
        <w:rPr>
          <w:rFonts w:hint="eastAsia" w:ascii="仿宋" w:hAnsi="仿宋" w:eastAsia="仿宋"/>
          <w:color w:val="auto"/>
          <w:sz w:val="24"/>
          <w:highlight w:val="none"/>
        </w:rPr>
        <w:t>已</w:t>
      </w:r>
      <w:r>
        <w:rPr>
          <w:rFonts w:ascii="仿宋" w:hAnsi="仿宋" w:eastAsia="仿宋"/>
          <w:color w:val="auto"/>
          <w:sz w:val="24"/>
          <w:highlight w:val="none"/>
        </w:rPr>
        <w:t>标价</w:t>
      </w:r>
      <w:r>
        <w:rPr>
          <w:rFonts w:hint="eastAsia" w:ascii="仿宋" w:hAnsi="仿宋" w:eastAsia="仿宋"/>
          <w:color w:val="auto"/>
          <w:sz w:val="24"/>
          <w:highlight w:val="none"/>
        </w:rPr>
        <w:t>工程量清单相关要求详见磋商文件第五章。</w:t>
      </w:r>
    </w:p>
    <w:p w14:paraId="3E837F2F">
      <w:pPr>
        <w:widowControl/>
        <w:numPr>
          <w:ilvl w:val="0"/>
          <w:numId w:val="3"/>
        </w:numPr>
        <w:spacing w:line="360" w:lineRule="auto"/>
        <w:rPr>
          <w:rFonts w:ascii="仿宋" w:hAnsi="仿宋" w:eastAsia="仿宋"/>
          <w:color w:val="auto"/>
          <w:sz w:val="24"/>
          <w:highlight w:val="none"/>
        </w:rPr>
      </w:pPr>
      <w:r>
        <w:rPr>
          <w:rFonts w:hint="eastAsia" w:ascii="仿宋" w:hAnsi="仿宋" w:eastAsia="仿宋"/>
          <w:color w:val="auto"/>
          <w:sz w:val="24"/>
          <w:highlight w:val="none"/>
        </w:rPr>
        <w:t>施工组织设计（实施方案）格式及</w:t>
      </w:r>
      <w:r>
        <w:rPr>
          <w:rFonts w:ascii="仿宋" w:hAnsi="仿宋" w:eastAsia="仿宋"/>
          <w:color w:val="auto"/>
          <w:sz w:val="24"/>
          <w:highlight w:val="none"/>
        </w:rPr>
        <w:t>内容自拟</w:t>
      </w:r>
      <w:r>
        <w:rPr>
          <w:rFonts w:hint="eastAsia" w:ascii="仿宋" w:hAnsi="仿宋" w:eastAsia="仿宋"/>
          <w:color w:val="auto"/>
          <w:sz w:val="24"/>
          <w:highlight w:val="none"/>
        </w:rPr>
        <w:t>。</w:t>
      </w:r>
    </w:p>
    <w:p w14:paraId="4513CDFE">
      <w:pPr>
        <w:widowControl/>
        <w:spacing w:line="360" w:lineRule="auto"/>
        <w:rPr>
          <w:rFonts w:ascii="仿宋" w:hAnsi="仿宋" w:eastAsia="仿宋"/>
          <w:color w:val="auto"/>
          <w:sz w:val="24"/>
          <w:highlight w:val="none"/>
        </w:rPr>
      </w:pPr>
      <w:r>
        <w:rPr>
          <w:rFonts w:hint="eastAsia" w:ascii="仿宋" w:hAnsi="仿宋" w:eastAsia="仿宋"/>
          <w:color w:val="auto"/>
          <w:sz w:val="24"/>
          <w:highlight w:val="none"/>
        </w:rPr>
        <w:br w:type="page"/>
      </w:r>
    </w:p>
    <w:p w14:paraId="4126E9BD">
      <w:pPr>
        <w:widowControl/>
        <w:jc w:val="left"/>
        <w:outlineLvl w:val="1"/>
        <w:rPr>
          <w:rFonts w:ascii="仿宋" w:hAnsi="仿宋" w:eastAsia="仿宋" w:cs="仿宋"/>
          <w:b/>
          <w:color w:val="auto"/>
          <w:sz w:val="32"/>
          <w:szCs w:val="32"/>
          <w:highlight w:val="none"/>
        </w:rPr>
      </w:pPr>
      <w:bookmarkStart w:id="174" w:name="_Toc30259"/>
      <w:r>
        <w:rPr>
          <w:rFonts w:hint="eastAsia" w:ascii="仿宋" w:hAnsi="仿宋" w:eastAsia="仿宋" w:cs="仿宋"/>
          <w:b/>
          <w:color w:val="auto"/>
          <w:sz w:val="32"/>
          <w:szCs w:val="32"/>
          <w:highlight w:val="none"/>
        </w:rPr>
        <w:t>格式2-5</w:t>
      </w:r>
      <w:bookmarkEnd w:id="174"/>
    </w:p>
    <w:p w14:paraId="1252DBC9">
      <w:pPr>
        <w:widowControl/>
        <w:spacing w:line="360" w:lineRule="atLeast"/>
        <w:jc w:val="center"/>
        <w:outlineLvl w:val="1"/>
        <w:rPr>
          <w:rFonts w:ascii="仿宋" w:hAnsi="仿宋" w:eastAsia="仿宋"/>
          <w:b/>
          <w:color w:val="auto"/>
          <w:sz w:val="32"/>
          <w:szCs w:val="32"/>
          <w:highlight w:val="none"/>
        </w:rPr>
      </w:pPr>
      <w:bookmarkStart w:id="175" w:name="_Toc19916"/>
      <w:r>
        <w:rPr>
          <w:rFonts w:hint="eastAsia" w:ascii="仿宋" w:hAnsi="仿宋" w:eastAsia="仿宋"/>
          <w:b/>
          <w:color w:val="auto"/>
          <w:sz w:val="32"/>
          <w:szCs w:val="32"/>
          <w:highlight w:val="none"/>
        </w:rPr>
        <w:t>四、供应商基本情况表</w:t>
      </w:r>
      <w:bookmarkEnd w:id="175"/>
    </w:p>
    <w:p w14:paraId="35765646">
      <w:pPr>
        <w:spacing w:line="360" w:lineRule="auto"/>
        <w:jc w:val="center"/>
        <w:rPr>
          <w:rFonts w:ascii="仿宋" w:hAnsi="仿宋" w:eastAsia="仿宋" w:cs="Arial"/>
          <w:b/>
          <w:bCs/>
          <w:color w:val="auto"/>
          <w:sz w:val="32"/>
          <w:szCs w:val="32"/>
          <w:highlight w:val="none"/>
        </w:rPr>
      </w:pPr>
    </w:p>
    <w:tbl>
      <w:tblPr>
        <w:tblStyle w:val="18"/>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14:paraId="326BF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vAlign w:val="center"/>
          </w:tcPr>
          <w:p w14:paraId="198D9847">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供应商名称</w:t>
            </w:r>
          </w:p>
        </w:tc>
        <w:tc>
          <w:tcPr>
            <w:tcW w:w="7560" w:type="dxa"/>
            <w:gridSpan w:val="11"/>
            <w:vAlign w:val="center"/>
          </w:tcPr>
          <w:p w14:paraId="4E6B7738">
            <w:pPr>
              <w:spacing w:line="360" w:lineRule="auto"/>
              <w:jc w:val="center"/>
              <w:rPr>
                <w:rFonts w:ascii="仿宋" w:hAnsi="仿宋" w:eastAsia="仿宋" w:cs="Arial"/>
                <w:bCs/>
                <w:color w:val="auto"/>
                <w:szCs w:val="21"/>
                <w:highlight w:val="none"/>
              </w:rPr>
            </w:pPr>
          </w:p>
        </w:tc>
      </w:tr>
      <w:tr w14:paraId="5A207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vAlign w:val="center"/>
          </w:tcPr>
          <w:p w14:paraId="7B928AEB">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注册地址</w:t>
            </w:r>
          </w:p>
        </w:tc>
        <w:tc>
          <w:tcPr>
            <w:tcW w:w="4680" w:type="dxa"/>
            <w:gridSpan w:val="6"/>
            <w:shd w:val="clear" w:color="auto" w:fill="auto"/>
            <w:vAlign w:val="center"/>
          </w:tcPr>
          <w:p w14:paraId="6A2D8363">
            <w:pPr>
              <w:spacing w:line="360" w:lineRule="auto"/>
              <w:jc w:val="center"/>
              <w:rPr>
                <w:rFonts w:ascii="仿宋" w:hAnsi="仿宋" w:eastAsia="仿宋" w:cs="Arial"/>
                <w:bCs/>
                <w:color w:val="auto"/>
                <w:szCs w:val="21"/>
                <w:highlight w:val="none"/>
              </w:rPr>
            </w:pPr>
          </w:p>
        </w:tc>
        <w:tc>
          <w:tcPr>
            <w:tcW w:w="1260" w:type="dxa"/>
            <w:gridSpan w:val="3"/>
            <w:shd w:val="clear" w:color="auto" w:fill="auto"/>
            <w:vAlign w:val="center"/>
          </w:tcPr>
          <w:p w14:paraId="3B12F5A4">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邮政编码</w:t>
            </w:r>
          </w:p>
        </w:tc>
        <w:tc>
          <w:tcPr>
            <w:tcW w:w="1620" w:type="dxa"/>
            <w:gridSpan w:val="2"/>
            <w:vAlign w:val="center"/>
          </w:tcPr>
          <w:p w14:paraId="29EDA744">
            <w:pPr>
              <w:spacing w:line="360" w:lineRule="auto"/>
              <w:jc w:val="center"/>
              <w:rPr>
                <w:rFonts w:ascii="仿宋" w:hAnsi="仿宋" w:eastAsia="仿宋" w:cs="Arial"/>
                <w:bCs/>
                <w:color w:val="auto"/>
                <w:szCs w:val="21"/>
                <w:highlight w:val="none"/>
              </w:rPr>
            </w:pPr>
          </w:p>
        </w:tc>
      </w:tr>
      <w:tr w14:paraId="5FC02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vAlign w:val="center"/>
          </w:tcPr>
          <w:p w14:paraId="7D6ECBF6">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联系方式</w:t>
            </w:r>
          </w:p>
        </w:tc>
        <w:tc>
          <w:tcPr>
            <w:tcW w:w="1080" w:type="dxa"/>
            <w:shd w:val="clear" w:color="auto" w:fill="auto"/>
            <w:vAlign w:val="center"/>
          </w:tcPr>
          <w:p w14:paraId="4283CDE4">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联系人</w:t>
            </w:r>
          </w:p>
        </w:tc>
        <w:tc>
          <w:tcPr>
            <w:tcW w:w="3600" w:type="dxa"/>
            <w:gridSpan w:val="5"/>
            <w:shd w:val="clear" w:color="auto" w:fill="auto"/>
            <w:vAlign w:val="center"/>
          </w:tcPr>
          <w:p w14:paraId="353EB241">
            <w:pPr>
              <w:spacing w:line="360" w:lineRule="auto"/>
              <w:jc w:val="center"/>
              <w:rPr>
                <w:rFonts w:ascii="仿宋" w:hAnsi="仿宋" w:eastAsia="仿宋" w:cs="Arial"/>
                <w:bCs/>
                <w:color w:val="auto"/>
                <w:szCs w:val="21"/>
                <w:highlight w:val="none"/>
              </w:rPr>
            </w:pPr>
          </w:p>
        </w:tc>
        <w:tc>
          <w:tcPr>
            <w:tcW w:w="1260" w:type="dxa"/>
            <w:gridSpan w:val="3"/>
            <w:shd w:val="clear" w:color="auto" w:fill="auto"/>
            <w:vAlign w:val="center"/>
          </w:tcPr>
          <w:p w14:paraId="704460E3">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联系电话</w:t>
            </w:r>
          </w:p>
        </w:tc>
        <w:tc>
          <w:tcPr>
            <w:tcW w:w="1620" w:type="dxa"/>
            <w:gridSpan w:val="2"/>
            <w:vAlign w:val="center"/>
          </w:tcPr>
          <w:p w14:paraId="59028B03">
            <w:pPr>
              <w:spacing w:line="360" w:lineRule="auto"/>
              <w:jc w:val="center"/>
              <w:rPr>
                <w:rFonts w:ascii="仿宋" w:hAnsi="仿宋" w:eastAsia="仿宋" w:cs="Arial"/>
                <w:bCs/>
                <w:color w:val="auto"/>
                <w:szCs w:val="21"/>
                <w:highlight w:val="none"/>
              </w:rPr>
            </w:pPr>
          </w:p>
        </w:tc>
      </w:tr>
      <w:tr w14:paraId="0CDBA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vAlign w:val="center"/>
          </w:tcPr>
          <w:p w14:paraId="48894232">
            <w:pPr>
              <w:spacing w:line="360" w:lineRule="auto"/>
              <w:jc w:val="center"/>
              <w:rPr>
                <w:rFonts w:ascii="仿宋" w:hAnsi="仿宋" w:eastAsia="仿宋" w:cs="Arial"/>
                <w:bCs/>
                <w:color w:val="auto"/>
                <w:szCs w:val="21"/>
                <w:highlight w:val="none"/>
              </w:rPr>
            </w:pPr>
          </w:p>
        </w:tc>
        <w:tc>
          <w:tcPr>
            <w:tcW w:w="1080" w:type="dxa"/>
            <w:shd w:val="clear" w:color="auto" w:fill="auto"/>
            <w:vAlign w:val="center"/>
          </w:tcPr>
          <w:p w14:paraId="5AE08321">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传真</w:t>
            </w:r>
          </w:p>
        </w:tc>
        <w:tc>
          <w:tcPr>
            <w:tcW w:w="3600" w:type="dxa"/>
            <w:gridSpan w:val="5"/>
            <w:shd w:val="clear" w:color="auto" w:fill="auto"/>
            <w:vAlign w:val="center"/>
          </w:tcPr>
          <w:p w14:paraId="29660945">
            <w:pPr>
              <w:spacing w:line="360" w:lineRule="auto"/>
              <w:jc w:val="center"/>
              <w:rPr>
                <w:rFonts w:ascii="仿宋" w:hAnsi="仿宋" w:eastAsia="仿宋" w:cs="Arial"/>
                <w:bCs/>
                <w:color w:val="auto"/>
                <w:szCs w:val="21"/>
                <w:highlight w:val="none"/>
              </w:rPr>
            </w:pPr>
          </w:p>
        </w:tc>
        <w:tc>
          <w:tcPr>
            <w:tcW w:w="1260" w:type="dxa"/>
            <w:gridSpan w:val="3"/>
            <w:shd w:val="clear" w:color="auto" w:fill="auto"/>
            <w:vAlign w:val="center"/>
          </w:tcPr>
          <w:p w14:paraId="67EDA03D">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网址</w:t>
            </w:r>
          </w:p>
        </w:tc>
        <w:tc>
          <w:tcPr>
            <w:tcW w:w="1620" w:type="dxa"/>
            <w:gridSpan w:val="2"/>
            <w:vAlign w:val="center"/>
          </w:tcPr>
          <w:p w14:paraId="10032EE2">
            <w:pPr>
              <w:spacing w:line="360" w:lineRule="auto"/>
              <w:jc w:val="center"/>
              <w:rPr>
                <w:rFonts w:ascii="仿宋" w:hAnsi="仿宋" w:eastAsia="仿宋" w:cs="Arial"/>
                <w:bCs/>
                <w:color w:val="auto"/>
                <w:szCs w:val="21"/>
                <w:highlight w:val="none"/>
              </w:rPr>
            </w:pPr>
          </w:p>
        </w:tc>
      </w:tr>
      <w:tr w14:paraId="6FAF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vAlign w:val="center"/>
          </w:tcPr>
          <w:p w14:paraId="06A645C0">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组织结构</w:t>
            </w:r>
          </w:p>
        </w:tc>
        <w:tc>
          <w:tcPr>
            <w:tcW w:w="7560" w:type="dxa"/>
            <w:gridSpan w:val="11"/>
            <w:vAlign w:val="center"/>
          </w:tcPr>
          <w:p w14:paraId="448C6F75">
            <w:pPr>
              <w:spacing w:line="360" w:lineRule="auto"/>
              <w:jc w:val="center"/>
              <w:rPr>
                <w:rFonts w:ascii="仿宋" w:hAnsi="仿宋" w:eastAsia="仿宋" w:cs="Arial"/>
                <w:bCs/>
                <w:color w:val="auto"/>
                <w:szCs w:val="21"/>
                <w:highlight w:val="none"/>
              </w:rPr>
            </w:pPr>
          </w:p>
        </w:tc>
      </w:tr>
      <w:tr w14:paraId="1EBC4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vAlign w:val="center"/>
          </w:tcPr>
          <w:p w14:paraId="3B57EBE1">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法定代表人/单位负责人</w:t>
            </w:r>
          </w:p>
        </w:tc>
        <w:tc>
          <w:tcPr>
            <w:tcW w:w="1260" w:type="dxa"/>
            <w:gridSpan w:val="2"/>
            <w:shd w:val="clear" w:color="auto" w:fill="auto"/>
            <w:vAlign w:val="center"/>
          </w:tcPr>
          <w:p w14:paraId="2B9B18A3">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姓名</w:t>
            </w:r>
          </w:p>
        </w:tc>
        <w:tc>
          <w:tcPr>
            <w:tcW w:w="1260" w:type="dxa"/>
            <w:shd w:val="clear" w:color="auto" w:fill="auto"/>
            <w:vAlign w:val="center"/>
          </w:tcPr>
          <w:p w14:paraId="28D26231">
            <w:pPr>
              <w:spacing w:line="360" w:lineRule="auto"/>
              <w:jc w:val="center"/>
              <w:rPr>
                <w:rFonts w:ascii="仿宋" w:hAnsi="仿宋" w:eastAsia="仿宋" w:cs="Arial"/>
                <w:bCs/>
                <w:color w:val="auto"/>
                <w:szCs w:val="21"/>
                <w:highlight w:val="none"/>
              </w:rPr>
            </w:pPr>
          </w:p>
        </w:tc>
        <w:tc>
          <w:tcPr>
            <w:tcW w:w="1260" w:type="dxa"/>
            <w:shd w:val="clear" w:color="auto" w:fill="auto"/>
            <w:vAlign w:val="center"/>
          </w:tcPr>
          <w:p w14:paraId="5C7000A4">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技术职称</w:t>
            </w:r>
          </w:p>
        </w:tc>
        <w:tc>
          <w:tcPr>
            <w:tcW w:w="1260" w:type="dxa"/>
            <w:gridSpan w:val="3"/>
            <w:shd w:val="clear" w:color="auto" w:fill="auto"/>
            <w:vAlign w:val="center"/>
          </w:tcPr>
          <w:p w14:paraId="1E10294B">
            <w:pPr>
              <w:spacing w:line="360" w:lineRule="auto"/>
              <w:jc w:val="center"/>
              <w:rPr>
                <w:rFonts w:ascii="仿宋" w:hAnsi="仿宋" w:eastAsia="仿宋" w:cs="Arial"/>
                <w:bCs/>
                <w:color w:val="auto"/>
                <w:szCs w:val="21"/>
                <w:highlight w:val="none"/>
              </w:rPr>
            </w:pPr>
          </w:p>
        </w:tc>
        <w:tc>
          <w:tcPr>
            <w:tcW w:w="1260" w:type="dxa"/>
            <w:gridSpan w:val="3"/>
            <w:shd w:val="clear" w:color="auto" w:fill="auto"/>
            <w:vAlign w:val="center"/>
          </w:tcPr>
          <w:p w14:paraId="3490512F">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联系电话</w:t>
            </w:r>
          </w:p>
        </w:tc>
        <w:tc>
          <w:tcPr>
            <w:tcW w:w="1260" w:type="dxa"/>
            <w:shd w:val="clear" w:color="auto" w:fill="auto"/>
            <w:vAlign w:val="center"/>
          </w:tcPr>
          <w:p w14:paraId="54CC2E7B">
            <w:pPr>
              <w:spacing w:line="360" w:lineRule="auto"/>
              <w:jc w:val="center"/>
              <w:rPr>
                <w:rFonts w:ascii="仿宋" w:hAnsi="仿宋" w:eastAsia="仿宋" w:cs="Arial"/>
                <w:bCs/>
                <w:color w:val="auto"/>
                <w:szCs w:val="21"/>
                <w:highlight w:val="none"/>
              </w:rPr>
            </w:pPr>
          </w:p>
        </w:tc>
      </w:tr>
      <w:tr w14:paraId="3E0A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vAlign w:val="center"/>
          </w:tcPr>
          <w:p w14:paraId="02253635">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技术负责人</w:t>
            </w:r>
          </w:p>
        </w:tc>
        <w:tc>
          <w:tcPr>
            <w:tcW w:w="1260" w:type="dxa"/>
            <w:gridSpan w:val="2"/>
            <w:shd w:val="clear" w:color="auto" w:fill="auto"/>
            <w:vAlign w:val="center"/>
          </w:tcPr>
          <w:p w14:paraId="0807FCBC">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姓名</w:t>
            </w:r>
          </w:p>
        </w:tc>
        <w:tc>
          <w:tcPr>
            <w:tcW w:w="1260" w:type="dxa"/>
            <w:shd w:val="clear" w:color="auto" w:fill="auto"/>
            <w:vAlign w:val="center"/>
          </w:tcPr>
          <w:p w14:paraId="68FD75B5">
            <w:pPr>
              <w:spacing w:line="360" w:lineRule="auto"/>
              <w:jc w:val="center"/>
              <w:rPr>
                <w:rFonts w:ascii="仿宋" w:hAnsi="仿宋" w:eastAsia="仿宋" w:cs="Arial"/>
                <w:bCs/>
                <w:color w:val="auto"/>
                <w:szCs w:val="21"/>
                <w:highlight w:val="none"/>
              </w:rPr>
            </w:pPr>
          </w:p>
        </w:tc>
        <w:tc>
          <w:tcPr>
            <w:tcW w:w="1260" w:type="dxa"/>
            <w:shd w:val="clear" w:color="auto" w:fill="auto"/>
            <w:vAlign w:val="center"/>
          </w:tcPr>
          <w:p w14:paraId="4A395BAF">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技术职称</w:t>
            </w:r>
          </w:p>
        </w:tc>
        <w:tc>
          <w:tcPr>
            <w:tcW w:w="1260" w:type="dxa"/>
            <w:gridSpan w:val="3"/>
            <w:shd w:val="clear" w:color="auto" w:fill="auto"/>
            <w:vAlign w:val="center"/>
          </w:tcPr>
          <w:p w14:paraId="284AA428">
            <w:pPr>
              <w:spacing w:line="360" w:lineRule="auto"/>
              <w:jc w:val="center"/>
              <w:rPr>
                <w:rFonts w:ascii="仿宋" w:hAnsi="仿宋" w:eastAsia="仿宋" w:cs="Arial"/>
                <w:bCs/>
                <w:color w:val="auto"/>
                <w:szCs w:val="21"/>
                <w:highlight w:val="none"/>
              </w:rPr>
            </w:pPr>
          </w:p>
        </w:tc>
        <w:tc>
          <w:tcPr>
            <w:tcW w:w="1260" w:type="dxa"/>
            <w:gridSpan w:val="3"/>
            <w:shd w:val="clear" w:color="auto" w:fill="auto"/>
            <w:vAlign w:val="center"/>
          </w:tcPr>
          <w:p w14:paraId="05CEA399">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联系电话</w:t>
            </w:r>
          </w:p>
        </w:tc>
        <w:tc>
          <w:tcPr>
            <w:tcW w:w="1260" w:type="dxa"/>
            <w:shd w:val="clear" w:color="auto" w:fill="auto"/>
            <w:vAlign w:val="center"/>
          </w:tcPr>
          <w:p w14:paraId="5D2BC862">
            <w:pPr>
              <w:spacing w:line="360" w:lineRule="auto"/>
              <w:jc w:val="center"/>
              <w:rPr>
                <w:rFonts w:ascii="仿宋" w:hAnsi="仿宋" w:eastAsia="仿宋" w:cs="Arial"/>
                <w:bCs/>
                <w:color w:val="auto"/>
                <w:szCs w:val="21"/>
                <w:highlight w:val="none"/>
              </w:rPr>
            </w:pPr>
          </w:p>
        </w:tc>
      </w:tr>
      <w:tr w14:paraId="23599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vAlign w:val="center"/>
          </w:tcPr>
          <w:p w14:paraId="54BCCCD8">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成立时间</w:t>
            </w:r>
          </w:p>
        </w:tc>
        <w:tc>
          <w:tcPr>
            <w:tcW w:w="2520" w:type="dxa"/>
            <w:gridSpan w:val="3"/>
            <w:vAlign w:val="center"/>
          </w:tcPr>
          <w:p w14:paraId="0992CD59">
            <w:pPr>
              <w:spacing w:line="360" w:lineRule="auto"/>
              <w:jc w:val="center"/>
              <w:rPr>
                <w:rFonts w:ascii="仿宋" w:hAnsi="仿宋" w:eastAsia="仿宋" w:cs="Arial"/>
                <w:bCs/>
                <w:color w:val="auto"/>
                <w:szCs w:val="21"/>
                <w:highlight w:val="none"/>
              </w:rPr>
            </w:pPr>
          </w:p>
        </w:tc>
        <w:tc>
          <w:tcPr>
            <w:tcW w:w="5040" w:type="dxa"/>
            <w:gridSpan w:val="8"/>
            <w:vAlign w:val="center"/>
          </w:tcPr>
          <w:p w14:paraId="3702CD5E">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员工总人数：</w:t>
            </w:r>
          </w:p>
        </w:tc>
      </w:tr>
      <w:tr w14:paraId="1B264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vAlign w:val="center"/>
          </w:tcPr>
          <w:p w14:paraId="0E425AD7">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企业资质等级</w:t>
            </w:r>
          </w:p>
        </w:tc>
        <w:tc>
          <w:tcPr>
            <w:tcW w:w="2520" w:type="dxa"/>
            <w:gridSpan w:val="3"/>
            <w:shd w:val="clear" w:color="auto" w:fill="auto"/>
            <w:vAlign w:val="center"/>
          </w:tcPr>
          <w:p w14:paraId="5ABB148D">
            <w:pPr>
              <w:spacing w:line="360" w:lineRule="auto"/>
              <w:jc w:val="center"/>
              <w:rPr>
                <w:rFonts w:ascii="仿宋" w:hAnsi="仿宋" w:eastAsia="仿宋" w:cs="Arial"/>
                <w:bCs/>
                <w:color w:val="auto"/>
                <w:szCs w:val="21"/>
                <w:highlight w:val="none"/>
              </w:rPr>
            </w:pPr>
          </w:p>
        </w:tc>
        <w:tc>
          <w:tcPr>
            <w:tcW w:w="1680" w:type="dxa"/>
            <w:gridSpan w:val="2"/>
            <w:vMerge w:val="restart"/>
            <w:shd w:val="clear" w:color="auto" w:fill="auto"/>
            <w:vAlign w:val="center"/>
          </w:tcPr>
          <w:p w14:paraId="45C5F7F8">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其中</w:t>
            </w:r>
          </w:p>
        </w:tc>
        <w:tc>
          <w:tcPr>
            <w:tcW w:w="1680" w:type="dxa"/>
            <w:gridSpan w:val="3"/>
            <w:shd w:val="clear" w:color="auto" w:fill="auto"/>
            <w:vAlign w:val="center"/>
          </w:tcPr>
          <w:p w14:paraId="4B8C0963">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项目经理</w:t>
            </w:r>
          </w:p>
        </w:tc>
        <w:tc>
          <w:tcPr>
            <w:tcW w:w="1680" w:type="dxa"/>
            <w:gridSpan w:val="3"/>
            <w:shd w:val="clear" w:color="auto" w:fill="auto"/>
            <w:vAlign w:val="center"/>
          </w:tcPr>
          <w:p w14:paraId="4BDEA665">
            <w:pPr>
              <w:spacing w:line="360" w:lineRule="auto"/>
              <w:jc w:val="center"/>
              <w:rPr>
                <w:rFonts w:ascii="仿宋" w:hAnsi="仿宋" w:eastAsia="仿宋" w:cs="Arial"/>
                <w:bCs/>
                <w:color w:val="auto"/>
                <w:szCs w:val="21"/>
                <w:highlight w:val="none"/>
              </w:rPr>
            </w:pPr>
          </w:p>
        </w:tc>
      </w:tr>
      <w:tr w14:paraId="73FC9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vAlign w:val="center"/>
          </w:tcPr>
          <w:p w14:paraId="4CEB60FB">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营业执照</w:t>
            </w:r>
            <w:r>
              <w:rPr>
                <w:rFonts w:hint="eastAsia" w:ascii="仿宋" w:hAnsi="仿宋" w:eastAsia="仿宋"/>
                <w:color w:val="auto"/>
                <w:highlight w:val="none"/>
              </w:rPr>
              <w:t>号</w:t>
            </w:r>
          </w:p>
        </w:tc>
        <w:tc>
          <w:tcPr>
            <w:tcW w:w="2520" w:type="dxa"/>
            <w:gridSpan w:val="3"/>
            <w:shd w:val="clear" w:color="auto" w:fill="auto"/>
            <w:vAlign w:val="center"/>
          </w:tcPr>
          <w:p w14:paraId="50141C6B">
            <w:pPr>
              <w:spacing w:line="360" w:lineRule="auto"/>
              <w:jc w:val="center"/>
              <w:rPr>
                <w:rFonts w:ascii="仿宋" w:hAnsi="仿宋" w:eastAsia="仿宋" w:cs="Arial"/>
                <w:bCs/>
                <w:color w:val="auto"/>
                <w:szCs w:val="21"/>
                <w:highlight w:val="none"/>
              </w:rPr>
            </w:pPr>
          </w:p>
        </w:tc>
        <w:tc>
          <w:tcPr>
            <w:tcW w:w="1680" w:type="dxa"/>
            <w:gridSpan w:val="2"/>
            <w:vMerge w:val="continue"/>
            <w:shd w:val="clear" w:color="auto" w:fill="auto"/>
            <w:vAlign w:val="center"/>
          </w:tcPr>
          <w:p w14:paraId="48C87BF2">
            <w:pPr>
              <w:spacing w:line="360" w:lineRule="auto"/>
              <w:jc w:val="center"/>
              <w:rPr>
                <w:rFonts w:ascii="仿宋" w:hAnsi="仿宋" w:eastAsia="仿宋" w:cs="Arial"/>
                <w:bCs/>
                <w:color w:val="auto"/>
                <w:szCs w:val="21"/>
                <w:highlight w:val="none"/>
              </w:rPr>
            </w:pPr>
          </w:p>
        </w:tc>
        <w:tc>
          <w:tcPr>
            <w:tcW w:w="1680" w:type="dxa"/>
            <w:gridSpan w:val="3"/>
            <w:shd w:val="clear" w:color="auto" w:fill="auto"/>
            <w:vAlign w:val="center"/>
          </w:tcPr>
          <w:p w14:paraId="6AC98DB0">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高级职称人员</w:t>
            </w:r>
          </w:p>
        </w:tc>
        <w:tc>
          <w:tcPr>
            <w:tcW w:w="1680" w:type="dxa"/>
            <w:gridSpan w:val="3"/>
            <w:shd w:val="clear" w:color="auto" w:fill="auto"/>
            <w:vAlign w:val="center"/>
          </w:tcPr>
          <w:p w14:paraId="41B5CB11">
            <w:pPr>
              <w:spacing w:line="360" w:lineRule="auto"/>
              <w:jc w:val="center"/>
              <w:rPr>
                <w:rFonts w:ascii="仿宋" w:hAnsi="仿宋" w:eastAsia="仿宋" w:cs="Arial"/>
                <w:bCs/>
                <w:color w:val="auto"/>
                <w:szCs w:val="21"/>
                <w:highlight w:val="none"/>
              </w:rPr>
            </w:pPr>
          </w:p>
        </w:tc>
      </w:tr>
      <w:tr w14:paraId="7E3B4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vAlign w:val="center"/>
          </w:tcPr>
          <w:p w14:paraId="7EEC1466">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注册资金</w:t>
            </w:r>
          </w:p>
        </w:tc>
        <w:tc>
          <w:tcPr>
            <w:tcW w:w="2520" w:type="dxa"/>
            <w:gridSpan w:val="3"/>
            <w:shd w:val="clear" w:color="auto" w:fill="auto"/>
            <w:vAlign w:val="center"/>
          </w:tcPr>
          <w:p w14:paraId="3951EDBA">
            <w:pPr>
              <w:spacing w:line="360" w:lineRule="auto"/>
              <w:jc w:val="center"/>
              <w:rPr>
                <w:rFonts w:ascii="仿宋" w:hAnsi="仿宋" w:eastAsia="仿宋" w:cs="Arial"/>
                <w:bCs/>
                <w:color w:val="auto"/>
                <w:szCs w:val="21"/>
                <w:highlight w:val="none"/>
              </w:rPr>
            </w:pPr>
          </w:p>
        </w:tc>
        <w:tc>
          <w:tcPr>
            <w:tcW w:w="1680" w:type="dxa"/>
            <w:gridSpan w:val="2"/>
            <w:vMerge w:val="continue"/>
            <w:shd w:val="clear" w:color="auto" w:fill="auto"/>
            <w:vAlign w:val="center"/>
          </w:tcPr>
          <w:p w14:paraId="1564B9A8">
            <w:pPr>
              <w:spacing w:line="360" w:lineRule="auto"/>
              <w:jc w:val="center"/>
              <w:rPr>
                <w:rFonts w:ascii="仿宋" w:hAnsi="仿宋" w:eastAsia="仿宋" w:cs="Arial"/>
                <w:bCs/>
                <w:color w:val="auto"/>
                <w:szCs w:val="21"/>
                <w:highlight w:val="none"/>
              </w:rPr>
            </w:pPr>
          </w:p>
        </w:tc>
        <w:tc>
          <w:tcPr>
            <w:tcW w:w="1680" w:type="dxa"/>
            <w:gridSpan w:val="3"/>
            <w:shd w:val="clear" w:color="auto" w:fill="auto"/>
            <w:vAlign w:val="center"/>
          </w:tcPr>
          <w:p w14:paraId="186C7566">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中级职称人员</w:t>
            </w:r>
          </w:p>
        </w:tc>
        <w:tc>
          <w:tcPr>
            <w:tcW w:w="1680" w:type="dxa"/>
            <w:gridSpan w:val="3"/>
            <w:shd w:val="clear" w:color="auto" w:fill="auto"/>
            <w:vAlign w:val="center"/>
          </w:tcPr>
          <w:p w14:paraId="66FA38D5">
            <w:pPr>
              <w:spacing w:line="360" w:lineRule="auto"/>
              <w:jc w:val="center"/>
              <w:rPr>
                <w:rFonts w:ascii="仿宋" w:hAnsi="仿宋" w:eastAsia="仿宋" w:cs="Arial"/>
                <w:bCs/>
                <w:color w:val="auto"/>
                <w:szCs w:val="21"/>
                <w:highlight w:val="none"/>
              </w:rPr>
            </w:pPr>
          </w:p>
        </w:tc>
      </w:tr>
      <w:tr w14:paraId="743D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vAlign w:val="center"/>
          </w:tcPr>
          <w:p w14:paraId="36FA2B86">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开户银行</w:t>
            </w:r>
          </w:p>
        </w:tc>
        <w:tc>
          <w:tcPr>
            <w:tcW w:w="2520" w:type="dxa"/>
            <w:gridSpan w:val="3"/>
            <w:shd w:val="clear" w:color="auto" w:fill="auto"/>
            <w:vAlign w:val="center"/>
          </w:tcPr>
          <w:p w14:paraId="6DDC747F">
            <w:pPr>
              <w:spacing w:line="360" w:lineRule="auto"/>
              <w:jc w:val="center"/>
              <w:rPr>
                <w:rFonts w:ascii="仿宋" w:hAnsi="仿宋" w:eastAsia="仿宋" w:cs="Arial"/>
                <w:bCs/>
                <w:color w:val="auto"/>
                <w:szCs w:val="21"/>
                <w:highlight w:val="none"/>
              </w:rPr>
            </w:pPr>
          </w:p>
        </w:tc>
        <w:tc>
          <w:tcPr>
            <w:tcW w:w="1680" w:type="dxa"/>
            <w:gridSpan w:val="2"/>
            <w:vMerge w:val="continue"/>
            <w:shd w:val="clear" w:color="auto" w:fill="auto"/>
            <w:vAlign w:val="center"/>
          </w:tcPr>
          <w:p w14:paraId="687DF829">
            <w:pPr>
              <w:spacing w:line="360" w:lineRule="auto"/>
              <w:jc w:val="center"/>
              <w:rPr>
                <w:rFonts w:ascii="仿宋" w:hAnsi="仿宋" w:eastAsia="仿宋" w:cs="Arial"/>
                <w:bCs/>
                <w:color w:val="auto"/>
                <w:szCs w:val="21"/>
                <w:highlight w:val="none"/>
              </w:rPr>
            </w:pPr>
          </w:p>
        </w:tc>
        <w:tc>
          <w:tcPr>
            <w:tcW w:w="1680" w:type="dxa"/>
            <w:gridSpan w:val="3"/>
            <w:shd w:val="clear" w:color="auto" w:fill="auto"/>
            <w:vAlign w:val="center"/>
          </w:tcPr>
          <w:p w14:paraId="297D8839">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初级职称人员</w:t>
            </w:r>
          </w:p>
        </w:tc>
        <w:tc>
          <w:tcPr>
            <w:tcW w:w="1680" w:type="dxa"/>
            <w:gridSpan w:val="3"/>
            <w:shd w:val="clear" w:color="auto" w:fill="auto"/>
            <w:vAlign w:val="center"/>
          </w:tcPr>
          <w:p w14:paraId="263E9EC6">
            <w:pPr>
              <w:spacing w:line="360" w:lineRule="auto"/>
              <w:jc w:val="center"/>
              <w:rPr>
                <w:rFonts w:ascii="仿宋" w:hAnsi="仿宋" w:eastAsia="仿宋" w:cs="Arial"/>
                <w:bCs/>
                <w:color w:val="auto"/>
                <w:szCs w:val="21"/>
                <w:highlight w:val="none"/>
              </w:rPr>
            </w:pPr>
          </w:p>
        </w:tc>
      </w:tr>
      <w:tr w14:paraId="0228F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vAlign w:val="center"/>
          </w:tcPr>
          <w:p w14:paraId="037A86CD">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账号</w:t>
            </w:r>
          </w:p>
        </w:tc>
        <w:tc>
          <w:tcPr>
            <w:tcW w:w="2520" w:type="dxa"/>
            <w:gridSpan w:val="3"/>
            <w:shd w:val="clear" w:color="auto" w:fill="auto"/>
            <w:vAlign w:val="center"/>
          </w:tcPr>
          <w:p w14:paraId="06587D28">
            <w:pPr>
              <w:spacing w:line="360" w:lineRule="auto"/>
              <w:jc w:val="center"/>
              <w:rPr>
                <w:rFonts w:ascii="仿宋" w:hAnsi="仿宋" w:eastAsia="仿宋" w:cs="Arial"/>
                <w:bCs/>
                <w:color w:val="auto"/>
                <w:szCs w:val="21"/>
                <w:highlight w:val="none"/>
              </w:rPr>
            </w:pPr>
          </w:p>
        </w:tc>
        <w:tc>
          <w:tcPr>
            <w:tcW w:w="1680" w:type="dxa"/>
            <w:gridSpan w:val="2"/>
            <w:vMerge w:val="continue"/>
            <w:shd w:val="clear" w:color="auto" w:fill="auto"/>
            <w:vAlign w:val="center"/>
          </w:tcPr>
          <w:p w14:paraId="1CD881E7">
            <w:pPr>
              <w:spacing w:line="360" w:lineRule="auto"/>
              <w:jc w:val="center"/>
              <w:rPr>
                <w:rFonts w:ascii="仿宋" w:hAnsi="仿宋" w:eastAsia="仿宋" w:cs="Arial"/>
                <w:bCs/>
                <w:color w:val="auto"/>
                <w:szCs w:val="21"/>
                <w:highlight w:val="none"/>
              </w:rPr>
            </w:pPr>
          </w:p>
        </w:tc>
        <w:tc>
          <w:tcPr>
            <w:tcW w:w="1680" w:type="dxa"/>
            <w:gridSpan w:val="3"/>
            <w:shd w:val="clear" w:color="auto" w:fill="auto"/>
            <w:vAlign w:val="center"/>
          </w:tcPr>
          <w:p w14:paraId="1FF90D88">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技工</w:t>
            </w:r>
          </w:p>
        </w:tc>
        <w:tc>
          <w:tcPr>
            <w:tcW w:w="1680" w:type="dxa"/>
            <w:gridSpan w:val="3"/>
            <w:shd w:val="clear" w:color="auto" w:fill="auto"/>
            <w:vAlign w:val="center"/>
          </w:tcPr>
          <w:p w14:paraId="4F671DDD">
            <w:pPr>
              <w:spacing w:line="360" w:lineRule="auto"/>
              <w:jc w:val="center"/>
              <w:rPr>
                <w:rFonts w:ascii="仿宋" w:hAnsi="仿宋" w:eastAsia="仿宋" w:cs="Arial"/>
                <w:bCs/>
                <w:color w:val="auto"/>
                <w:szCs w:val="21"/>
                <w:highlight w:val="none"/>
              </w:rPr>
            </w:pPr>
          </w:p>
        </w:tc>
      </w:tr>
      <w:tr w14:paraId="1E83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vAlign w:val="center"/>
          </w:tcPr>
          <w:p w14:paraId="00FA380C">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经营范围</w:t>
            </w:r>
          </w:p>
        </w:tc>
        <w:tc>
          <w:tcPr>
            <w:tcW w:w="7560" w:type="dxa"/>
            <w:gridSpan w:val="11"/>
            <w:vAlign w:val="center"/>
          </w:tcPr>
          <w:p w14:paraId="47385304">
            <w:pPr>
              <w:spacing w:line="360" w:lineRule="auto"/>
              <w:jc w:val="center"/>
              <w:rPr>
                <w:rFonts w:ascii="仿宋" w:hAnsi="仿宋" w:eastAsia="仿宋" w:cs="Arial"/>
                <w:bCs/>
                <w:color w:val="auto"/>
                <w:szCs w:val="21"/>
                <w:highlight w:val="none"/>
              </w:rPr>
            </w:pPr>
          </w:p>
        </w:tc>
      </w:tr>
      <w:tr w14:paraId="55D81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vAlign w:val="center"/>
          </w:tcPr>
          <w:p w14:paraId="4E9D436C">
            <w:pPr>
              <w:spacing w:line="360" w:lineRule="auto"/>
              <w:jc w:val="center"/>
              <w:rPr>
                <w:rFonts w:ascii="仿宋" w:hAnsi="仿宋" w:eastAsia="仿宋" w:cs="Arial"/>
                <w:bCs/>
                <w:color w:val="auto"/>
                <w:szCs w:val="21"/>
                <w:highlight w:val="none"/>
              </w:rPr>
            </w:pPr>
            <w:r>
              <w:rPr>
                <w:rFonts w:hint="eastAsia" w:ascii="仿宋" w:hAnsi="仿宋" w:eastAsia="仿宋" w:cs="Arial"/>
                <w:bCs/>
                <w:color w:val="auto"/>
                <w:szCs w:val="21"/>
                <w:highlight w:val="none"/>
              </w:rPr>
              <w:t>备注</w:t>
            </w:r>
          </w:p>
        </w:tc>
        <w:tc>
          <w:tcPr>
            <w:tcW w:w="7560" w:type="dxa"/>
            <w:gridSpan w:val="11"/>
            <w:vAlign w:val="center"/>
          </w:tcPr>
          <w:p w14:paraId="3512BBDC">
            <w:pPr>
              <w:spacing w:line="360" w:lineRule="auto"/>
              <w:jc w:val="center"/>
              <w:rPr>
                <w:rFonts w:ascii="仿宋" w:hAnsi="仿宋" w:eastAsia="仿宋" w:cs="Arial"/>
                <w:bCs/>
                <w:color w:val="auto"/>
                <w:szCs w:val="21"/>
                <w:highlight w:val="none"/>
              </w:rPr>
            </w:pPr>
          </w:p>
        </w:tc>
      </w:tr>
    </w:tbl>
    <w:p w14:paraId="1BE72BE3">
      <w:pPr>
        <w:adjustRightInd w:val="0"/>
        <w:spacing w:line="360" w:lineRule="auto"/>
        <w:jc w:val="left"/>
        <w:rPr>
          <w:rFonts w:ascii="仿宋" w:hAnsi="仿宋" w:eastAsia="仿宋"/>
          <w:color w:val="auto"/>
          <w:sz w:val="24"/>
          <w:highlight w:val="none"/>
        </w:rPr>
      </w:pPr>
    </w:p>
    <w:p w14:paraId="74B2BD5F">
      <w:pPr>
        <w:adjustRightInd w:val="0"/>
        <w:spacing w:line="360" w:lineRule="auto"/>
        <w:jc w:val="left"/>
        <w:rPr>
          <w:rFonts w:ascii="仿宋" w:hAnsi="仿宋" w:eastAsia="仿宋"/>
          <w:color w:val="auto"/>
          <w:sz w:val="24"/>
          <w:highlight w:val="none"/>
        </w:rPr>
      </w:pPr>
      <w:r>
        <w:rPr>
          <w:rFonts w:hint="eastAsia" w:ascii="仿宋" w:hAnsi="仿宋" w:eastAsia="仿宋"/>
          <w:color w:val="auto"/>
          <w:sz w:val="24"/>
          <w:highlight w:val="none"/>
        </w:rPr>
        <w:t>供应商名称：XXX（盖单位公章）</w:t>
      </w:r>
    </w:p>
    <w:p w14:paraId="01B5BEAE">
      <w:pPr>
        <w:adjustRightInd w:val="0"/>
        <w:spacing w:line="360" w:lineRule="auto"/>
        <w:jc w:val="left"/>
        <w:rPr>
          <w:rFonts w:ascii="仿宋" w:hAnsi="仿宋" w:eastAsia="仿宋"/>
          <w:bCs/>
          <w:color w:val="auto"/>
          <w:sz w:val="24"/>
          <w:highlight w:val="none"/>
        </w:rPr>
      </w:pPr>
      <w:r>
        <w:rPr>
          <w:rFonts w:hint="eastAsia" w:ascii="仿宋" w:hAnsi="仿宋" w:eastAsia="仿宋"/>
          <w:bCs/>
          <w:color w:val="auto"/>
          <w:sz w:val="24"/>
          <w:highlight w:val="none"/>
        </w:rPr>
        <w:t>法定代表人/单位负责人或授权代表</w:t>
      </w:r>
      <w:r>
        <w:rPr>
          <w:rFonts w:hint="eastAsia" w:ascii="仿宋" w:hAnsi="仿宋" w:eastAsia="仿宋"/>
          <w:color w:val="auto"/>
          <w:sz w:val="24"/>
          <w:highlight w:val="none"/>
        </w:rPr>
        <w:t>（签字或加盖个人印章）</w:t>
      </w:r>
      <w:r>
        <w:rPr>
          <w:rFonts w:hint="eastAsia" w:ascii="仿宋" w:hAnsi="仿宋" w:eastAsia="仿宋"/>
          <w:bCs/>
          <w:color w:val="auto"/>
          <w:sz w:val="24"/>
          <w:highlight w:val="none"/>
        </w:rPr>
        <w:t>：XXX</w:t>
      </w:r>
    </w:p>
    <w:p w14:paraId="64FDABA0">
      <w:pPr>
        <w:adjustRightInd w:val="0"/>
        <w:spacing w:line="360" w:lineRule="auto"/>
        <w:jc w:val="left"/>
        <w:rPr>
          <w:rFonts w:ascii="仿宋" w:hAnsi="仿宋" w:eastAsia="仿宋"/>
          <w:bCs/>
          <w:color w:val="auto"/>
          <w:sz w:val="24"/>
          <w:highlight w:val="none"/>
        </w:rPr>
      </w:pPr>
      <w:r>
        <w:rPr>
          <w:rFonts w:hint="eastAsia" w:ascii="仿宋" w:hAnsi="仿宋" w:eastAsia="仿宋"/>
          <w:bCs/>
          <w:color w:val="auto"/>
          <w:sz w:val="24"/>
          <w:highlight w:val="none"/>
        </w:rPr>
        <w:t>日  期：XXX年XXX月XXX日</w:t>
      </w:r>
    </w:p>
    <w:p w14:paraId="5642345D">
      <w:pPr>
        <w:widowControl/>
        <w:jc w:val="left"/>
        <w:rPr>
          <w:rFonts w:ascii="仿宋" w:hAnsi="仿宋" w:eastAsia="仿宋"/>
          <w:b/>
          <w:color w:val="auto"/>
          <w:sz w:val="28"/>
          <w:szCs w:val="28"/>
          <w:highlight w:val="none"/>
        </w:rPr>
      </w:pPr>
    </w:p>
    <w:p w14:paraId="32C9FF9B">
      <w:pPr>
        <w:widowControl/>
        <w:jc w:val="left"/>
        <w:rPr>
          <w:rFonts w:ascii="仿宋" w:hAnsi="仿宋" w:eastAsia="仿宋"/>
          <w:b/>
          <w:color w:val="auto"/>
          <w:sz w:val="28"/>
          <w:szCs w:val="28"/>
          <w:highlight w:val="none"/>
        </w:rPr>
      </w:pPr>
      <w:r>
        <w:rPr>
          <w:rFonts w:ascii="仿宋" w:hAnsi="仿宋" w:eastAsia="仿宋"/>
          <w:b/>
          <w:color w:val="auto"/>
          <w:sz w:val="28"/>
          <w:szCs w:val="28"/>
          <w:highlight w:val="none"/>
        </w:rPr>
        <w:br w:type="page"/>
      </w:r>
    </w:p>
    <w:p w14:paraId="2C8B7ABB">
      <w:pPr>
        <w:widowControl/>
        <w:jc w:val="left"/>
        <w:outlineLvl w:val="1"/>
        <w:rPr>
          <w:rFonts w:ascii="仿宋" w:hAnsi="仿宋" w:eastAsia="仿宋" w:cs="仿宋"/>
          <w:b/>
          <w:color w:val="auto"/>
          <w:sz w:val="32"/>
          <w:szCs w:val="32"/>
          <w:highlight w:val="none"/>
        </w:rPr>
      </w:pPr>
      <w:bookmarkStart w:id="176" w:name="_Toc24736"/>
      <w:r>
        <w:rPr>
          <w:rFonts w:hint="eastAsia" w:ascii="仿宋" w:hAnsi="仿宋" w:eastAsia="仿宋" w:cs="仿宋"/>
          <w:b/>
          <w:color w:val="auto"/>
          <w:sz w:val="32"/>
          <w:szCs w:val="32"/>
          <w:highlight w:val="none"/>
        </w:rPr>
        <w:t>格式2-6</w:t>
      </w:r>
      <w:bookmarkEnd w:id="176"/>
    </w:p>
    <w:p w14:paraId="55EFCF13">
      <w:pPr>
        <w:widowControl/>
        <w:spacing w:line="360" w:lineRule="atLeast"/>
        <w:jc w:val="center"/>
        <w:outlineLvl w:val="1"/>
        <w:rPr>
          <w:rFonts w:ascii="仿宋" w:hAnsi="仿宋" w:eastAsia="仿宋"/>
          <w:b/>
          <w:color w:val="auto"/>
          <w:sz w:val="32"/>
          <w:szCs w:val="32"/>
          <w:highlight w:val="none"/>
        </w:rPr>
      </w:pPr>
      <w:bookmarkStart w:id="177" w:name="_Toc10705"/>
      <w:r>
        <w:rPr>
          <w:rFonts w:hint="eastAsia" w:ascii="仿宋" w:hAnsi="仿宋" w:eastAsia="仿宋"/>
          <w:b/>
          <w:color w:val="auto"/>
          <w:sz w:val="32"/>
          <w:szCs w:val="32"/>
          <w:highlight w:val="none"/>
          <w:lang w:val="en-US" w:eastAsia="zh-CN"/>
        </w:rPr>
        <w:t>五</w:t>
      </w:r>
      <w:r>
        <w:rPr>
          <w:rFonts w:hint="eastAsia" w:ascii="仿宋" w:hAnsi="仿宋" w:eastAsia="仿宋"/>
          <w:b/>
          <w:color w:val="auto"/>
          <w:sz w:val="32"/>
          <w:szCs w:val="32"/>
          <w:highlight w:val="none"/>
        </w:rPr>
        <w:t>、技术、服务要求应答表</w:t>
      </w:r>
      <w:bookmarkEnd w:id="177"/>
    </w:p>
    <w:p w14:paraId="340A9A6D">
      <w:pPr>
        <w:jc w:val="center"/>
        <w:rPr>
          <w:rFonts w:ascii="仿宋" w:hAnsi="仿宋" w:eastAsia="仿宋"/>
          <w:b/>
          <w:bCs/>
          <w:color w:val="auto"/>
          <w:sz w:val="32"/>
          <w:szCs w:val="32"/>
          <w:highlight w:val="none"/>
        </w:rPr>
      </w:pPr>
    </w:p>
    <w:tbl>
      <w:tblPr>
        <w:tblStyle w:val="18"/>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142C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vAlign w:val="center"/>
          </w:tcPr>
          <w:p w14:paraId="1AFCE00C">
            <w:pPr>
              <w:jc w:val="center"/>
              <w:rPr>
                <w:rFonts w:ascii="仿宋" w:hAnsi="仿宋" w:eastAsia="仿宋"/>
                <w:color w:val="auto"/>
                <w:sz w:val="24"/>
                <w:highlight w:val="none"/>
              </w:rPr>
            </w:pPr>
            <w:r>
              <w:rPr>
                <w:rFonts w:hint="eastAsia" w:ascii="仿宋" w:hAnsi="仿宋" w:eastAsia="仿宋"/>
                <w:color w:val="auto"/>
                <w:sz w:val="24"/>
                <w:highlight w:val="none"/>
              </w:rPr>
              <w:t>序号</w:t>
            </w:r>
          </w:p>
        </w:tc>
        <w:tc>
          <w:tcPr>
            <w:tcW w:w="2795" w:type="dxa"/>
            <w:vAlign w:val="center"/>
          </w:tcPr>
          <w:p w14:paraId="05A67781">
            <w:pPr>
              <w:jc w:val="center"/>
              <w:rPr>
                <w:rFonts w:ascii="仿宋" w:hAnsi="仿宋" w:eastAsia="仿宋"/>
                <w:color w:val="auto"/>
                <w:sz w:val="24"/>
                <w:highlight w:val="none"/>
              </w:rPr>
            </w:pPr>
            <w:r>
              <w:rPr>
                <w:rFonts w:hint="eastAsia" w:ascii="仿宋" w:hAnsi="仿宋" w:eastAsia="仿宋"/>
                <w:color w:val="auto"/>
                <w:sz w:val="24"/>
                <w:highlight w:val="none"/>
              </w:rPr>
              <w:t>包号</w:t>
            </w:r>
          </w:p>
        </w:tc>
        <w:tc>
          <w:tcPr>
            <w:tcW w:w="2795" w:type="dxa"/>
            <w:vAlign w:val="center"/>
          </w:tcPr>
          <w:p w14:paraId="28954F79">
            <w:pPr>
              <w:jc w:val="center"/>
              <w:rPr>
                <w:rFonts w:ascii="仿宋" w:hAnsi="仿宋" w:eastAsia="仿宋"/>
                <w:color w:val="auto"/>
                <w:sz w:val="24"/>
                <w:highlight w:val="none"/>
              </w:rPr>
            </w:pPr>
            <w:r>
              <w:rPr>
                <w:rFonts w:hint="eastAsia" w:ascii="仿宋" w:hAnsi="仿宋" w:eastAsia="仿宋"/>
                <w:color w:val="auto"/>
                <w:sz w:val="24"/>
                <w:highlight w:val="none"/>
              </w:rPr>
              <w:t>采购文件要求</w:t>
            </w:r>
          </w:p>
        </w:tc>
        <w:tc>
          <w:tcPr>
            <w:tcW w:w="2795" w:type="dxa"/>
            <w:vAlign w:val="center"/>
          </w:tcPr>
          <w:p w14:paraId="0391935C">
            <w:pPr>
              <w:jc w:val="center"/>
              <w:rPr>
                <w:rFonts w:ascii="仿宋" w:hAnsi="仿宋" w:eastAsia="仿宋"/>
                <w:color w:val="auto"/>
                <w:sz w:val="24"/>
                <w:highlight w:val="none"/>
              </w:rPr>
            </w:pPr>
            <w:r>
              <w:rPr>
                <w:rFonts w:hint="eastAsia" w:ascii="仿宋" w:hAnsi="仿宋" w:eastAsia="仿宋"/>
                <w:color w:val="auto"/>
                <w:sz w:val="24"/>
                <w:highlight w:val="none"/>
              </w:rPr>
              <w:t>响应文件响应</w:t>
            </w:r>
          </w:p>
        </w:tc>
      </w:tr>
      <w:tr w14:paraId="6513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34BC544B">
            <w:pPr>
              <w:jc w:val="center"/>
              <w:rPr>
                <w:rFonts w:ascii="仿宋" w:hAnsi="仿宋" w:eastAsia="仿宋"/>
                <w:color w:val="auto"/>
                <w:sz w:val="24"/>
                <w:highlight w:val="none"/>
              </w:rPr>
            </w:pPr>
          </w:p>
        </w:tc>
        <w:tc>
          <w:tcPr>
            <w:tcW w:w="2795" w:type="dxa"/>
          </w:tcPr>
          <w:p w14:paraId="17B0963C">
            <w:pPr>
              <w:jc w:val="center"/>
              <w:rPr>
                <w:rFonts w:ascii="仿宋" w:hAnsi="仿宋" w:eastAsia="仿宋"/>
                <w:color w:val="auto"/>
                <w:sz w:val="24"/>
                <w:highlight w:val="none"/>
              </w:rPr>
            </w:pPr>
          </w:p>
        </w:tc>
        <w:tc>
          <w:tcPr>
            <w:tcW w:w="2795" w:type="dxa"/>
          </w:tcPr>
          <w:p w14:paraId="301BA82E">
            <w:pPr>
              <w:jc w:val="center"/>
              <w:rPr>
                <w:rFonts w:ascii="仿宋" w:hAnsi="仿宋" w:eastAsia="仿宋"/>
                <w:color w:val="auto"/>
                <w:sz w:val="24"/>
                <w:highlight w:val="none"/>
              </w:rPr>
            </w:pPr>
          </w:p>
        </w:tc>
        <w:tc>
          <w:tcPr>
            <w:tcW w:w="2795" w:type="dxa"/>
          </w:tcPr>
          <w:p w14:paraId="7DF4A7C0">
            <w:pPr>
              <w:jc w:val="center"/>
              <w:rPr>
                <w:rFonts w:ascii="仿宋" w:hAnsi="仿宋" w:eastAsia="仿宋"/>
                <w:color w:val="auto"/>
                <w:sz w:val="24"/>
                <w:highlight w:val="none"/>
              </w:rPr>
            </w:pPr>
          </w:p>
        </w:tc>
      </w:tr>
      <w:tr w14:paraId="54E9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573B2459">
            <w:pPr>
              <w:jc w:val="center"/>
              <w:rPr>
                <w:rFonts w:ascii="仿宋" w:hAnsi="仿宋" w:eastAsia="仿宋"/>
                <w:color w:val="auto"/>
                <w:sz w:val="24"/>
                <w:highlight w:val="none"/>
              </w:rPr>
            </w:pPr>
          </w:p>
        </w:tc>
        <w:tc>
          <w:tcPr>
            <w:tcW w:w="2795" w:type="dxa"/>
          </w:tcPr>
          <w:p w14:paraId="5C4C6CB4">
            <w:pPr>
              <w:jc w:val="center"/>
              <w:rPr>
                <w:rFonts w:ascii="仿宋" w:hAnsi="仿宋" w:eastAsia="仿宋"/>
                <w:color w:val="auto"/>
                <w:sz w:val="24"/>
                <w:highlight w:val="none"/>
              </w:rPr>
            </w:pPr>
          </w:p>
        </w:tc>
        <w:tc>
          <w:tcPr>
            <w:tcW w:w="2795" w:type="dxa"/>
          </w:tcPr>
          <w:p w14:paraId="1A43E10F">
            <w:pPr>
              <w:jc w:val="center"/>
              <w:rPr>
                <w:rFonts w:ascii="仿宋" w:hAnsi="仿宋" w:eastAsia="仿宋"/>
                <w:color w:val="auto"/>
                <w:sz w:val="24"/>
                <w:highlight w:val="none"/>
              </w:rPr>
            </w:pPr>
          </w:p>
        </w:tc>
        <w:tc>
          <w:tcPr>
            <w:tcW w:w="2795" w:type="dxa"/>
          </w:tcPr>
          <w:p w14:paraId="1CC4D1E9">
            <w:pPr>
              <w:jc w:val="center"/>
              <w:rPr>
                <w:rFonts w:ascii="仿宋" w:hAnsi="仿宋" w:eastAsia="仿宋"/>
                <w:color w:val="auto"/>
                <w:sz w:val="24"/>
                <w:highlight w:val="none"/>
              </w:rPr>
            </w:pPr>
          </w:p>
        </w:tc>
      </w:tr>
      <w:tr w14:paraId="0423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4B5282CA">
            <w:pPr>
              <w:jc w:val="center"/>
              <w:rPr>
                <w:rFonts w:ascii="仿宋" w:hAnsi="仿宋" w:eastAsia="仿宋"/>
                <w:color w:val="auto"/>
                <w:sz w:val="24"/>
                <w:highlight w:val="none"/>
              </w:rPr>
            </w:pPr>
          </w:p>
        </w:tc>
        <w:tc>
          <w:tcPr>
            <w:tcW w:w="2795" w:type="dxa"/>
          </w:tcPr>
          <w:p w14:paraId="30068994">
            <w:pPr>
              <w:jc w:val="center"/>
              <w:rPr>
                <w:rFonts w:ascii="仿宋" w:hAnsi="仿宋" w:eastAsia="仿宋"/>
                <w:color w:val="auto"/>
                <w:sz w:val="24"/>
                <w:highlight w:val="none"/>
              </w:rPr>
            </w:pPr>
          </w:p>
        </w:tc>
        <w:tc>
          <w:tcPr>
            <w:tcW w:w="2795" w:type="dxa"/>
          </w:tcPr>
          <w:p w14:paraId="06F8FF52">
            <w:pPr>
              <w:jc w:val="center"/>
              <w:rPr>
                <w:rFonts w:ascii="仿宋" w:hAnsi="仿宋" w:eastAsia="仿宋"/>
                <w:color w:val="auto"/>
                <w:sz w:val="24"/>
                <w:highlight w:val="none"/>
              </w:rPr>
            </w:pPr>
          </w:p>
        </w:tc>
        <w:tc>
          <w:tcPr>
            <w:tcW w:w="2795" w:type="dxa"/>
          </w:tcPr>
          <w:p w14:paraId="12EADDA1">
            <w:pPr>
              <w:jc w:val="center"/>
              <w:rPr>
                <w:rFonts w:ascii="仿宋" w:hAnsi="仿宋" w:eastAsia="仿宋"/>
                <w:color w:val="auto"/>
                <w:sz w:val="24"/>
                <w:highlight w:val="none"/>
              </w:rPr>
            </w:pPr>
          </w:p>
        </w:tc>
      </w:tr>
      <w:tr w14:paraId="2AD0E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69645801">
            <w:pPr>
              <w:jc w:val="center"/>
              <w:rPr>
                <w:rFonts w:ascii="仿宋" w:hAnsi="仿宋" w:eastAsia="仿宋"/>
                <w:color w:val="auto"/>
                <w:sz w:val="24"/>
                <w:highlight w:val="none"/>
              </w:rPr>
            </w:pPr>
          </w:p>
        </w:tc>
        <w:tc>
          <w:tcPr>
            <w:tcW w:w="2795" w:type="dxa"/>
          </w:tcPr>
          <w:p w14:paraId="7EEA0C9D">
            <w:pPr>
              <w:jc w:val="center"/>
              <w:rPr>
                <w:rFonts w:ascii="仿宋" w:hAnsi="仿宋" w:eastAsia="仿宋"/>
                <w:color w:val="auto"/>
                <w:sz w:val="24"/>
                <w:highlight w:val="none"/>
              </w:rPr>
            </w:pPr>
          </w:p>
        </w:tc>
        <w:tc>
          <w:tcPr>
            <w:tcW w:w="2795" w:type="dxa"/>
          </w:tcPr>
          <w:p w14:paraId="6F7B5039">
            <w:pPr>
              <w:jc w:val="center"/>
              <w:rPr>
                <w:rFonts w:ascii="仿宋" w:hAnsi="仿宋" w:eastAsia="仿宋"/>
                <w:color w:val="auto"/>
                <w:sz w:val="24"/>
                <w:highlight w:val="none"/>
              </w:rPr>
            </w:pPr>
          </w:p>
        </w:tc>
        <w:tc>
          <w:tcPr>
            <w:tcW w:w="2795" w:type="dxa"/>
          </w:tcPr>
          <w:p w14:paraId="64B14E24">
            <w:pPr>
              <w:jc w:val="center"/>
              <w:rPr>
                <w:rFonts w:ascii="仿宋" w:hAnsi="仿宋" w:eastAsia="仿宋"/>
                <w:color w:val="auto"/>
                <w:sz w:val="24"/>
                <w:highlight w:val="none"/>
              </w:rPr>
            </w:pPr>
          </w:p>
        </w:tc>
      </w:tr>
    </w:tbl>
    <w:p w14:paraId="33A2EEDB">
      <w:pPr>
        <w:ind w:firstLine="482" w:firstLineChars="200"/>
        <w:rPr>
          <w:rFonts w:ascii="仿宋" w:hAnsi="仿宋" w:eastAsia="仿宋"/>
          <w:b/>
          <w:color w:val="auto"/>
          <w:sz w:val="24"/>
          <w:highlight w:val="none"/>
        </w:rPr>
      </w:pPr>
    </w:p>
    <w:p w14:paraId="352132A5">
      <w:pPr>
        <w:adjustRightInd w:val="0"/>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注：</w:t>
      </w:r>
    </w:p>
    <w:p w14:paraId="5DACD27A">
      <w:pPr>
        <w:adjustRightInd w:val="0"/>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1、供应商必须据实填写，不得虚假应答，否则将取消其报价或成交资格。如与磋商文件 第三章 中 相关条款无偏离，则无须逐条应答。如有偏离条款（包括正偏离和负偏离），请将偏离条款逐条应答。未明确偏离的条款，视为默认接受，供应商不得以未作应答而拒不接受。</w:t>
      </w:r>
    </w:p>
    <w:p w14:paraId="1F7CB04D">
      <w:pPr>
        <w:adjustRightInd w:val="0"/>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2、若磋商文件中有要求提供证明材料的服务条款应当在此表中列出并应答。</w:t>
      </w:r>
    </w:p>
    <w:p w14:paraId="4648096B">
      <w:pPr>
        <w:adjustRightInd w:val="0"/>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3、此表格仅作为参考，供应商根据实际响应情况进行调整。</w:t>
      </w:r>
    </w:p>
    <w:p w14:paraId="17A7044F">
      <w:pPr>
        <w:adjustRightInd w:val="0"/>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1E73389F">
      <w:pPr>
        <w:adjustRightInd w:val="0"/>
        <w:spacing w:after="120" w:line="360" w:lineRule="auto"/>
        <w:ind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法定代表人/单位负责人或授权代表</w:t>
      </w:r>
      <w:r>
        <w:rPr>
          <w:rFonts w:hint="eastAsia" w:ascii="仿宋" w:hAnsi="仿宋" w:eastAsia="仿宋" w:cs="仿宋"/>
          <w:color w:val="auto"/>
          <w:sz w:val="24"/>
          <w:highlight w:val="none"/>
        </w:rPr>
        <w:t>（签字或加盖个人印章）</w:t>
      </w:r>
      <w:r>
        <w:rPr>
          <w:rFonts w:hint="eastAsia" w:ascii="仿宋" w:hAnsi="仿宋" w:eastAsia="仿宋" w:cs="仿宋"/>
          <w:bCs/>
          <w:color w:val="auto"/>
          <w:sz w:val="24"/>
          <w:highlight w:val="none"/>
        </w:rPr>
        <w:t>：XXX</w:t>
      </w:r>
    </w:p>
    <w:p w14:paraId="29504936">
      <w:pPr>
        <w:adjustRightInd w:val="0"/>
        <w:spacing w:after="120" w:line="360" w:lineRule="auto"/>
        <w:ind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日期</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XXX年XXX月XXX日</w:t>
      </w:r>
    </w:p>
    <w:p w14:paraId="1E3AEE2D">
      <w:pPr>
        <w:widowControl/>
        <w:jc w:val="left"/>
        <w:rPr>
          <w:rFonts w:ascii="仿宋" w:hAnsi="仿宋" w:eastAsia="仿宋"/>
          <w:b/>
          <w:color w:val="auto"/>
          <w:sz w:val="32"/>
          <w:szCs w:val="32"/>
          <w:highlight w:val="none"/>
        </w:rPr>
      </w:pPr>
      <w:r>
        <w:rPr>
          <w:rFonts w:ascii="仿宋" w:hAnsi="仿宋" w:eastAsia="仿宋"/>
          <w:b/>
          <w:color w:val="auto"/>
          <w:sz w:val="32"/>
          <w:szCs w:val="32"/>
          <w:highlight w:val="none"/>
        </w:rPr>
        <w:br w:type="page"/>
      </w:r>
    </w:p>
    <w:p w14:paraId="5D3A360E">
      <w:pPr>
        <w:widowControl/>
        <w:jc w:val="left"/>
        <w:outlineLvl w:val="1"/>
        <w:rPr>
          <w:rFonts w:hint="eastAsia" w:ascii="仿宋" w:hAnsi="仿宋" w:eastAsia="仿宋"/>
          <w:b/>
          <w:color w:val="auto"/>
          <w:sz w:val="32"/>
          <w:szCs w:val="32"/>
          <w:highlight w:val="none"/>
          <w:lang w:eastAsia="zh-CN"/>
        </w:rPr>
      </w:pPr>
      <w:bookmarkStart w:id="178" w:name="_Toc25250"/>
      <w:r>
        <w:rPr>
          <w:rFonts w:hint="eastAsia" w:ascii="仿宋" w:hAnsi="仿宋" w:eastAsia="仿宋"/>
          <w:b/>
          <w:color w:val="auto"/>
          <w:sz w:val="32"/>
          <w:szCs w:val="32"/>
          <w:highlight w:val="none"/>
        </w:rPr>
        <w:t>格式2-</w:t>
      </w:r>
      <w:bookmarkEnd w:id="178"/>
      <w:r>
        <w:rPr>
          <w:rFonts w:hint="eastAsia" w:ascii="仿宋" w:hAnsi="仿宋" w:eastAsia="仿宋"/>
          <w:b/>
          <w:color w:val="auto"/>
          <w:sz w:val="32"/>
          <w:szCs w:val="32"/>
          <w:highlight w:val="none"/>
          <w:lang w:val="en-US" w:eastAsia="zh-CN"/>
        </w:rPr>
        <w:t>7</w:t>
      </w:r>
    </w:p>
    <w:p w14:paraId="5CDB7D4D">
      <w:pPr>
        <w:widowControl/>
        <w:spacing w:line="360" w:lineRule="atLeast"/>
        <w:jc w:val="center"/>
        <w:outlineLvl w:val="1"/>
        <w:rPr>
          <w:rFonts w:ascii="仿宋" w:hAnsi="仿宋" w:eastAsia="仿宋"/>
          <w:b/>
          <w:color w:val="auto"/>
          <w:sz w:val="32"/>
          <w:szCs w:val="32"/>
          <w:highlight w:val="none"/>
        </w:rPr>
      </w:pPr>
      <w:bookmarkStart w:id="179" w:name="_Toc7874"/>
      <w:r>
        <w:rPr>
          <w:rFonts w:hint="eastAsia" w:ascii="仿宋" w:hAnsi="仿宋" w:eastAsia="仿宋"/>
          <w:b/>
          <w:color w:val="auto"/>
          <w:sz w:val="32"/>
          <w:szCs w:val="32"/>
          <w:highlight w:val="none"/>
          <w:lang w:val="en-US" w:eastAsia="zh-CN"/>
        </w:rPr>
        <w:t>六</w:t>
      </w:r>
      <w:r>
        <w:rPr>
          <w:rFonts w:hint="eastAsia" w:ascii="仿宋" w:hAnsi="仿宋" w:eastAsia="仿宋"/>
          <w:b/>
          <w:color w:val="auto"/>
          <w:sz w:val="32"/>
          <w:szCs w:val="32"/>
          <w:highlight w:val="none"/>
        </w:rPr>
        <w:t>、商务应答表</w:t>
      </w:r>
      <w:bookmarkEnd w:id="179"/>
    </w:p>
    <w:tbl>
      <w:tblPr>
        <w:tblStyle w:val="18"/>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0B68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vAlign w:val="center"/>
          </w:tcPr>
          <w:p w14:paraId="59427116">
            <w:pPr>
              <w:jc w:val="center"/>
              <w:rPr>
                <w:rFonts w:ascii="仿宋" w:hAnsi="仿宋" w:eastAsia="仿宋"/>
                <w:color w:val="auto"/>
                <w:sz w:val="24"/>
                <w:highlight w:val="none"/>
              </w:rPr>
            </w:pPr>
            <w:r>
              <w:rPr>
                <w:rFonts w:hint="eastAsia" w:ascii="仿宋" w:hAnsi="仿宋" w:eastAsia="仿宋"/>
                <w:color w:val="auto"/>
                <w:sz w:val="24"/>
                <w:highlight w:val="none"/>
              </w:rPr>
              <w:t>序号</w:t>
            </w:r>
          </w:p>
        </w:tc>
        <w:tc>
          <w:tcPr>
            <w:tcW w:w="2795" w:type="dxa"/>
            <w:vAlign w:val="center"/>
          </w:tcPr>
          <w:p w14:paraId="2AEFB300">
            <w:pPr>
              <w:jc w:val="center"/>
              <w:rPr>
                <w:rFonts w:ascii="仿宋" w:hAnsi="仿宋" w:eastAsia="仿宋"/>
                <w:color w:val="auto"/>
                <w:sz w:val="24"/>
                <w:highlight w:val="none"/>
              </w:rPr>
            </w:pPr>
            <w:r>
              <w:rPr>
                <w:rFonts w:hint="eastAsia" w:ascii="仿宋" w:hAnsi="仿宋" w:eastAsia="仿宋"/>
                <w:color w:val="auto"/>
                <w:sz w:val="24"/>
                <w:highlight w:val="none"/>
              </w:rPr>
              <w:t>包号</w:t>
            </w:r>
          </w:p>
        </w:tc>
        <w:tc>
          <w:tcPr>
            <w:tcW w:w="2795" w:type="dxa"/>
            <w:vAlign w:val="center"/>
          </w:tcPr>
          <w:p w14:paraId="7DF44419">
            <w:pPr>
              <w:jc w:val="center"/>
              <w:rPr>
                <w:rFonts w:ascii="仿宋" w:hAnsi="仿宋" w:eastAsia="仿宋"/>
                <w:color w:val="auto"/>
                <w:sz w:val="24"/>
                <w:highlight w:val="none"/>
              </w:rPr>
            </w:pPr>
            <w:r>
              <w:rPr>
                <w:rFonts w:hint="eastAsia" w:ascii="仿宋" w:hAnsi="仿宋" w:eastAsia="仿宋"/>
                <w:color w:val="auto"/>
                <w:sz w:val="24"/>
                <w:highlight w:val="none"/>
              </w:rPr>
              <w:t>采购文件要求</w:t>
            </w:r>
          </w:p>
        </w:tc>
        <w:tc>
          <w:tcPr>
            <w:tcW w:w="2795" w:type="dxa"/>
            <w:vAlign w:val="center"/>
          </w:tcPr>
          <w:p w14:paraId="075E4E11">
            <w:pPr>
              <w:jc w:val="center"/>
              <w:rPr>
                <w:rFonts w:ascii="仿宋" w:hAnsi="仿宋" w:eastAsia="仿宋"/>
                <w:color w:val="auto"/>
                <w:sz w:val="24"/>
                <w:highlight w:val="none"/>
              </w:rPr>
            </w:pPr>
            <w:r>
              <w:rPr>
                <w:rFonts w:hint="eastAsia" w:ascii="仿宋" w:hAnsi="仿宋" w:eastAsia="仿宋"/>
                <w:color w:val="auto"/>
                <w:sz w:val="24"/>
                <w:highlight w:val="none"/>
              </w:rPr>
              <w:t>响应文件响应</w:t>
            </w:r>
          </w:p>
        </w:tc>
      </w:tr>
      <w:tr w14:paraId="7FFA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5941F2A1">
            <w:pPr>
              <w:jc w:val="center"/>
              <w:rPr>
                <w:rFonts w:ascii="仿宋" w:hAnsi="仿宋" w:eastAsia="仿宋"/>
                <w:color w:val="auto"/>
                <w:sz w:val="24"/>
                <w:highlight w:val="none"/>
              </w:rPr>
            </w:pPr>
          </w:p>
        </w:tc>
        <w:tc>
          <w:tcPr>
            <w:tcW w:w="2795" w:type="dxa"/>
          </w:tcPr>
          <w:p w14:paraId="279921D4">
            <w:pPr>
              <w:jc w:val="center"/>
              <w:rPr>
                <w:rFonts w:ascii="仿宋" w:hAnsi="仿宋" w:eastAsia="仿宋"/>
                <w:color w:val="auto"/>
                <w:sz w:val="24"/>
                <w:highlight w:val="none"/>
              </w:rPr>
            </w:pPr>
          </w:p>
        </w:tc>
        <w:tc>
          <w:tcPr>
            <w:tcW w:w="2795" w:type="dxa"/>
          </w:tcPr>
          <w:p w14:paraId="5D27A8A6">
            <w:pPr>
              <w:jc w:val="center"/>
              <w:rPr>
                <w:rFonts w:ascii="仿宋" w:hAnsi="仿宋" w:eastAsia="仿宋"/>
                <w:color w:val="auto"/>
                <w:sz w:val="24"/>
                <w:highlight w:val="none"/>
              </w:rPr>
            </w:pPr>
          </w:p>
        </w:tc>
        <w:tc>
          <w:tcPr>
            <w:tcW w:w="2795" w:type="dxa"/>
          </w:tcPr>
          <w:p w14:paraId="24E9D8CA">
            <w:pPr>
              <w:jc w:val="center"/>
              <w:rPr>
                <w:rFonts w:ascii="仿宋" w:hAnsi="仿宋" w:eastAsia="仿宋"/>
                <w:color w:val="auto"/>
                <w:sz w:val="24"/>
                <w:highlight w:val="none"/>
              </w:rPr>
            </w:pPr>
          </w:p>
        </w:tc>
      </w:tr>
      <w:tr w14:paraId="2C9A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280906A5">
            <w:pPr>
              <w:jc w:val="center"/>
              <w:rPr>
                <w:rFonts w:ascii="仿宋" w:hAnsi="仿宋" w:eastAsia="仿宋"/>
                <w:color w:val="auto"/>
                <w:sz w:val="24"/>
                <w:highlight w:val="none"/>
              </w:rPr>
            </w:pPr>
          </w:p>
        </w:tc>
        <w:tc>
          <w:tcPr>
            <w:tcW w:w="2795" w:type="dxa"/>
          </w:tcPr>
          <w:p w14:paraId="4FB5E522">
            <w:pPr>
              <w:jc w:val="center"/>
              <w:rPr>
                <w:rFonts w:ascii="仿宋" w:hAnsi="仿宋" w:eastAsia="仿宋"/>
                <w:color w:val="auto"/>
                <w:sz w:val="24"/>
                <w:highlight w:val="none"/>
              </w:rPr>
            </w:pPr>
          </w:p>
        </w:tc>
        <w:tc>
          <w:tcPr>
            <w:tcW w:w="2795" w:type="dxa"/>
          </w:tcPr>
          <w:p w14:paraId="27BAD1AD">
            <w:pPr>
              <w:jc w:val="center"/>
              <w:rPr>
                <w:rFonts w:ascii="仿宋" w:hAnsi="仿宋" w:eastAsia="仿宋"/>
                <w:color w:val="auto"/>
                <w:sz w:val="24"/>
                <w:highlight w:val="none"/>
              </w:rPr>
            </w:pPr>
          </w:p>
        </w:tc>
        <w:tc>
          <w:tcPr>
            <w:tcW w:w="2795" w:type="dxa"/>
          </w:tcPr>
          <w:p w14:paraId="36210942">
            <w:pPr>
              <w:jc w:val="center"/>
              <w:rPr>
                <w:rFonts w:ascii="仿宋" w:hAnsi="仿宋" w:eastAsia="仿宋"/>
                <w:color w:val="auto"/>
                <w:sz w:val="24"/>
                <w:highlight w:val="none"/>
              </w:rPr>
            </w:pPr>
          </w:p>
        </w:tc>
      </w:tr>
      <w:tr w14:paraId="0E73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59CCF61F">
            <w:pPr>
              <w:jc w:val="center"/>
              <w:rPr>
                <w:rFonts w:ascii="仿宋" w:hAnsi="仿宋" w:eastAsia="仿宋"/>
                <w:color w:val="auto"/>
                <w:sz w:val="24"/>
                <w:highlight w:val="none"/>
              </w:rPr>
            </w:pPr>
          </w:p>
        </w:tc>
        <w:tc>
          <w:tcPr>
            <w:tcW w:w="2795" w:type="dxa"/>
          </w:tcPr>
          <w:p w14:paraId="23C928DE">
            <w:pPr>
              <w:jc w:val="center"/>
              <w:rPr>
                <w:rFonts w:ascii="仿宋" w:hAnsi="仿宋" w:eastAsia="仿宋"/>
                <w:color w:val="auto"/>
                <w:sz w:val="24"/>
                <w:highlight w:val="none"/>
              </w:rPr>
            </w:pPr>
          </w:p>
        </w:tc>
        <w:tc>
          <w:tcPr>
            <w:tcW w:w="2795" w:type="dxa"/>
          </w:tcPr>
          <w:p w14:paraId="78ABBB97">
            <w:pPr>
              <w:jc w:val="center"/>
              <w:rPr>
                <w:rFonts w:ascii="仿宋" w:hAnsi="仿宋" w:eastAsia="仿宋"/>
                <w:color w:val="auto"/>
                <w:sz w:val="24"/>
                <w:highlight w:val="none"/>
              </w:rPr>
            </w:pPr>
          </w:p>
        </w:tc>
        <w:tc>
          <w:tcPr>
            <w:tcW w:w="2795" w:type="dxa"/>
          </w:tcPr>
          <w:p w14:paraId="500F0EFA">
            <w:pPr>
              <w:jc w:val="center"/>
              <w:rPr>
                <w:rFonts w:ascii="仿宋" w:hAnsi="仿宋" w:eastAsia="仿宋"/>
                <w:color w:val="auto"/>
                <w:sz w:val="24"/>
                <w:highlight w:val="none"/>
              </w:rPr>
            </w:pPr>
          </w:p>
        </w:tc>
      </w:tr>
      <w:tr w14:paraId="693A2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195786EB">
            <w:pPr>
              <w:jc w:val="center"/>
              <w:rPr>
                <w:rFonts w:ascii="仿宋" w:hAnsi="仿宋" w:eastAsia="仿宋"/>
                <w:color w:val="auto"/>
                <w:sz w:val="24"/>
                <w:highlight w:val="none"/>
              </w:rPr>
            </w:pPr>
          </w:p>
        </w:tc>
        <w:tc>
          <w:tcPr>
            <w:tcW w:w="2795" w:type="dxa"/>
          </w:tcPr>
          <w:p w14:paraId="42295969">
            <w:pPr>
              <w:jc w:val="center"/>
              <w:rPr>
                <w:rFonts w:ascii="仿宋" w:hAnsi="仿宋" w:eastAsia="仿宋"/>
                <w:color w:val="auto"/>
                <w:sz w:val="24"/>
                <w:highlight w:val="none"/>
              </w:rPr>
            </w:pPr>
          </w:p>
        </w:tc>
        <w:tc>
          <w:tcPr>
            <w:tcW w:w="2795" w:type="dxa"/>
          </w:tcPr>
          <w:p w14:paraId="444F982F">
            <w:pPr>
              <w:jc w:val="center"/>
              <w:rPr>
                <w:rFonts w:ascii="仿宋" w:hAnsi="仿宋" w:eastAsia="仿宋"/>
                <w:color w:val="auto"/>
                <w:sz w:val="24"/>
                <w:highlight w:val="none"/>
              </w:rPr>
            </w:pPr>
          </w:p>
        </w:tc>
        <w:tc>
          <w:tcPr>
            <w:tcW w:w="2795" w:type="dxa"/>
          </w:tcPr>
          <w:p w14:paraId="7D6E1417">
            <w:pPr>
              <w:jc w:val="center"/>
              <w:rPr>
                <w:rFonts w:ascii="仿宋" w:hAnsi="仿宋" w:eastAsia="仿宋"/>
                <w:color w:val="auto"/>
                <w:sz w:val="24"/>
                <w:highlight w:val="none"/>
              </w:rPr>
            </w:pPr>
          </w:p>
        </w:tc>
      </w:tr>
    </w:tbl>
    <w:p w14:paraId="64770669">
      <w:pPr>
        <w:ind w:firstLine="482" w:firstLineChars="200"/>
        <w:rPr>
          <w:rFonts w:ascii="仿宋" w:hAnsi="仿宋" w:eastAsia="仿宋"/>
          <w:b/>
          <w:color w:val="auto"/>
          <w:sz w:val="24"/>
          <w:highlight w:val="none"/>
        </w:rPr>
      </w:pPr>
    </w:p>
    <w:p w14:paraId="1B372BE9">
      <w:pPr>
        <w:adjustRightInd w:val="0"/>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注：1、供应商必须据实填写，不得虚假应答，否则将取消其报价或成交资格。如与 磋商文件第三章 商务要求 中 相关条款无偏离，则无须逐条应答。如有偏离条款（包括正偏离和负偏离），请将偏离条款逐条应答。未明确偏离的条款，视为默认接受，供应商不得以未作应答而拒不接受。</w:t>
      </w:r>
    </w:p>
    <w:p w14:paraId="3507A1A7">
      <w:pPr>
        <w:adjustRightInd w:val="0"/>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084A2965">
      <w:pPr>
        <w:adjustRightInd w:val="0"/>
        <w:spacing w:after="120" w:line="360" w:lineRule="auto"/>
        <w:ind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法定代表人/单位负责人或授权代表</w:t>
      </w:r>
      <w:r>
        <w:rPr>
          <w:rFonts w:hint="eastAsia" w:ascii="仿宋" w:hAnsi="仿宋" w:eastAsia="仿宋" w:cs="仿宋"/>
          <w:color w:val="auto"/>
          <w:sz w:val="24"/>
          <w:highlight w:val="none"/>
        </w:rPr>
        <w:t>（签字或加盖个人印章）</w:t>
      </w:r>
      <w:r>
        <w:rPr>
          <w:rFonts w:hint="eastAsia" w:ascii="仿宋" w:hAnsi="仿宋" w:eastAsia="仿宋" w:cs="仿宋"/>
          <w:bCs/>
          <w:color w:val="auto"/>
          <w:sz w:val="24"/>
          <w:highlight w:val="none"/>
        </w:rPr>
        <w:t>：XXX</w:t>
      </w:r>
    </w:p>
    <w:p w14:paraId="7F369D4D">
      <w:pPr>
        <w:adjustRightInd w:val="0"/>
        <w:spacing w:after="120" w:line="360" w:lineRule="auto"/>
        <w:ind w:firstLine="480" w:firstLineChars="200"/>
        <w:jc w:val="left"/>
        <w:rPr>
          <w:rFonts w:ascii="仿宋" w:hAnsi="仿宋" w:eastAsia="仿宋"/>
          <w:bCs/>
          <w:color w:val="auto"/>
          <w:sz w:val="24"/>
          <w:highlight w:val="none"/>
        </w:rPr>
      </w:pPr>
      <w:r>
        <w:rPr>
          <w:rFonts w:hint="eastAsia" w:ascii="仿宋" w:hAnsi="仿宋" w:eastAsia="仿宋" w:cs="仿宋"/>
          <w:bCs/>
          <w:color w:val="auto"/>
          <w:sz w:val="24"/>
          <w:highlight w:val="none"/>
        </w:rPr>
        <w:t>日期：XXX年XXX月XXX日</w:t>
      </w:r>
    </w:p>
    <w:p w14:paraId="4CDE5237">
      <w:pPr>
        <w:adjustRightInd w:val="0"/>
        <w:spacing w:line="360" w:lineRule="auto"/>
        <w:jc w:val="left"/>
        <w:rPr>
          <w:rFonts w:ascii="仿宋" w:hAnsi="仿宋" w:eastAsia="仿宋"/>
          <w:bCs/>
          <w:color w:val="auto"/>
          <w:sz w:val="24"/>
          <w:highlight w:val="none"/>
        </w:rPr>
      </w:pPr>
    </w:p>
    <w:p w14:paraId="3EEEDA05">
      <w:pPr>
        <w:adjustRightInd w:val="0"/>
        <w:spacing w:line="360" w:lineRule="auto"/>
        <w:jc w:val="left"/>
        <w:rPr>
          <w:rFonts w:ascii="仿宋" w:hAnsi="仿宋" w:eastAsia="仿宋"/>
          <w:bCs/>
          <w:color w:val="auto"/>
          <w:sz w:val="24"/>
          <w:highlight w:val="none"/>
        </w:rPr>
      </w:pPr>
    </w:p>
    <w:p w14:paraId="61F5508D">
      <w:pPr>
        <w:adjustRightInd w:val="0"/>
        <w:spacing w:line="360" w:lineRule="auto"/>
        <w:jc w:val="left"/>
        <w:rPr>
          <w:rFonts w:ascii="仿宋" w:hAnsi="仿宋" w:eastAsia="仿宋"/>
          <w:bCs/>
          <w:color w:val="auto"/>
          <w:sz w:val="24"/>
          <w:highlight w:val="none"/>
        </w:rPr>
      </w:pPr>
    </w:p>
    <w:p w14:paraId="6BD058B1">
      <w:pPr>
        <w:adjustRightInd w:val="0"/>
        <w:spacing w:line="360" w:lineRule="auto"/>
        <w:jc w:val="left"/>
        <w:rPr>
          <w:rFonts w:ascii="仿宋" w:hAnsi="仿宋" w:eastAsia="仿宋"/>
          <w:bCs/>
          <w:color w:val="auto"/>
          <w:sz w:val="24"/>
          <w:highlight w:val="none"/>
        </w:rPr>
      </w:pPr>
    </w:p>
    <w:p w14:paraId="70A5F8BB">
      <w:pPr>
        <w:adjustRightInd w:val="0"/>
        <w:spacing w:line="360" w:lineRule="auto"/>
        <w:jc w:val="left"/>
        <w:rPr>
          <w:rFonts w:ascii="仿宋" w:hAnsi="仿宋" w:eastAsia="仿宋"/>
          <w:bCs/>
          <w:color w:val="auto"/>
          <w:sz w:val="24"/>
          <w:highlight w:val="none"/>
        </w:rPr>
      </w:pPr>
    </w:p>
    <w:p w14:paraId="05B2769D">
      <w:pPr>
        <w:pStyle w:val="6"/>
        <w:rPr>
          <w:rFonts w:ascii="仿宋" w:hAnsi="仿宋" w:eastAsia="仿宋"/>
          <w:bCs/>
          <w:color w:val="auto"/>
          <w:sz w:val="24"/>
          <w:highlight w:val="none"/>
        </w:rPr>
      </w:pPr>
    </w:p>
    <w:p w14:paraId="503FA80E">
      <w:pPr>
        <w:pStyle w:val="6"/>
        <w:rPr>
          <w:rFonts w:ascii="仿宋" w:hAnsi="仿宋" w:eastAsia="仿宋"/>
          <w:bCs/>
          <w:color w:val="auto"/>
          <w:sz w:val="24"/>
          <w:highlight w:val="none"/>
        </w:rPr>
      </w:pPr>
    </w:p>
    <w:p w14:paraId="19152937">
      <w:pPr>
        <w:pStyle w:val="6"/>
        <w:rPr>
          <w:rFonts w:ascii="仿宋" w:hAnsi="仿宋" w:eastAsia="仿宋"/>
          <w:bCs/>
          <w:color w:val="auto"/>
          <w:sz w:val="24"/>
          <w:highlight w:val="none"/>
        </w:rPr>
      </w:pPr>
    </w:p>
    <w:p w14:paraId="18623087">
      <w:pPr>
        <w:pStyle w:val="6"/>
        <w:rPr>
          <w:rFonts w:ascii="仿宋" w:hAnsi="仿宋" w:eastAsia="仿宋"/>
          <w:bCs/>
          <w:color w:val="auto"/>
          <w:sz w:val="24"/>
          <w:highlight w:val="none"/>
        </w:rPr>
      </w:pPr>
    </w:p>
    <w:p w14:paraId="20AC3BAA">
      <w:pPr>
        <w:widowControl/>
        <w:jc w:val="left"/>
        <w:outlineLvl w:val="1"/>
        <w:rPr>
          <w:rFonts w:ascii="仿宋" w:hAnsi="仿宋" w:eastAsia="仿宋" w:cs="仿宋"/>
          <w:b/>
          <w:color w:val="auto"/>
          <w:sz w:val="32"/>
          <w:szCs w:val="32"/>
          <w:highlight w:val="none"/>
        </w:rPr>
      </w:pPr>
      <w:bookmarkStart w:id="180" w:name="_Toc18033"/>
      <w:r>
        <w:rPr>
          <w:rFonts w:hint="eastAsia" w:ascii="仿宋" w:hAnsi="仿宋" w:eastAsia="仿宋" w:cs="仿宋"/>
          <w:b/>
          <w:color w:val="auto"/>
          <w:sz w:val="32"/>
          <w:szCs w:val="32"/>
          <w:highlight w:val="none"/>
        </w:rPr>
        <w:t>格式2-</w:t>
      </w:r>
      <w:r>
        <w:rPr>
          <w:rFonts w:hint="eastAsia" w:ascii="仿宋" w:hAnsi="仿宋" w:eastAsia="仿宋" w:cs="仿宋"/>
          <w:b/>
          <w:color w:val="auto"/>
          <w:sz w:val="32"/>
          <w:szCs w:val="32"/>
          <w:highlight w:val="none"/>
          <w:lang w:val="en-US" w:eastAsia="zh-CN"/>
        </w:rPr>
        <w:t>8</w:t>
      </w:r>
      <w:r>
        <w:rPr>
          <w:rFonts w:hint="eastAsia" w:ascii="仿宋" w:hAnsi="仿宋" w:eastAsia="仿宋" w:cs="仿宋"/>
          <w:b/>
          <w:color w:val="auto"/>
          <w:sz w:val="32"/>
          <w:szCs w:val="32"/>
          <w:highlight w:val="none"/>
        </w:rPr>
        <w:t>-1</w:t>
      </w:r>
      <w:bookmarkEnd w:id="180"/>
    </w:p>
    <w:p w14:paraId="7A982D20">
      <w:pPr>
        <w:widowControl/>
        <w:spacing w:line="360" w:lineRule="atLeast"/>
        <w:jc w:val="center"/>
        <w:outlineLvl w:val="1"/>
        <w:rPr>
          <w:rFonts w:ascii="仿宋" w:hAnsi="仿宋" w:eastAsia="仿宋"/>
          <w:b/>
          <w:color w:val="auto"/>
          <w:sz w:val="32"/>
          <w:szCs w:val="32"/>
          <w:highlight w:val="none"/>
        </w:rPr>
      </w:pPr>
      <w:bookmarkStart w:id="181" w:name="_Toc19516"/>
      <w:r>
        <w:rPr>
          <w:rFonts w:hint="eastAsia" w:ascii="仿宋" w:hAnsi="仿宋" w:eastAsia="仿宋"/>
          <w:b/>
          <w:color w:val="auto"/>
          <w:sz w:val="32"/>
          <w:szCs w:val="32"/>
          <w:highlight w:val="none"/>
          <w:lang w:val="en-US" w:eastAsia="zh-CN"/>
        </w:rPr>
        <w:t>七</w:t>
      </w:r>
      <w:r>
        <w:rPr>
          <w:rFonts w:hint="eastAsia" w:ascii="仿宋" w:hAnsi="仿宋" w:eastAsia="仿宋"/>
          <w:b/>
          <w:color w:val="auto"/>
          <w:sz w:val="32"/>
          <w:szCs w:val="32"/>
          <w:highlight w:val="none"/>
        </w:rPr>
        <w:t>-1、供应商类似项目业绩一览表</w:t>
      </w:r>
      <w:bookmarkEnd w:id="181"/>
    </w:p>
    <w:p w14:paraId="341E743E">
      <w:pPr>
        <w:spacing w:line="360" w:lineRule="auto"/>
        <w:rPr>
          <w:rFonts w:ascii="仿宋" w:hAnsi="仿宋" w:eastAsia="仿宋" w:cs="Arial"/>
          <w:color w:val="auto"/>
          <w:sz w:val="24"/>
          <w:highlight w:val="none"/>
        </w:rPr>
      </w:pPr>
    </w:p>
    <w:tbl>
      <w:tblPr>
        <w:tblStyle w:val="18"/>
        <w:tblW w:w="4997" w:type="pct"/>
        <w:jc w:val="center"/>
        <w:tblLayout w:type="autofit"/>
        <w:tblCellMar>
          <w:top w:w="0" w:type="dxa"/>
          <w:left w:w="108" w:type="dxa"/>
          <w:bottom w:w="0" w:type="dxa"/>
          <w:right w:w="108" w:type="dxa"/>
        </w:tblCellMar>
      </w:tblPr>
      <w:tblGrid>
        <w:gridCol w:w="552"/>
        <w:gridCol w:w="1191"/>
        <w:gridCol w:w="1311"/>
        <w:gridCol w:w="1072"/>
        <w:gridCol w:w="1193"/>
        <w:gridCol w:w="953"/>
        <w:gridCol w:w="951"/>
        <w:gridCol w:w="1029"/>
        <w:gridCol w:w="1029"/>
      </w:tblGrid>
      <w:tr w14:paraId="41AAB0F7">
        <w:tblPrEx>
          <w:tblCellMar>
            <w:top w:w="0" w:type="dxa"/>
            <w:left w:w="108" w:type="dxa"/>
            <w:bottom w:w="0" w:type="dxa"/>
            <w:right w:w="108" w:type="dxa"/>
          </w:tblCellMar>
        </w:tblPrEx>
        <w:trPr>
          <w:trHeight w:val="601" w:hRule="atLeast"/>
          <w:jc w:val="center"/>
        </w:trPr>
        <w:tc>
          <w:tcPr>
            <w:tcW w:w="297" w:type="pct"/>
            <w:tcBorders>
              <w:top w:val="single" w:color="auto" w:sz="4" w:space="0"/>
              <w:left w:val="single" w:color="auto" w:sz="4" w:space="0"/>
              <w:bottom w:val="single" w:color="auto" w:sz="4" w:space="0"/>
              <w:right w:val="single" w:color="auto" w:sz="4" w:space="0"/>
            </w:tcBorders>
            <w:vAlign w:val="center"/>
          </w:tcPr>
          <w:p w14:paraId="17BB01D2">
            <w:pPr>
              <w:widowControl/>
              <w:spacing w:line="360" w:lineRule="auto"/>
              <w:jc w:val="center"/>
              <w:rPr>
                <w:rFonts w:ascii="仿宋" w:hAnsi="仿宋" w:eastAsia="仿宋" w:cs="Arial"/>
                <w:color w:val="auto"/>
                <w:kern w:val="0"/>
                <w:highlight w:val="none"/>
              </w:rPr>
            </w:pPr>
            <w:r>
              <w:rPr>
                <w:rFonts w:ascii="仿宋" w:hAnsi="仿宋" w:eastAsia="仿宋"/>
                <w:color w:val="auto"/>
                <w:kern w:val="0"/>
                <w:highlight w:val="none"/>
              </w:rPr>
              <w:t>序号</w:t>
            </w:r>
          </w:p>
        </w:tc>
        <w:tc>
          <w:tcPr>
            <w:tcW w:w="641" w:type="pct"/>
            <w:tcBorders>
              <w:top w:val="single" w:color="auto" w:sz="4" w:space="0"/>
              <w:left w:val="nil"/>
              <w:bottom w:val="single" w:color="auto" w:sz="4" w:space="0"/>
              <w:right w:val="single" w:color="auto" w:sz="4" w:space="0"/>
            </w:tcBorders>
            <w:vAlign w:val="center"/>
          </w:tcPr>
          <w:p w14:paraId="22BC8439">
            <w:pPr>
              <w:widowControl/>
              <w:spacing w:line="360" w:lineRule="auto"/>
              <w:ind w:left="-69" w:leftChars="-33" w:right="-94" w:rightChars="-45"/>
              <w:jc w:val="center"/>
              <w:rPr>
                <w:rFonts w:ascii="仿宋" w:hAnsi="仿宋" w:eastAsia="仿宋" w:cs="Arial"/>
                <w:color w:val="auto"/>
                <w:kern w:val="0"/>
                <w:highlight w:val="none"/>
              </w:rPr>
            </w:pPr>
            <w:r>
              <w:rPr>
                <w:rFonts w:hint="eastAsia" w:ascii="仿宋" w:hAnsi="仿宋" w:eastAsia="仿宋"/>
                <w:color w:val="auto"/>
                <w:kern w:val="0"/>
                <w:highlight w:val="none"/>
              </w:rPr>
              <w:t>项目业主</w:t>
            </w:r>
          </w:p>
        </w:tc>
        <w:tc>
          <w:tcPr>
            <w:tcW w:w="706" w:type="pct"/>
            <w:tcBorders>
              <w:top w:val="single" w:color="auto" w:sz="4" w:space="0"/>
              <w:left w:val="nil"/>
              <w:bottom w:val="single" w:color="auto" w:sz="4" w:space="0"/>
              <w:right w:val="single" w:color="auto" w:sz="4" w:space="0"/>
            </w:tcBorders>
            <w:vAlign w:val="center"/>
          </w:tcPr>
          <w:p w14:paraId="6346489A">
            <w:pPr>
              <w:widowControl/>
              <w:spacing w:line="360" w:lineRule="auto"/>
              <w:jc w:val="center"/>
              <w:rPr>
                <w:rFonts w:ascii="仿宋" w:hAnsi="仿宋" w:eastAsia="仿宋" w:cs="Arial"/>
                <w:color w:val="auto"/>
                <w:kern w:val="0"/>
                <w:highlight w:val="none"/>
              </w:rPr>
            </w:pPr>
            <w:r>
              <w:rPr>
                <w:rFonts w:hint="eastAsia" w:ascii="仿宋" w:hAnsi="仿宋" w:eastAsia="仿宋"/>
                <w:color w:val="auto"/>
                <w:kern w:val="0"/>
                <w:highlight w:val="none"/>
              </w:rPr>
              <w:t>项目名称</w:t>
            </w:r>
          </w:p>
        </w:tc>
        <w:tc>
          <w:tcPr>
            <w:tcW w:w="577" w:type="pct"/>
            <w:tcBorders>
              <w:top w:val="single" w:color="auto" w:sz="4" w:space="0"/>
              <w:left w:val="nil"/>
              <w:bottom w:val="single" w:color="auto" w:sz="4" w:space="0"/>
              <w:right w:val="single" w:color="auto" w:sz="4" w:space="0"/>
            </w:tcBorders>
            <w:vAlign w:val="center"/>
          </w:tcPr>
          <w:p w14:paraId="43209635">
            <w:pPr>
              <w:widowControl/>
              <w:spacing w:line="360" w:lineRule="auto"/>
              <w:jc w:val="center"/>
              <w:rPr>
                <w:rFonts w:ascii="仿宋" w:hAnsi="仿宋" w:eastAsia="仿宋" w:cs="Arial"/>
                <w:color w:val="auto"/>
                <w:kern w:val="0"/>
                <w:highlight w:val="none"/>
              </w:rPr>
            </w:pPr>
            <w:r>
              <w:rPr>
                <w:rFonts w:hint="eastAsia" w:ascii="仿宋" w:hAnsi="仿宋" w:eastAsia="仿宋" w:cs="Arial"/>
                <w:color w:val="auto"/>
                <w:kern w:val="0"/>
                <w:highlight w:val="none"/>
              </w:rPr>
              <w:t>工程类别</w:t>
            </w:r>
          </w:p>
        </w:tc>
        <w:tc>
          <w:tcPr>
            <w:tcW w:w="642" w:type="pct"/>
            <w:tcBorders>
              <w:top w:val="single" w:color="auto" w:sz="4" w:space="0"/>
              <w:left w:val="nil"/>
              <w:bottom w:val="single" w:color="auto" w:sz="4" w:space="0"/>
              <w:right w:val="single" w:color="auto" w:sz="4" w:space="0"/>
            </w:tcBorders>
            <w:vAlign w:val="center"/>
          </w:tcPr>
          <w:p w14:paraId="39D9ECCB">
            <w:pPr>
              <w:widowControl/>
              <w:spacing w:line="360" w:lineRule="auto"/>
              <w:jc w:val="center"/>
              <w:rPr>
                <w:rFonts w:ascii="仿宋" w:hAnsi="仿宋" w:eastAsia="仿宋" w:cs="Arial"/>
                <w:color w:val="auto"/>
                <w:kern w:val="0"/>
                <w:highlight w:val="none"/>
              </w:rPr>
            </w:pPr>
            <w:r>
              <w:rPr>
                <w:rFonts w:hint="eastAsia" w:ascii="仿宋" w:hAnsi="仿宋" w:eastAsia="仿宋"/>
                <w:color w:val="auto"/>
                <w:kern w:val="0"/>
                <w:highlight w:val="none"/>
              </w:rPr>
              <w:t>开工日期</w:t>
            </w:r>
          </w:p>
        </w:tc>
        <w:tc>
          <w:tcPr>
            <w:tcW w:w="513" w:type="pct"/>
            <w:tcBorders>
              <w:top w:val="single" w:color="auto" w:sz="4" w:space="0"/>
              <w:left w:val="nil"/>
              <w:bottom w:val="single" w:color="auto" w:sz="4" w:space="0"/>
              <w:right w:val="single" w:color="auto" w:sz="4" w:space="0"/>
            </w:tcBorders>
            <w:vAlign w:val="center"/>
          </w:tcPr>
          <w:p w14:paraId="52E31C04">
            <w:pPr>
              <w:spacing w:line="360" w:lineRule="auto"/>
              <w:jc w:val="center"/>
              <w:rPr>
                <w:rFonts w:ascii="仿宋" w:hAnsi="仿宋" w:eastAsia="仿宋" w:cs="Arial"/>
                <w:color w:val="auto"/>
                <w:kern w:val="0"/>
                <w:highlight w:val="none"/>
              </w:rPr>
            </w:pPr>
            <w:r>
              <w:rPr>
                <w:rFonts w:hint="eastAsia" w:ascii="仿宋" w:hAnsi="仿宋" w:eastAsia="仿宋"/>
                <w:color w:val="auto"/>
                <w:kern w:val="0"/>
                <w:highlight w:val="none"/>
              </w:rPr>
              <w:t>竣工日期</w:t>
            </w:r>
          </w:p>
        </w:tc>
        <w:tc>
          <w:tcPr>
            <w:tcW w:w="512" w:type="pct"/>
            <w:tcBorders>
              <w:top w:val="single" w:color="auto" w:sz="4" w:space="0"/>
              <w:left w:val="nil"/>
              <w:bottom w:val="single" w:color="auto" w:sz="4" w:space="0"/>
              <w:right w:val="single" w:color="auto" w:sz="4" w:space="0"/>
            </w:tcBorders>
            <w:vAlign w:val="center"/>
          </w:tcPr>
          <w:p w14:paraId="502F75F6">
            <w:pPr>
              <w:widowControl/>
              <w:spacing w:line="360" w:lineRule="auto"/>
              <w:ind w:left="13" w:leftChars="-44" w:right="-94" w:rightChars="-45" w:hanging="105" w:hangingChars="50"/>
              <w:jc w:val="center"/>
              <w:rPr>
                <w:rFonts w:ascii="仿宋" w:hAnsi="仿宋" w:eastAsia="仿宋" w:cs="Arial"/>
                <w:color w:val="auto"/>
                <w:kern w:val="0"/>
                <w:highlight w:val="none"/>
              </w:rPr>
            </w:pPr>
            <w:r>
              <w:rPr>
                <w:rFonts w:hint="eastAsia" w:ascii="仿宋" w:hAnsi="仿宋" w:eastAsia="仿宋"/>
                <w:color w:val="auto"/>
                <w:kern w:val="0"/>
                <w:highlight w:val="none"/>
              </w:rPr>
              <w:t>建设规模</w:t>
            </w:r>
          </w:p>
        </w:tc>
        <w:tc>
          <w:tcPr>
            <w:tcW w:w="554" w:type="pct"/>
            <w:tcBorders>
              <w:top w:val="single" w:color="auto" w:sz="4" w:space="0"/>
              <w:left w:val="nil"/>
              <w:bottom w:val="single" w:color="auto" w:sz="4" w:space="0"/>
              <w:right w:val="single" w:color="auto" w:sz="4" w:space="0"/>
            </w:tcBorders>
            <w:vAlign w:val="center"/>
          </w:tcPr>
          <w:p w14:paraId="706FCE5C">
            <w:pPr>
              <w:widowControl/>
              <w:spacing w:line="360" w:lineRule="auto"/>
              <w:ind w:right="-94" w:rightChars="-45"/>
              <w:jc w:val="center"/>
              <w:rPr>
                <w:rFonts w:ascii="仿宋" w:hAnsi="仿宋" w:eastAsia="仿宋" w:cs="Arial"/>
                <w:color w:val="auto"/>
                <w:kern w:val="0"/>
                <w:highlight w:val="none"/>
              </w:rPr>
            </w:pPr>
            <w:r>
              <w:rPr>
                <w:rFonts w:hint="eastAsia" w:ascii="仿宋" w:hAnsi="仿宋" w:eastAsia="仿宋"/>
                <w:color w:val="auto"/>
                <w:kern w:val="0"/>
                <w:highlight w:val="none"/>
              </w:rPr>
              <w:t>合同价格（元）</w:t>
            </w:r>
          </w:p>
        </w:tc>
        <w:tc>
          <w:tcPr>
            <w:tcW w:w="554" w:type="pct"/>
            <w:tcBorders>
              <w:top w:val="single" w:color="auto" w:sz="4" w:space="0"/>
              <w:left w:val="nil"/>
              <w:bottom w:val="single" w:color="auto" w:sz="4" w:space="0"/>
              <w:right w:val="single" w:color="auto" w:sz="4" w:space="0"/>
            </w:tcBorders>
            <w:vAlign w:val="center"/>
          </w:tcPr>
          <w:p w14:paraId="33FFE7DC">
            <w:pPr>
              <w:widowControl/>
              <w:spacing w:line="360" w:lineRule="auto"/>
              <w:ind w:right="-94" w:rightChars="-45"/>
              <w:jc w:val="center"/>
              <w:rPr>
                <w:rFonts w:ascii="仿宋" w:hAnsi="仿宋" w:eastAsia="仿宋"/>
                <w:color w:val="auto"/>
                <w:kern w:val="0"/>
                <w:highlight w:val="none"/>
              </w:rPr>
            </w:pPr>
            <w:r>
              <w:rPr>
                <w:rFonts w:hint="eastAsia" w:ascii="仿宋" w:hAnsi="仿宋" w:eastAsia="仿宋"/>
                <w:color w:val="auto"/>
                <w:kern w:val="0"/>
                <w:highlight w:val="none"/>
              </w:rPr>
              <w:t>备注</w:t>
            </w:r>
          </w:p>
        </w:tc>
      </w:tr>
      <w:tr w14:paraId="27B20124">
        <w:tblPrEx>
          <w:tblCellMar>
            <w:top w:w="0" w:type="dxa"/>
            <w:left w:w="108" w:type="dxa"/>
            <w:bottom w:w="0" w:type="dxa"/>
            <w:right w:w="108" w:type="dxa"/>
          </w:tblCellMar>
        </w:tblPrEx>
        <w:trPr>
          <w:trHeight w:val="601" w:hRule="atLeast"/>
          <w:jc w:val="center"/>
        </w:trPr>
        <w:tc>
          <w:tcPr>
            <w:tcW w:w="297" w:type="pct"/>
            <w:tcBorders>
              <w:top w:val="single" w:color="auto" w:sz="4" w:space="0"/>
              <w:left w:val="single" w:color="auto" w:sz="4" w:space="0"/>
              <w:bottom w:val="single" w:color="auto" w:sz="4" w:space="0"/>
              <w:right w:val="single" w:color="auto" w:sz="4" w:space="0"/>
            </w:tcBorders>
            <w:vAlign w:val="center"/>
          </w:tcPr>
          <w:p w14:paraId="351A6534">
            <w:pPr>
              <w:widowControl/>
              <w:spacing w:line="360" w:lineRule="auto"/>
              <w:jc w:val="center"/>
              <w:rPr>
                <w:rFonts w:ascii="仿宋" w:hAnsi="仿宋" w:eastAsia="仿宋" w:cs="Arial"/>
                <w:color w:val="auto"/>
                <w:kern w:val="0"/>
                <w:highlight w:val="none"/>
              </w:rPr>
            </w:pPr>
            <w:r>
              <w:rPr>
                <w:rFonts w:hint="eastAsia" w:ascii="仿宋" w:hAnsi="仿宋" w:eastAsia="仿宋"/>
                <w:color w:val="auto"/>
                <w:kern w:val="0"/>
                <w:highlight w:val="none"/>
              </w:rPr>
              <w:t>1</w:t>
            </w:r>
          </w:p>
        </w:tc>
        <w:tc>
          <w:tcPr>
            <w:tcW w:w="641" w:type="pct"/>
            <w:tcBorders>
              <w:top w:val="single" w:color="auto" w:sz="4" w:space="0"/>
              <w:left w:val="nil"/>
              <w:bottom w:val="single" w:color="auto" w:sz="4" w:space="0"/>
              <w:right w:val="single" w:color="auto" w:sz="4" w:space="0"/>
            </w:tcBorders>
            <w:vAlign w:val="center"/>
          </w:tcPr>
          <w:p w14:paraId="09D7DC15">
            <w:pPr>
              <w:widowControl/>
              <w:spacing w:line="360" w:lineRule="auto"/>
              <w:jc w:val="center"/>
              <w:rPr>
                <w:rFonts w:ascii="仿宋" w:hAnsi="仿宋" w:eastAsia="仿宋" w:cs="Arial"/>
                <w:color w:val="auto"/>
                <w:kern w:val="0"/>
                <w:highlight w:val="none"/>
              </w:rPr>
            </w:pPr>
          </w:p>
        </w:tc>
        <w:tc>
          <w:tcPr>
            <w:tcW w:w="706" w:type="pct"/>
            <w:tcBorders>
              <w:top w:val="single" w:color="auto" w:sz="4" w:space="0"/>
              <w:left w:val="nil"/>
              <w:bottom w:val="single" w:color="auto" w:sz="4" w:space="0"/>
              <w:right w:val="single" w:color="auto" w:sz="4" w:space="0"/>
            </w:tcBorders>
            <w:vAlign w:val="center"/>
          </w:tcPr>
          <w:p w14:paraId="00D82896">
            <w:pPr>
              <w:widowControl/>
              <w:spacing w:line="360" w:lineRule="auto"/>
              <w:jc w:val="center"/>
              <w:rPr>
                <w:rFonts w:ascii="仿宋" w:hAnsi="仿宋" w:eastAsia="仿宋" w:cs="Arial"/>
                <w:color w:val="auto"/>
                <w:kern w:val="0"/>
                <w:highlight w:val="none"/>
              </w:rPr>
            </w:pPr>
          </w:p>
        </w:tc>
        <w:tc>
          <w:tcPr>
            <w:tcW w:w="577" w:type="pct"/>
            <w:tcBorders>
              <w:top w:val="single" w:color="auto" w:sz="4" w:space="0"/>
              <w:left w:val="nil"/>
              <w:bottom w:val="single" w:color="auto" w:sz="4" w:space="0"/>
              <w:right w:val="single" w:color="auto" w:sz="4" w:space="0"/>
            </w:tcBorders>
            <w:vAlign w:val="center"/>
          </w:tcPr>
          <w:p w14:paraId="016D2478">
            <w:pPr>
              <w:widowControl/>
              <w:spacing w:line="360" w:lineRule="auto"/>
              <w:jc w:val="center"/>
              <w:rPr>
                <w:rFonts w:ascii="仿宋" w:hAnsi="仿宋" w:eastAsia="仿宋" w:cs="Arial"/>
                <w:color w:val="auto"/>
                <w:kern w:val="0"/>
                <w:highlight w:val="none"/>
              </w:rPr>
            </w:pPr>
          </w:p>
        </w:tc>
        <w:tc>
          <w:tcPr>
            <w:tcW w:w="642" w:type="pct"/>
            <w:tcBorders>
              <w:top w:val="single" w:color="auto" w:sz="4" w:space="0"/>
              <w:left w:val="nil"/>
              <w:bottom w:val="single" w:color="auto" w:sz="4" w:space="0"/>
              <w:right w:val="single" w:color="auto" w:sz="4" w:space="0"/>
            </w:tcBorders>
            <w:vAlign w:val="center"/>
          </w:tcPr>
          <w:p w14:paraId="03417444">
            <w:pPr>
              <w:widowControl/>
              <w:spacing w:line="360" w:lineRule="auto"/>
              <w:jc w:val="center"/>
              <w:rPr>
                <w:rFonts w:ascii="仿宋" w:hAnsi="仿宋" w:eastAsia="仿宋" w:cs="Arial"/>
                <w:color w:val="auto"/>
                <w:kern w:val="0"/>
                <w:highlight w:val="none"/>
              </w:rPr>
            </w:pPr>
          </w:p>
        </w:tc>
        <w:tc>
          <w:tcPr>
            <w:tcW w:w="513" w:type="pct"/>
            <w:tcBorders>
              <w:top w:val="single" w:color="auto" w:sz="4" w:space="0"/>
              <w:left w:val="nil"/>
              <w:bottom w:val="single" w:color="auto" w:sz="4" w:space="0"/>
              <w:right w:val="single" w:color="auto" w:sz="4" w:space="0"/>
            </w:tcBorders>
            <w:vAlign w:val="center"/>
          </w:tcPr>
          <w:p w14:paraId="1E491A3A">
            <w:pPr>
              <w:widowControl/>
              <w:spacing w:line="360" w:lineRule="auto"/>
              <w:jc w:val="center"/>
              <w:rPr>
                <w:rFonts w:ascii="仿宋" w:hAnsi="仿宋" w:eastAsia="仿宋" w:cs="Arial"/>
                <w:color w:val="auto"/>
                <w:kern w:val="0"/>
                <w:highlight w:val="none"/>
              </w:rPr>
            </w:pPr>
          </w:p>
        </w:tc>
        <w:tc>
          <w:tcPr>
            <w:tcW w:w="512" w:type="pct"/>
            <w:tcBorders>
              <w:top w:val="single" w:color="auto" w:sz="4" w:space="0"/>
              <w:left w:val="nil"/>
              <w:bottom w:val="single" w:color="auto" w:sz="4" w:space="0"/>
              <w:right w:val="single" w:color="auto" w:sz="4" w:space="0"/>
            </w:tcBorders>
            <w:vAlign w:val="center"/>
          </w:tcPr>
          <w:p w14:paraId="72E15F13">
            <w:pPr>
              <w:widowControl/>
              <w:spacing w:line="360" w:lineRule="auto"/>
              <w:jc w:val="center"/>
              <w:rPr>
                <w:rFonts w:ascii="仿宋" w:hAnsi="仿宋" w:eastAsia="仿宋" w:cs="Arial"/>
                <w:color w:val="auto"/>
                <w:kern w:val="0"/>
                <w:highlight w:val="none"/>
              </w:rPr>
            </w:pPr>
          </w:p>
        </w:tc>
        <w:tc>
          <w:tcPr>
            <w:tcW w:w="554" w:type="pct"/>
            <w:tcBorders>
              <w:top w:val="single" w:color="auto" w:sz="4" w:space="0"/>
              <w:left w:val="nil"/>
              <w:bottom w:val="single" w:color="auto" w:sz="4" w:space="0"/>
              <w:right w:val="single" w:color="auto" w:sz="4" w:space="0"/>
            </w:tcBorders>
            <w:vAlign w:val="center"/>
          </w:tcPr>
          <w:p w14:paraId="4D691A36">
            <w:pPr>
              <w:widowControl/>
              <w:spacing w:line="360" w:lineRule="auto"/>
              <w:jc w:val="center"/>
              <w:rPr>
                <w:rFonts w:ascii="仿宋" w:hAnsi="仿宋" w:eastAsia="仿宋" w:cs="Arial"/>
                <w:color w:val="auto"/>
                <w:kern w:val="0"/>
                <w:highlight w:val="none"/>
              </w:rPr>
            </w:pPr>
          </w:p>
        </w:tc>
        <w:tc>
          <w:tcPr>
            <w:tcW w:w="554" w:type="pct"/>
            <w:tcBorders>
              <w:top w:val="single" w:color="auto" w:sz="4" w:space="0"/>
              <w:left w:val="nil"/>
              <w:bottom w:val="single" w:color="auto" w:sz="4" w:space="0"/>
              <w:right w:val="single" w:color="auto" w:sz="4" w:space="0"/>
            </w:tcBorders>
          </w:tcPr>
          <w:p w14:paraId="4BA5C3BE">
            <w:pPr>
              <w:widowControl/>
              <w:spacing w:line="360" w:lineRule="auto"/>
              <w:jc w:val="center"/>
              <w:rPr>
                <w:rFonts w:ascii="仿宋" w:hAnsi="仿宋" w:eastAsia="仿宋" w:cs="Arial"/>
                <w:color w:val="auto"/>
                <w:kern w:val="0"/>
                <w:highlight w:val="none"/>
              </w:rPr>
            </w:pPr>
          </w:p>
        </w:tc>
      </w:tr>
      <w:tr w14:paraId="617C1583">
        <w:tblPrEx>
          <w:tblCellMar>
            <w:top w:w="0" w:type="dxa"/>
            <w:left w:w="108" w:type="dxa"/>
            <w:bottom w:w="0" w:type="dxa"/>
            <w:right w:w="108" w:type="dxa"/>
          </w:tblCellMar>
        </w:tblPrEx>
        <w:trPr>
          <w:trHeight w:val="537" w:hRule="atLeast"/>
          <w:jc w:val="center"/>
        </w:trPr>
        <w:tc>
          <w:tcPr>
            <w:tcW w:w="297" w:type="pct"/>
            <w:tcBorders>
              <w:top w:val="single" w:color="auto" w:sz="4" w:space="0"/>
              <w:left w:val="single" w:color="auto" w:sz="4" w:space="0"/>
              <w:bottom w:val="single" w:color="auto" w:sz="4" w:space="0"/>
              <w:right w:val="single" w:color="auto" w:sz="4" w:space="0"/>
            </w:tcBorders>
            <w:vAlign w:val="center"/>
          </w:tcPr>
          <w:p w14:paraId="4DD3F80B">
            <w:pPr>
              <w:widowControl/>
              <w:spacing w:line="360" w:lineRule="auto"/>
              <w:jc w:val="center"/>
              <w:rPr>
                <w:rFonts w:ascii="仿宋" w:hAnsi="仿宋" w:eastAsia="仿宋" w:cs="Arial"/>
                <w:color w:val="auto"/>
                <w:kern w:val="0"/>
                <w:highlight w:val="none"/>
              </w:rPr>
            </w:pPr>
            <w:r>
              <w:rPr>
                <w:rFonts w:hint="eastAsia" w:ascii="仿宋" w:hAnsi="仿宋" w:eastAsia="仿宋"/>
                <w:color w:val="auto"/>
                <w:kern w:val="0"/>
                <w:highlight w:val="none"/>
              </w:rPr>
              <w:t>2</w:t>
            </w:r>
          </w:p>
        </w:tc>
        <w:tc>
          <w:tcPr>
            <w:tcW w:w="641" w:type="pct"/>
            <w:tcBorders>
              <w:top w:val="single" w:color="auto" w:sz="4" w:space="0"/>
              <w:left w:val="nil"/>
              <w:bottom w:val="single" w:color="auto" w:sz="4" w:space="0"/>
              <w:right w:val="single" w:color="auto" w:sz="4" w:space="0"/>
            </w:tcBorders>
            <w:vAlign w:val="center"/>
          </w:tcPr>
          <w:p w14:paraId="6C8BBEC1">
            <w:pPr>
              <w:widowControl/>
              <w:spacing w:line="360" w:lineRule="auto"/>
              <w:jc w:val="center"/>
              <w:rPr>
                <w:rFonts w:ascii="仿宋" w:hAnsi="仿宋" w:eastAsia="仿宋" w:cs="Arial"/>
                <w:color w:val="auto"/>
                <w:kern w:val="0"/>
                <w:highlight w:val="none"/>
              </w:rPr>
            </w:pPr>
          </w:p>
        </w:tc>
        <w:tc>
          <w:tcPr>
            <w:tcW w:w="706" w:type="pct"/>
            <w:tcBorders>
              <w:top w:val="single" w:color="auto" w:sz="4" w:space="0"/>
              <w:left w:val="nil"/>
              <w:bottom w:val="single" w:color="auto" w:sz="4" w:space="0"/>
              <w:right w:val="single" w:color="auto" w:sz="4" w:space="0"/>
            </w:tcBorders>
            <w:vAlign w:val="center"/>
          </w:tcPr>
          <w:p w14:paraId="312D526E">
            <w:pPr>
              <w:widowControl/>
              <w:spacing w:line="360" w:lineRule="auto"/>
              <w:jc w:val="center"/>
              <w:rPr>
                <w:rFonts w:ascii="仿宋" w:hAnsi="仿宋" w:eastAsia="仿宋" w:cs="Arial"/>
                <w:color w:val="auto"/>
                <w:kern w:val="0"/>
                <w:highlight w:val="none"/>
              </w:rPr>
            </w:pPr>
          </w:p>
        </w:tc>
        <w:tc>
          <w:tcPr>
            <w:tcW w:w="577" w:type="pct"/>
            <w:tcBorders>
              <w:top w:val="single" w:color="auto" w:sz="4" w:space="0"/>
              <w:left w:val="nil"/>
              <w:bottom w:val="single" w:color="auto" w:sz="4" w:space="0"/>
              <w:right w:val="single" w:color="auto" w:sz="4" w:space="0"/>
            </w:tcBorders>
            <w:vAlign w:val="center"/>
          </w:tcPr>
          <w:p w14:paraId="4C377FC5">
            <w:pPr>
              <w:widowControl/>
              <w:spacing w:line="360" w:lineRule="auto"/>
              <w:jc w:val="center"/>
              <w:rPr>
                <w:rFonts w:ascii="仿宋" w:hAnsi="仿宋" w:eastAsia="仿宋" w:cs="Arial"/>
                <w:color w:val="auto"/>
                <w:kern w:val="0"/>
                <w:highlight w:val="none"/>
              </w:rPr>
            </w:pPr>
          </w:p>
        </w:tc>
        <w:tc>
          <w:tcPr>
            <w:tcW w:w="642" w:type="pct"/>
            <w:tcBorders>
              <w:top w:val="single" w:color="auto" w:sz="4" w:space="0"/>
              <w:left w:val="nil"/>
              <w:bottom w:val="single" w:color="auto" w:sz="4" w:space="0"/>
              <w:right w:val="single" w:color="auto" w:sz="4" w:space="0"/>
            </w:tcBorders>
            <w:vAlign w:val="center"/>
          </w:tcPr>
          <w:p w14:paraId="3A5E2F6E">
            <w:pPr>
              <w:widowControl/>
              <w:spacing w:line="360" w:lineRule="auto"/>
              <w:jc w:val="center"/>
              <w:rPr>
                <w:rFonts w:ascii="仿宋" w:hAnsi="仿宋" w:eastAsia="仿宋" w:cs="Arial"/>
                <w:color w:val="auto"/>
                <w:kern w:val="0"/>
                <w:highlight w:val="none"/>
              </w:rPr>
            </w:pPr>
          </w:p>
        </w:tc>
        <w:tc>
          <w:tcPr>
            <w:tcW w:w="513" w:type="pct"/>
            <w:tcBorders>
              <w:top w:val="single" w:color="auto" w:sz="4" w:space="0"/>
              <w:left w:val="nil"/>
              <w:bottom w:val="single" w:color="auto" w:sz="4" w:space="0"/>
              <w:right w:val="single" w:color="auto" w:sz="4" w:space="0"/>
            </w:tcBorders>
            <w:vAlign w:val="center"/>
          </w:tcPr>
          <w:p w14:paraId="1E0CCA5B">
            <w:pPr>
              <w:widowControl/>
              <w:spacing w:line="360" w:lineRule="auto"/>
              <w:jc w:val="center"/>
              <w:rPr>
                <w:rFonts w:ascii="仿宋" w:hAnsi="仿宋" w:eastAsia="仿宋" w:cs="Arial"/>
                <w:color w:val="auto"/>
                <w:kern w:val="0"/>
                <w:highlight w:val="none"/>
              </w:rPr>
            </w:pPr>
          </w:p>
        </w:tc>
        <w:tc>
          <w:tcPr>
            <w:tcW w:w="512" w:type="pct"/>
            <w:tcBorders>
              <w:top w:val="single" w:color="auto" w:sz="4" w:space="0"/>
              <w:left w:val="nil"/>
              <w:bottom w:val="single" w:color="auto" w:sz="4" w:space="0"/>
              <w:right w:val="single" w:color="auto" w:sz="4" w:space="0"/>
            </w:tcBorders>
            <w:vAlign w:val="center"/>
          </w:tcPr>
          <w:p w14:paraId="4BA9F680">
            <w:pPr>
              <w:widowControl/>
              <w:spacing w:line="360" w:lineRule="auto"/>
              <w:jc w:val="center"/>
              <w:rPr>
                <w:rFonts w:ascii="仿宋" w:hAnsi="仿宋" w:eastAsia="仿宋" w:cs="Arial"/>
                <w:color w:val="auto"/>
                <w:kern w:val="0"/>
                <w:highlight w:val="none"/>
              </w:rPr>
            </w:pPr>
          </w:p>
        </w:tc>
        <w:tc>
          <w:tcPr>
            <w:tcW w:w="554" w:type="pct"/>
            <w:tcBorders>
              <w:top w:val="single" w:color="auto" w:sz="4" w:space="0"/>
              <w:left w:val="nil"/>
              <w:bottom w:val="single" w:color="auto" w:sz="4" w:space="0"/>
              <w:right w:val="single" w:color="auto" w:sz="4" w:space="0"/>
            </w:tcBorders>
            <w:vAlign w:val="center"/>
          </w:tcPr>
          <w:p w14:paraId="1AC99B98">
            <w:pPr>
              <w:widowControl/>
              <w:spacing w:line="360" w:lineRule="auto"/>
              <w:jc w:val="center"/>
              <w:rPr>
                <w:rFonts w:ascii="仿宋" w:hAnsi="仿宋" w:eastAsia="仿宋" w:cs="Arial"/>
                <w:color w:val="auto"/>
                <w:kern w:val="0"/>
                <w:highlight w:val="none"/>
              </w:rPr>
            </w:pPr>
          </w:p>
        </w:tc>
        <w:tc>
          <w:tcPr>
            <w:tcW w:w="554" w:type="pct"/>
            <w:tcBorders>
              <w:top w:val="single" w:color="auto" w:sz="4" w:space="0"/>
              <w:left w:val="nil"/>
              <w:bottom w:val="single" w:color="auto" w:sz="4" w:space="0"/>
              <w:right w:val="single" w:color="auto" w:sz="4" w:space="0"/>
            </w:tcBorders>
          </w:tcPr>
          <w:p w14:paraId="46B6FA84">
            <w:pPr>
              <w:widowControl/>
              <w:spacing w:line="360" w:lineRule="auto"/>
              <w:jc w:val="center"/>
              <w:rPr>
                <w:rFonts w:ascii="仿宋" w:hAnsi="仿宋" w:eastAsia="仿宋" w:cs="Arial"/>
                <w:color w:val="auto"/>
                <w:kern w:val="0"/>
                <w:highlight w:val="none"/>
              </w:rPr>
            </w:pPr>
          </w:p>
        </w:tc>
      </w:tr>
      <w:tr w14:paraId="37646567">
        <w:tblPrEx>
          <w:tblCellMar>
            <w:top w:w="0" w:type="dxa"/>
            <w:left w:w="108" w:type="dxa"/>
            <w:bottom w:w="0" w:type="dxa"/>
            <w:right w:w="108" w:type="dxa"/>
          </w:tblCellMar>
        </w:tblPrEx>
        <w:trPr>
          <w:trHeight w:val="537" w:hRule="atLeast"/>
          <w:jc w:val="center"/>
        </w:trPr>
        <w:tc>
          <w:tcPr>
            <w:tcW w:w="297" w:type="pct"/>
            <w:tcBorders>
              <w:top w:val="single" w:color="auto" w:sz="4" w:space="0"/>
              <w:left w:val="single" w:color="auto" w:sz="4" w:space="0"/>
              <w:bottom w:val="single" w:color="auto" w:sz="4" w:space="0"/>
              <w:right w:val="single" w:color="auto" w:sz="4" w:space="0"/>
            </w:tcBorders>
            <w:vAlign w:val="center"/>
          </w:tcPr>
          <w:p w14:paraId="043849EE">
            <w:pPr>
              <w:widowControl/>
              <w:spacing w:line="360" w:lineRule="auto"/>
              <w:jc w:val="center"/>
              <w:rPr>
                <w:rFonts w:ascii="仿宋" w:hAnsi="仿宋" w:eastAsia="仿宋" w:cs="Arial"/>
                <w:color w:val="auto"/>
                <w:kern w:val="0"/>
                <w:highlight w:val="none"/>
              </w:rPr>
            </w:pPr>
            <w:r>
              <w:rPr>
                <w:rFonts w:hint="eastAsia" w:ascii="仿宋" w:hAnsi="仿宋" w:eastAsia="仿宋"/>
                <w:color w:val="auto"/>
                <w:kern w:val="0"/>
                <w:highlight w:val="none"/>
              </w:rPr>
              <w:t>3</w:t>
            </w:r>
          </w:p>
        </w:tc>
        <w:tc>
          <w:tcPr>
            <w:tcW w:w="641" w:type="pct"/>
            <w:tcBorders>
              <w:top w:val="single" w:color="auto" w:sz="4" w:space="0"/>
              <w:left w:val="nil"/>
              <w:bottom w:val="single" w:color="auto" w:sz="4" w:space="0"/>
              <w:right w:val="single" w:color="auto" w:sz="4" w:space="0"/>
            </w:tcBorders>
            <w:vAlign w:val="center"/>
          </w:tcPr>
          <w:p w14:paraId="4097D503">
            <w:pPr>
              <w:widowControl/>
              <w:spacing w:line="360" w:lineRule="auto"/>
              <w:jc w:val="center"/>
              <w:rPr>
                <w:rFonts w:ascii="仿宋" w:hAnsi="仿宋" w:eastAsia="仿宋" w:cs="Arial"/>
                <w:color w:val="auto"/>
                <w:kern w:val="0"/>
                <w:highlight w:val="none"/>
              </w:rPr>
            </w:pPr>
          </w:p>
        </w:tc>
        <w:tc>
          <w:tcPr>
            <w:tcW w:w="706" w:type="pct"/>
            <w:tcBorders>
              <w:top w:val="single" w:color="auto" w:sz="4" w:space="0"/>
              <w:left w:val="nil"/>
              <w:bottom w:val="single" w:color="auto" w:sz="4" w:space="0"/>
              <w:right w:val="single" w:color="auto" w:sz="4" w:space="0"/>
            </w:tcBorders>
            <w:vAlign w:val="center"/>
          </w:tcPr>
          <w:p w14:paraId="2F4C6396">
            <w:pPr>
              <w:widowControl/>
              <w:spacing w:line="360" w:lineRule="auto"/>
              <w:jc w:val="center"/>
              <w:rPr>
                <w:rFonts w:ascii="仿宋" w:hAnsi="仿宋" w:eastAsia="仿宋" w:cs="Arial"/>
                <w:color w:val="auto"/>
                <w:kern w:val="0"/>
                <w:highlight w:val="none"/>
              </w:rPr>
            </w:pPr>
          </w:p>
        </w:tc>
        <w:tc>
          <w:tcPr>
            <w:tcW w:w="577" w:type="pct"/>
            <w:tcBorders>
              <w:top w:val="single" w:color="auto" w:sz="4" w:space="0"/>
              <w:left w:val="nil"/>
              <w:bottom w:val="single" w:color="auto" w:sz="4" w:space="0"/>
              <w:right w:val="single" w:color="auto" w:sz="4" w:space="0"/>
            </w:tcBorders>
            <w:vAlign w:val="center"/>
          </w:tcPr>
          <w:p w14:paraId="557C4140">
            <w:pPr>
              <w:widowControl/>
              <w:spacing w:line="360" w:lineRule="auto"/>
              <w:jc w:val="center"/>
              <w:rPr>
                <w:rFonts w:ascii="仿宋" w:hAnsi="仿宋" w:eastAsia="仿宋" w:cs="Arial"/>
                <w:color w:val="auto"/>
                <w:kern w:val="0"/>
                <w:highlight w:val="none"/>
              </w:rPr>
            </w:pPr>
          </w:p>
        </w:tc>
        <w:tc>
          <w:tcPr>
            <w:tcW w:w="642" w:type="pct"/>
            <w:tcBorders>
              <w:top w:val="single" w:color="auto" w:sz="4" w:space="0"/>
              <w:left w:val="nil"/>
              <w:bottom w:val="single" w:color="auto" w:sz="4" w:space="0"/>
              <w:right w:val="single" w:color="auto" w:sz="4" w:space="0"/>
            </w:tcBorders>
            <w:vAlign w:val="center"/>
          </w:tcPr>
          <w:p w14:paraId="7839E4AF">
            <w:pPr>
              <w:widowControl/>
              <w:spacing w:line="360" w:lineRule="auto"/>
              <w:jc w:val="center"/>
              <w:rPr>
                <w:rFonts w:ascii="仿宋" w:hAnsi="仿宋" w:eastAsia="仿宋" w:cs="Arial"/>
                <w:color w:val="auto"/>
                <w:kern w:val="0"/>
                <w:highlight w:val="none"/>
              </w:rPr>
            </w:pPr>
          </w:p>
        </w:tc>
        <w:tc>
          <w:tcPr>
            <w:tcW w:w="513" w:type="pct"/>
            <w:tcBorders>
              <w:top w:val="single" w:color="auto" w:sz="4" w:space="0"/>
              <w:left w:val="nil"/>
              <w:bottom w:val="single" w:color="auto" w:sz="4" w:space="0"/>
              <w:right w:val="single" w:color="auto" w:sz="4" w:space="0"/>
            </w:tcBorders>
            <w:vAlign w:val="center"/>
          </w:tcPr>
          <w:p w14:paraId="5C3DD19E">
            <w:pPr>
              <w:widowControl/>
              <w:spacing w:line="360" w:lineRule="auto"/>
              <w:jc w:val="center"/>
              <w:rPr>
                <w:rFonts w:ascii="仿宋" w:hAnsi="仿宋" w:eastAsia="仿宋" w:cs="Arial"/>
                <w:color w:val="auto"/>
                <w:kern w:val="0"/>
                <w:highlight w:val="none"/>
              </w:rPr>
            </w:pPr>
          </w:p>
        </w:tc>
        <w:tc>
          <w:tcPr>
            <w:tcW w:w="512" w:type="pct"/>
            <w:tcBorders>
              <w:top w:val="single" w:color="auto" w:sz="4" w:space="0"/>
              <w:left w:val="nil"/>
              <w:bottom w:val="single" w:color="auto" w:sz="4" w:space="0"/>
              <w:right w:val="single" w:color="auto" w:sz="4" w:space="0"/>
            </w:tcBorders>
            <w:vAlign w:val="center"/>
          </w:tcPr>
          <w:p w14:paraId="42708846">
            <w:pPr>
              <w:widowControl/>
              <w:spacing w:line="360" w:lineRule="auto"/>
              <w:jc w:val="center"/>
              <w:rPr>
                <w:rFonts w:ascii="仿宋" w:hAnsi="仿宋" w:eastAsia="仿宋" w:cs="Arial"/>
                <w:color w:val="auto"/>
                <w:kern w:val="0"/>
                <w:highlight w:val="none"/>
              </w:rPr>
            </w:pPr>
          </w:p>
        </w:tc>
        <w:tc>
          <w:tcPr>
            <w:tcW w:w="554" w:type="pct"/>
            <w:tcBorders>
              <w:top w:val="single" w:color="auto" w:sz="4" w:space="0"/>
              <w:left w:val="nil"/>
              <w:bottom w:val="single" w:color="auto" w:sz="4" w:space="0"/>
              <w:right w:val="single" w:color="auto" w:sz="4" w:space="0"/>
            </w:tcBorders>
            <w:vAlign w:val="center"/>
          </w:tcPr>
          <w:p w14:paraId="47FFDF3A">
            <w:pPr>
              <w:widowControl/>
              <w:spacing w:line="360" w:lineRule="auto"/>
              <w:jc w:val="center"/>
              <w:rPr>
                <w:rFonts w:ascii="仿宋" w:hAnsi="仿宋" w:eastAsia="仿宋" w:cs="Arial"/>
                <w:color w:val="auto"/>
                <w:kern w:val="0"/>
                <w:highlight w:val="none"/>
              </w:rPr>
            </w:pPr>
          </w:p>
        </w:tc>
        <w:tc>
          <w:tcPr>
            <w:tcW w:w="554" w:type="pct"/>
            <w:tcBorders>
              <w:top w:val="single" w:color="auto" w:sz="4" w:space="0"/>
              <w:left w:val="nil"/>
              <w:bottom w:val="single" w:color="auto" w:sz="4" w:space="0"/>
              <w:right w:val="single" w:color="auto" w:sz="4" w:space="0"/>
            </w:tcBorders>
          </w:tcPr>
          <w:p w14:paraId="54431659">
            <w:pPr>
              <w:widowControl/>
              <w:spacing w:line="360" w:lineRule="auto"/>
              <w:jc w:val="center"/>
              <w:rPr>
                <w:rFonts w:ascii="仿宋" w:hAnsi="仿宋" w:eastAsia="仿宋" w:cs="Arial"/>
                <w:color w:val="auto"/>
                <w:kern w:val="0"/>
                <w:highlight w:val="none"/>
              </w:rPr>
            </w:pPr>
          </w:p>
        </w:tc>
      </w:tr>
      <w:tr w14:paraId="6B5D98C5">
        <w:tblPrEx>
          <w:tblCellMar>
            <w:top w:w="0" w:type="dxa"/>
            <w:left w:w="108" w:type="dxa"/>
            <w:bottom w:w="0" w:type="dxa"/>
            <w:right w:w="108" w:type="dxa"/>
          </w:tblCellMar>
        </w:tblPrEx>
        <w:trPr>
          <w:trHeight w:val="537" w:hRule="atLeast"/>
          <w:jc w:val="center"/>
        </w:trPr>
        <w:tc>
          <w:tcPr>
            <w:tcW w:w="297" w:type="pct"/>
            <w:tcBorders>
              <w:top w:val="single" w:color="auto" w:sz="4" w:space="0"/>
              <w:left w:val="single" w:color="auto" w:sz="4" w:space="0"/>
              <w:bottom w:val="single" w:color="auto" w:sz="4" w:space="0"/>
              <w:right w:val="single" w:color="auto" w:sz="4" w:space="0"/>
            </w:tcBorders>
            <w:vAlign w:val="center"/>
          </w:tcPr>
          <w:p w14:paraId="0C5E80F8">
            <w:pPr>
              <w:widowControl/>
              <w:spacing w:line="360" w:lineRule="auto"/>
              <w:jc w:val="center"/>
              <w:rPr>
                <w:rFonts w:ascii="仿宋" w:hAnsi="仿宋" w:eastAsia="仿宋" w:cs="Arial"/>
                <w:color w:val="auto"/>
                <w:kern w:val="0"/>
                <w:highlight w:val="none"/>
              </w:rPr>
            </w:pPr>
            <w:r>
              <w:rPr>
                <w:rFonts w:ascii="仿宋" w:hAnsi="仿宋" w:eastAsia="仿宋"/>
                <w:color w:val="auto"/>
                <w:kern w:val="0"/>
                <w:highlight w:val="none"/>
              </w:rPr>
              <w:t>…</w:t>
            </w:r>
          </w:p>
        </w:tc>
        <w:tc>
          <w:tcPr>
            <w:tcW w:w="641" w:type="pct"/>
            <w:tcBorders>
              <w:top w:val="single" w:color="auto" w:sz="4" w:space="0"/>
              <w:left w:val="nil"/>
              <w:bottom w:val="single" w:color="auto" w:sz="4" w:space="0"/>
              <w:right w:val="single" w:color="auto" w:sz="4" w:space="0"/>
            </w:tcBorders>
            <w:vAlign w:val="center"/>
          </w:tcPr>
          <w:p w14:paraId="3921C790">
            <w:pPr>
              <w:widowControl/>
              <w:spacing w:line="360" w:lineRule="auto"/>
              <w:jc w:val="center"/>
              <w:rPr>
                <w:rFonts w:ascii="仿宋" w:hAnsi="仿宋" w:eastAsia="仿宋" w:cs="Arial"/>
                <w:color w:val="auto"/>
                <w:kern w:val="0"/>
                <w:highlight w:val="none"/>
              </w:rPr>
            </w:pPr>
          </w:p>
        </w:tc>
        <w:tc>
          <w:tcPr>
            <w:tcW w:w="706" w:type="pct"/>
            <w:tcBorders>
              <w:top w:val="single" w:color="auto" w:sz="4" w:space="0"/>
              <w:left w:val="nil"/>
              <w:bottom w:val="single" w:color="auto" w:sz="4" w:space="0"/>
              <w:right w:val="single" w:color="auto" w:sz="4" w:space="0"/>
            </w:tcBorders>
            <w:vAlign w:val="center"/>
          </w:tcPr>
          <w:p w14:paraId="2AD8350C">
            <w:pPr>
              <w:widowControl/>
              <w:spacing w:line="360" w:lineRule="auto"/>
              <w:jc w:val="center"/>
              <w:rPr>
                <w:rFonts w:ascii="仿宋" w:hAnsi="仿宋" w:eastAsia="仿宋" w:cs="Arial"/>
                <w:color w:val="auto"/>
                <w:kern w:val="0"/>
                <w:highlight w:val="none"/>
              </w:rPr>
            </w:pPr>
          </w:p>
        </w:tc>
        <w:tc>
          <w:tcPr>
            <w:tcW w:w="577" w:type="pct"/>
            <w:tcBorders>
              <w:top w:val="single" w:color="auto" w:sz="4" w:space="0"/>
              <w:left w:val="nil"/>
              <w:bottom w:val="single" w:color="auto" w:sz="4" w:space="0"/>
              <w:right w:val="single" w:color="auto" w:sz="4" w:space="0"/>
            </w:tcBorders>
            <w:vAlign w:val="center"/>
          </w:tcPr>
          <w:p w14:paraId="6A224D68">
            <w:pPr>
              <w:widowControl/>
              <w:spacing w:line="360" w:lineRule="auto"/>
              <w:jc w:val="center"/>
              <w:rPr>
                <w:rFonts w:ascii="仿宋" w:hAnsi="仿宋" w:eastAsia="仿宋" w:cs="Arial"/>
                <w:color w:val="auto"/>
                <w:kern w:val="0"/>
                <w:highlight w:val="none"/>
              </w:rPr>
            </w:pPr>
          </w:p>
        </w:tc>
        <w:tc>
          <w:tcPr>
            <w:tcW w:w="642" w:type="pct"/>
            <w:tcBorders>
              <w:top w:val="single" w:color="auto" w:sz="4" w:space="0"/>
              <w:left w:val="nil"/>
              <w:bottom w:val="single" w:color="auto" w:sz="4" w:space="0"/>
              <w:right w:val="single" w:color="auto" w:sz="4" w:space="0"/>
            </w:tcBorders>
            <w:vAlign w:val="center"/>
          </w:tcPr>
          <w:p w14:paraId="7DAEC0E3">
            <w:pPr>
              <w:widowControl/>
              <w:spacing w:line="360" w:lineRule="auto"/>
              <w:jc w:val="center"/>
              <w:rPr>
                <w:rFonts w:ascii="仿宋" w:hAnsi="仿宋" w:eastAsia="仿宋" w:cs="Arial"/>
                <w:color w:val="auto"/>
                <w:kern w:val="0"/>
                <w:highlight w:val="none"/>
              </w:rPr>
            </w:pPr>
          </w:p>
        </w:tc>
        <w:tc>
          <w:tcPr>
            <w:tcW w:w="513" w:type="pct"/>
            <w:tcBorders>
              <w:top w:val="single" w:color="auto" w:sz="4" w:space="0"/>
              <w:left w:val="nil"/>
              <w:bottom w:val="single" w:color="auto" w:sz="4" w:space="0"/>
              <w:right w:val="single" w:color="auto" w:sz="4" w:space="0"/>
            </w:tcBorders>
            <w:vAlign w:val="center"/>
          </w:tcPr>
          <w:p w14:paraId="229A5FBF">
            <w:pPr>
              <w:widowControl/>
              <w:spacing w:line="360" w:lineRule="auto"/>
              <w:jc w:val="center"/>
              <w:rPr>
                <w:rFonts w:ascii="仿宋" w:hAnsi="仿宋" w:eastAsia="仿宋" w:cs="Arial"/>
                <w:color w:val="auto"/>
                <w:kern w:val="0"/>
                <w:highlight w:val="none"/>
              </w:rPr>
            </w:pPr>
          </w:p>
        </w:tc>
        <w:tc>
          <w:tcPr>
            <w:tcW w:w="512" w:type="pct"/>
            <w:tcBorders>
              <w:top w:val="single" w:color="auto" w:sz="4" w:space="0"/>
              <w:left w:val="nil"/>
              <w:bottom w:val="single" w:color="auto" w:sz="4" w:space="0"/>
              <w:right w:val="single" w:color="auto" w:sz="4" w:space="0"/>
            </w:tcBorders>
            <w:vAlign w:val="center"/>
          </w:tcPr>
          <w:p w14:paraId="6C6EAE4C">
            <w:pPr>
              <w:widowControl/>
              <w:spacing w:line="360" w:lineRule="auto"/>
              <w:jc w:val="center"/>
              <w:rPr>
                <w:rFonts w:ascii="仿宋" w:hAnsi="仿宋" w:eastAsia="仿宋" w:cs="Arial"/>
                <w:color w:val="auto"/>
                <w:kern w:val="0"/>
                <w:highlight w:val="none"/>
              </w:rPr>
            </w:pPr>
          </w:p>
        </w:tc>
        <w:tc>
          <w:tcPr>
            <w:tcW w:w="554" w:type="pct"/>
            <w:tcBorders>
              <w:top w:val="single" w:color="auto" w:sz="4" w:space="0"/>
              <w:left w:val="nil"/>
              <w:bottom w:val="single" w:color="auto" w:sz="4" w:space="0"/>
              <w:right w:val="single" w:color="auto" w:sz="4" w:space="0"/>
            </w:tcBorders>
            <w:vAlign w:val="center"/>
          </w:tcPr>
          <w:p w14:paraId="2609E577">
            <w:pPr>
              <w:widowControl/>
              <w:spacing w:line="360" w:lineRule="auto"/>
              <w:jc w:val="center"/>
              <w:rPr>
                <w:rFonts w:ascii="仿宋" w:hAnsi="仿宋" w:eastAsia="仿宋" w:cs="Arial"/>
                <w:color w:val="auto"/>
                <w:kern w:val="0"/>
                <w:highlight w:val="none"/>
              </w:rPr>
            </w:pPr>
          </w:p>
        </w:tc>
        <w:tc>
          <w:tcPr>
            <w:tcW w:w="554" w:type="pct"/>
            <w:tcBorders>
              <w:top w:val="single" w:color="auto" w:sz="4" w:space="0"/>
              <w:left w:val="nil"/>
              <w:bottom w:val="single" w:color="auto" w:sz="4" w:space="0"/>
              <w:right w:val="single" w:color="auto" w:sz="4" w:space="0"/>
            </w:tcBorders>
          </w:tcPr>
          <w:p w14:paraId="433A1D2B">
            <w:pPr>
              <w:widowControl/>
              <w:spacing w:line="360" w:lineRule="auto"/>
              <w:jc w:val="center"/>
              <w:rPr>
                <w:rFonts w:ascii="仿宋" w:hAnsi="仿宋" w:eastAsia="仿宋" w:cs="Arial"/>
                <w:color w:val="auto"/>
                <w:kern w:val="0"/>
                <w:highlight w:val="none"/>
              </w:rPr>
            </w:pPr>
          </w:p>
        </w:tc>
      </w:tr>
    </w:tbl>
    <w:p w14:paraId="793BAAEC">
      <w:pPr>
        <w:spacing w:line="360" w:lineRule="auto"/>
        <w:rPr>
          <w:rFonts w:ascii="仿宋" w:hAnsi="仿宋" w:eastAsia="仿宋" w:cs="Arial"/>
          <w:color w:val="auto"/>
          <w:sz w:val="24"/>
          <w:highlight w:val="none"/>
        </w:rPr>
      </w:pPr>
    </w:p>
    <w:p w14:paraId="37796073">
      <w:pPr>
        <w:spacing w:line="360" w:lineRule="auto"/>
        <w:rPr>
          <w:rFonts w:ascii="仿宋" w:hAnsi="仿宋" w:eastAsia="仿宋" w:cs="Arial"/>
          <w:color w:val="auto"/>
          <w:sz w:val="24"/>
          <w:highlight w:val="none"/>
        </w:rPr>
      </w:pPr>
    </w:p>
    <w:p w14:paraId="762A7001">
      <w:pPr>
        <w:spacing w:line="360" w:lineRule="auto"/>
        <w:rPr>
          <w:rFonts w:ascii="仿宋" w:hAnsi="仿宋" w:eastAsia="仿宋" w:cs="Arial"/>
          <w:color w:val="auto"/>
          <w:sz w:val="24"/>
          <w:highlight w:val="none"/>
        </w:rPr>
      </w:pPr>
    </w:p>
    <w:p w14:paraId="769D0B9F">
      <w:pPr>
        <w:spacing w:line="360" w:lineRule="auto"/>
        <w:rPr>
          <w:rFonts w:ascii="仿宋" w:hAnsi="仿宋" w:eastAsia="仿宋" w:cs="Arial"/>
          <w:color w:val="auto"/>
          <w:sz w:val="24"/>
          <w:highlight w:val="none"/>
        </w:rPr>
      </w:pPr>
    </w:p>
    <w:p w14:paraId="58F7BCB5">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ascii="仿宋" w:hAnsi="仿宋" w:eastAsia="仿宋" w:cs="Arial"/>
          <w:color w:val="auto"/>
          <w:sz w:val="24"/>
          <w:highlight w:val="none"/>
        </w:rPr>
      </w:pPr>
    </w:p>
    <w:p w14:paraId="26D54E41">
      <w:pPr>
        <w:spacing w:line="360" w:lineRule="auto"/>
        <w:ind w:left="360"/>
        <w:jc w:val="center"/>
        <w:rPr>
          <w:rFonts w:ascii="仿宋" w:hAnsi="仿宋" w:eastAsia="仿宋" w:cs="Arial"/>
          <w:color w:val="auto"/>
          <w:sz w:val="24"/>
          <w:highlight w:val="none"/>
        </w:rPr>
      </w:pPr>
    </w:p>
    <w:p w14:paraId="03F498FC">
      <w:pPr>
        <w:spacing w:line="360" w:lineRule="auto"/>
        <w:jc w:val="left"/>
        <w:rPr>
          <w:rFonts w:ascii="仿宋" w:hAnsi="仿宋" w:eastAsia="仿宋" w:cs="Arial"/>
          <w:color w:val="auto"/>
          <w:highlight w:val="none"/>
        </w:rPr>
      </w:pPr>
    </w:p>
    <w:p w14:paraId="0A023C05">
      <w:pPr>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供应商名称：XXXX（盖单位公章）</w:t>
      </w:r>
    </w:p>
    <w:p w14:paraId="3B8280E6">
      <w:pPr>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法定代表人/单位负责人或授权代表（签字或加盖个人印章）：XXXX</w:t>
      </w:r>
    </w:p>
    <w:p w14:paraId="7BFE391F">
      <w:pPr>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日期： XXXX</w:t>
      </w:r>
    </w:p>
    <w:p w14:paraId="67CC7A7D">
      <w:pPr>
        <w:widowControl/>
        <w:jc w:val="left"/>
        <w:rPr>
          <w:rFonts w:ascii="仿宋" w:hAnsi="仿宋" w:eastAsia="仿宋"/>
          <w:color w:val="auto"/>
          <w:sz w:val="24"/>
          <w:highlight w:val="none"/>
        </w:rPr>
      </w:pPr>
      <w:r>
        <w:rPr>
          <w:rFonts w:ascii="仿宋" w:hAnsi="仿宋" w:eastAsia="仿宋"/>
          <w:color w:val="auto"/>
          <w:sz w:val="24"/>
          <w:highlight w:val="none"/>
        </w:rPr>
        <w:br w:type="page"/>
      </w:r>
    </w:p>
    <w:p w14:paraId="6E87AB2E">
      <w:pPr>
        <w:widowControl/>
        <w:jc w:val="left"/>
        <w:outlineLvl w:val="1"/>
        <w:rPr>
          <w:rFonts w:ascii="仿宋" w:hAnsi="仿宋" w:eastAsia="仿宋" w:cs="仿宋"/>
          <w:b/>
          <w:color w:val="auto"/>
          <w:sz w:val="32"/>
          <w:szCs w:val="32"/>
          <w:highlight w:val="none"/>
        </w:rPr>
      </w:pPr>
      <w:bookmarkStart w:id="182" w:name="_Toc6939"/>
      <w:r>
        <w:rPr>
          <w:rFonts w:hint="eastAsia" w:ascii="仿宋" w:hAnsi="仿宋" w:eastAsia="仿宋" w:cs="仿宋"/>
          <w:b/>
          <w:color w:val="auto"/>
          <w:sz w:val="32"/>
          <w:szCs w:val="32"/>
          <w:highlight w:val="none"/>
        </w:rPr>
        <w:t>格式2-</w:t>
      </w:r>
      <w:r>
        <w:rPr>
          <w:rFonts w:hint="eastAsia" w:ascii="仿宋" w:hAnsi="仿宋" w:eastAsia="仿宋" w:cs="仿宋"/>
          <w:b/>
          <w:color w:val="auto"/>
          <w:sz w:val="32"/>
          <w:szCs w:val="32"/>
          <w:highlight w:val="none"/>
          <w:lang w:val="en-US" w:eastAsia="zh-CN"/>
        </w:rPr>
        <w:t>8</w:t>
      </w:r>
      <w:r>
        <w:rPr>
          <w:rFonts w:hint="eastAsia" w:ascii="仿宋" w:hAnsi="仿宋" w:eastAsia="仿宋" w:cs="仿宋"/>
          <w:b/>
          <w:color w:val="auto"/>
          <w:sz w:val="32"/>
          <w:szCs w:val="32"/>
          <w:highlight w:val="none"/>
        </w:rPr>
        <w:t>-2</w:t>
      </w:r>
      <w:bookmarkEnd w:id="182"/>
    </w:p>
    <w:p w14:paraId="7E8465F7">
      <w:pPr>
        <w:widowControl/>
        <w:spacing w:line="360" w:lineRule="atLeast"/>
        <w:jc w:val="center"/>
        <w:outlineLvl w:val="1"/>
        <w:rPr>
          <w:rFonts w:ascii="仿宋" w:hAnsi="仿宋" w:eastAsia="仿宋"/>
          <w:b/>
          <w:color w:val="auto"/>
          <w:sz w:val="32"/>
          <w:szCs w:val="32"/>
          <w:highlight w:val="none"/>
        </w:rPr>
      </w:pPr>
      <w:bookmarkStart w:id="183" w:name="_Toc14892"/>
      <w:r>
        <w:rPr>
          <w:rFonts w:hint="eastAsia" w:ascii="仿宋" w:hAnsi="仿宋" w:eastAsia="仿宋"/>
          <w:b/>
          <w:color w:val="auto"/>
          <w:sz w:val="32"/>
          <w:szCs w:val="32"/>
          <w:highlight w:val="none"/>
          <w:lang w:val="en-US" w:eastAsia="zh-CN"/>
        </w:rPr>
        <w:t>七</w:t>
      </w:r>
      <w:r>
        <w:rPr>
          <w:rFonts w:hint="eastAsia" w:ascii="仿宋" w:hAnsi="仿宋" w:eastAsia="仿宋"/>
          <w:b/>
          <w:color w:val="auto"/>
          <w:sz w:val="32"/>
          <w:szCs w:val="32"/>
          <w:highlight w:val="none"/>
        </w:rPr>
        <w:t>-2、供应商类似项目业绩情况表</w:t>
      </w:r>
      <w:bookmarkEnd w:id="183"/>
    </w:p>
    <w:p w14:paraId="3007E55F">
      <w:pPr>
        <w:spacing w:line="360" w:lineRule="auto"/>
        <w:rPr>
          <w:rFonts w:ascii="仿宋" w:hAnsi="仿宋" w:eastAsia="仿宋"/>
          <w:color w:val="auto"/>
          <w:sz w:val="24"/>
          <w:highlight w:val="none"/>
        </w:rPr>
      </w:pPr>
    </w:p>
    <w:tbl>
      <w:tblPr>
        <w:tblStyle w:val="18"/>
        <w:tblW w:w="9530" w:type="dxa"/>
        <w:jc w:val="center"/>
        <w:tblLayout w:type="fixed"/>
        <w:tblCellMar>
          <w:top w:w="0" w:type="dxa"/>
          <w:left w:w="108" w:type="dxa"/>
          <w:bottom w:w="0" w:type="dxa"/>
          <w:right w:w="108" w:type="dxa"/>
        </w:tblCellMar>
      </w:tblPr>
      <w:tblGrid>
        <w:gridCol w:w="677"/>
        <w:gridCol w:w="8853"/>
      </w:tblGrid>
      <w:tr w14:paraId="346B6B99">
        <w:tblPrEx>
          <w:tblCellMar>
            <w:top w:w="0" w:type="dxa"/>
            <w:left w:w="108" w:type="dxa"/>
            <w:bottom w:w="0" w:type="dxa"/>
            <w:right w:w="108" w:type="dxa"/>
          </w:tblCellMar>
        </w:tblPrEx>
        <w:trPr>
          <w:cantSplit/>
          <w:trHeight w:val="638" w:hRule="atLeast"/>
          <w:jc w:val="center"/>
        </w:trPr>
        <w:tc>
          <w:tcPr>
            <w:tcW w:w="677" w:type="dxa"/>
            <w:vMerge w:val="restart"/>
            <w:tcBorders>
              <w:top w:val="single" w:color="auto" w:sz="4" w:space="0"/>
              <w:left w:val="single" w:color="auto" w:sz="4" w:space="0"/>
              <w:bottom w:val="single" w:color="auto" w:sz="4" w:space="0"/>
              <w:right w:val="single" w:color="auto" w:sz="4" w:space="0"/>
            </w:tcBorders>
            <w:vAlign w:val="center"/>
          </w:tcPr>
          <w:p w14:paraId="137662D9">
            <w:pPr>
              <w:spacing w:line="360" w:lineRule="auto"/>
              <w:jc w:val="center"/>
              <w:rPr>
                <w:rFonts w:ascii="仿宋" w:hAnsi="仿宋" w:eastAsia="仿宋"/>
                <w:color w:val="auto"/>
                <w:highlight w:val="none"/>
              </w:rPr>
            </w:pPr>
            <w:r>
              <w:rPr>
                <w:rFonts w:hint="eastAsia" w:ascii="仿宋" w:hAnsi="仿宋" w:eastAsia="仿宋"/>
                <w:color w:val="auto"/>
                <w:highlight w:val="none"/>
              </w:rPr>
              <w:t>1</w:t>
            </w:r>
          </w:p>
        </w:tc>
        <w:tc>
          <w:tcPr>
            <w:tcW w:w="8853" w:type="dxa"/>
            <w:tcBorders>
              <w:top w:val="single" w:color="auto" w:sz="4" w:space="0"/>
              <w:left w:val="nil"/>
              <w:bottom w:val="single" w:color="auto" w:sz="4" w:space="0"/>
              <w:right w:val="single" w:color="auto" w:sz="4" w:space="0"/>
            </w:tcBorders>
            <w:vAlign w:val="center"/>
          </w:tcPr>
          <w:p w14:paraId="69A6BF9D">
            <w:pPr>
              <w:spacing w:line="360" w:lineRule="auto"/>
              <w:rPr>
                <w:rFonts w:ascii="仿宋" w:hAnsi="仿宋" w:eastAsia="仿宋" w:cs="Arial"/>
                <w:color w:val="auto"/>
                <w:highlight w:val="none"/>
              </w:rPr>
            </w:pPr>
            <w:r>
              <w:rPr>
                <w:rFonts w:hint="eastAsia" w:ascii="仿宋" w:hAnsi="仿宋" w:eastAsia="仿宋"/>
                <w:color w:val="auto"/>
                <w:highlight w:val="none"/>
              </w:rPr>
              <w:t>合同名称：</w:t>
            </w:r>
          </w:p>
        </w:tc>
      </w:tr>
      <w:tr w14:paraId="1650743E">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14:paraId="6E18286A">
            <w:pPr>
              <w:widowControl/>
              <w:spacing w:line="360" w:lineRule="auto"/>
              <w:jc w:val="left"/>
              <w:rPr>
                <w:rFonts w:ascii="仿宋" w:hAnsi="仿宋" w:eastAsia="仿宋" w:cs="Arial"/>
                <w:color w:val="auto"/>
                <w:highlight w:val="none"/>
              </w:rPr>
            </w:pPr>
          </w:p>
        </w:tc>
        <w:tc>
          <w:tcPr>
            <w:tcW w:w="8853" w:type="dxa"/>
            <w:tcBorders>
              <w:top w:val="single" w:color="auto" w:sz="4" w:space="0"/>
              <w:left w:val="nil"/>
              <w:bottom w:val="single" w:color="auto" w:sz="4" w:space="0"/>
              <w:right w:val="single" w:color="auto" w:sz="4" w:space="0"/>
            </w:tcBorders>
            <w:vAlign w:val="center"/>
          </w:tcPr>
          <w:p w14:paraId="116ECA8C">
            <w:pPr>
              <w:spacing w:line="360" w:lineRule="auto"/>
              <w:rPr>
                <w:rFonts w:ascii="仿宋" w:hAnsi="仿宋" w:eastAsia="仿宋" w:cs="Arial"/>
                <w:color w:val="auto"/>
                <w:highlight w:val="none"/>
              </w:rPr>
            </w:pPr>
            <w:r>
              <w:rPr>
                <w:rFonts w:hint="eastAsia" w:ascii="仿宋" w:hAnsi="仿宋" w:eastAsia="仿宋"/>
                <w:color w:val="auto"/>
                <w:highlight w:val="none"/>
              </w:rPr>
              <w:t>业主名称：</w:t>
            </w:r>
          </w:p>
        </w:tc>
      </w:tr>
      <w:tr w14:paraId="51A812ED">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14:paraId="0E139A36">
            <w:pPr>
              <w:widowControl/>
              <w:spacing w:line="360" w:lineRule="auto"/>
              <w:jc w:val="left"/>
              <w:rPr>
                <w:rFonts w:ascii="仿宋" w:hAnsi="仿宋" w:eastAsia="仿宋" w:cs="Arial"/>
                <w:color w:val="auto"/>
                <w:highlight w:val="none"/>
              </w:rPr>
            </w:pPr>
          </w:p>
        </w:tc>
        <w:tc>
          <w:tcPr>
            <w:tcW w:w="8853" w:type="dxa"/>
            <w:tcBorders>
              <w:top w:val="single" w:color="auto" w:sz="4" w:space="0"/>
              <w:left w:val="nil"/>
              <w:bottom w:val="single" w:color="auto" w:sz="4" w:space="0"/>
              <w:right w:val="single" w:color="auto" w:sz="4" w:space="0"/>
            </w:tcBorders>
            <w:vAlign w:val="center"/>
          </w:tcPr>
          <w:p w14:paraId="35F1C50B">
            <w:pPr>
              <w:spacing w:line="360" w:lineRule="auto"/>
              <w:rPr>
                <w:rFonts w:ascii="仿宋" w:hAnsi="仿宋" w:eastAsia="仿宋" w:cs="Arial"/>
                <w:color w:val="auto"/>
                <w:highlight w:val="none"/>
              </w:rPr>
            </w:pPr>
            <w:r>
              <w:rPr>
                <w:rFonts w:hint="eastAsia" w:ascii="仿宋" w:hAnsi="仿宋" w:eastAsia="仿宋"/>
                <w:color w:val="auto"/>
                <w:highlight w:val="none"/>
              </w:rPr>
              <w:t>合同价格：</w:t>
            </w:r>
          </w:p>
        </w:tc>
      </w:tr>
      <w:tr w14:paraId="7E6E38F5">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14:paraId="245EDB0C">
            <w:pPr>
              <w:widowControl/>
              <w:spacing w:line="360" w:lineRule="auto"/>
              <w:jc w:val="left"/>
              <w:rPr>
                <w:rFonts w:ascii="仿宋" w:hAnsi="仿宋" w:eastAsia="仿宋" w:cs="Arial"/>
                <w:color w:val="auto"/>
                <w:highlight w:val="none"/>
              </w:rPr>
            </w:pPr>
          </w:p>
        </w:tc>
        <w:tc>
          <w:tcPr>
            <w:tcW w:w="8853" w:type="dxa"/>
            <w:tcBorders>
              <w:top w:val="single" w:color="auto" w:sz="4" w:space="0"/>
              <w:left w:val="nil"/>
              <w:bottom w:val="single" w:color="auto" w:sz="4" w:space="0"/>
              <w:right w:val="single" w:color="auto" w:sz="4" w:space="0"/>
            </w:tcBorders>
            <w:vAlign w:val="center"/>
          </w:tcPr>
          <w:p w14:paraId="6874B302">
            <w:pPr>
              <w:spacing w:line="360" w:lineRule="auto"/>
              <w:ind w:left="4" w:leftChars="-10" w:hanging="25" w:hangingChars="12"/>
              <w:rPr>
                <w:rFonts w:ascii="仿宋" w:hAnsi="仿宋" w:eastAsia="仿宋" w:cs="Arial"/>
                <w:color w:val="auto"/>
                <w:highlight w:val="none"/>
              </w:rPr>
            </w:pPr>
            <w:r>
              <w:rPr>
                <w:rFonts w:hint="eastAsia" w:ascii="仿宋" w:hAnsi="仿宋" w:eastAsia="仿宋"/>
                <w:color w:val="auto"/>
                <w:highlight w:val="none"/>
              </w:rPr>
              <w:t>工程地址：</w:t>
            </w:r>
          </w:p>
        </w:tc>
      </w:tr>
      <w:tr w14:paraId="09A1B950">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45DB3DC7">
            <w:pPr>
              <w:spacing w:line="360" w:lineRule="auto"/>
              <w:jc w:val="center"/>
              <w:rPr>
                <w:rFonts w:ascii="仿宋" w:hAnsi="仿宋" w:eastAsia="仿宋"/>
                <w:color w:val="auto"/>
                <w:highlight w:val="none"/>
              </w:rPr>
            </w:pPr>
            <w:r>
              <w:rPr>
                <w:rFonts w:hint="eastAsia" w:ascii="仿宋" w:hAnsi="仿宋" w:eastAsia="仿宋"/>
                <w:color w:val="auto"/>
                <w:highlight w:val="none"/>
              </w:rPr>
              <w:t>2</w:t>
            </w:r>
          </w:p>
        </w:tc>
        <w:tc>
          <w:tcPr>
            <w:tcW w:w="8853" w:type="dxa"/>
            <w:tcBorders>
              <w:top w:val="single" w:color="auto" w:sz="4" w:space="0"/>
              <w:left w:val="nil"/>
              <w:bottom w:val="single" w:color="auto" w:sz="4" w:space="0"/>
              <w:right w:val="single" w:color="auto" w:sz="4" w:space="0"/>
            </w:tcBorders>
            <w:vAlign w:val="center"/>
          </w:tcPr>
          <w:p w14:paraId="6EC72F2D">
            <w:pPr>
              <w:adjustRightInd w:val="0"/>
              <w:spacing w:line="360" w:lineRule="auto"/>
              <w:jc w:val="left"/>
              <w:textAlignment w:val="baseline"/>
              <w:rPr>
                <w:rFonts w:ascii="仿宋" w:hAnsi="仿宋" w:eastAsia="仿宋"/>
                <w:color w:val="auto"/>
                <w:szCs w:val="21"/>
                <w:highlight w:val="none"/>
              </w:rPr>
            </w:pPr>
            <w:r>
              <w:rPr>
                <w:rFonts w:hint="eastAsia" w:ascii="仿宋" w:hAnsi="仿宋" w:eastAsia="仿宋"/>
                <w:color w:val="auto"/>
                <w:szCs w:val="21"/>
                <w:highlight w:val="none"/>
              </w:rPr>
              <w:t>所承担合同的主要内容：</w:t>
            </w:r>
          </w:p>
        </w:tc>
      </w:tr>
      <w:tr w14:paraId="0C114D61">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723043AC">
            <w:pPr>
              <w:spacing w:line="360" w:lineRule="auto"/>
              <w:jc w:val="center"/>
              <w:rPr>
                <w:rFonts w:ascii="仿宋" w:hAnsi="仿宋" w:eastAsia="仿宋"/>
                <w:color w:val="auto"/>
                <w:highlight w:val="none"/>
              </w:rPr>
            </w:pPr>
            <w:r>
              <w:rPr>
                <w:rFonts w:hint="eastAsia" w:ascii="仿宋" w:hAnsi="仿宋" w:eastAsia="仿宋"/>
                <w:color w:val="auto"/>
                <w:highlight w:val="none"/>
              </w:rPr>
              <w:t>3</w:t>
            </w:r>
          </w:p>
        </w:tc>
        <w:tc>
          <w:tcPr>
            <w:tcW w:w="8853" w:type="dxa"/>
            <w:tcBorders>
              <w:top w:val="single" w:color="auto" w:sz="4" w:space="0"/>
              <w:left w:val="nil"/>
              <w:bottom w:val="single" w:color="auto" w:sz="4" w:space="0"/>
              <w:right w:val="single" w:color="auto" w:sz="4" w:space="0"/>
            </w:tcBorders>
            <w:vAlign w:val="center"/>
          </w:tcPr>
          <w:p w14:paraId="1ECD5752">
            <w:pPr>
              <w:adjustRightInd w:val="0"/>
              <w:spacing w:line="360" w:lineRule="auto"/>
              <w:jc w:val="left"/>
              <w:textAlignment w:val="baseline"/>
              <w:rPr>
                <w:rFonts w:ascii="仿宋" w:hAnsi="仿宋" w:eastAsia="仿宋"/>
                <w:color w:val="auto"/>
                <w:szCs w:val="21"/>
                <w:highlight w:val="none"/>
              </w:rPr>
            </w:pPr>
            <w:r>
              <w:rPr>
                <w:rFonts w:hint="eastAsia" w:ascii="仿宋" w:hAnsi="仿宋" w:eastAsia="仿宋"/>
                <w:color w:val="auto"/>
                <w:szCs w:val="21"/>
                <w:highlight w:val="none"/>
              </w:rPr>
              <w:t>工程类别：</w:t>
            </w:r>
          </w:p>
        </w:tc>
      </w:tr>
      <w:tr w14:paraId="57E25170">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6DE37C68">
            <w:pPr>
              <w:spacing w:line="360" w:lineRule="auto"/>
              <w:jc w:val="center"/>
              <w:rPr>
                <w:rFonts w:ascii="仿宋" w:hAnsi="仿宋" w:eastAsia="仿宋"/>
                <w:color w:val="auto"/>
                <w:highlight w:val="none"/>
              </w:rPr>
            </w:pPr>
            <w:r>
              <w:rPr>
                <w:rFonts w:hint="eastAsia" w:ascii="仿宋" w:hAnsi="仿宋" w:eastAsia="仿宋"/>
                <w:color w:val="auto"/>
                <w:highlight w:val="none"/>
              </w:rPr>
              <w:t>4</w:t>
            </w:r>
          </w:p>
        </w:tc>
        <w:tc>
          <w:tcPr>
            <w:tcW w:w="8853" w:type="dxa"/>
            <w:tcBorders>
              <w:top w:val="single" w:color="auto" w:sz="4" w:space="0"/>
              <w:left w:val="nil"/>
              <w:bottom w:val="single" w:color="auto" w:sz="4" w:space="0"/>
              <w:right w:val="single" w:color="auto" w:sz="4" w:space="0"/>
            </w:tcBorders>
            <w:vAlign w:val="center"/>
          </w:tcPr>
          <w:p w14:paraId="45F168E2">
            <w:pPr>
              <w:adjustRightInd w:val="0"/>
              <w:spacing w:line="360" w:lineRule="auto"/>
              <w:jc w:val="left"/>
              <w:textAlignment w:val="baseline"/>
              <w:rPr>
                <w:rFonts w:ascii="仿宋" w:hAnsi="仿宋" w:eastAsia="仿宋"/>
                <w:color w:val="auto"/>
                <w:szCs w:val="21"/>
                <w:highlight w:val="none"/>
              </w:rPr>
            </w:pPr>
            <w:r>
              <w:rPr>
                <w:rFonts w:hint="eastAsia" w:ascii="仿宋" w:hAnsi="仿宋" w:eastAsia="仿宋"/>
                <w:color w:val="auto"/>
                <w:szCs w:val="21"/>
                <w:highlight w:val="none"/>
              </w:rPr>
              <w:t>建设规模：</w:t>
            </w:r>
          </w:p>
        </w:tc>
      </w:tr>
      <w:tr w14:paraId="44D88ED6">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32335858">
            <w:pPr>
              <w:spacing w:line="360" w:lineRule="auto"/>
              <w:jc w:val="center"/>
              <w:rPr>
                <w:rFonts w:ascii="仿宋" w:hAnsi="仿宋" w:eastAsia="仿宋"/>
                <w:color w:val="auto"/>
                <w:highlight w:val="none"/>
              </w:rPr>
            </w:pPr>
            <w:r>
              <w:rPr>
                <w:rFonts w:hint="eastAsia" w:ascii="仿宋" w:hAnsi="仿宋" w:eastAsia="仿宋"/>
                <w:color w:val="auto"/>
                <w:highlight w:val="none"/>
              </w:rPr>
              <w:t>5</w:t>
            </w:r>
          </w:p>
        </w:tc>
        <w:tc>
          <w:tcPr>
            <w:tcW w:w="8853" w:type="dxa"/>
            <w:tcBorders>
              <w:top w:val="single" w:color="auto" w:sz="4" w:space="0"/>
              <w:left w:val="nil"/>
              <w:bottom w:val="single" w:color="auto" w:sz="4" w:space="0"/>
              <w:right w:val="single" w:color="auto" w:sz="4" w:space="0"/>
            </w:tcBorders>
            <w:vAlign w:val="center"/>
          </w:tcPr>
          <w:p w14:paraId="4354FA4A">
            <w:pPr>
              <w:adjustRightInd w:val="0"/>
              <w:spacing w:line="360" w:lineRule="auto"/>
              <w:jc w:val="left"/>
              <w:textAlignment w:val="baseline"/>
              <w:rPr>
                <w:rFonts w:ascii="仿宋" w:hAnsi="仿宋" w:eastAsia="仿宋"/>
                <w:color w:val="auto"/>
                <w:szCs w:val="21"/>
                <w:highlight w:val="none"/>
              </w:rPr>
            </w:pPr>
            <w:r>
              <w:rPr>
                <w:rFonts w:hint="eastAsia" w:ascii="仿宋" w:hAnsi="仿宋" w:eastAsia="仿宋"/>
                <w:color w:val="auto"/>
                <w:szCs w:val="21"/>
                <w:highlight w:val="none"/>
              </w:rPr>
              <w:t>项目负责人：</w:t>
            </w:r>
          </w:p>
        </w:tc>
      </w:tr>
      <w:tr w14:paraId="71400CA2">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5B902F79">
            <w:pPr>
              <w:spacing w:line="360" w:lineRule="auto"/>
              <w:jc w:val="center"/>
              <w:rPr>
                <w:rFonts w:ascii="仿宋" w:hAnsi="仿宋" w:eastAsia="仿宋"/>
                <w:color w:val="auto"/>
                <w:highlight w:val="none"/>
              </w:rPr>
            </w:pPr>
            <w:r>
              <w:rPr>
                <w:rFonts w:hint="eastAsia" w:ascii="仿宋" w:hAnsi="仿宋" w:eastAsia="仿宋"/>
                <w:color w:val="auto"/>
                <w:highlight w:val="none"/>
              </w:rPr>
              <w:t>6</w:t>
            </w:r>
          </w:p>
        </w:tc>
        <w:tc>
          <w:tcPr>
            <w:tcW w:w="8853" w:type="dxa"/>
            <w:tcBorders>
              <w:top w:val="single" w:color="auto" w:sz="4" w:space="0"/>
              <w:left w:val="nil"/>
              <w:bottom w:val="single" w:color="auto" w:sz="4" w:space="0"/>
              <w:right w:val="single" w:color="auto" w:sz="4" w:space="0"/>
            </w:tcBorders>
            <w:vAlign w:val="center"/>
          </w:tcPr>
          <w:p w14:paraId="5F835CD7">
            <w:pPr>
              <w:adjustRightInd w:val="0"/>
              <w:spacing w:line="360" w:lineRule="auto"/>
              <w:jc w:val="left"/>
              <w:textAlignment w:val="baseline"/>
              <w:rPr>
                <w:rFonts w:ascii="仿宋" w:hAnsi="仿宋" w:eastAsia="仿宋"/>
                <w:color w:val="auto"/>
                <w:szCs w:val="21"/>
                <w:highlight w:val="none"/>
              </w:rPr>
            </w:pPr>
            <w:r>
              <w:rPr>
                <w:rFonts w:hint="eastAsia" w:ascii="仿宋" w:hAnsi="仿宋" w:eastAsia="仿宋"/>
                <w:color w:val="auto"/>
                <w:szCs w:val="21"/>
                <w:highlight w:val="none"/>
              </w:rPr>
              <w:t>开工日期：</w:t>
            </w:r>
          </w:p>
        </w:tc>
      </w:tr>
      <w:tr w14:paraId="69D53764">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63F7D023">
            <w:pPr>
              <w:spacing w:line="360" w:lineRule="auto"/>
              <w:jc w:val="center"/>
              <w:rPr>
                <w:rFonts w:ascii="仿宋" w:hAnsi="仿宋" w:eastAsia="仿宋"/>
                <w:color w:val="auto"/>
                <w:highlight w:val="none"/>
              </w:rPr>
            </w:pPr>
            <w:r>
              <w:rPr>
                <w:rFonts w:hint="eastAsia" w:ascii="仿宋" w:hAnsi="仿宋" w:eastAsia="仿宋"/>
                <w:color w:val="auto"/>
                <w:highlight w:val="none"/>
              </w:rPr>
              <w:t>7</w:t>
            </w:r>
          </w:p>
        </w:tc>
        <w:tc>
          <w:tcPr>
            <w:tcW w:w="8853" w:type="dxa"/>
            <w:tcBorders>
              <w:top w:val="single" w:color="auto" w:sz="4" w:space="0"/>
              <w:left w:val="nil"/>
              <w:bottom w:val="single" w:color="auto" w:sz="4" w:space="0"/>
              <w:right w:val="single" w:color="auto" w:sz="4" w:space="0"/>
            </w:tcBorders>
            <w:vAlign w:val="center"/>
          </w:tcPr>
          <w:p w14:paraId="2F0BB767">
            <w:pPr>
              <w:adjustRightInd w:val="0"/>
              <w:spacing w:line="360" w:lineRule="auto"/>
              <w:jc w:val="left"/>
              <w:textAlignment w:val="baseline"/>
              <w:rPr>
                <w:rFonts w:ascii="仿宋" w:hAnsi="仿宋" w:eastAsia="仿宋"/>
                <w:color w:val="auto"/>
                <w:szCs w:val="21"/>
                <w:highlight w:val="none"/>
              </w:rPr>
            </w:pPr>
            <w:r>
              <w:rPr>
                <w:rFonts w:hint="eastAsia" w:ascii="仿宋" w:hAnsi="仿宋" w:eastAsia="仿宋"/>
                <w:color w:val="auto"/>
                <w:szCs w:val="21"/>
                <w:highlight w:val="none"/>
              </w:rPr>
              <w:t>竣工日期（或计划竣工日期）：</w:t>
            </w:r>
          </w:p>
        </w:tc>
      </w:tr>
      <w:tr w14:paraId="40177C9C">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346E183E">
            <w:pPr>
              <w:spacing w:line="360" w:lineRule="auto"/>
              <w:jc w:val="center"/>
              <w:rPr>
                <w:rFonts w:ascii="仿宋" w:hAnsi="仿宋" w:eastAsia="仿宋"/>
                <w:color w:val="auto"/>
                <w:highlight w:val="none"/>
              </w:rPr>
            </w:pPr>
            <w:r>
              <w:rPr>
                <w:rFonts w:hint="eastAsia" w:ascii="仿宋" w:hAnsi="仿宋" w:eastAsia="仿宋"/>
                <w:color w:val="auto"/>
                <w:highlight w:val="none"/>
              </w:rPr>
              <w:t>8</w:t>
            </w:r>
          </w:p>
        </w:tc>
        <w:tc>
          <w:tcPr>
            <w:tcW w:w="8853" w:type="dxa"/>
            <w:tcBorders>
              <w:top w:val="single" w:color="auto" w:sz="4" w:space="0"/>
              <w:left w:val="nil"/>
              <w:bottom w:val="single" w:color="auto" w:sz="4" w:space="0"/>
              <w:right w:val="single" w:color="auto" w:sz="4" w:space="0"/>
            </w:tcBorders>
            <w:vAlign w:val="center"/>
          </w:tcPr>
          <w:p w14:paraId="58279484">
            <w:pPr>
              <w:spacing w:line="360" w:lineRule="auto"/>
              <w:ind w:left="4" w:leftChars="-10" w:hanging="25" w:hangingChars="12"/>
              <w:rPr>
                <w:rFonts w:ascii="仿宋" w:hAnsi="仿宋" w:eastAsia="仿宋" w:cs="Arial"/>
                <w:color w:val="auto"/>
                <w:highlight w:val="none"/>
              </w:rPr>
            </w:pPr>
            <w:r>
              <w:rPr>
                <w:rFonts w:hint="eastAsia" w:ascii="仿宋" w:hAnsi="仿宋" w:eastAsia="仿宋"/>
                <w:color w:val="auto"/>
                <w:highlight w:val="none"/>
              </w:rPr>
              <w:t>项目描述：</w:t>
            </w:r>
          </w:p>
        </w:tc>
      </w:tr>
      <w:tr w14:paraId="10C5CF40">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20EFFAF5">
            <w:pPr>
              <w:spacing w:line="360" w:lineRule="auto"/>
              <w:jc w:val="center"/>
              <w:rPr>
                <w:rFonts w:ascii="仿宋" w:hAnsi="仿宋" w:eastAsia="仿宋"/>
                <w:color w:val="auto"/>
                <w:highlight w:val="none"/>
              </w:rPr>
            </w:pPr>
            <w:r>
              <w:rPr>
                <w:rFonts w:hint="eastAsia" w:ascii="仿宋" w:hAnsi="仿宋" w:eastAsia="仿宋"/>
                <w:color w:val="auto"/>
                <w:highlight w:val="none"/>
              </w:rPr>
              <w:t>9</w:t>
            </w:r>
          </w:p>
        </w:tc>
        <w:tc>
          <w:tcPr>
            <w:tcW w:w="8853" w:type="dxa"/>
            <w:tcBorders>
              <w:top w:val="single" w:color="auto" w:sz="4" w:space="0"/>
              <w:left w:val="nil"/>
              <w:bottom w:val="single" w:color="auto" w:sz="4" w:space="0"/>
              <w:right w:val="single" w:color="auto" w:sz="4" w:space="0"/>
            </w:tcBorders>
            <w:vAlign w:val="center"/>
          </w:tcPr>
          <w:p w14:paraId="2772C99D">
            <w:pPr>
              <w:spacing w:line="360" w:lineRule="auto"/>
              <w:ind w:left="4" w:leftChars="-10" w:hanging="25" w:hangingChars="12"/>
              <w:rPr>
                <w:rFonts w:ascii="仿宋" w:hAnsi="仿宋" w:eastAsia="仿宋"/>
                <w:color w:val="auto"/>
                <w:highlight w:val="none"/>
              </w:rPr>
            </w:pPr>
            <w:r>
              <w:rPr>
                <w:rFonts w:hint="eastAsia" w:ascii="仿宋" w:hAnsi="仿宋" w:eastAsia="仿宋"/>
                <w:color w:val="auto"/>
                <w:highlight w:val="none"/>
              </w:rPr>
              <w:t>其他：</w:t>
            </w:r>
          </w:p>
        </w:tc>
      </w:tr>
    </w:tbl>
    <w:p w14:paraId="50C0D374">
      <w:pPr>
        <w:autoSpaceDE w:val="0"/>
        <w:autoSpaceDN w:val="0"/>
        <w:adjustRightInd w:val="0"/>
        <w:snapToGrid w:val="0"/>
        <w:spacing w:line="360" w:lineRule="auto"/>
        <w:jc w:val="left"/>
        <w:rPr>
          <w:rFonts w:ascii="仿宋" w:hAnsi="仿宋" w:eastAsia="仿宋" w:cs="Arial"/>
          <w:color w:val="auto"/>
          <w:sz w:val="24"/>
          <w:highlight w:val="none"/>
        </w:rPr>
      </w:pPr>
    </w:p>
    <w:p w14:paraId="3220E8BE">
      <w:pPr>
        <w:autoSpaceDE w:val="0"/>
        <w:autoSpaceDN w:val="0"/>
        <w:adjustRightInd w:val="0"/>
        <w:snapToGrid w:val="0"/>
        <w:spacing w:line="360" w:lineRule="auto"/>
        <w:jc w:val="left"/>
        <w:rPr>
          <w:rFonts w:ascii="仿宋" w:hAnsi="仿宋" w:eastAsia="仿宋"/>
          <w:color w:val="auto"/>
          <w:sz w:val="24"/>
          <w:highlight w:val="none"/>
        </w:rPr>
      </w:pPr>
      <w:r>
        <w:rPr>
          <w:rFonts w:hint="eastAsia" w:ascii="仿宋" w:hAnsi="仿宋" w:eastAsia="仿宋"/>
          <w:color w:val="auto"/>
          <w:sz w:val="24"/>
          <w:highlight w:val="none"/>
        </w:rPr>
        <w:t xml:space="preserve">   注：1、每个业绩项目单独填表并编号，应按要求填报工程业绩表并附相关有效证明材料，盖章方式不作要求。</w:t>
      </w:r>
    </w:p>
    <w:p w14:paraId="102B5583">
      <w:pPr>
        <w:spacing w:line="360" w:lineRule="auto"/>
        <w:ind w:firstLine="840" w:firstLineChars="350"/>
        <w:jc w:val="left"/>
        <w:rPr>
          <w:rFonts w:ascii="仿宋" w:hAnsi="仿宋" w:eastAsia="仿宋"/>
          <w:color w:val="auto"/>
          <w:sz w:val="24"/>
          <w:highlight w:val="none"/>
        </w:rPr>
      </w:pPr>
      <w:r>
        <w:rPr>
          <w:rFonts w:hint="eastAsia" w:ascii="仿宋" w:hAnsi="仿宋" w:eastAsia="仿宋"/>
          <w:color w:val="auto"/>
          <w:sz w:val="24"/>
          <w:highlight w:val="none"/>
        </w:rPr>
        <w:t>2、表中所有空格内容均须填写，如确实不须填写或无法填写，应在空格中填写“无”。</w:t>
      </w:r>
    </w:p>
    <w:p w14:paraId="690C178C">
      <w:pPr>
        <w:widowControl/>
        <w:spacing w:line="360" w:lineRule="auto"/>
        <w:ind w:firstLine="470" w:firstLineChars="196"/>
        <w:jc w:val="left"/>
        <w:rPr>
          <w:rFonts w:ascii="仿宋" w:hAnsi="仿宋" w:eastAsia="仿宋"/>
          <w:color w:val="auto"/>
          <w:sz w:val="24"/>
          <w:highlight w:val="none"/>
        </w:rPr>
      </w:pPr>
    </w:p>
    <w:p w14:paraId="21F14E0C">
      <w:pPr>
        <w:widowControl/>
        <w:jc w:val="left"/>
        <w:rPr>
          <w:rFonts w:ascii="仿宋" w:hAnsi="仿宋" w:eastAsia="仿宋"/>
          <w:b/>
          <w:color w:val="auto"/>
          <w:sz w:val="32"/>
          <w:szCs w:val="32"/>
          <w:highlight w:val="none"/>
        </w:rPr>
      </w:pPr>
      <w:r>
        <w:rPr>
          <w:rFonts w:ascii="仿宋" w:hAnsi="仿宋" w:eastAsia="仿宋"/>
          <w:b/>
          <w:color w:val="auto"/>
          <w:sz w:val="32"/>
          <w:szCs w:val="32"/>
          <w:highlight w:val="none"/>
        </w:rPr>
        <w:br w:type="page"/>
      </w:r>
    </w:p>
    <w:p w14:paraId="448131F9">
      <w:pPr>
        <w:widowControl/>
        <w:jc w:val="left"/>
        <w:outlineLvl w:val="1"/>
        <w:rPr>
          <w:rFonts w:hint="eastAsia" w:ascii="仿宋" w:hAnsi="仿宋" w:eastAsia="仿宋" w:cs="仿宋"/>
          <w:b/>
          <w:color w:val="auto"/>
          <w:sz w:val="32"/>
          <w:szCs w:val="32"/>
          <w:highlight w:val="none"/>
          <w:lang w:eastAsia="zh-CN"/>
        </w:rPr>
      </w:pPr>
      <w:bookmarkStart w:id="184" w:name="_Toc29853"/>
      <w:r>
        <w:rPr>
          <w:rFonts w:hint="eastAsia" w:ascii="仿宋" w:hAnsi="仿宋" w:eastAsia="仿宋" w:cs="仿宋"/>
          <w:b/>
          <w:color w:val="auto"/>
          <w:sz w:val="32"/>
          <w:szCs w:val="32"/>
          <w:highlight w:val="none"/>
        </w:rPr>
        <w:t>格式2-</w:t>
      </w:r>
      <w:bookmarkEnd w:id="184"/>
      <w:r>
        <w:rPr>
          <w:rFonts w:hint="eastAsia" w:ascii="仿宋" w:hAnsi="仿宋" w:eastAsia="仿宋" w:cs="仿宋"/>
          <w:b/>
          <w:color w:val="auto"/>
          <w:sz w:val="32"/>
          <w:szCs w:val="32"/>
          <w:highlight w:val="none"/>
          <w:lang w:val="en-US" w:eastAsia="zh-CN"/>
        </w:rPr>
        <w:t>9</w:t>
      </w:r>
    </w:p>
    <w:p w14:paraId="341B97E8">
      <w:pPr>
        <w:widowControl/>
        <w:spacing w:line="360" w:lineRule="atLeast"/>
        <w:jc w:val="center"/>
        <w:outlineLvl w:val="1"/>
        <w:rPr>
          <w:rFonts w:ascii="仿宋" w:hAnsi="仿宋" w:eastAsia="仿宋"/>
          <w:b/>
          <w:color w:val="auto"/>
          <w:sz w:val="32"/>
          <w:szCs w:val="32"/>
          <w:highlight w:val="none"/>
        </w:rPr>
      </w:pPr>
      <w:bookmarkStart w:id="185" w:name="_Toc3664"/>
      <w:r>
        <w:rPr>
          <w:rFonts w:hint="eastAsia" w:ascii="仿宋" w:hAnsi="仿宋" w:eastAsia="仿宋"/>
          <w:b/>
          <w:color w:val="auto"/>
          <w:sz w:val="32"/>
          <w:szCs w:val="32"/>
          <w:highlight w:val="none"/>
          <w:lang w:val="en-US" w:eastAsia="zh-CN"/>
        </w:rPr>
        <w:t>八</w:t>
      </w:r>
      <w:r>
        <w:rPr>
          <w:rFonts w:hint="eastAsia" w:ascii="仿宋" w:hAnsi="仿宋" w:eastAsia="仿宋"/>
          <w:b/>
          <w:color w:val="auto"/>
          <w:sz w:val="32"/>
          <w:szCs w:val="32"/>
          <w:highlight w:val="none"/>
        </w:rPr>
        <w:t>、项目管理机构</w:t>
      </w:r>
      <w:bookmarkEnd w:id="185"/>
    </w:p>
    <w:p w14:paraId="24147786">
      <w:pPr>
        <w:spacing w:line="360" w:lineRule="auto"/>
        <w:rPr>
          <w:rFonts w:ascii="仿宋" w:hAnsi="仿宋" w:eastAsia="仿宋"/>
          <w:color w:val="auto"/>
          <w:sz w:val="32"/>
          <w:szCs w:val="32"/>
          <w:highlight w:val="none"/>
        </w:rPr>
      </w:pPr>
    </w:p>
    <w:p w14:paraId="7EF2D9D8">
      <w:pPr>
        <w:spacing w:line="360" w:lineRule="auto"/>
        <w:jc w:val="center"/>
        <w:rPr>
          <w:rFonts w:ascii="仿宋" w:hAnsi="仿宋" w:eastAsia="仿宋"/>
          <w:b/>
          <w:bCs/>
          <w:color w:val="auto"/>
          <w:sz w:val="24"/>
          <w:highlight w:val="none"/>
        </w:rPr>
      </w:pPr>
      <w:r>
        <w:rPr>
          <w:rFonts w:hint="eastAsia" w:ascii="仿宋" w:hAnsi="仿宋" w:eastAsia="仿宋"/>
          <w:b/>
          <w:bCs/>
          <w:color w:val="auto"/>
          <w:sz w:val="24"/>
          <w:highlight w:val="none"/>
        </w:rPr>
        <w:t xml:space="preserve"> （一）项目管理机构组成表</w:t>
      </w:r>
    </w:p>
    <w:p w14:paraId="76C319CC">
      <w:pPr>
        <w:autoSpaceDE w:val="0"/>
        <w:autoSpaceDN w:val="0"/>
        <w:adjustRightInd w:val="0"/>
        <w:spacing w:line="360" w:lineRule="auto"/>
        <w:ind w:left="220" w:right="-20"/>
        <w:jc w:val="center"/>
        <w:rPr>
          <w:rFonts w:ascii="仿宋" w:hAnsi="仿宋" w:eastAsia="仿宋"/>
          <w:b/>
          <w:bCs/>
          <w:color w:val="auto"/>
          <w:highlight w:val="none"/>
        </w:rPr>
      </w:pPr>
    </w:p>
    <w:tbl>
      <w:tblPr>
        <w:tblStyle w:val="18"/>
        <w:tblW w:w="9366" w:type="dxa"/>
        <w:jc w:val="center"/>
        <w:tblLayout w:type="fixed"/>
        <w:tblCellMar>
          <w:top w:w="0" w:type="dxa"/>
          <w:left w:w="0" w:type="dxa"/>
          <w:bottom w:w="0" w:type="dxa"/>
          <w:right w:w="0" w:type="dxa"/>
        </w:tblCellMar>
      </w:tblPr>
      <w:tblGrid>
        <w:gridCol w:w="857"/>
        <w:gridCol w:w="1695"/>
        <w:gridCol w:w="1423"/>
        <w:gridCol w:w="1276"/>
        <w:gridCol w:w="1301"/>
        <w:gridCol w:w="1134"/>
        <w:gridCol w:w="1680"/>
      </w:tblGrid>
      <w:tr w14:paraId="4DDD2F26">
        <w:tblPrEx>
          <w:tblCellMar>
            <w:top w:w="0" w:type="dxa"/>
            <w:left w:w="0" w:type="dxa"/>
            <w:bottom w:w="0" w:type="dxa"/>
            <w:right w:w="0" w:type="dxa"/>
          </w:tblCellMar>
        </w:tblPrEx>
        <w:trPr>
          <w:trHeight w:val="614" w:hRule="atLeast"/>
          <w:jc w:val="center"/>
        </w:trPr>
        <w:tc>
          <w:tcPr>
            <w:tcW w:w="857" w:type="dxa"/>
            <w:vMerge w:val="restart"/>
            <w:tcBorders>
              <w:top w:val="single" w:color="auto" w:sz="4" w:space="0"/>
              <w:left w:val="single" w:color="auto" w:sz="4" w:space="0"/>
              <w:right w:val="single" w:color="auto" w:sz="4" w:space="0"/>
            </w:tcBorders>
            <w:vAlign w:val="center"/>
          </w:tcPr>
          <w:p w14:paraId="4E117A47">
            <w:pPr>
              <w:spacing w:line="360" w:lineRule="auto"/>
              <w:jc w:val="center"/>
              <w:rPr>
                <w:rFonts w:ascii="仿宋" w:hAnsi="仿宋" w:eastAsia="仿宋" w:cs="Arial"/>
                <w:color w:val="auto"/>
                <w:highlight w:val="none"/>
              </w:rPr>
            </w:pPr>
            <w:r>
              <w:rPr>
                <w:rFonts w:hint="eastAsia" w:ascii="仿宋" w:hAnsi="仿宋" w:eastAsia="仿宋"/>
                <w:color w:val="auto"/>
                <w:highlight w:val="none"/>
              </w:rPr>
              <w:t>序号</w:t>
            </w:r>
          </w:p>
        </w:tc>
        <w:tc>
          <w:tcPr>
            <w:tcW w:w="1695" w:type="dxa"/>
            <w:vMerge w:val="restart"/>
            <w:tcBorders>
              <w:top w:val="single" w:color="auto" w:sz="4" w:space="0"/>
              <w:left w:val="nil"/>
              <w:right w:val="single" w:color="auto" w:sz="4" w:space="0"/>
            </w:tcBorders>
            <w:vAlign w:val="center"/>
          </w:tcPr>
          <w:p w14:paraId="7909F6F9">
            <w:pPr>
              <w:spacing w:line="360" w:lineRule="auto"/>
              <w:jc w:val="center"/>
              <w:rPr>
                <w:rFonts w:ascii="仿宋" w:hAnsi="仿宋" w:eastAsia="仿宋" w:cs="Arial"/>
                <w:color w:val="auto"/>
                <w:highlight w:val="none"/>
              </w:rPr>
            </w:pPr>
            <w:r>
              <w:rPr>
                <w:rFonts w:hint="eastAsia" w:ascii="仿宋" w:hAnsi="仿宋" w:eastAsia="仿宋"/>
                <w:color w:val="auto"/>
                <w:highlight w:val="none"/>
              </w:rPr>
              <w:t>职务</w:t>
            </w:r>
          </w:p>
        </w:tc>
        <w:tc>
          <w:tcPr>
            <w:tcW w:w="1423" w:type="dxa"/>
            <w:vMerge w:val="restart"/>
            <w:tcBorders>
              <w:top w:val="single" w:color="auto" w:sz="4" w:space="0"/>
              <w:left w:val="nil"/>
              <w:right w:val="single" w:color="auto" w:sz="4" w:space="0"/>
            </w:tcBorders>
            <w:vAlign w:val="center"/>
          </w:tcPr>
          <w:p w14:paraId="192793CE">
            <w:pPr>
              <w:spacing w:line="360" w:lineRule="auto"/>
              <w:jc w:val="center"/>
              <w:rPr>
                <w:rFonts w:ascii="仿宋" w:hAnsi="仿宋" w:eastAsia="仿宋" w:cs="Arial"/>
                <w:color w:val="auto"/>
                <w:highlight w:val="none"/>
              </w:rPr>
            </w:pPr>
            <w:r>
              <w:rPr>
                <w:rFonts w:hint="eastAsia" w:ascii="仿宋" w:hAnsi="仿宋" w:eastAsia="仿宋"/>
                <w:color w:val="auto"/>
                <w:highlight w:val="none"/>
              </w:rPr>
              <w:t>姓名</w:t>
            </w:r>
          </w:p>
        </w:tc>
        <w:tc>
          <w:tcPr>
            <w:tcW w:w="2577" w:type="dxa"/>
            <w:gridSpan w:val="2"/>
            <w:tcBorders>
              <w:top w:val="single" w:color="auto" w:sz="4" w:space="0"/>
              <w:left w:val="nil"/>
              <w:bottom w:val="single" w:color="auto" w:sz="4" w:space="0"/>
              <w:right w:val="single" w:color="auto" w:sz="4" w:space="0"/>
            </w:tcBorders>
            <w:vAlign w:val="center"/>
          </w:tcPr>
          <w:p w14:paraId="1A44F322">
            <w:pPr>
              <w:spacing w:line="360" w:lineRule="auto"/>
              <w:jc w:val="center"/>
              <w:rPr>
                <w:rFonts w:ascii="仿宋" w:hAnsi="仿宋" w:eastAsia="仿宋" w:cs="Arial"/>
                <w:color w:val="auto"/>
                <w:highlight w:val="none"/>
              </w:rPr>
            </w:pPr>
            <w:r>
              <w:rPr>
                <w:rFonts w:hint="eastAsia" w:ascii="仿宋" w:hAnsi="仿宋" w:eastAsia="仿宋"/>
                <w:color w:val="auto"/>
                <w:highlight w:val="none"/>
              </w:rPr>
              <w:t>执业或职业资格</w:t>
            </w:r>
          </w:p>
        </w:tc>
        <w:tc>
          <w:tcPr>
            <w:tcW w:w="2814" w:type="dxa"/>
            <w:gridSpan w:val="2"/>
            <w:tcBorders>
              <w:top w:val="single" w:color="auto" w:sz="4" w:space="0"/>
              <w:left w:val="nil"/>
              <w:bottom w:val="single" w:color="auto" w:sz="4" w:space="0"/>
              <w:right w:val="single" w:color="auto" w:sz="4" w:space="0"/>
            </w:tcBorders>
            <w:vAlign w:val="center"/>
          </w:tcPr>
          <w:p w14:paraId="4FD00AC5">
            <w:pPr>
              <w:spacing w:line="360" w:lineRule="auto"/>
              <w:jc w:val="center"/>
              <w:rPr>
                <w:rFonts w:ascii="仿宋" w:hAnsi="仿宋" w:eastAsia="仿宋"/>
                <w:color w:val="auto"/>
                <w:highlight w:val="none"/>
              </w:rPr>
            </w:pPr>
            <w:r>
              <w:rPr>
                <w:rFonts w:hint="eastAsia" w:ascii="仿宋" w:hAnsi="仿宋" w:eastAsia="仿宋"/>
                <w:color w:val="auto"/>
                <w:highlight w:val="none"/>
              </w:rPr>
              <w:t>职称</w:t>
            </w:r>
          </w:p>
        </w:tc>
      </w:tr>
      <w:tr w14:paraId="77391FD2">
        <w:tblPrEx>
          <w:tblCellMar>
            <w:top w:w="0" w:type="dxa"/>
            <w:left w:w="0" w:type="dxa"/>
            <w:bottom w:w="0" w:type="dxa"/>
            <w:right w:w="0" w:type="dxa"/>
          </w:tblCellMar>
        </w:tblPrEx>
        <w:trPr>
          <w:trHeight w:val="614" w:hRule="atLeast"/>
          <w:jc w:val="center"/>
        </w:trPr>
        <w:tc>
          <w:tcPr>
            <w:tcW w:w="857" w:type="dxa"/>
            <w:vMerge w:val="continue"/>
            <w:tcBorders>
              <w:left w:val="single" w:color="auto" w:sz="4" w:space="0"/>
              <w:bottom w:val="single" w:color="auto" w:sz="4" w:space="0"/>
              <w:right w:val="single" w:color="auto" w:sz="4" w:space="0"/>
            </w:tcBorders>
            <w:vAlign w:val="center"/>
          </w:tcPr>
          <w:p w14:paraId="1B328B2E">
            <w:pPr>
              <w:spacing w:line="360" w:lineRule="auto"/>
              <w:jc w:val="center"/>
              <w:rPr>
                <w:rFonts w:ascii="仿宋" w:hAnsi="仿宋" w:eastAsia="仿宋"/>
                <w:color w:val="auto"/>
                <w:highlight w:val="none"/>
              </w:rPr>
            </w:pPr>
          </w:p>
        </w:tc>
        <w:tc>
          <w:tcPr>
            <w:tcW w:w="1695" w:type="dxa"/>
            <w:vMerge w:val="continue"/>
            <w:tcBorders>
              <w:left w:val="nil"/>
              <w:bottom w:val="single" w:color="auto" w:sz="4" w:space="0"/>
              <w:right w:val="single" w:color="auto" w:sz="4" w:space="0"/>
            </w:tcBorders>
            <w:vAlign w:val="center"/>
          </w:tcPr>
          <w:p w14:paraId="0F69583C">
            <w:pPr>
              <w:spacing w:line="360" w:lineRule="auto"/>
              <w:jc w:val="center"/>
              <w:rPr>
                <w:rFonts w:ascii="仿宋" w:hAnsi="仿宋" w:eastAsia="仿宋"/>
                <w:color w:val="auto"/>
                <w:highlight w:val="none"/>
              </w:rPr>
            </w:pPr>
          </w:p>
        </w:tc>
        <w:tc>
          <w:tcPr>
            <w:tcW w:w="1423" w:type="dxa"/>
            <w:vMerge w:val="continue"/>
            <w:tcBorders>
              <w:left w:val="nil"/>
              <w:bottom w:val="single" w:color="auto" w:sz="4" w:space="0"/>
              <w:right w:val="single" w:color="auto" w:sz="4" w:space="0"/>
            </w:tcBorders>
            <w:vAlign w:val="center"/>
          </w:tcPr>
          <w:p w14:paraId="227CB070">
            <w:pPr>
              <w:spacing w:line="360" w:lineRule="auto"/>
              <w:jc w:val="center"/>
              <w:rPr>
                <w:rFonts w:ascii="仿宋" w:hAnsi="仿宋" w:eastAsia="仿宋"/>
                <w:color w:val="auto"/>
                <w:highlight w:val="none"/>
              </w:rPr>
            </w:pPr>
          </w:p>
        </w:tc>
        <w:tc>
          <w:tcPr>
            <w:tcW w:w="1276" w:type="dxa"/>
            <w:tcBorders>
              <w:top w:val="single" w:color="auto" w:sz="4" w:space="0"/>
              <w:left w:val="nil"/>
              <w:bottom w:val="single" w:color="auto" w:sz="4" w:space="0"/>
              <w:right w:val="single" w:color="auto" w:sz="4" w:space="0"/>
            </w:tcBorders>
            <w:vAlign w:val="center"/>
          </w:tcPr>
          <w:p w14:paraId="07DD08DD">
            <w:pPr>
              <w:spacing w:line="360" w:lineRule="auto"/>
              <w:jc w:val="center"/>
              <w:rPr>
                <w:rFonts w:ascii="仿宋" w:hAnsi="仿宋" w:eastAsia="仿宋"/>
                <w:color w:val="auto"/>
                <w:highlight w:val="none"/>
              </w:rPr>
            </w:pPr>
            <w:r>
              <w:rPr>
                <w:rFonts w:hint="eastAsia" w:ascii="仿宋" w:hAnsi="仿宋" w:eastAsia="仿宋"/>
                <w:color w:val="auto"/>
                <w:highlight w:val="none"/>
              </w:rPr>
              <w:t>证书名称</w:t>
            </w:r>
          </w:p>
        </w:tc>
        <w:tc>
          <w:tcPr>
            <w:tcW w:w="1301" w:type="dxa"/>
            <w:tcBorders>
              <w:top w:val="single" w:color="auto" w:sz="4" w:space="0"/>
              <w:left w:val="nil"/>
              <w:bottom w:val="single" w:color="auto" w:sz="4" w:space="0"/>
              <w:right w:val="single" w:color="auto" w:sz="4" w:space="0"/>
            </w:tcBorders>
            <w:vAlign w:val="center"/>
          </w:tcPr>
          <w:p w14:paraId="6BF8F74F">
            <w:pPr>
              <w:spacing w:line="360" w:lineRule="auto"/>
              <w:jc w:val="center"/>
              <w:rPr>
                <w:rFonts w:ascii="仿宋" w:hAnsi="仿宋" w:eastAsia="仿宋"/>
                <w:color w:val="auto"/>
                <w:highlight w:val="none"/>
              </w:rPr>
            </w:pPr>
            <w:r>
              <w:rPr>
                <w:rFonts w:hint="eastAsia" w:ascii="仿宋" w:hAnsi="仿宋" w:eastAsia="仿宋"/>
                <w:color w:val="auto"/>
                <w:highlight w:val="none"/>
              </w:rPr>
              <w:t>证书编号</w:t>
            </w:r>
          </w:p>
        </w:tc>
        <w:tc>
          <w:tcPr>
            <w:tcW w:w="1134" w:type="dxa"/>
            <w:tcBorders>
              <w:top w:val="single" w:color="auto" w:sz="4" w:space="0"/>
              <w:left w:val="nil"/>
              <w:bottom w:val="single" w:color="auto" w:sz="4" w:space="0"/>
              <w:right w:val="single" w:color="auto" w:sz="4" w:space="0"/>
            </w:tcBorders>
            <w:vAlign w:val="center"/>
          </w:tcPr>
          <w:p w14:paraId="14E69703">
            <w:pPr>
              <w:spacing w:line="360" w:lineRule="auto"/>
              <w:jc w:val="center"/>
              <w:rPr>
                <w:rFonts w:ascii="仿宋" w:hAnsi="仿宋" w:eastAsia="仿宋"/>
                <w:color w:val="auto"/>
                <w:highlight w:val="none"/>
              </w:rPr>
            </w:pPr>
            <w:r>
              <w:rPr>
                <w:rFonts w:hint="eastAsia" w:ascii="仿宋" w:hAnsi="仿宋" w:eastAsia="仿宋"/>
                <w:color w:val="auto"/>
                <w:highlight w:val="none"/>
              </w:rPr>
              <w:t>职称专业</w:t>
            </w:r>
          </w:p>
        </w:tc>
        <w:tc>
          <w:tcPr>
            <w:tcW w:w="1680" w:type="dxa"/>
            <w:tcBorders>
              <w:top w:val="single" w:color="auto" w:sz="4" w:space="0"/>
              <w:left w:val="nil"/>
              <w:bottom w:val="single" w:color="auto" w:sz="4" w:space="0"/>
              <w:right w:val="single" w:color="auto" w:sz="4" w:space="0"/>
            </w:tcBorders>
            <w:vAlign w:val="center"/>
          </w:tcPr>
          <w:p w14:paraId="38F07346">
            <w:pPr>
              <w:spacing w:line="360" w:lineRule="auto"/>
              <w:jc w:val="center"/>
              <w:rPr>
                <w:rFonts w:ascii="仿宋" w:hAnsi="仿宋" w:eastAsia="仿宋"/>
                <w:color w:val="auto"/>
                <w:highlight w:val="none"/>
              </w:rPr>
            </w:pPr>
            <w:r>
              <w:rPr>
                <w:rFonts w:hint="eastAsia" w:ascii="仿宋" w:hAnsi="仿宋" w:eastAsia="仿宋"/>
                <w:color w:val="auto"/>
                <w:highlight w:val="none"/>
              </w:rPr>
              <w:t>级别</w:t>
            </w:r>
          </w:p>
        </w:tc>
      </w:tr>
      <w:tr w14:paraId="75F84D60">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14:paraId="3F4915EF">
            <w:pPr>
              <w:spacing w:line="360" w:lineRule="auto"/>
              <w:jc w:val="center"/>
              <w:rPr>
                <w:rFonts w:ascii="仿宋" w:hAnsi="仿宋" w:eastAsia="仿宋" w:cs="Arial"/>
                <w:color w:val="auto"/>
                <w:highlight w:val="none"/>
              </w:rPr>
            </w:pPr>
            <w:r>
              <w:rPr>
                <w:rFonts w:hint="eastAsia" w:ascii="仿宋" w:hAnsi="仿宋" w:eastAsia="仿宋"/>
                <w:color w:val="auto"/>
                <w:highlight w:val="none"/>
              </w:rPr>
              <w:t>1.1</w:t>
            </w:r>
          </w:p>
        </w:tc>
        <w:tc>
          <w:tcPr>
            <w:tcW w:w="1695" w:type="dxa"/>
            <w:tcBorders>
              <w:top w:val="single" w:color="auto" w:sz="4" w:space="0"/>
              <w:left w:val="nil"/>
              <w:bottom w:val="single" w:color="auto" w:sz="4" w:space="0"/>
              <w:right w:val="single" w:color="auto" w:sz="4" w:space="0"/>
            </w:tcBorders>
            <w:vAlign w:val="center"/>
          </w:tcPr>
          <w:p w14:paraId="7A32072B">
            <w:pPr>
              <w:spacing w:line="360" w:lineRule="auto"/>
              <w:jc w:val="center"/>
              <w:rPr>
                <w:rFonts w:ascii="仿宋" w:hAnsi="仿宋" w:eastAsia="仿宋"/>
                <w:color w:val="auto"/>
                <w:highlight w:val="none"/>
              </w:rPr>
            </w:pPr>
            <w:r>
              <w:rPr>
                <w:rFonts w:hint="eastAsia" w:ascii="仿宋" w:hAnsi="仿宋" w:eastAsia="仿宋"/>
                <w:color w:val="auto"/>
                <w:highlight w:val="none"/>
              </w:rPr>
              <w:t>项目负责人（项目经理）</w:t>
            </w:r>
          </w:p>
        </w:tc>
        <w:tc>
          <w:tcPr>
            <w:tcW w:w="1423" w:type="dxa"/>
            <w:tcBorders>
              <w:top w:val="single" w:color="auto" w:sz="4" w:space="0"/>
              <w:left w:val="nil"/>
              <w:bottom w:val="single" w:color="auto" w:sz="4" w:space="0"/>
              <w:right w:val="single" w:color="auto" w:sz="4" w:space="0"/>
            </w:tcBorders>
            <w:vAlign w:val="center"/>
          </w:tcPr>
          <w:p w14:paraId="6D06FFB0">
            <w:pPr>
              <w:spacing w:line="360" w:lineRule="auto"/>
              <w:jc w:val="center"/>
              <w:rPr>
                <w:rFonts w:ascii="仿宋" w:hAnsi="仿宋" w:eastAsia="仿宋" w:cs="Arial"/>
                <w:color w:val="auto"/>
                <w:highlight w:val="none"/>
              </w:rPr>
            </w:pPr>
          </w:p>
        </w:tc>
        <w:tc>
          <w:tcPr>
            <w:tcW w:w="1276" w:type="dxa"/>
            <w:tcBorders>
              <w:top w:val="single" w:color="auto" w:sz="4" w:space="0"/>
              <w:left w:val="nil"/>
              <w:bottom w:val="single" w:color="auto" w:sz="4" w:space="0"/>
              <w:right w:val="single" w:color="auto" w:sz="4" w:space="0"/>
            </w:tcBorders>
            <w:vAlign w:val="center"/>
          </w:tcPr>
          <w:p w14:paraId="11222C8C">
            <w:pPr>
              <w:spacing w:line="360" w:lineRule="auto"/>
              <w:jc w:val="center"/>
              <w:rPr>
                <w:rFonts w:ascii="仿宋" w:hAnsi="仿宋" w:eastAsia="仿宋" w:cs="Arial"/>
                <w:color w:val="auto"/>
                <w:highlight w:val="none"/>
              </w:rPr>
            </w:pPr>
          </w:p>
        </w:tc>
        <w:tc>
          <w:tcPr>
            <w:tcW w:w="1301" w:type="dxa"/>
            <w:tcBorders>
              <w:top w:val="single" w:color="auto" w:sz="4" w:space="0"/>
              <w:left w:val="nil"/>
              <w:bottom w:val="single" w:color="auto" w:sz="4" w:space="0"/>
              <w:right w:val="single" w:color="auto" w:sz="4" w:space="0"/>
            </w:tcBorders>
            <w:vAlign w:val="center"/>
          </w:tcPr>
          <w:p w14:paraId="5955A64E">
            <w:pPr>
              <w:spacing w:line="360" w:lineRule="auto"/>
              <w:jc w:val="center"/>
              <w:rPr>
                <w:rFonts w:ascii="仿宋" w:hAnsi="仿宋" w:eastAsia="仿宋" w:cs="Arial"/>
                <w:color w:val="auto"/>
                <w:highlight w:val="none"/>
              </w:rPr>
            </w:pPr>
          </w:p>
        </w:tc>
        <w:tc>
          <w:tcPr>
            <w:tcW w:w="1134" w:type="dxa"/>
            <w:tcBorders>
              <w:top w:val="single" w:color="auto" w:sz="4" w:space="0"/>
              <w:left w:val="nil"/>
              <w:bottom w:val="single" w:color="auto" w:sz="4" w:space="0"/>
              <w:right w:val="single" w:color="auto" w:sz="4" w:space="0"/>
            </w:tcBorders>
            <w:vAlign w:val="center"/>
          </w:tcPr>
          <w:p w14:paraId="7D415891">
            <w:pPr>
              <w:spacing w:line="360" w:lineRule="auto"/>
              <w:jc w:val="center"/>
              <w:rPr>
                <w:rFonts w:ascii="仿宋" w:hAnsi="仿宋" w:eastAsia="仿宋" w:cs="Arial"/>
                <w:color w:val="auto"/>
                <w:highlight w:val="none"/>
              </w:rPr>
            </w:pPr>
          </w:p>
        </w:tc>
        <w:tc>
          <w:tcPr>
            <w:tcW w:w="1680" w:type="dxa"/>
            <w:tcBorders>
              <w:top w:val="single" w:color="auto" w:sz="4" w:space="0"/>
              <w:left w:val="nil"/>
              <w:bottom w:val="single" w:color="auto" w:sz="4" w:space="0"/>
              <w:right w:val="single" w:color="auto" w:sz="4" w:space="0"/>
            </w:tcBorders>
          </w:tcPr>
          <w:p w14:paraId="1C6AB8B6">
            <w:pPr>
              <w:spacing w:line="360" w:lineRule="auto"/>
              <w:jc w:val="center"/>
              <w:rPr>
                <w:rFonts w:ascii="仿宋" w:hAnsi="仿宋" w:eastAsia="仿宋" w:cs="Arial"/>
                <w:color w:val="auto"/>
                <w:highlight w:val="none"/>
              </w:rPr>
            </w:pPr>
          </w:p>
        </w:tc>
      </w:tr>
      <w:tr w14:paraId="6214C010">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14:paraId="1B0B6B78">
            <w:pPr>
              <w:spacing w:line="360" w:lineRule="auto"/>
              <w:jc w:val="center"/>
              <w:rPr>
                <w:rFonts w:ascii="仿宋" w:hAnsi="仿宋" w:eastAsia="仿宋" w:cs="Arial"/>
                <w:color w:val="auto"/>
                <w:highlight w:val="none"/>
              </w:rPr>
            </w:pPr>
            <w:r>
              <w:rPr>
                <w:rFonts w:hint="eastAsia" w:ascii="仿宋" w:hAnsi="仿宋" w:eastAsia="仿宋" w:cs="Arial"/>
                <w:color w:val="auto"/>
                <w:highlight w:val="none"/>
              </w:rPr>
              <w:t>1.2</w:t>
            </w:r>
          </w:p>
        </w:tc>
        <w:tc>
          <w:tcPr>
            <w:tcW w:w="1695" w:type="dxa"/>
            <w:tcBorders>
              <w:top w:val="single" w:color="auto" w:sz="4" w:space="0"/>
              <w:left w:val="nil"/>
              <w:bottom w:val="single" w:color="auto" w:sz="4" w:space="0"/>
              <w:right w:val="single" w:color="auto" w:sz="4" w:space="0"/>
            </w:tcBorders>
            <w:vAlign w:val="center"/>
          </w:tcPr>
          <w:p w14:paraId="667E9B81">
            <w:pPr>
              <w:spacing w:line="360" w:lineRule="auto"/>
              <w:jc w:val="center"/>
              <w:rPr>
                <w:rFonts w:ascii="仿宋" w:hAnsi="仿宋" w:eastAsia="仿宋" w:cs="Arial"/>
                <w:color w:val="auto"/>
                <w:highlight w:val="none"/>
              </w:rPr>
            </w:pPr>
            <w:r>
              <w:rPr>
                <w:rFonts w:hint="eastAsia" w:ascii="仿宋" w:hAnsi="仿宋" w:eastAsia="仿宋"/>
                <w:color w:val="auto"/>
                <w:highlight w:val="none"/>
              </w:rPr>
              <w:t>……</w:t>
            </w:r>
          </w:p>
        </w:tc>
        <w:tc>
          <w:tcPr>
            <w:tcW w:w="1423" w:type="dxa"/>
            <w:tcBorders>
              <w:top w:val="single" w:color="auto" w:sz="4" w:space="0"/>
              <w:left w:val="nil"/>
              <w:bottom w:val="single" w:color="auto" w:sz="4" w:space="0"/>
              <w:right w:val="single" w:color="auto" w:sz="4" w:space="0"/>
            </w:tcBorders>
            <w:vAlign w:val="center"/>
          </w:tcPr>
          <w:p w14:paraId="5022318D">
            <w:pPr>
              <w:spacing w:line="360" w:lineRule="auto"/>
              <w:jc w:val="center"/>
              <w:rPr>
                <w:rFonts w:ascii="仿宋" w:hAnsi="仿宋" w:eastAsia="仿宋" w:cs="Arial"/>
                <w:color w:val="auto"/>
                <w:highlight w:val="none"/>
              </w:rPr>
            </w:pPr>
          </w:p>
        </w:tc>
        <w:tc>
          <w:tcPr>
            <w:tcW w:w="1276" w:type="dxa"/>
            <w:tcBorders>
              <w:top w:val="single" w:color="auto" w:sz="4" w:space="0"/>
              <w:left w:val="nil"/>
              <w:bottom w:val="single" w:color="auto" w:sz="4" w:space="0"/>
              <w:right w:val="single" w:color="auto" w:sz="4" w:space="0"/>
            </w:tcBorders>
            <w:vAlign w:val="center"/>
          </w:tcPr>
          <w:p w14:paraId="1BF8C489">
            <w:pPr>
              <w:spacing w:line="360" w:lineRule="auto"/>
              <w:jc w:val="center"/>
              <w:rPr>
                <w:rFonts w:ascii="仿宋" w:hAnsi="仿宋" w:eastAsia="仿宋" w:cs="Arial"/>
                <w:color w:val="auto"/>
                <w:highlight w:val="none"/>
              </w:rPr>
            </w:pPr>
          </w:p>
        </w:tc>
        <w:tc>
          <w:tcPr>
            <w:tcW w:w="1301" w:type="dxa"/>
            <w:tcBorders>
              <w:top w:val="single" w:color="auto" w:sz="4" w:space="0"/>
              <w:left w:val="nil"/>
              <w:bottom w:val="single" w:color="auto" w:sz="4" w:space="0"/>
              <w:right w:val="single" w:color="auto" w:sz="4" w:space="0"/>
            </w:tcBorders>
            <w:vAlign w:val="center"/>
          </w:tcPr>
          <w:p w14:paraId="2633B9A3">
            <w:pPr>
              <w:spacing w:line="360" w:lineRule="auto"/>
              <w:jc w:val="center"/>
              <w:rPr>
                <w:rFonts w:ascii="仿宋" w:hAnsi="仿宋" w:eastAsia="仿宋" w:cs="Arial"/>
                <w:color w:val="auto"/>
                <w:highlight w:val="none"/>
              </w:rPr>
            </w:pPr>
          </w:p>
        </w:tc>
        <w:tc>
          <w:tcPr>
            <w:tcW w:w="1134" w:type="dxa"/>
            <w:tcBorders>
              <w:top w:val="single" w:color="auto" w:sz="4" w:space="0"/>
              <w:left w:val="nil"/>
              <w:bottom w:val="single" w:color="auto" w:sz="4" w:space="0"/>
              <w:right w:val="single" w:color="auto" w:sz="4" w:space="0"/>
            </w:tcBorders>
            <w:vAlign w:val="center"/>
          </w:tcPr>
          <w:p w14:paraId="264EEECD">
            <w:pPr>
              <w:spacing w:line="360" w:lineRule="auto"/>
              <w:jc w:val="center"/>
              <w:rPr>
                <w:rFonts w:ascii="仿宋" w:hAnsi="仿宋" w:eastAsia="仿宋" w:cs="Arial"/>
                <w:color w:val="auto"/>
                <w:highlight w:val="none"/>
              </w:rPr>
            </w:pPr>
          </w:p>
        </w:tc>
        <w:tc>
          <w:tcPr>
            <w:tcW w:w="1680" w:type="dxa"/>
            <w:tcBorders>
              <w:top w:val="single" w:color="auto" w:sz="4" w:space="0"/>
              <w:left w:val="nil"/>
              <w:bottom w:val="single" w:color="auto" w:sz="4" w:space="0"/>
              <w:right w:val="single" w:color="auto" w:sz="4" w:space="0"/>
            </w:tcBorders>
          </w:tcPr>
          <w:p w14:paraId="13EC9EB9">
            <w:pPr>
              <w:spacing w:line="360" w:lineRule="auto"/>
              <w:jc w:val="center"/>
              <w:rPr>
                <w:rFonts w:ascii="仿宋" w:hAnsi="仿宋" w:eastAsia="仿宋" w:cs="Arial"/>
                <w:color w:val="auto"/>
                <w:highlight w:val="none"/>
              </w:rPr>
            </w:pPr>
          </w:p>
        </w:tc>
      </w:tr>
      <w:tr w14:paraId="5EBC94DF">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14:paraId="16F45B4E">
            <w:pPr>
              <w:spacing w:line="360" w:lineRule="auto"/>
              <w:jc w:val="center"/>
              <w:rPr>
                <w:rFonts w:ascii="仿宋" w:hAnsi="仿宋" w:eastAsia="仿宋" w:cs="Arial"/>
                <w:color w:val="auto"/>
                <w:highlight w:val="none"/>
              </w:rPr>
            </w:pPr>
          </w:p>
        </w:tc>
        <w:tc>
          <w:tcPr>
            <w:tcW w:w="1695" w:type="dxa"/>
            <w:tcBorders>
              <w:top w:val="single" w:color="auto" w:sz="4" w:space="0"/>
              <w:left w:val="nil"/>
              <w:bottom w:val="single" w:color="auto" w:sz="4" w:space="0"/>
              <w:right w:val="single" w:color="auto" w:sz="4" w:space="0"/>
            </w:tcBorders>
            <w:vAlign w:val="center"/>
          </w:tcPr>
          <w:p w14:paraId="15D641D5">
            <w:pPr>
              <w:spacing w:line="360" w:lineRule="auto"/>
              <w:jc w:val="center"/>
              <w:rPr>
                <w:rFonts w:ascii="仿宋" w:hAnsi="仿宋" w:eastAsia="仿宋"/>
                <w:color w:val="auto"/>
                <w:highlight w:val="none"/>
              </w:rPr>
            </w:pPr>
            <w:r>
              <w:rPr>
                <w:rFonts w:hint="eastAsia" w:ascii="仿宋" w:hAnsi="仿宋" w:eastAsia="仿宋"/>
                <w:color w:val="auto"/>
                <w:highlight w:val="none"/>
              </w:rPr>
              <w:t>……</w:t>
            </w:r>
          </w:p>
        </w:tc>
        <w:tc>
          <w:tcPr>
            <w:tcW w:w="1423" w:type="dxa"/>
            <w:tcBorders>
              <w:top w:val="single" w:color="auto" w:sz="4" w:space="0"/>
              <w:left w:val="nil"/>
              <w:bottom w:val="single" w:color="auto" w:sz="4" w:space="0"/>
              <w:right w:val="single" w:color="auto" w:sz="4" w:space="0"/>
            </w:tcBorders>
            <w:vAlign w:val="center"/>
          </w:tcPr>
          <w:p w14:paraId="5C8AE01A">
            <w:pPr>
              <w:spacing w:line="360" w:lineRule="auto"/>
              <w:jc w:val="center"/>
              <w:rPr>
                <w:rFonts w:ascii="仿宋" w:hAnsi="仿宋" w:eastAsia="仿宋" w:cs="Arial"/>
                <w:color w:val="auto"/>
                <w:highlight w:val="none"/>
              </w:rPr>
            </w:pPr>
          </w:p>
        </w:tc>
        <w:tc>
          <w:tcPr>
            <w:tcW w:w="1276" w:type="dxa"/>
            <w:tcBorders>
              <w:top w:val="single" w:color="auto" w:sz="4" w:space="0"/>
              <w:left w:val="nil"/>
              <w:bottom w:val="single" w:color="auto" w:sz="4" w:space="0"/>
              <w:right w:val="single" w:color="auto" w:sz="4" w:space="0"/>
            </w:tcBorders>
            <w:vAlign w:val="center"/>
          </w:tcPr>
          <w:p w14:paraId="4946B1A0">
            <w:pPr>
              <w:spacing w:line="360" w:lineRule="auto"/>
              <w:jc w:val="center"/>
              <w:rPr>
                <w:rFonts w:ascii="仿宋" w:hAnsi="仿宋" w:eastAsia="仿宋" w:cs="Arial"/>
                <w:color w:val="auto"/>
                <w:highlight w:val="none"/>
              </w:rPr>
            </w:pPr>
          </w:p>
        </w:tc>
        <w:tc>
          <w:tcPr>
            <w:tcW w:w="1301" w:type="dxa"/>
            <w:tcBorders>
              <w:top w:val="single" w:color="auto" w:sz="4" w:space="0"/>
              <w:left w:val="nil"/>
              <w:bottom w:val="single" w:color="auto" w:sz="4" w:space="0"/>
              <w:right w:val="single" w:color="auto" w:sz="4" w:space="0"/>
            </w:tcBorders>
            <w:vAlign w:val="center"/>
          </w:tcPr>
          <w:p w14:paraId="66438634">
            <w:pPr>
              <w:spacing w:line="360" w:lineRule="auto"/>
              <w:jc w:val="center"/>
              <w:rPr>
                <w:rFonts w:ascii="仿宋" w:hAnsi="仿宋" w:eastAsia="仿宋" w:cs="Arial"/>
                <w:color w:val="auto"/>
                <w:highlight w:val="none"/>
              </w:rPr>
            </w:pPr>
          </w:p>
        </w:tc>
        <w:tc>
          <w:tcPr>
            <w:tcW w:w="1134" w:type="dxa"/>
            <w:tcBorders>
              <w:top w:val="single" w:color="auto" w:sz="4" w:space="0"/>
              <w:left w:val="nil"/>
              <w:bottom w:val="single" w:color="auto" w:sz="4" w:space="0"/>
              <w:right w:val="single" w:color="auto" w:sz="4" w:space="0"/>
            </w:tcBorders>
            <w:vAlign w:val="center"/>
          </w:tcPr>
          <w:p w14:paraId="2ACEE853">
            <w:pPr>
              <w:spacing w:line="360" w:lineRule="auto"/>
              <w:jc w:val="center"/>
              <w:rPr>
                <w:rFonts w:ascii="仿宋" w:hAnsi="仿宋" w:eastAsia="仿宋" w:cs="Arial"/>
                <w:color w:val="auto"/>
                <w:highlight w:val="none"/>
              </w:rPr>
            </w:pPr>
          </w:p>
        </w:tc>
        <w:tc>
          <w:tcPr>
            <w:tcW w:w="1680" w:type="dxa"/>
            <w:tcBorders>
              <w:top w:val="single" w:color="auto" w:sz="4" w:space="0"/>
              <w:left w:val="nil"/>
              <w:bottom w:val="single" w:color="auto" w:sz="4" w:space="0"/>
              <w:right w:val="single" w:color="auto" w:sz="4" w:space="0"/>
            </w:tcBorders>
          </w:tcPr>
          <w:p w14:paraId="0239594C">
            <w:pPr>
              <w:spacing w:line="360" w:lineRule="auto"/>
              <w:jc w:val="center"/>
              <w:rPr>
                <w:rFonts w:ascii="仿宋" w:hAnsi="仿宋" w:eastAsia="仿宋" w:cs="Arial"/>
                <w:color w:val="auto"/>
                <w:highlight w:val="none"/>
              </w:rPr>
            </w:pPr>
          </w:p>
        </w:tc>
      </w:tr>
    </w:tbl>
    <w:p w14:paraId="3E948754">
      <w:pPr>
        <w:spacing w:line="360" w:lineRule="auto"/>
        <w:ind w:left="359" w:leftChars="171"/>
        <w:rPr>
          <w:rFonts w:ascii="仿宋" w:hAnsi="仿宋" w:eastAsia="仿宋"/>
          <w:color w:val="auto"/>
          <w:highlight w:val="none"/>
        </w:rPr>
      </w:pPr>
    </w:p>
    <w:p w14:paraId="3D555EC1">
      <w:pPr>
        <w:spacing w:line="360" w:lineRule="auto"/>
        <w:ind w:left="359" w:leftChars="171"/>
        <w:rPr>
          <w:rFonts w:ascii="仿宋" w:hAnsi="仿宋" w:eastAsia="仿宋"/>
          <w:color w:val="auto"/>
          <w:highlight w:val="none"/>
        </w:rPr>
      </w:pPr>
    </w:p>
    <w:p w14:paraId="66AB37AA">
      <w:pPr>
        <w:spacing w:line="360" w:lineRule="auto"/>
        <w:ind w:left="359" w:leftChars="171"/>
        <w:rPr>
          <w:rFonts w:ascii="仿宋" w:hAnsi="仿宋" w:eastAsia="仿宋" w:cs="Arial"/>
          <w:color w:val="auto"/>
          <w:highlight w:val="none"/>
        </w:rPr>
      </w:pPr>
    </w:p>
    <w:p w14:paraId="2B440736">
      <w:pPr>
        <w:spacing w:line="360" w:lineRule="auto"/>
        <w:rPr>
          <w:rFonts w:ascii="仿宋" w:hAnsi="仿宋" w:eastAsia="仿宋"/>
          <w:color w:val="auto"/>
          <w:sz w:val="24"/>
          <w:highlight w:val="none"/>
        </w:rPr>
      </w:pPr>
      <w:r>
        <w:rPr>
          <w:rFonts w:hint="eastAsia" w:ascii="仿宋" w:hAnsi="仿宋" w:eastAsia="仿宋"/>
          <w:color w:val="auto"/>
          <w:sz w:val="24"/>
          <w:highlight w:val="none"/>
        </w:rPr>
        <w:t>供应商名称：XXX（盖单位公章）</w:t>
      </w:r>
    </w:p>
    <w:p w14:paraId="3F7CACC5">
      <w:pPr>
        <w:spacing w:line="360" w:lineRule="auto"/>
        <w:rPr>
          <w:rFonts w:ascii="仿宋" w:hAnsi="仿宋" w:eastAsia="仿宋"/>
          <w:color w:val="auto"/>
          <w:sz w:val="24"/>
          <w:highlight w:val="none"/>
        </w:rPr>
      </w:pPr>
      <w:r>
        <w:rPr>
          <w:rFonts w:hint="eastAsia" w:ascii="仿宋" w:hAnsi="仿宋" w:eastAsia="仿宋"/>
          <w:color w:val="auto"/>
          <w:sz w:val="24"/>
          <w:highlight w:val="none"/>
        </w:rPr>
        <w:t>法定代表人/单位负责人或授权代表（签字或加盖个人印章）：XXX</w:t>
      </w:r>
    </w:p>
    <w:p w14:paraId="5AFA1B47">
      <w:pPr>
        <w:spacing w:line="360" w:lineRule="auto"/>
        <w:rPr>
          <w:rFonts w:ascii="仿宋" w:hAnsi="仿宋" w:eastAsia="仿宋"/>
          <w:color w:val="auto"/>
          <w:sz w:val="24"/>
          <w:highlight w:val="none"/>
        </w:rPr>
      </w:pPr>
      <w:r>
        <w:rPr>
          <w:rFonts w:hint="eastAsia" w:ascii="仿宋" w:hAnsi="仿宋" w:eastAsia="仿宋"/>
          <w:color w:val="auto"/>
          <w:sz w:val="24"/>
          <w:highlight w:val="none"/>
        </w:rPr>
        <w:t>日      期：XXX</w:t>
      </w:r>
    </w:p>
    <w:p w14:paraId="0C8A82E1">
      <w:pPr>
        <w:spacing w:line="360" w:lineRule="auto"/>
        <w:rPr>
          <w:rFonts w:ascii="仿宋" w:hAnsi="仿宋" w:eastAsia="仿宋"/>
          <w:color w:val="auto"/>
          <w:highlight w:val="none"/>
        </w:rPr>
      </w:pPr>
      <w:r>
        <w:rPr>
          <w:rFonts w:hint="eastAsia" w:ascii="仿宋" w:hAnsi="仿宋" w:eastAsia="仿宋"/>
          <w:color w:val="auto"/>
          <w:highlight w:val="none"/>
        </w:rPr>
        <w:br w:type="page"/>
      </w:r>
    </w:p>
    <w:p w14:paraId="7BB1D6D6">
      <w:pPr>
        <w:spacing w:line="360" w:lineRule="auto"/>
        <w:jc w:val="center"/>
        <w:rPr>
          <w:rFonts w:ascii="仿宋" w:hAnsi="仿宋" w:eastAsia="仿宋"/>
          <w:color w:val="auto"/>
          <w:highlight w:val="none"/>
        </w:rPr>
      </w:pPr>
    </w:p>
    <w:p w14:paraId="2BCB827E">
      <w:pPr>
        <w:spacing w:line="360" w:lineRule="auto"/>
        <w:jc w:val="center"/>
        <w:rPr>
          <w:rFonts w:ascii="仿宋" w:hAnsi="仿宋" w:eastAsia="仿宋"/>
          <w:b/>
          <w:bCs/>
          <w:color w:val="auto"/>
          <w:sz w:val="24"/>
          <w:highlight w:val="none"/>
        </w:rPr>
      </w:pPr>
      <w:r>
        <w:rPr>
          <w:rFonts w:hint="eastAsia" w:ascii="仿宋" w:hAnsi="仿宋" w:eastAsia="仿宋"/>
          <w:b/>
          <w:bCs/>
          <w:color w:val="auto"/>
          <w:sz w:val="24"/>
          <w:highlight w:val="none"/>
        </w:rPr>
        <w:t>（二）主要人员简历表</w:t>
      </w:r>
    </w:p>
    <w:p w14:paraId="317E2930">
      <w:pPr>
        <w:spacing w:line="360" w:lineRule="auto"/>
        <w:rPr>
          <w:rFonts w:ascii="仿宋" w:hAnsi="仿宋" w:eastAsia="仿宋"/>
          <w:color w:val="auto"/>
          <w:highlight w:val="none"/>
        </w:rPr>
      </w:pPr>
    </w:p>
    <w:tbl>
      <w:tblPr>
        <w:tblStyle w:val="18"/>
        <w:tblW w:w="4998" w:type="pct"/>
        <w:tblInd w:w="0" w:type="dxa"/>
        <w:tblLayout w:type="autofit"/>
        <w:tblCellMar>
          <w:top w:w="0" w:type="dxa"/>
          <w:left w:w="0" w:type="dxa"/>
          <w:bottom w:w="0" w:type="dxa"/>
          <w:right w:w="0" w:type="dxa"/>
        </w:tblCellMar>
      </w:tblPr>
      <w:tblGrid>
        <w:gridCol w:w="1538"/>
        <w:gridCol w:w="25"/>
        <w:gridCol w:w="1169"/>
        <w:gridCol w:w="1093"/>
        <w:gridCol w:w="1234"/>
        <w:gridCol w:w="1777"/>
        <w:gridCol w:w="2241"/>
      </w:tblGrid>
      <w:tr w14:paraId="56D124E8">
        <w:tblPrEx>
          <w:tblCellMar>
            <w:top w:w="0" w:type="dxa"/>
            <w:left w:w="0" w:type="dxa"/>
            <w:bottom w:w="0" w:type="dxa"/>
            <w:right w:w="0" w:type="dxa"/>
          </w:tblCellMar>
        </w:tblPrEx>
        <w:trPr>
          <w:trHeight w:val="463" w:hRule="atLeast"/>
        </w:trPr>
        <w:tc>
          <w:tcPr>
            <w:tcW w:w="847" w:type="pct"/>
            <w:tcBorders>
              <w:top w:val="single" w:color="auto" w:sz="4" w:space="0"/>
              <w:left w:val="single" w:color="auto" w:sz="4" w:space="0"/>
              <w:bottom w:val="single" w:color="auto" w:sz="4" w:space="0"/>
              <w:right w:val="single" w:color="auto" w:sz="4" w:space="0"/>
            </w:tcBorders>
            <w:vAlign w:val="center"/>
          </w:tcPr>
          <w:p w14:paraId="7BBB5A18">
            <w:pPr>
              <w:spacing w:line="360" w:lineRule="auto"/>
              <w:jc w:val="center"/>
              <w:rPr>
                <w:rFonts w:ascii="仿宋" w:hAnsi="仿宋" w:eastAsia="仿宋" w:cs="Arial"/>
                <w:color w:val="auto"/>
                <w:highlight w:val="none"/>
              </w:rPr>
            </w:pPr>
            <w:r>
              <w:rPr>
                <w:rFonts w:hint="eastAsia" w:ascii="仿宋" w:hAnsi="仿宋" w:eastAsia="仿宋"/>
                <w:color w:val="auto"/>
                <w:highlight w:val="none"/>
              </w:rPr>
              <w:t>姓名</w:t>
            </w:r>
          </w:p>
        </w:tc>
        <w:tc>
          <w:tcPr>
            <w:tcW w:w="658" w:type="pct"/>
            <w:gridSpan w:val="2"/>
            <w:tcBorders>
              <w:top w:val="single" w:color="auto" w:sz="4" w:space="0"/>
              <w:left w:val="nil"/>
              <w:bottom w:val="single" w:color="auto" w:sz="4" w:space="0"/>
              <w:right w:val="single" w:color="auto" w:sz="4" w:space="0"/>
            </w:tcBorders>
          </w:tcPr>
          <w:p w14:paraId="166F9ECB">
            <w:pPr>
              <w:spacing w:line="360" w:lineRule="auto"/>
              <w:jc w:val="center"/>
              <w:rPr>
                <w:rFonts w:ascii="仿宋" w:hAnsi="仿宋" w:eastAsia="仿宋" w:cs="Arial"/>
                <w:color w:val="auto"/>
                <w:highlight w:val="none"/>
              </w:rPr>
            </w:pPr>
          </w:p>
        </w:tc>
        <w:tc>
          <w:tcPr>
            <w:tcW w:w="602" w:type="pct"/>
            <w:tcBorders>
              <w:top w:val="single" w:color="auto" w:sz="4" w:space="0"/>
              <w:left w:val="nil"/>
              <w:bottom w:val="single" w:color="auto" w:sz="4" w:space="0"/>
              <w:right w:val="single" w:color="auto" w:sz="4" w:space="0"/>
            </w:tcBorders>
            <w:vAlign w:val="center"/>
          </w:tcPr>
          <w:p w14:paraId="509A18D3">
            <w:pPr>
              <w:spacing w:line="360" w:lineRule="auto"/>
              <w:jc w:val="center"/>
              <w:rPr>
                <w:rFonts w:ascii="仿宋" w:hAnsi="仿宋" w:eastAsia="仿宋" w:cs="Arial"/>
                <w:color w:val="auto"/>
                <w:highlight w:val="none"/>
              </w:rPr>
            </w:pPr>
            <w:r>
              <w:rPr>
                <w:rFonts w:hint="eastAsia" w:ascii="仿宋" w:hAnsi="仿宋" w:eastAsia="仿宋"/>
                <w:color w:val="auto"/>
                <w:highlight w:val="none"/>
              </w:rPr>
              <w:t>年龄</w:t>
            </w:r>
          </w:p>
        </w:tc>
        <w:tc>
          <w:tcPr>
            <w:tcW w:w="2890" w:type="pct"/>
            <w:gridSpan w:val="3"/>
            <w:tcBorders>
              <w:top w:val="single" w:color="auto" w:sz="4" w:space="0"/>
              <w:left w:val="nil"/>
              <w:bottom w:val="single" w:color="auto" w:sz="4" w:space="0"/>
              <w:right w:val="single" w:color="auto" w:sz="4" w:space="0"/>
            </w:tcBorders>
          </w:tcPr>
          <w:p w14:paraId="1308B586">
            <w:pPr>
              <w:spacing w:line="360" w:lineRule="auto"/>
              <w:jc w:val="center"/>
              <w:rPr>
                <w:rFonts w:ascii="仿宋" w:hAnsi="仿宋" w:eastAsia="仿宋" w:cs="Arial"/>
                <w:color w:val="auto"/>
                <w:highlight w:val="none"/>
              </w:rPr>
            </w:pPr>
          </w:p>
        </w:tc>
      </w:tr>
      <w:tr w14:paraId="30FD064B">
        <w:tblPrEx>
          <w:tblCellMar>
            <w:top w:w="0" w:type="dxa"/>
            <w:left w:w="0" w:type="dxa"/>
            <w:bottom w:w="0" w:type="dxa"/>
            <w:right w:w="0" w:type="dxa"/>
          </w:tblCellMar>
        </w:tblPrEx>
        <w:trPr>
          <w:trHeight w:val="451" w:hRule="atLeast"/>
        </w:trPr>
        <w:tc>
          <w:tcPr>
            <w:tcW w:w="847" w:type="pct"/>
            <w:tcBorders>
              <w:top w:val="single" w:color="auto" w:sz="4" w:space="0"/>
              <w:left w:val="single" w:color="auto" w:sz="4" w:space="0"/>
              <w:bottom w:val="single" w:color="auto" w:sz="4" w:space="0"/>
              <w:right w:val="single" w:color="auto" w:sz="4" w:space="0"/>
            </w:tcBorders>
            <w:vAlign w:val="center"/>
          </w:tcPr>
          <w:p w14:paraId="449ACA18">
            <w:pPr>
              <w:spacing w:line="360" w:lineRule="auto"/>
              <w:jc w:val="center"/>
              <w:rPr>
                <w:rFonts w:ascii="仿宋" w:hAnsi="仿宋" w:eastAsia="仿宋" w:cs="Arial"/>
                <w:color w:val="auto"/>
                <w:highlight w:val="none"/>
              </w:rPr>
            </w:pPr>
            <w:r>
              <w:rPr>
                <w:rFonts w:hint="eastAsia" w:ascii="仿宋" w:hAnsi="仿宋" w:eastAsia="仿宋"/>
                <w:color w:val="auto"/>
                <w:highlight w:val="none"/>
              </w:rPr>
              <w:t>职称</w:t>
            </w:r>
          </w:p>
        </w:tc>
        <w:tc>
          <w:tcPr>
            <w:tcW w:w="658" w:type="pct"/>
            <w:gridSpan w:val="2"/>
            <w:tcBorders>
              <w:top w:val="single" w:color="auto" w:sz="4" w:space="0"/>
              <w:left w:val="nil"/>
              <w:bottom w:val="single" w:color="auto" w:sz="4" w:space="0"/>
              <w:right w:val="single" w:color="auto" w:sz="4" w:space="0"/>
            </w:tcBorders>
          </w:tcPr>
          <w:p w14:paraId="30A14B57">
            <w:pPr>
              <w:spacing w:line="360" w:lineRule="auto"/>
              <w:jc w:val="center"/>
              <w:rPr>
                <w:rFonts w:ascii="仿宋" w:hAnsi="仿宋" w:eastAsia="仿宋" w:cs="Arial"/>
                <w:color w:val="auto"/>
                <w:highlight w:val="none"/>
              </w:rPr>
            </w:pPr>
          </w:p>
        </w:tc>
        <w:tc>
          <w:tcPr>
            <w:tcW w:w="602" w:type="pct"/>
            <w:tcBorders>
              <w:top w:val="single" w:color="auto" w:sz="4" w:space="0"/>
              <w:left w:val="nil"/>
              <w:bottom w:val="single" w:color="auto" w:sz="4" w:space="0"/>
              <w:right w:val="single" w:color="auto" w:sz="4" w:space="0"/>
            </w:tcBorders>
            <w:vAlign w:val="center"/>
          </w:tcPr>
          <w:p w14:paraId="3DECA3BB">
            <w:pPr>
              <w:spacing w:line="360" w:lineRule="auto"/>
              <w:jc w:val="center"/>
              <w:rPr>
                <w:rFonts w:ascii="仿宋" w:hAnsi="仿宋" w:eastAsia="仿宋" w:cs="Arial"/>
                <w:color w:val="auto"/>
                <w:highlight w:val="none"/>
              </w:rPr>
            </w:pPr>
            <w:r>
              <w:rPr>
                <w:rFonts w:hint="eastAsia" w:ascii="仿宋" w:hAnsi="仿宋" w:eastAsia="仿宋"/>
                <w:color w:val="auto"/>
                <w:highlight w:val="none"/>
              </w:rPr>
              <w:t>职务</w:t>
            </w:r>
          </w:p>
        </w:tc>
        <w:tc>
          <w:tcPr>
            <w:tcW w:w="678" w:type="pct"/>
            <w:tcBorders>
              <w:top w:val="single" w:color="auto" w:sz="4" w:space="0"/>
              <w:left w:val="nil"/>
              <w:bottom w:val="single" w:color="auto" w:sz="4" w:space="0"/>
              <w:right w:val="single" w:color="auto" w:sz="4" w:space="0"/>
            </w:tcBorders>
          </w:tcPr>
          <w:p w14:paraId="08BCABBE">
            <w:pPr>
              <w:spacing w:line="360" w:lineRule="auto"/>
              <w:jc w:val="center"/>
              <w:rPr>
                <w:rFonts w:ascii="仿宋" w:hAnsi="仿宋" w:eastAsia="仿宋" w:cs="Arial"/>
                <w:color w:val="auto"/>
                <w:highlight w:val="none"/>
              </w:rPr>
            </w:pPr>
          </w:p>
        </w:tc>
        <w:tc>
          <w:tcPr>
            <w:tcW w:w="979" w:type="pct"/>
            <w:tcBorders>
              <w:top w:val="single" w:color="auto" w:sz="4" w:space="0"/>
              <w:left w:val="nil"/>
              <w:bottom w:val="single" w:color="auto" w:sz="4" w:space="0"/>
              <w:right w:val="single" w:color="auto" w:sz="4" w:space="0"/>
            </w:tcBorders>
            <w:vAlign w:val="center"/>
          </w:tcPr>
          <w:p w14:paraId="37E978D5">
            <w:pPr>
              <w:spacing w:line="360" w:lineRule="auto"/>
              <w:jc w:val="center"/>
              <w:rPr>
                <w:rFonts w:ascii="仿宋" w:hAnsi="仿宋" w:eastAsia="仿宋" w:cs="Arial"/>
                <w:color w:val="auto"/>
                <w:highlight w:val="none"/>
              </w:rPr>
            </w:pPr>
            <w:r>
              <w:rPr>
                <w:rFonts w:hint="eastAsia" w:ascii="仿宋" w:hAnsi="仿宋" w:eastAsia="仿宋"/>
                <w:color w:val="auto"/>
                <w:highlight w:val="none"/>
              </w:rPr>
              <w:t>拟在本合同任职</w:t>
            </w:r>
          </w:p>
        </w:tc>
        <w:tc>
          <w:tcPr>
            <w:tcW w:w="1232" w:type="pct"/>
            <w:tcBorders>
              <w:top w:val="single" w:color="auto" w:sz="4" w:space="0"/>
              <w:left w:val="nil"/>
              <w:bottom w:val="single" w:color="auto" w:sz="4" w:space="0"/>
              <w:right w:val="single" w:color="auto" w:sz="4" w:space="0"/>
            </w:tcBorders>
          </w:tcPr>
          <w:p w14:paraId="566A7783">
            <w:pPr>
              <w:spacing w:line="360" w:lineRule="auto"/>
              <w:jc w:val="center"/>
              <w:rPr>
                <w:rFonts w:ascii="仿宋" w:hAnsi="仿宋" w:eastAsia="仿宋" w:cs="Arial"/>
                <w:color w:val="auto"/>
                <w:highlight w:val="none"/>
              </w:rPr>
            </w:pPr>
          </w:p>
        </w:tc>
      </w:tr>
      <w:tr w14:paraId="0663532B">
        <w:tblPrEx>
          <w:tblCellMar>
            <w:top w:w="0" w:type="dxa"/>
            <w:left w:w="0" w:type="dxa"/>
            <w:bottom w:w="0" w:type="dxa"/>
            <w:right w:w="0" w:type="dxa"/>
          </w:tblCellMar>
        </w:tblPrEx>
        <w:trPr>
          <w:trHeight w:val="613"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15CDBC9B">
            <w:pPr>
              <w:spacing w:line="360" w:lineRule="auto"/>
              <w:ind w:firstLine="4200" w:firstLineChars="2000"/>
              <w:rPr>
                <w:rFonts w:ascii="仿宋" w:hAnsi="仿宋" w:eastAsia="仿宋" w:cs="Arial"/>
                <w:color w:val="auto"/>
                <w:highlight w:val="none"/>
              </w:rPr>
            </w:pPr>
            <w:r>
              <w:rPr>
                <w:rFonts w:hint="eastAsia" w:ascii="仿宋" w:hAnsi="仿宋" w:eastAsia="仿宋"/>
                <w:color w:val="auto"/>
                <w:highlight w:val="none"/>
              </w:rPr>
              <w:t>主要工作经历</w:t>
            </w:r>
          </w:p>
        </w:tc>
      </w:tr>
      <w:tr w14:paraId="5DA3352F">
        <w:tblPrEx>
          <w:tblCellMar>
            <w:top w:w="0" w:type="dxa"/>
            <w:left w:w="0" w:type="dxa"/>
            <w:bottom w:w="0" w:type="dxa"/>
            <w:right w:w="0" w:type="dxa"/>
          </w:tblCellMar>
        </w:tblPrEx>
        <w:trPr>
          <w:trHeight w:val="613" w:hRule="atLeast"/>
        </w:trPr>
        <w:tc>
          <w:tcPr>
            <w:tcW w:w="861" w:type="pct"/>
            <w:gridSpan w:val="2"/>
            <w:tcBorders>
              <w:top w:val="single" w:color="auto" w:sz="4" w:space="0"/>
              <w:left w:val="single" w:color="auto" w:sz="4" w:space="0"/>
              <w:bottom w:val="single" w:color="auto" w:sz="4" w:space="0"/>
              <w:right w:val="single" w:color="auto" w:sz="4" w:space="0"/>
            </w:tcBorders>
            <w:vAlign w:val="center"/>
          </w:tcPr>
          <w:p w14:paraId="39F058DC">
            <w:pPr>
              <w:spacing w:line="360" w:lineRule="auto"/>
              <w:jc w:val="center"/>
              <w:rPr>
                <w:rFonts w:ascii="仿宋" w:hAnsi="仿宋" w:eastAsia="仿宋" w:cs="Arial"/>
                <w:color w:val="auto"/>
                <w:highlight w:val="none"/>
              </w:rPr>
            </w:pPr>
            <w:r>
              <w:rPr>
                <w:rFonts w:hint="eastAsia" w:ascii="仿宋" w:hAnsi="仿宋" w:eastAsia="仿宋"/>
                <w:color w:val="auto"/>
                <w:highlight w:val="none"/>
              </w:rPr>
              <w:t>时间</w:t>
            </w:r>
          </w:p>
        </w:tc>
        <w:tc>
          <w:tcPr>
            <w:tcW w:w="1926" w:type="pct"/>
            <w:gridSpan w:val="3"/>
            <w:tcBorders>
              <w:top w:val="single" w:color="auto" w:sz="4" w:space="0"/>
              <w:left w:val="nil"/>
              <w:bottom w:val="single" w:color="auto" w:sz="4" w:space="0"/>
              <w:right w:val="single" w:color="auto" w:sz="4" w:space="0"/>
            </w:tcBorders>
            <w:vAlign w:val="center"/>
          </w:tcPr>
          <w:p w14:paraId="652E8634">
            <w:pPr>
              <w:spacing w:line="360" w:lineRule="auto"/>
              <w:jc w:val="center"/>
              <w:rPr>
                <w:rFonts w:ascii="仿宋" w:hAnsi="仿宋" w:eastAsia="仿宋" w:cs="Arial"/>
                <w:color w:val="auto"/>
                <w:highlight w:val="none"/>
              </w:rPr>
            </w:pPr>
            <w:r>
              <w:rPr>
                <w:rFonts w:hint="eastAsia" w:ascii="仿宋" w:hAnsi="仿宋" w:eastAsia="仿宋"/>
                <w:color w:val="auto"/>
                <w:highlight w:val="none"/>
              </w:rPr>
              <w:t>项目名称</w:t>
            </w:r>
          </w:p>
        </w:tc>
        <w:tc>
          <w:tcPr>
            <w:tcW w:w="979" w:type="pct"/>
            <w:tcBorders>
              <w:top w:val="single" w:color="auto" w:sz="4" w:space="0"/>
              <w:left w:val="nil"/>
              <w:bottom w:val="single" w:color="auto" w:sz="4" w:space="0"/>
              <w:right w:val="single" w:color="auto" w:sz="4" w:space="0"/>
            </w:tcBorders>
            <w:vAlign w:val="center"/>
          </w:tcPr>
          <w:p w14:paraId="1DE6EB66">
            <w:pPr>
              <w:spacing w:line="360" w:lineRule="auto"/>
              <w:jc w:val="center"/>
              <w:rPr>
                <w:rFonts w:ascii="仿宋" w:hAnsi="仿宋" w:eastAsia="仿宋" w:cs="Arial"/>
                <w:color w:val="auto"/>
                <w:highlight w:val="none"/>
              </w:rPr>
            </w:pPr>
            <w:r>
              <w:rPr>
                <w:rFonts w:hint="eastAsia" w:ascii="仿宋" w:hAnsi="仿宋" w:eastAsia="仿宋"/>
                <w:color w:val="auto"/>
                <w:highlight w:val="none"/>
              </w:rPr>
              <w:t>担任职务</w:t>
            </w:r>
          </w:p>
        </w:tc>
        <w:tc>
          <w:tcPr>
            <w:tcW w:w="1232" w:type="pct"/>
            <w:tcBorders>
              <w:top w:val="single" w:color="auto" w:sz="4" w:space="0"/>
              <w:left w:val="nil"/>
              <w:bottom w:val="single" w:color="auto" w:sz="4" w:space="0"/>
              <w:right w:val="single" w:color="auto" w:sz="4" w:space="0"/>
            </w:tcBorders>
            <w:vAlign w:val="center"/>
          </w:tcPr>
          <w:p w14:paraId="0FB81192">
            <w:pPr>
              <w:spacing w:line="360" w:lineRule="auto"/>
              <w:jc w:val="center"/>
              <w:rPr>
                <w:rFonts w:ascii="仿宋" w:hAnsi="仿宋" w:eastAsia="仿宋" w:cs="Arial"/>
                <w:color w:val="auto"/>
                <w:highlight w:val="none"/>
              </w:rPr>
            </w:pPr>
            <w:r>
              <w:rPr>
                <w:rFonts w:hint="eastAsia" w:ascii="仿宋" w:hAnsi="仿宋" w:eastAsia="仿宋"/>
                <w:color w:val="auto"/>
                <w:highlight w:val="none"/>
              </w:rPr>
              <w:t>发包人</w:t>
            </w:r>
          </w:p>
        </w:tc>
      </w:tr>
      <w:tr w14:paraId="77AF3543">
        <w:tblPrEx>
          <w:tblCellMar>
            <w:top w:w="0" w:type="dxa"/>
            <w:left w:w="0" w:type="dxa"/>
            <w:bottom w:w="0" w:type="dxa"/>
            <w:right w:w="0" w:type="dxa"/>
          </w:tblCellMar>
        </w:tblPrEx>
        <w:trPr>
          <w:trHeight w:val="613" w:hRule="atLeast"/>
        </w:trPr>
        <w:tc>
          <w:tcPr>
            <w:tcW w:w="861" w:type="pct"/>
            <w:gridSpan w:val="2"/>
            <w:tcBorders>
              <w:top w:val="single" w:color="auto" w:sz="4" w:space="0"/>
              <w:left w:val="single" w:color="auto" w:sz="4" w:space="0"/>
              <w:bottom w:val="single" w:color="auto" w:sz="4" w:space="0"/>
              <w:right w:val="single" w:color="auto" w:sz="4" w:space="0"/>
            </w:tcBorders>
            <w:vAlign w:val="center"/>
          </w:tcPr>
          <w:p w14:paraId="0D16C222">
            <w:pPr>
              <w:spacing w:line="360" w:lineRule="auto"/>
              <w:jc w:val="center"/>
              <w:rPr>
                <w:rFonts w:ascii="仿宋" w:hAnsi="仿宋" w:eastAsia="仿宋" w:cs="Arial"/>
                <w:color w:val="auto"/>
                <w:highlight w:val="none"/>
              </w:rPr>
            </w:pPr>
          </w:p>
        </w:tc>
        <w:tc>
          <w:tcPr>
            <w:tcW w:w="1926" w:type="pct"/>
            <w:gridSpan w:val="3"/>
            <w:tcBorders>
              <w:top w:val="single" w:color="auto" w:sz="4" w:space="0"/>
              <w:left w:val="nil"/>
              <w:bottom w:val="single" w:color="auto" w:sz="4" w:space="0"/>
              <w:right w:val="single" w:color="auto" w:sz="4" w:space="0"/>
            </w:tcBorders>
            <w:vAlign w:val="center"/>
          </w:tcPr>
          <w:p w14:paraId="5B2F0EBB">
            <w:pPr>
              <w:spacing w:line="360" w:lineRule="auto"/>
              <w:jc w:val="center"/>
              <w:rPr>
                <w:rFonts w:ascii="仿宋" w:hAnsi="仿宋" w:eastAsia="仿宋" w:cs="Arial"/>
                <w:color w:val="auto"/>
                <w:highlight w:val="none"/>
              </w:rPr>
            </w:pPr>
          </w:p>
        </w:tc>
        <w:tc>
          <w:tcPr>
            <w:tcW w:w="979" w:type="pct"/>
            <w:tcBorders>
              <w:top w:val="single" w:color="auto" w:sz="4" w:space="0"/>
              <w:left w:val="nil"/>
              <w:bottom w:val="single" w:color="auto" w:sz="4" w:space="0"/>
              <w:right w:val="single" w:color="auto" w:sz="4" w:space="0"/>
            </w:tcBorders>
            <w:vAlign w:val="center"/>
          </w:tcPr>
          <w:p w14:paraId="099944B3">
            <w:pPr>
              <w:spacing w:line="360" w:lineRule="auto"/>
              <w:jc w:val="center"/>
              <w:rPr>
                <w:rFonts w:ascii="仿宋" w:hAnsi="仿宋" w:eastAsia="仿宋" w:cs="Arial"/>
                <w:color w:val="auto"/>
                <w:highlight w:val="none"/>
              </w:rPr>
            </w:pPr>
          </w:p>
        </w:tc>
        <w:tc>
          <w:tcPr>
            <w:tcW w:w="1232" w:type="pct"/>
            <w:tcBorders>
              <w:top w:val="single" w:color="auto" w:sz="4" w:space="0"/>
              <w:left w:val="nil"/>
              <w:bottom w:val="single" w:color="auto" w:sz="4" w:space="0"/>
              <w:right w:val="single" w:color="auto" w:sz="4" w:space="0"/>
            </w:tcBorders>
            <w:vAlign w:val="center"/>
          </w:tcPr>
          <w:p w14:paraId="42409B68">
            <w:pPr>
              <w:spacing w:line="360" w:lineRule="auto"/>
              <w:jc w:val="center"/>
              <w:rPr>
                <w:rFonts w:ascii="仿宋" w:hAnsi="仿宋" w:eastAsia="仿宋" w:cs="Arial"/>
                <w:color w:val="auto"/>
                <w:highlight w:val="none"/>
              </w:rPr>
            </w:pPr>
          </w:p>
        </w:tc>
      </w:tr>
      <w:tr w14:paraId="1460151F">
        <w:tblPrEx>
          <w:tblCellMar>
            <w:top w:w="0" w:type="dxa"/>
            <w:left w:w="0" w:type="dxa"/>
            <w:bottom w:w="0" w:type="dxa"/>
            <w:right w:w="0" w:type="dxa"/>
          </w:tblCellMar>
        </w:tblPrEx>
        <w:trPr>
          <w:trHeight w:val="613" w:hRule="atLeast"/>
        </w:trPr>
        <w:tc>
          <w:tcPr>
            <w:tcW w:w="861" w:type="pct"/>
            <w:gridSpan w:val="2"/>
            <w:tcBorders>
              <w:top w:val="single" w:color="auto" w:sz="4" w:space="0"/>
              <w:left w:val="single" w:color="auto" w:sz="4" w:space="0"/>
              <w:bottom w:val="single" w:color="auto" w:sz="4" w:space="0"/>
              <w:right w:val="single" w:color="auto" w:sz="4" w:space="0"/>
            </w:tcBorders>
            <w:vAlign w:val="center"/>
          </w:tcPr>
          <w:p w14:paraId="2C27E1F1">
            <w:pPr>
              <w:spacing w:line="360" w:lineRule="auto"/>
              <w:jc w:val="center"/>
              <w:rPr>
                <w:rFonts w:ascii="仿宋" w:hAnsi="仿宋" w:eastAsia="仿宋" w:cs="Arial"/>
                <w:color w:val="auto"/>
                <w:highlight w:val="none"/>
              </w:rPr>
            </w:pPr>
          </w:p>
        </w:tc>
        <w:tc>
          <w:tcPr>
            <w:tcW w:w="1926" w:type="pct"/>
            <w:gridSpan w:val="3"/>
            <w:tcBorders>
              <w:top w:val="single" w:color="auto" w:sz="4" w:space="0"/>
              <w:left w:val="nil"/>
              <w:bottom w:val="single" w:color="auto" w:sz="4" w:space="0"/>
              <w:right w:val="single" w:color="auto" w:sz="4" w:space="0"/>
            </w:tcBorders>
            <w:vAlign w:val="center"/>
          </w:tcPr>
          <w:p w14:paraId="6AAB0883">
            <w:pPr>
              <w:spacing w:line="360" w:lineRule="auto"/>
              <w:jc w:val="center"/>
              <w:rPr>
                <w:rFonts w:ascii="仿宋" w:hAnsi="仿宋" w:eastAsia="仿宋" w:cs="Arial"/>
                <w:color w:val="auto"/>
                <w:highlight w:val="none"/>
              </w:rPr>
            </w:pPr>
          </w:p>
        </w:tc>
        <w:tc>
          <w:tcPr>
            <w:tcW w:w="979" w:type="pct"/>
            <w:tcBorders>
              <w:top w:val="single" w:color="auto" w:sz="4" w:space="0"/>
              <w:left w:val="nil"/>
              <w:bottom w:val="single" w:color="auto" w:sz="4" w:space="0"/>
              <w:right w:val="single" w:color="auto" w:sz="4" w:space="0"/>
            </w:tcBorders>
            <w:vAlign w:val="center"/>
          </w:tcPr>
          <w:p w14:paraId="24CD4AAA">
            <w:pPr>
              <w:spacing w:line="360" w:lineRule="auto"/>
              <w:jc w:val="center"/>
              <w:rPr>
                <w:rFonts w:ascii="仿宋" w:hAnsi="仿宋" w:eastAsia="仿宋" w:cs="Arial"/>
                <w:color w:val="auto"/>
                <w:highlight w:val="none"/>
              </w:rPr>
            </w:pPr>
          </w:p>
        </w:tc>
        <w:tc>
          <w:tcPr>
            <w:tcW w:w="1232" w:type="pct"/>
            <w:tcBorders>
              <w:top w:val="single" w:color="auto" w:sz="4" w:space="0"/>
              <w:left w:val="nil"/>
              <w:bottom w:val="single" w:color="auto" w:sz="4" w:space="0"/>
              <w:right w:val="single" w:color="auto" w:sz="4" w:space="0"/>
            </w:tcBorders>
            <w:vAlign w:val="center"/>
          </w:tcPr>
          <w:p w14:paraId="1B1C258C">
            <w:pPr>
              <w:spacing w:line="360" w:lineRule="auto"/>
              <w:jc w:val="center"/>
              <w:rPr>
                <w:rFonts w:ascii="仿宋" w:hAnsi="仿宋" w:eastAsia="仿宋" w:cs="Arial"/>
                <w:color w:val="auto"/>
                <w:highlight w:val="none"/>
              </w:rPr>
            </w:pPr>
          </w:p>
        </w:tc>
      </w:tr>
      <w:tr w14:paraId="06147753">
        <w:tblPrEx>
          <w:tblCellMar>
            <w:top w:w="0" w:type="dxa"/>
            <w:left w:w="0" w:type="dxa"/>
            <w:bottom w:w="0" w:type="dxa"/>
            <w:right w:w="0" w:type="dxa"/>
          </w:tblCellMar>
        </w:tblPrEx>
        <w:trPr>
          <w:trHeight w:val="613" w:hRule="atLeast"/>
        </w:trPr>
        <w:tc>
          <w:tcPr>
            <w:tcW w:w="861" w:type="pct"/>
            <w:gridSpan w:val="2"/>
            <w:tcBorders>
              <w:top w:val="single" w:color="auto" w:sz="4" w:space="0"/>
              <w:left w:val="single" w:color="auto" w:sz="4" w:space="0"/>
              <w:bottom w:val="single" w:color="auto" w:sz="4" w:space="0"/>
              <w:right w:val="single" w:color="auto" w:sz="4" w:space="0"/>
            </w:tcBorders>
            <w:vAlign w:val="center"/>
          </w:tcPr>
          <w:p w14:paraId="0085B23D">
            <w:pPr>
              <w:spacing w:line="360" w:lineRule="auto"/>
              <w:jc w:val="center"/>
              <w:rPr>
                <w:rFonts w:ascii="仿宋" w:hAnsi="仿宋" w:eastAsia="仿宋" w:cs="Arial"/>
                <w:color w:val="auto"/>
                <w:highlight w:val="none"/>
              </w:rPr>
            </w:pPr>
          </w:p>
        </w:tc>
        <w:tc>
          <w:tcPr>
            <w:tcW w:w="1926" w:type="pct"/>
            <w:gridSpan w:val="3"/>
            <w:tcBorders>
              <w:top w:val="single" w:color="auto" w:sz="4" w:space="0"/>
              <w:left w:val="nil"/>
              <w:bottom w:val="single" w:color="auto" w:sz="4" w:space="0"/>
              <w:right w:val="single" w:color="auto" w:sz="4" w:space="0"/>
            </w:tcBorders>
            <w:vAlign w:val="center"/>
          </w:tcPr>
          <w:p w14:paraId="36D490FC">
            <w:pPr>
              <w:spacing w:line="360" w:lineRule="auto"/>
              <w:jc w:val="center"/>
              <w:rPr>
                <w:rFonts w:ascii="仿宋" w:hAnsi="仿宋" w:eastAsia="仿宋" w:cs="Arial"/>
                <w:color w:val="auto"/>
                <w:highlight w:val="none"/>
              </w:rPr>
            </w:pPr>
          </w:p>
        </w:tc>
        <w:tc>
          <w:tcPr>
            <w:tcW w:w="979" w:type="pct"/>
            <w:tcBorders>
              <w:top w:val="single" w:color="auto" w:sz="4" w:space="0"/>
              <w:left w:val="nil"/>
              <w:bottom w:val="single" w:color="auto" w:sz="4" w:space="0"/>
              <w:right w:val="single" w:color="auto" w:sz="4" w:space="0"/>
            </w:tcBorders>
            <w:vAlign w:val="center"/>
          </w:tcPr>
          <w:p w14:paraId="100DB039">
            <w:pPr>
              <w:spacing w:line="360" w:lineRule="auto"/>
              <w:jc w:val="center"/>
              <w:rPr>
                <w:rFonts w:ascii="仿宋" w:hAnsi="仿宋" w:eastAsia="仿宋" w:cs="Arial"/>
                <w:color w:val="auto"/>
                <w:highlight w:val="none"/>
              </w:rPr>
            </w:pPr>
          </w:p>
        </w:tc>
        <w:tc>
          <w:tcPr>
            <w:tcW w:w="1232" w:type="pct"/>
            <w:tcBorders>
              <w:top w:val="single" w:color="auto" w:sz="4" w:space="0"/>
              <w:left w:val="nil"/>
              <w:bottom w:val="single" w:color="auto" w:sz="4" w:space="0"/>
              <w:right w:val="single" w:color="auto" w:sz="4" w:space="0"/>
            </w:tcBorders>
            <w:vAlign w:val="center"/>
          </w:tcPr>
          <w:p w14:paraId="7E94A1A7">
            <w:pPr>
              <w:spacing w:line="360" w:lineRule="auto"/>
              <w:jc w:val="center"/>
              <w:rPr>
                <w:rFonts w:ascii="仿宋" w:hAnsi="仿宋" w:eastAsia="仿宋" w:cs="Arial"/>
                <w:color w:val="auto"/>
                <w:highlight w:val="none"/>
              </w:rPr>
            </w:pPr>
          </w:p>
        </w:tc>
      </w:tr>
    </w:tbl>
    <w:p w14:paraId="4AB96CFC">
      <w:pPr>
        <w:spacing w:line="360" w:lineRule="auto"/>
        <w:rPr>
          <w:rFonts w:ascii="仿宋" w:hAnsi="仿宋" w:eastAsia="仿宋" w:cs="Arial"/>
          <w:color w:val="auto"/>
          <w:highlight w:val="none"/>
        </w:rPr>
      </w:pPr>
    </w:p>
    <w:p w14:paraId="5E70A9EC">
      <w:pPr>
        <w:spacing w:line="360" w:lineRule="auto"/>
        <w:ind w:left="105" w:hanging="105" w:hangingChars="50"/>
        <w:rPr>
          <w:rFonts w:ascii="仿宋" w:hAnsi="仿宋" w:eastAsia="仿宋"/>
          <w:color w:val="auto"/>
          <w:highlight w:val="none"/>
        </w:rPr>
      </w:pPr>
      <w:r>
        <w:rPr>
          <w:rFonts w:hint="eastAsia" w:ascii="仿宋" w:hAnsi="仿宋" w:eastAsia="仿宋"/>
          <w:color w:val="auto"/>
          <w:highlight w:val="none"/>
        </w:rPr>
        <w:t>注：</w:t>
      </w:r>
    </w:p>
    <w:p w14:paraId="05C0F490">
      <w:pPr>
        <w:spacing w:line="360" w:lineRule="auto"/>
        <w:ind w:left="105" w:hanging="105" w:hangingChars="50"/>
        <w:rPr>
          <w:rFonts w:ascii="仿宋" w:hAnsi="仿宋" w:eastAsia="仿宋"/>
          <w:color w:val="auto"/>
          <w:highlight w:val="none"/>
        </w:rPr>
      </w:pPr>
      <w:r>
        <w:rPr>
          <w:rFonts w:hint="eastAsia" w:ascii="仿宋" w:hAnsi="仿宋" w:eastAsia="仿宋"/>
          <w:color w:val="auto"/>
          <w:highlight w:val="none"/>
        </w:rPr>
        <w:t>1、人员应附身份证。</w:t>
      </w:r>
    </w:p>
    <w:p w14:paraId="325E58EA">
      <w:pPr>
        <w:spacing w:line="360" w:lineRule="auto"/>
        <w:ind w:left="105" w:hanging="105" w:hangingChars="50"/>
        <w:rPr>
          <w:rFonts w:ascii="仿宋" w:hAnsi="仿宋" w:eastAsia="仿宋"/>
          <w:color w:val="auto"/>
          <w:highlight w:val="none"/>
        </w:rPr>
      </w:pPr>
      <w:r>
        <w:rPr>
          <w:rFonts w:hint="eastAsia" w:ascii="仿宋" w:hAnsi="仿宋" w:eastAsia="仿宋"/>
          <w:color w:val="auto"/>
          <w:highlight w:val="none"/>
        </w:rPr>
        <w:t>2、人员应附执业或职业资格或上岗证或职称证。</w:t>
      </w:r>
    </w:p>
    <w:bookmarkEnd w:id="171"/>
    <w:p w14:paraId="2936983A">
      <w:pPr>
        <w:spacing w:line="360" w:lineRule="auto"/>
        <w:rPr>
          <w:rFonts w:ascii="仿宋" w:hAnsi="仿宋" w:eastAsia="仿宋"/>
          <w:color w:val="auto"/>
          <w:sz w:val="32"/>
          <w:szCs w:val="32"/>
          <w:highlight w:val="none"/>
        </w:rPr>
      </w:pPr>
    </w:p>
    <w:p w14:paraId="35B285CF">
      <w:pPr>
        <w:spacing w:line="360" w:lineRule="auto"/>
        <w:rPr>
          <w:rFonts w:ascii="仿宋" w:hAnsi="仿宋" w:eastAsia="仿宋"/>
          <w:color w:val="auto"/>
          <w:sz w:val="32"/>
          <w:szCs w:val="32"/>
          <w:highlight w:val="none"/>
        </w:rPr>
      </w:pPr>
    </w:p>
    <w:p w14:paraId="627E6328">
      <w:pPr>
        <w:spacing w:line="360" w:lineRule="auto"/>
        <w:rPr>
          <w:rFonts w:ascii="仿宋" w:hAnsi="仿宋" w:eastAsia="仿宋"/>
          <w:color w:val="auto"/>
          <w:sz w:val="32"/>
          <w:szCs w:val="32"/>
          <w:highlight w:val="none"/>
        </w:rPr>
      </w:pPr>
    </w:p>
    <w:p w14:paraId="2B7C6EE8">
      <w:pPr>
        <w:rPr>
          <w:rFonts w:ascii="仿宋" w:hAnsi="仿宋" w:eastAsia="仿宋"/>
          <w:color w:val="auto"/>
          <w:sz w:val="32"/>
          <w:szCs w:val="32"/>
          <w:highlight w:val="none"/>
        </w:rPr>
      </w:pPr>
      <w:r>
        <w:rPr>
          <w:rFonts w:ascii="仿宋" w:hAnsi="仿宋" w:eastAsia="仿宋"/>
          <w:color w:val="auto"/>
          <w:sz w:val="32"/>
          <w:szCs w:val="32"/>
          <w:highlight w:val="none"/>
        </w:rPr>
        <w:br w:type="page"/>
      </w:r>
    </w:p>
    <w:p w14:paraId="33F00604">
      <w:pPr>
        <w:widowControl/>
        <w:jc w:val="left"/>
        <w:outlineLvl w:val="1"/>
        <w:rPr>
          <w:rFonts w:hint="default" w:ascii="仿宋" w:hAnsi="仿宋" w:eastAsia="仿宋" w:cs="仿宋"/>
          <w:b/>
          <w:color w:val="auto"/>
          <w:sz w:val="32"/>
          <w:szCs w:val="32"/>
          <w:highlight w:val="none"/>
          <w:lang w:val="en-US" w:eastAsia="zh-CN"/>
        </w:rPr>
      </w:pPr>
      <w:bookmarkStart w:id="186" w:name="_Toc30292"/>
      <w:r>
        <w:rPr>
          <w:rFonts w:hint="eastAsia" w:ascii="仿宋" w:hAnsi="仿宋" w:eastAsia="仿宋" w:cs="仿宋"/>
          <w:b/>
          <w:color w:val="auto"/>
          <w:sz w:val="32"/>
          <w:szCs w:val="32"/>
          <w:highlight w:val="none"/>
        </w:rPr>
        <w:t>格式2-</w:t>
      </w:r>
      <w:bookmarkEnd w:id="186"/>
      <w:r>
        <w:rPr>
          <w:rFonts w:hint="eastAsia" w:ascii="仿宋" w:hAnsi="仿宋" w:eastAsia="仿宋" w:cs="仿宋"/>
          <w:b/>
          <w:color w:val="auto"/>
          <w:sz w:val="32"/>
          <w:szCs w:val="32"/>
          <w:highlight w:val="none"/>
          <w:lang w:val="en-US" w:eastAsia="zh-CN"/>
        </w:rPr>
        <w:t>10</w:t>
      </w:r>
    </w:p>
    <w:p w14:paraId="5B46FD2E">
      <w:pPr>
        <w:keepNext/>
        <w:keepLines w:val="0"/>
        <w:pageBreakBefore w:val="0"/>
        <w:widowControl w:val="0"/>
        <w:kinsoku/>
        <w:overflowPunct/>
        <w:bidi w:val="0"/>
        <w:spacing w:after="0" w:line="360" w:lineRule="atLeast"/>
        <w:jc w:val="center"/>
        <w:textAlignment w:val="auto"/>
        <w:outlineLvl w:val="1"/>
        <w:rPr>
          <w:rFonts w:hint="eastAsia" w:ascii="仿宋" w:hAnsi="仿宋" w:eastAsia="仿宋" w:cs="Times New Roman"/>
          <w:b/>
          <w:color w:val="auto"/>
          <w:sz w:val="32"/>
          <w:szCs w:val="32"/>
          <w:highlight w:val="none"/>
        </w:rPr>
      </w:pPr>
      <w:r>
        <w:rPr>
          <w:rFonts w:hint="eastAsia" w:ascii="仿宋" w:hAnsi="仿宋" w:eastAsia="仿宋" w:cs="Times New Roman"/>
          <w:b/>
          <w:color w:val="auto"/>
          <w:sz w:val="32"/>
          <w:szCs w:val="32"/>
          <w:highlight w:val="none"/>
        </w:rPr>
        <w:t>中小企业声明函</w:t>
      </w:r>
    </w:p>
    <w:p w14:paraId="083709AA">
      <w:pPr>
        <w:keepNext/>
        <w:keepLines w:val="0"/>
        <w:pageBreakBefore w:val="0"/>
        <w:widowControl w:val="0"/>
        <w:kinsoku/>
        <w:overflowPunct/>
        <w:bidi w:val="0"/>
        <w:spacing w:after="160" w:line="360" w:lineRule="auto"/>
        <w:ind w:left="0" w:leftChars="0"/>
        <w:jc w:val="both"/>
        <w:textAlignment w:val="auto"/>
        <w:rPr>
          <w:rFonts w:ascii="宋体" w:hAnsi="宋体" w:eastAsia="宋体" w:cs="Times New Roman"/>
          <w:b/>
          <w:color w:val="auto"/>
          <w:kern w:val="2"/>
          <w:sz w:val="21"/>
          <w:szCs w:val="21"/>
          <w:highlight w:val="none"/>
          <w:lang w:val="en-US" w:eastAsia="zh-CN" w:bidi="ar-SA"/>
        </w:rPr>
      </w:pPr>
    </w:p>
    <w:p w14:paraId="61A621A7">
      <w:pPr>
        <w:keepNext/>
        <w:keepLines w:val="0"/>
        <w:pageBreakBefore w:val="0"/>
        <w:widowControl w:val="0"/>
        <w:kinsoku/>
        <w:wordWrap/>
        <w:overflowPunct/>
        <w:topLinePunct w:val="0"/>
        <w:bidi w:val="0"/>
        <w:adjustRightInd/>
        <w:snapToGrid/>
        <w:spacing w:after="120" w:line="360" w:lineRule="auto"/>
        <w:ind w:firstLine="480" w:firstLineChars="200"/>
        <w:jc w:val="lef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号），本公司（联合体）参加 </w:t>
      </w:r>
      <w:r>
        <w:rPr>
          <w:rFonts w:hint="eastAsia" w:ascii="仿宋" w:hAnsi="仿宋" w:eastAsia="仿宋" w:cs="仿宋"/>
          <w:color w:val="auto"/>
          <w:sz w:val="24"/>
          <w:szCs w:val="24"/>
          <w:highlight w:val="none"/>
          <w:u w:val="single"/>
        </w:rPr>
        <w:t xml:space="preserve">（单位名称） </w:t>
      </w:r>
      <w:r>
        <w:rPr>
          <w:rFonts w:hint="eastAsia" w:ascii="仿宋" w:hAnsi="仿宋" w:eastAsia="仿宋" w:cs="仿宋"/>
          <w:color w:val="auto"/>
          <w:sz w:val="24"/>
          <w:szCs w:val="24"/>
          <w:highlight w:val="none"/>
        </w:rPr>
        <w:t xml:space="preserve">的 </w:t>
      </w:r>
      <w:r>
        <w:rPr>
          <w:rFonts w:hint="eastAsia" w:ascii="仿宋" w:hAnsi="仿宋" w:eastAsia="仿宋" w:cs="仿宋"/>
          <w:color w:val="auto"/>
          <w:sz w:val="24"/>
          <w:szCs w:val="24"/>
          <w:highlight w:val="none"/>
          <w:u w:val="single"/>
        </w:rPr>
        <w:t xml:space="preserve">（项目名称） </w:t>
      </w:r>
      <w:r>
        <w:rPr>
          <w:rFonts w:hint="eastAsia" w:ascii="仿宋" w:hAnsi="仿宋" w:eastAsia="仿宋" w:cs="仿宋"/>
          <w:color w:val="auto"/>
          <w:sz w:val="24"/>
          <w:szCs w:val="24"/>
          <w:highlight w:val="none"/>
        </w:rPr>
        <w:t>采购活动，工程的施工单位全部由符合政策要求的中小企业承接。相关企业（含联合体中的中小企业、签订分包意向协议的中小企业）的具体情况如下：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1.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（采购文件中明确的所属行业）行业 </w:t>
      </w:r>
      <w:r>
        <w:rPr>
          <w:rFonts w:hint="eastAsia" w:ascii="仿宋" w:hAnsi="仿宋" w:eastAsia="仿宋" w:cs="仿宋"/>
          <w:color w:val="auto"/>
          <w:sz w:val="24"/>
          <w:szCs w:val="24"/>
          <w:highlight w:val="none"/>
        </w:rPr>
        <w:t>；承</w:t>
      </w:r>
      <w:r>
        <w:rPr>
          <w:rFonts w:hint="eastAsia" w:ascii="仿宋" w:hAnsi="仿宋" w:eastAsia="仿宋" w:cs="仿宋"/>
          <w:color w:val="auto"/>
          <w:sz w:val="24"/>
          <w:szCs w:val="24"/>
          <w:highlight w:val="none"/>
          <w:lang w:val="en-US" w:eastAsia="zh-CN"/>
        </w:rPr>
        <w:t>建</w:t>
      </w:r>
      <w:r>
        <w:rPr>
          <w:rFonts w:hint="eastAsia" w:ascii="仿宋" w:hAnsi="仿宋" w:eastAsia="仿宋" w:cs="仿宋"/>
          <w:color w:val="auto"/>
          <w:sz w:val="24"/>
          <w:szCs w:val="24"/>
          <w:highlight w:val="none"/>
        </w:rPr>
        <w:t>企业为</w:t>
      </w:r>
      <w:r>
        <w:rPr>
          <w:rFonts w:hint="eastAsia" w:ascii="仿宋" w:hAnsi="仿宋" w:eastAsia="仿宋" w:cs="仿宋"/>
          <w:color w:val="auto"/>
          <w:sz w:val="24"/>
          <w:szCs w:val="24"/>
          <w:highlight w:val="none"/>
          <w:u w:val="single"/>
        </w:rPr>
        <w:t xml:space="preserve"> （企业名称） </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rPr>
        <w:t>；</w:t>
      </w:r>
    </w:p>
    <w:p w14:paraId="5A0E9645">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（标的名称）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（采购文件中明确的所属行业）行业 </w:t>
      </w:r>
      <w:r>
        <w:rPr>
          <w:rFonts w:hint="eastAsia" w:ascii="仿宋" w:hAnsi="仿宋" w:eastAsia="仿宋" w:cs="仿宋"/>
          <w:color w:val="auto"/>
          <w:sz w:val="24"/>
          <w:szCs w:val="24"/>
          <w:highlight w:val="none"/>
        </w:rPr>
        <w:t>；承</w:t>
      </w:r>
      <w:r>
        <w:rPr>
          <w:rFonts w:hint="eastAsia" w:ascii="仿宋" w:hAnsi="仿宋" w:eastAsia="仿宋" w:cs="仿宋"/>
          <w:color w:val="auto"/>
          <w:sz w:val="24"/>
          <w:szCs w:val="24"/>
          <w:highlight w:val="none"/>
          <w:lang w:val="en-US" w:eastAsia="zh-CN"/>
        </w:rPr>
        <w:t>建</w:t>
      </w:r>
      <w:r>
        <w:rPr>
          <w:rFonts w:hint="eastAsia" w:ascii="仿宋" w:hAnsi="仿宋" w:eastAsia="仿宋" w:cs="仿宋"/>
          <w:color w:val="auto"/>
          <w:sz w:val="24"/>
          <w:szCs w:val="24"/>
          <w:highlight w:val="none"/>
        </w:rPr>
        <w:t>企业为</w:t>
      </w:r>
      <w:r>
        <w:rPr>
          <w:rFonts w:hint="eastAsia" w:ascii="仿宋" w:hAnsi="仿宋" w:eastAsia="仿宋" w:cs="仿宋"/>
          <w:color w:val="auto"/>
          <w:sz w:val="24"/>
          <w:szCs w:val="24"/>
          <w:highlight w:val="none"/>
          <w:u w:val="single"/>
        </w:rPr>
        <w:t xml:space="preserve"> （企业名称） </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rPr>
        <w:t>；</w:t>
      </w:r>
    </w:p>
    <w:p w14:paraId="395CE804">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054A280">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0C7B2B20">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408EF7BB">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jc w:val="left"/>
        <w:textAlignment w:val="auto"/>
        <w:rPr>
          <w:rFonts w:hint="eastAsia" w:ascii="仿宋" w:hAnsi="仿宋" w:eastAsia="仿宋" w:cs="仿宋"/>
          <w:color w:val="auto"/>
          <w:sz w:val="24"/>
          <w:szCs w:val="24"/>
          <w:highlight w:val="none"/>
        </w:rPr>
      </w:pPr>
    </w:p>
    <w:p w14:paraId="5947F82A">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p>
    <w:p w14:paraId="5592375D">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6D556F9D">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textAlignment w:val="auto"/>
        <w:rPr>
          <w:rFonts w:hint="eastAsia" w:ascii="仿宋" w:hAnsi="仿宋" w:eastAsia="仿宋" w:cs="仿宋"/>
          <w:color w:val="auto"/>
          <w:sz w:val="24"/>
          <w:szCs w:val="24"/>
          <w:highlight w:val="none"/>
        </w:rPr>
      </w:pPr>
    </w:p>
    <w:p w14:paraId="71ED626A">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textAlignment w:val="auto"/>
        <w:rPr>
          <w:rFonts w:hint="eastAsia" w:ascii="仿宋" w:hAnsi="仿宋" w:eastAsia="仿宋" w:cs="仿宋"/>
          <w:color w:val="auto"/>
          <w:sz w:val="24"/>
          <w:szCs w:val="24"/>
          <w:highlight w:val="none"/>
        </w:rPr>
      </w:pPr>
    </w:p>
    <w:p w14:paraId="3EF364CC">
      <w:pPr>
        <w:keepNext/>
        <w:keepLines w:val="0"/>
        <w:pageBreakBefore w:val="0"/>
        <w:widowControl w:val="0"/>
        <w:kinsoku/>
        <w:wordWrap/>
        <w:overflowPunct/>
        <w:topLinePunct w:val="0"/>
        <w:autoSpaceDE w:val="0"/>
        <w:autoSpaceDN w:val="0"/>
        <w:bidi w:val="0"/>
        <w:adjustRightInd/>
        <w:snapToGrid/>
        <w:spacing w:after="12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从业人员、营业收入、资产总额填报上一年度数据，无上一年度数据的新成立企业可不填报。</w:t>
      </w:r>
    </w:p>
    <w:p w14:paraId="63102D37">
      <w:pPr>
        <w:keepNext/>
        <w:keepLines w:val="0"/>
        <w:pageBreakBefore w:val="0"/>
        <w:widowControl w:val="0"/>
        <w:kinsoku/>
        <w:overflowPunct/>
        <w:bidi w:val="0"/>
        <w:spacing w:line="360" w:lineRule="auto"/>
        <w:ind w:left="0" w:lef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说明：本项目采购标的应属“建筑业”，本《中小企业声明函》中的“（采购文件中明确的所属行业）”均应填写为“</w:t>
      </w:r>
      <w:r>
        <w:rPr>
          <w:rFonts w:hint="eastAsia" w:ascii="仿宋" w:hAnsi="仿宋" w:eastAsia="仿宋" w:cs="仿宋"/>
          <w:b/>
          <w:bCs/>
          <w:color w:val="auto"/>
          <w:kern w:val="2"/>
          <w:sz w:val="24"/>
          <w:szCs w:val="24"/>
          <w:highlight w:val="none"/>
          <w:lang w:val="en-US" w:eastAsia="zh-CN" w:bidi="ar-SA"/>
        </w:rPr>
        <w:t>建筑业</w:t>
      </w:r>
      <w:r>
        <w:rPr>
          <w:rFonts w:hint="eastAsia" w:ascii="仿宋" w:hAnsi="仿宋" w:eastAsia="仿宋" w:cs="仿宋"/>
          <w:color w:val="auto"/>
          <w:kern w:val="2"/>
          <w:sz w:val="24"/>
          <w:szCs w:val="24"/>
          <w:highlight w:val="none"/>
          <w:lang w:val="en-US" w:eastAsia="zh-CN" w:bidi="ar-SA"/>
        </w:rPr>
        <w:t>”。</w:t>
      </w:r>
    </w:p>
    <w:p w14:paraId="428C5110">
      <w:pPr>
        <w:spacing w:line="360" w:lineRule="auto"/>
        <w:rPr>
          <w:rFonts w:ascii="仿宋" w:hAnsi="仿宋" w:eastAsia="仿宋" w:cs="宋体"/>
          <w:color w:val="auto"/>
          <w:sz w:val="24"/>
          <w:highlight w:val="none"/>
        </w:rPr>
      </w:pPr>
      <w:r>
        <w:rPr>
          <w:rFonts w:hint="eastAsia" w:asciiTheme="minorEastAsia" w:hAnsiTheme="minorEastAsia" w:eastAsiaTheme="minorEastAsia"/>
          <w:color w:val="auto"/>
          <w:szCs w:val="21"/>
          <w:highlight w:val="none"/>
        </w:rPr>
        <w:br w:type="page"/>
      </w:r>
    </w:p>
    <w:p w14:paraId="29507922">
      <w:pPr>
        <w:widowControl/>
        <w:jc w:val="left"/>
        <w:outlineLvl w:val="1"/>
        <w:rPr>
          <w:rFonts w:hint="eastAsia" w:ascii="仿宋" w:hAnsi="仿宋" w:eastAsia="仿宋"/>
          <w:b/>
          <w:color w:val="auto"/>
          <w:sz w:val="32"/>
          <w:szCs w:val="32"/>
          <w:highlight w:val="none"/>
          <w:lang w:eastAsia="zh-CN"/>
        </w:rPr>
      </w:pPr>
      <w:bookmarkStart w:id="187" w:name="_Toc18336"/>
      <w:r>
        <w:rPr>
          <w:rFonts w:hint="eastAsia" w:ascii="仿宋" w:hAnsi="仿宋" w:eastAsia="仿宋"/>
          <w:b/>
          <w:color w:val="auto"/>
          <w:sz w:val="32"/>
          <w:szCs w:val="32"/>
          <w:highlight w:val="none"/>
        </w:rPr>
        <w:t>格式2-1</w:t>
      </w:r>
      <w:bookmarkEnd w:id="187"/>
      <w:r>
        <w:rPr>
          <w:rFonts w:hint="eastAsia" w:ascii="仿宋" w:hAnsi="仿宋" w:eastAsia="仿宋"/>
          <w:b/>
          <w:color w:val="auto"/>
          <w:sz w:val="32"/>
          <w:szCs w:val="32"/>
          <w:highlight w:val="none"/>
          <w:lang w:val="en-US" w:eastAsia="zh-CN"/>
        </w:rPr>
        <w:t>1</w:t>
      </w:r>
    </w:p>
    <w:p w14:paraId="4FB501E9">
      <w:pPr>
        <w:widowControl/>
        <w:spacing w:line="360" w:lineRule="atLeast"/>
        <w:jc w:val="center"/>
        <w:outlineLvl w:val="1"/>
        <w:rPr>
          <w:rFonts w:ascii="仿宋" w:hAnsi="仿宋" w:eastAsia="仿宋"/>
          <w:b/>
          <w:color w:val="auto"/>
          <w:sz w:val="32"/>
          <w:szCs w:val="32"/>
          <w:highlight w:val="none"/>
        </w:rPr>
      </w:pPr>
      <w:bookmarkStart w:id="188" w:name="_Toc17055"/>
      <w:r>
        <w:rPr>
          <w:rFonts w:hint="eastAsia" w:ascii="仿宋" w:hAnsi="仿宋" w:eastAsia="仿宋"/>
          <w:b/>
          <w:color w:val="auto"/>
          <w:sz w:val="32"/>
          <w:szCs w:val="32"/>
          <w:highlight w:val="none"/>
        </w:rPr>
        <w:t>残疾人福利性单位声明函</w:t>
      </w:r>
      <w:bookmarkEnd w:id="188"/>
    </w:p>
    <w:p w14:paraId="29CEE325">
      <w:pPr>
        <w:spacing w:line="588" w:lineRule="exact"/>
        <w:rPr>
          <w:rFonts w:ascii="仿宋" w:hAnsi="仿宋" w:eastAsia="仿宋" w:cs="宋体"/>
          <w:b/>
          <w:color w:val="auto"/>
          <w:spacing w:val="6"/>
          <w:sz w:val="24"/>
          <w:highlight w:val="none"/>
        </w:rPr>
      </w:pPr>
    </w:p>
    <w:p w14:paraId="49D151BA">
      <w:pPr>
        <w:spacing w:after="120" w:line="360" w:lineRule="auto"/>
        <w:ind w:firstLine="504" w:firstLineChars="200"/>
        <w:rPr>
          <w:rFonts w:ascii="仿宋" w:hAnsi="仿宋" w:eastAsia="仿宋" w:cs="宋体"/>
          <w:color w:val="auto"/>
          <w:spacing w:val="6"/>
          <w:sz w:val="24"/>
          <w:highlight w:val="none"/>
        </w:rPr>
      </w:pPr>
      <w:r>
        <w:rPr>
          <w:rFonts w:hint="eastAsia" w:ascii="仿宋" w:hAnsi="仿宋" w:eastAsia="仿宋" w:cs="宋体"/>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宋体"/>
          <w:color w:val="auto"/>
          <w:sz w:val="24"/>
          <w:highlight w:val="none"/>
        </w:rPr>
        <w:t>〔2017〕 141</w:t>
      </w:r>
      <w:r>
        <w:rPr>
          <w:rFonts w:hint="eastAsia" w:ascii="仿宋" w:hAnsi="仿宋" w:eastAsia="仿宋" w:cs="宋体"/>
          <w:color w:val="auto"/>
          <w:spacing w:val="6"/>
          <w:sz w:val="24"/>
          <w:highlight w:val="none"/>
        </w:rPr>
        <w:t>号）的规定，本单位为符合条件的残疾人福利性单位，且本单位参加</w:t>
      </w:r>
      <w:r>
        <w:rPr>
          <w:rFonts w:hint="eastAsia" w:ascii="仿宋" w:hAnsi="仿宋" w:eastAsia="仿宋"/>
          <w:color w:val="auto"/>
          <w:sz w:val="24"/>
          <w:highlight w:val="none"/>
          <w:u w:val="single"/>
        </w:rPr>
        <w:t>XXXX</w:t>
      </w:r>
      <w:r>
        <w:rPr>
          <w:rFonts w:hint="eastAsia" w:ascii="仿宋" w:hAnsi="仿宋" w:eastAsia="仿宋" w:cs="宋体"/>
          <w:color w:val="auto"/>
          <w:spacing w:val="6"/>
          <w:sz w:val="24"/>
          <w:highlight w:val="none"/>
        </w:rPr>
        <w:t>单位的</w:t>
      </w:r>
      <w:r>
        <w:rPr>
          <w:rFonts w:hint="eastAsia" w:ascii="仿宋" w:hAnsi="仿宋" w:eastAsia="仿宋"/>
          <w:color w:val="auto"/>
          <w:sz w:val="24"/>
          <w:highlight w:val="none"/>
          <w:u w:val="single"/>
        </w:rPr>
        <w:t>XXXX</w:t>
      </w:r>
      <w:r>
        <w:rPr>
          <w:rFonts w:hint="eastAsia" w:ascii="仿宋" w:hAnsi="仿宋" w:eastAsia="仿宋"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481CE838">
      <w:pPr>
        <w:spacing w:after="120" w:line="360" w:lineRule="auto"/>
        <w:ind w:firstLine="504" w:firstLineChars="200"/>
        <w:rPr>
          <w:rFonts w:ascii="仿宋" w:hAnsi="仿宋" w:eastAsia="仿宋" w:cs="宋体"/>
          <w:color w:val="auto"/>
          <w:spacing w:val="6"/>
          <w:sz w:val="24"/>
          <w:highlight w:val="none"/>
        </w:rPr>
      </w:pPr>
      <w:r>
        <w:rPr>
          <w:rFonts w:hint="eastAsia" w:ascii="仿宋" w:hAnsi="仿宋" w:eastAsia="仿宋" w:cs="宋体"/>
          <w:color w:val="auto"/>
          <w:spacing w:val="6"/>
          <w:sz w:val="24"/>
          <w:highlight w:val="none"/>
        </w:rPr>
        <w:t>本单位对上述声明的真实性负责。如有虚假，将依法承担相应责任。</w:t>
      </w:r>
    </w:p>
    <w:p w14:paraId="34E04603">
      <w:pPr>
        <w:spacing w:after="120" w:line="360" w:lineRule="auto"/>
        <w:ind w:firstLine="504" w:firstLineChars="200"/>
        <w:rPr>
          <w:rFonts w:ascii="仿宋" w:hAnsi="仿宋" w:eastAsia="仿宋" w:cs="宋体"/>
          <w:color w:val="auto"/>
          <w:spacing w:val="6"/>
          <w:sz w:val="24"/>
          <w:highlight w:val="none"/>
        </w:rPr>
      </w:pPr>
    </w:p>
    <w:p w14:paraId="0C4E86B9">
      <w:pPr>
        <w:spacing w:after="120" w:line="360" w:lineRule="auto"/>
        <w:ind w:firstLine="504" w:firstLineChars="200"/>
        <w:rPr>
          <w:rFonts w:ascii="仿宋" w:hAnsi="仿宋" w:eastAsia="仿宋" w:cs="宋体"/>
          <w:color w:val="auto"/>
          <w:spacing w:val="6"/>
          <w:sz w:val="24"/>
          <w:highlight w:val="none"/>
        </w:rPr>
      </w:pPr>
    </w:p>
    <w:p w14:paraId="1AD69E0B">
      <w:pPr>
        <w:spacing w:after="120"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单位名称（盖章）：</w:t>
      </w:r>
    </w:p>
    <w:p w14:paraId="41D0D20A">
      <w:pPr>
        <w:spacing w:after="120"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日期：</w:t>
      </w:r>
    </w:p>
    <w:p w14:paraId="16A5661B">
      <w:pPr>
        <w:spacing w:after="120" w:line="360" w:lineRule="auto"/>
        <w:ind w:firstLine="480" w:firstLineChars="200"/>
        <w:rPr>
          <w:rFonts w:ascii="仿宋" w:hAnsi="仿宋" w:eastAsia="仿宋" w:cs="宋体"/>
          <w:color w:val="auto"/>
          <w:sz w:val="24"/>
          <w:highlight w:val="none"/>
        </w:rPr>
      </w:pPr>
    </w:p>
    <w:p w14:paraId="795481D0">
      <w:pPr>
        <w:spacing w:after="120" w:line="360" w:lineRule="auto"/>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注：1.残疾人福利性单位视同小型、微型企业，享受预留份额、评审中价格扣除等促进中小企业发展的政府采购政策。残疾人福利性单位属于小型、微型企业的，不重复享受政策。</w:t>
      </w:r>
    </w:p>
    <w:p w14:paraId="6B4F03FE">
      <w:pPr>
        <w:spacing w:after="120" w:line="360" w:lineRule="auto"/>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2.供应商为非残疾人福利性单位的，可不提供此声明。</w:t>
      </w:r>
    </w:p>
    <w:p w14:paraId="1B7C969B">
      <w:pPr>
        <w:rPr>
          <w:color w:val="auto"/>
          <w:highlight w:val="none"/>
        </w:rPr>
      </w:pPr>
    </w:p>
    <w:p w14:paraId="31264679">
      <w:pPr>
        <w:rPr>
          <w:color w:val="auto"/>
          <w:highlight w:val="none"/>
        </w:rPr>
      </w:pPr>
    </w:p>
    <w:p w14:paraId="403E9626">
      <w:pPr>
        <w:rPr>
          <w:color w:val="auto"/>
          <w:highlight w:val="none"/>
        </w:rPr>
      </w:pPr>
    </w:p>
    <w:p w14:paraId="0864BC29">
      <w:pPr>
        <w:rPr>
          <w:color w:val="auto"/>
          <w:highlight w:val="none"/>
        </w:rPr>
      </w:pPr>
    </w:p>
    <w:p w14:paraId="60973A6E">
      <w:pPr>
        <w:rPr>
          <w:color w:val="auto"/>
          <w:highlight w:val="none"/>
        </w:rPr>
      </w:pPr>
    </w:p>
    <w:p w14:paraId="1168E3FB">
      <w:pPr>
        <w:rPr>
          <w:rFonts w:ascii="仿宋" w:hAnsi="仿宋" w:eastAsia="仿宋"/>
          <w:color w:val="auto"/>
          <w:highlight w:val="none"/>
        </w:rPr>
      </w:pPr>
      <w:r>
        <w:rPr>
          <w:color w:val="auto"/>
          <w:highlight w:val="none"/>
        </w:rPr>
        <w:br w:type="page"/>
      </w:r>
    </w:p>
    <w:p w14:paraId="62DA1261">
      <w:pPr>
        <w:widowControl/>
        <w:jc w:val="left"/>
        <w:outlineLvl w:val="1"/>
        <w:rPr>
          <w:rFonts w:hint="eastAsia" w:ascii="仿宋" w:hAnsi="仿宋" w:eastAsia="仿宋"/>
          <w:b/>
          <w:color w:val="auto"/>
          <w:sz w:val="32"/>
          <w:szCs w:val="32"/>
          <w:highlight w:val="none"/>
          <w:lang w:eastAsia="zh-CN"/>
        </w:rPr>
      </w:pPr>
      <w:bookmarkStart w:id="189" w:name="_Toc7320"/>
      <w:r>
        <w:rPr>
          <w:rFonts w:hint="eastAsia" w:ascii="仿宋" w:hAnsi="仿宋" w:eastAsia="仿宋"/>
          <w:b/>
          <w:color w:val="auto"/>
          <w:sz w:val="32"/>
          <w:szCs w:val="32"/>
          <w:highlight w:val="none"/>
        </w:rPr>
        <w:t>格式2-1</w:t>
      </w:r>
      <w:bookmarkEnd w:id="189"/>
      <w:r>
        <w:rPr>
          <w:rFonts w:hint="eastAsia" w:ascii="仿宋" w:hAnsi="仿宋" w:eastAsia="仿宋"/>
          <w:b/>
          <w:color w:val="auto"/>
          <w:sz w:val="32"/>
          <w:szCs w:val="32"/>
          <w:highlight w:val="none"/>
          <w:lang w:val="en-US" w:eastAsia="zh-CN"/>
        </w:rPr>
        <w:t>2</w:t>
      </w:r>
    </w:p>
    <w:p w14:paraId="29497295">
      <w:pPr>
        <w:widowControl/>
        <w:spacing w:line="360" w:lineRule="atLeast"/>
        <w:jc w:val="center"/>
        <w:outlineLvl w:val="1"/>
        <w:rPr>
          <w:rFonts w:ascii="仿宋" w:hAnsi="仿宋" w:eastAsia="仿宋"/>
          <w:b/>
          <w:color w:val="auto"/>
          <w:sz w:val="32"/>
          <w:szCs w:val="32"/>
          <w:highlight w:val="none"/>
        </w:rPr>
      </w:pPr>
      <w:bookmarkStart w:id="190" w:name="_Toc4157"/>
      <w:r>
        <w:rPr>
          <w:rFonts w:hint="eastAsia" w:ascii="仿宋" w:hAnsi="仿宋" w:eastAsia="仿宋"/>
          <w:b/>
          <w:color w:val="auto"/>
          <w:sz w:val="32"/>
          <w:szCs w:val="32"/>
          <w:highlight w:val="none"/>
        </w:rPr>
        <w:t>监狱企业</w:t>
      </w:r>
      <w:bookmarkEnd w:id="190"/>
    </w:p>
    <w:p w14:paraId="3EA84060">
      <w:pPr>
        <w:spacing w:line="360" w:lineRule="auto"/>
        <w:ind w:firstLine="480" w:firstLineChars="200"/>
        <w:jc w:val="left"/>
        <w:rPr>
          <w:rFonts w:ascii="仿宋" w:hAnsi="仿宋" w:eastAsia="仿宋" w:cs="仿宋"/>
          <w:color w:val="auto"/>
          <w:sz w:val="24"/>
          <w:highlight w:val="none"/>
        </w:rPr>
      </w:pPr>
    </w:p>
    <w:p w14:paraId="281BBB89">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根据《政府采购支持监狱企业发展有关问题的通知》（财库〔2014〕68号）的规定监狱企业参加采购活动的，应提供由省级以上监狱管理局、戒毒管理局（含新疆生产建设兵团）出具的属于监狱企业的证明文件。</w:t>
      </w:r>
    </w:p>
    <w:p w14:paraId="69BA3B2A">
      <w:pPr>
        <w:spacing w:after="120" w:line="360" w:lineRule="auto"/>
        <w:ind w:firstLine="480" w:firstLineChars="200"/>
        <w:jc w:val="left"/>
        <w:rPr>
          <w:rFonts w:ascii="仿宋" w:hAnsi="仿宋" w:eastAsia="仿宋" w:cs="仿宋"/>
          <w:color w:val="auto"/>
          <w:sz w:val="24"/>
          <w:highlight w:val="none"/>
        </w:rPr>
      </w:pPr>
    </w:p>
    <w:p w14:paraId="3F06A4E1">
      <w:pPr>
        <w:spacing w:after="120" w:line="360" w:lineRule="auto"/>
        <w:ind w:firstLine="420" w:firstLineChars="200"/>
        <w:rPr>
          <w:color w:val="auto"/>
          <w:highlight w:val="none"/>
        </w:rPr>
      </w:pPr>
    </w:p>
    <w:p w14:paraId="42F3651F">
      <w:pPr>
        <w:spacing w:after="120"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注：1.供应商符合《政府采购支持监狱企业发展有关问题的通知》（财库〔2014〕68号）规定的划分标准为监狱企业的适用。</w:t>
      </w:r>
    </w:p>
    <w:p w14:paraId="5237AE46">
      <w:pPr>
        <w:spacing w:after="120" w:line="360" w:lineRule="auto"/>
        <w:ind w:firstLine="480" w:firstLineChars="200"/>
        <w:rPr>
          <w:rFonts w:hint="eastAsia" w:ascii="仿宋" w:hAnsi="仿宋" w:eastAsia="仿宋" w:cs="仿宋"/>
          <w:color w:val="auto"/>
          <w:sz w:val="24"/>
          <w:highlight w:val="none"/>
        </w:rPr>
        <w:sectPr>
          <w:headerReference r:id="rId7" w:type="default"/>
          <w:footerReference r:id="rId8" w:type="default"/>
          <w:pgSz w:w="11907" w:h="16840"/>
          <w:pgMar w:top="1134" w:right="1418" w:bottom="1134" w:left="1418" w:header="426" w:footer="992" w:gutter="0"/>
          <w:pgNumType w:fmt="decimal"/>
          <w:cols w:space="425" w:num="1"/>
          <w:docGrid w:linePitch="312" w:charSpace="0"/>
        </w:sectPr>
      </w:pPr>
      <w:r>
        <w:rPr>
          <w:rFonts w:hint="eastAsia" w:ascii="仿宋" w:hAnsi="仿宋" w:eastAsia="仿宋" w:cs="仿宋"/>
          <w:color w:val="auto"/>
          <w:sz w:val="24"/>
          <w:highlight w:val="none"/>
        </w:rPr>
        <w:t>2.在政府采购活动中，监狱企业视同小型、微型企业，享受预留份额、评审中价格扣除等政府采购促进中小企业发展的政府采购政策。</w:t>
      </w:r>
    </w:p>
    <w:p w14:paraId="06A13B63">
      <w:pPr>
        <w:pStyle w:val="3"/>
        <w:jc w:val="center"/>
        <w:rPr>
          <w:rFonts w:hint="eastAsia"/>
          <w:color w:val="auto"/>
          <w:highlight w:val="none"/>
          <w:lang w:val="en-US" w:eastAsia="zh-CN"/>
        </w:rPr>
      </w:pPr>
      <w:r>
        <w:rPr>
          <w:rFonts w:hint="eastAsia"/>
          <w:color w:val="auto"/>
          <w:highlight w:val="none"/>
          <w:lang w:val="en-US" w:eastAsia="zh-CN"/>
        </w:rPr>
        <w:t>首次</w:t>
      </w:r>
      <w:r>
        <w:rPr>
          <w:rFonts w:hint="eastAsia"/>
          <w:color w:val="auto"/>
          <w:highlight w:val="none"/>
        </w:rPr>
        <w:t>报价一览表</w:t>
      </w:r>
      <w:r>
        <w:rPr>
          <w:rFonts w:hint="eastAsia"/>
          <w:color w:val="auto"/>
          <w:highlight w:val="none"/>
          <w:lang w:val="en-US" w:eastAsia="zh-CN"/>
        </w:rPr>
        <w:t>/最终报价表</w:t>
      </w:r>
    </w:p>
    <w:p w14:paraId="3787B4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宋体"/>
          <w:b/>
          <w:bCs/>
          <w:color w:val="auto"/>
          <w:sz w:val="22"/>
          <w:highlight w:val="none"/>
          <w:lang w:eastAsia="zh-CN"/>
        </w:rPr>
      </w:pPr>
      <w:r>
        <w:rPr>
          <w:rFonts w:hint="eastAsia" w:cs="宋体"/>
          <w:b/>
          <w:bCs/>
          <w:color w:val="auto"/>
          <w:sz w:val="22"/>
          <w:highlight w:val="none"/>
        </w:rPr>
        <w:t>项目名称</w:t>
      </w:r>
      <w:r>
        <w:rPr>
          <w:rFonts w:hint="eastAsia" w:cs="宋体"/>
          <w:b/>
          <w:bCs/>
          <w:color w:val="auto"/>
          <w:sz w:val="22"/>
          <w:highlight w:val="none"/>
          <w:lang w:eastAsia="zh-CN"/>
        </w:rPr>
        <w:t>：</w:t>
      </w:r>
    </w:p>
    <w:p w14:paraId="1AB20DF8">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highlight w:val="none"/>
          <w:lang w:val="en-US" w:eastAsia="zh-CN"/>
        </w:rPr>
      </w:pPr>
      <w:r>
        <w:rPr>
          <w:rFonts w:hint="eastAsia"/>
          <w:b/>
          <w:bCs/>
          <w:color w:val="auto"/>
          <w:highlight w:val="none"/>
          <w:lang w:val="en-US" w:eastAsia="zh-CN"/>
        </w:rPr>
        <w:t>项目编号：</w:t>
      </w:r>
    </w:p>
    <w:tbl>
      <w:tblPr>
        <w:tblStyle w:val="1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7"/>
        <w:gridCol w:w="1799"/>
        <w:gridCol w:w="2677"/>
        <w:gridCol w:w="3497"/>
      </w:tblGrid>
      <w:tr w14:paraId="7FCD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04" w:type="pct"/>
            <w:noWrap w:val="0"/>
            <w:vAlign w:val="center"/>
          </w:tcPr>
          <w:p w14:paraId="6B1AC497">
            <w:pPr>
              <w:spacing w:line="360" w:lineRule="auto"/>
              <w:jc w:val="center"/>
              <w:rPr>
                <w:rFonts w:hint="default" w:cs="宋体"/>
                <w:b/>
                <w:bCs/>
                <w:color w:val="auto"/>
                <w:sz w:val="22"/>
                <w:highlight w:val="none"/>
                <w:lang w:val="en-US" w:eastAsia="zh-CN"/>
              </w:rPr>
            </w:pPr>
            <w:r>
              <w:rPr>
                <w:rFonts w:hint="eastAsia" w:cs="宋体"/>
                <w:b/>
                <w:bCs/>
                <w:color w:val="auto"/>
                <w:sz w:val="22"/>
                <w:highlight w:val="none"/>
                <w:lang w:val="en-US" w:eastAsia="zh-CN"/>
              </w:rPr>
              <w:t>序号</w:t>
            </w:r>
          </w:p>
        </w:tc>
        <w:tc>
          <w:tcPr>
            <w:tcW w:w="969" w:type="pct"/>
            <w:noWrap w:val="0"/>
            <w:vAlign w:val="center"/>
          </w:tcPr>
          <w:p w14:paraId="547184C9">
            <w:pPr>
              <w:spacing w:line="360" w:lineRule="auto"/>
              <w:jc w:val="center"/>
              <w:rPr>
                <w:rFonts w:hint="default" w:eastAsia="宋体" w:cs="宋体"/>
                <w:b/>
                <w:bCs/>
                <w:color w:val="auto"/>
                <w:sz w:val="22"/>
                <w:highlight w:val="none"/>
                <w:lang w:val="en-US" w:eastAsia="zh-CN"/>
              </w:rPr>
            </w:pPr>
            <w:r>
              <w:rPr>
                <w:rFonts w:hint="eastAsia" w:cs="宋体"/>
                <w:b/>
                <w:bCs/>
                <w:color w:val="auto"/>
                <w:sz w:val="22"/>
                <w:highlight w:val="none"/>
                <w:lang w:val="en-US" w:eastAsia="zh-CN"/>
              </w:rPr>
              <w:t>报价类别</w:t>
            </w:r>
          </w:p>
        </w:tc>
        <w:tc>
          <w:tcPr>
            <w:tcW w:w="1442" w:type="pct"/>
            <w:noWrap w:val="0"/>
            <w:vAlign w:val="center"/>
          </w:tcPr>
          <w:p w14:paraId="261789AC">
            <w:pPr>
              <w:spacing w:line="360" w:lineRule="auto"/>
              <w:jc w:val="center"/>
              <w:rPr>
                <w:rFonts w:hint="eastAsia" w:eastAsia="宋体" w:cs="宋体"/>
                <w:b/>
                <w:bCs/>
                <w:color w:val="auto"/>
                <w:sz w:val="22"/>
                <w:highlight w:val="none"/>
                <w:lang w:val="en-US" w:eastAsia="zh-CN"/>
              </w:rPr>
            </w:pPr>
            <w:r>
              <w:rPr>
                <w:rFonts w:hint="eastAsia" w:cs="宋体"/>
                <w:b/>
                <w:bCs/>
                <w:color w:val="auto"/>
                <w:sz w:val="22"/>
                <w:highlight w:val="none"/>
                <w:lang w:val="en-US" w:eastAsia="zh-CN"/>
              </w:rPr>
              <w:t>金额（元）</w:t>
            </w:r>
          </w:p>
        </w:tc>
        <w:tc>
          <w:tcPr>
            <w:tcW w:w="1884" w:type="pct"/>
            <w:noWrap w:val="0"/>
            <w:vAlign w:val="center"/>
          </w:tcPr>
          <w:p w14:paraId="11554E6C">
            <w:pPr>
              <w:spacing w:line="360" w:lineRule="auto"/>
              <w:jc w:val="center"/>
              <w:rPr>
                <w:rFonts w:hint="eastAsia" w:eastAsia="宋体" w:cs="宋体"/>
                <w:b/>
                <w:bCs/>
                <w:color w:val="auto"/>
                <w:sz w:val="22"/>
                <w:highlight w:val="none"/>
                <w:lang w:val="en-US" w:eastAsia="zh-CN"/>
              </w:rPr>
            </w:pPr>
            <w:r>
              <w:rPr>
                <w:rFonts w:hint="eastAsia" w:cs="宋体"/>
                <w:b/>
                <w:bCs/>
                <w:color w:val="auto"/>
                <w:sz w:val="22"/>
                <w:highlight w:val="none"/>
                <w:lang w:val="en-US" w:eastAsia="zh-CN"/>
              </w:rPr>
              <w:t>备注</w:t>
            </w:r>
          </w:p>
        </w:tc>
      </w:tr>
      <w:tr w14:paraId="3697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704" w:type="pct"/>
            <w:noWrap w:val="0"/>
            <w:vAlign w:val="center"/>
          </w:tcPr>
          <w:p w14:paraId="0011ECC3">
            <w:pPr>
              <w:spacing w:line="36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1</w:t>
            </w:r>
          </w:p>
        </w:tc>
        <w:tc>
          <w:tcPr>
            <w:tcW w:w="969" w:type="pct"/>
            <w:noWrap w:val="0"/>
            <w:vAlign w:val="center"/>
          </w:tcPr>
          <w:p w14:paraId="40EEBFE5">
            <w:pPr>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可竞争费</w:t>
            </w:r>
          </w:p>
        </w:tc>
        <w:tc>
          <w:tcPr>
            <w:tcW w:w="1442" w:type="pct"/>
            <w:noWrap w:val="0"/>
            <w:vAlign w:val="center"/>
          </w:tcPr>
          <w:p w14:paraId="7AFF7E75">
            <w:pPr>
              <w:spacing w:line="360" w:lineRule="auto"/>
              <w:jc w:val="both"/>
              <w:rPr>
                <w:rFonts w:hint="eastAsia" w:asciiTheme="minorEastAsia" w:hAnsiTheme="minorEastAsia" w:eastAsiaTheme="minorEastAsia" w:cstheme="minorEastAsia"/>
                <w:color w:val="auto"/>
                <w:sz w:val="22"/>
                <w:szCs w:val="22"/>
                <w:highlight w:val="none"/>
              </w:rPr>
            </w:pPr>
          </w:p>
        </w:tc>
        <w:tc>
          <w:tcPr>
            <w:tcW w:w="1884" w:type="pct"/>
            <w:noWrap w:val="0"/>
            <w:vAlign w:val="center"/>
          </w:tcPr>
          <w:p w14:paraId="5A6C272C">
            <w:pPr>
              <w:spacing w:line="360" w:lineRule="auto"/>
              <w:jc w:val="left"/>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分部分项工程费</w:t>
            </w:r>
            <w:r>
              <w:rPr>
                <w:rFonts w:hint="eastAsia" w:asciiTheme="minorEastAsia" w:hAnsiTheme="minorEastAsia" w:eastAsiaTheme="minorEastAsia" w:cstheme="minorEastAsia"/>
                <w:color w:val="auto"/>
                <w:sz w:val="22"/>
                <w:szCs w:val="22"/>
                <w:highlight w:val="none"/>
                <w:lang w:val="en-US" w:eastAsia="zh-CN"/>
              </w:rPr>
              <w:t>+</w:t>
            </w:r>
            <w:r>
              <w:rPr>
                <w:rFonts w:hint="eastAsia" w:asciiTheme="minorEastAsia" w:hAnsiTheme="minorEastAsia" w:eastAsiaTheme="minorEastAsia" w:cstheme="minorEastAsia"/>
                <w:color w:val="auto"/>
                <w:sz w:val="22"/>
                <w:szCs w:val="22"/>
                <w:highlight w:val="none"/>
              </w:rPr>
              <w:t>措施项目费（除安全文明施工费外</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+工程垃圾、拆除垃圾外运及处置费</w:t>
            </w:r>
          </w:p>
        </w:tc>
      </w:tr>
      <w:tr w14:paraId="3B44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704" w:type="pct"/>
            <w:noWrap w:val="0"/>
            <w:vAlign w:val="center"/>
          </w:tcPr>
          <w:p w14:paraId="37B7F427">
            <w:pPr>
              <w:spacing w:line="36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w:t>
            </w:r>
          </w:p>
        </w:tc>
        <w:tc>
          <w:tcPr>
            <w:tcW w:w="969" w:type="pct"/>
            <w:noWrap w:val="0"/>
            <w:vAlign w:val="center"/>
          </w:tcPr>
          <w:p w14:paraId="469E87DB">
            <w:pPr>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不</w:t>
            </w:r>
            <w:r>
              <w:rPr>
                <w:rFonts w:hint="eastAsia" w:asciiTheme="minorEastAsia" w:hAnsiTheme="minorEastAsia" w:eastAsiaTheme="minorEastAsia" w:cstheme="minorEastAsia"/>
                <w:color w:val="auto"/>
                <w:sz w:val="22"/>
                <w:szCs w:val="22"/>
                <w:highlight w:val="none"/>
              </w:rPr>
              <w:t>可竞争费</w:t>
            </w:r>
          </w:p>
        </w:tc>
        <w:tc>
          <w:tcPr>
            <w:tcW w:w="1442" w:type="pct"/>
            <w:noWrap w:val="0"/>
            <w:vAlign w:val="center"/>
          </w:tcPr>
          <w:p w14:paraId="55294836">
            <w:pPr>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138421.7元</w:t>
            </w:r>
          </w:p>
        </w:tc>
        <w:tc>
          <w:tcPr>
            <w:tcW w:w="1884" w:type="pct"/>
            <w:noWrap w:val="0"/>
            <w:vAlign w:val="center"/>
          </w:tcPr>
          <w:p w14:paraId="4A9F7479">
            <w:pPr>
              <w:spacing w:line="360" w:lineRule="auto"/>
              <w:jc w:val="lef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安全文明施工费+暂列金+规费</w:t>
            </w:r>
          </w:p>
        </w:tc>
      </w:tr>
      <w:tr w14:paraId="01F5D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704" w:type="pct"/>
            <w:noWrap w:val="0"/>
            <w:vAlign w:val="center"/>
          </w:tcPr>
          <w:p w14:paraId="676D5411">
            <w:pPr>
              <w:spacing w:line="36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3</w:t>
            </w:r>
          </w:p>
        </w:tc>
        <w:tc>
          <w:tcPr>
            <w:tcW w:w="969" w:type="pct"/>
            <w:noWrap w:val="0"/>
            <w:vAlign w:val="center"/>
          </w:tcPr>
          <w:p w14:paraId="683D2815">
            <w:pPr>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税金</w:t>
            </w:r>
          </w:p>
        </w:tc>
        <w:tc>
          <w:tcPr>
            <w:tcW w:w="1442" w:type="pct"/>
            <w:noWrap w:val="0"/>
            <w:vAlign w:val="center"/>
          </w:tcPr>
          <w:p w14:paraId="792323F6">
            <w:pPr>
              <w:spacing w:line="360" w:lineRule="auto"/>
              <w:jc w:val="center"/>
              <w:rPr>
                <w:rFonts w:hint="eastAsia" w:asciiTheme="minorEastAsia" w:hAnsiTheme="minorEastAsia" w:eastAsiaTheme="minorEastAsia" w:cstheme="minorEastAsia"/>
                <w:color w:val="auto"/>
                <w:sz w:val="22"/>
                <w:szCs w:val="22"/>
                <w:highlight w:val="none"/>
              </w:rPr>
            </w:pPr>
          </w:p>
        </w:tc>
        <w:tc>
          <w:tcPr>
            <w:tcW w:w="1884" w:type="pct"/>
            <w:noWrap w:val="0"/>
            <w:vAlign w:val="center"/>
          </w:tcPr>
          <w:p w14:paraId="194FE9AC">
            <w:pPr>
              <w:jc w:val="lef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税金=(可竞争费+不可竞争费-工程垃圾、拆除垃圾外运及处置费)*(增值税税率9%+附加税税率0.313%</w:t>
            </w:r>
          </w:p>
        </w:tc>
      </w:tr>
      <w:tr w14:paraId="34CD2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704" w:type="pct"/>
            <w:noWrap w:val="0"/>
            <w:vAlign w:val="center"/>
          </w:tcPr>
          <w:p w14:paraId="02B4FCFD">
            <w:pPr>
              <w:spacing w:line="360" w:lineRule="auto"/>
              <w:jc w:val="cente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rPr>
              <w:t>4</w:t>
            </w:r>
          </w:p>
        </w:tc>
        <w:tc>
          <w:tcPr>
            <w:tcW w:w="969" w:type="pct"/>
            <w:noWrap w:val="0"/>
            <w:vAlign w:val="center"/>
          </w:tcPr>
          <w:p w14:paraId="16D00303">
            <w:pPr>
              <w:spacing w:line="360" w:lineRule="auto"/>
              <w:jc w:val="cente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rPr>
              <w:t>总价</w:t>
            </w:r>
          </w:p>
        </w:tc>
        <w:tc>
          <w:tcPr>
            <w:tcW w:w="1442" w:type="pct"/>
            <w:noWrap w:val="0"/>
            <w:vAlign w:val="center"/>
          </w:tcPr>
          <w:p w14:paraId="75819D3C">
            <w:pPr>
              <w:spacing w:line="360" w:lineRule="auto"/>
              <w:jc w:val="both"/>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大写：          元整</w:t>
            </w:r>
          </w:p>
          <w:p w14:paraId="3D4DBD70">
            <w:pPr>
              <w:pStyle w:val="6"/>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b/>
                <w:bCs/>
                <w:color w:val="auto"/>
                <w:sz w:val="22"/>
                <w:szCs w:val="22"/>
                <w:highlight w:val="none"/>
                <w:lang w:val="en-US" w:eastAsia="zh-CN"/>
              </w:rPr>
              <w:t>小写：           元</w:t>
            </w:r>
          </w:p>
        </w:tc>
        <w:tc>
          <w:tcPr>
            <w:tcW w:w="1884" w:type="pct"/>
            <w:noWrap w:val="0"/>
            <w:vAlign w:val="center"/>
          </w:tcPr>
          <w:p w14:paraId="592E35FE">
            <w:pPr>
              <w:jc w:val="lef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可竞争费+不可竞争费+税金</w:t>
            </w:r>
          </w:p>
        </w:tc>
      </w:tr>
    </w:tbl>
    <w:p w14:paraId="70F5D95E">
      <w:pPr>
        <w:rPr>
          <w:rFonts w:hint="eastAsia"/>
          <w:color w:val="auto"/>
          <w:highlight w:val="none"/>
        </w:rPr>
      </w:pPr>
    </w:p>
    <w:p w14:paraId="546E13C0">
      <w:pPr>
        <w:spacing w:line="360" w:lineRule="auto"/>
        <w:rPr>
          <w:rFonts w:cs="宋体"/>
          <w:color w:val="auto"/>
          <w:sz w:val="22"/>
          <w:highlight w:val="none"/>
        </w:rPr>
      </w:pPr>
      <w:r>
        <w:rPr>
          <w:rFonts w:hint="eastAsia" w:cs="宋体"/>
          <w:color w:val="auto"/>
          <w:sz w:val="22"/>
          <w:highlight w:val="none"/>
        </w:rPr>
        <w:t>注：</w:t>
      </w:r>
    </w:p>
    <w:p w14:paraId="39B88ABC">
      <w:pPr>
        <w:numPr>
          <w:ilvl w:val="0"/>
          <w:numId w:val="0"/>
        </w:numPr>
        <w:spacing w:line="360" w:lineRule="auto"/>
        <w:rPr>
          <w:rFonts w:hint="eastAsia"/>
          <w:color w:val="auto"/>
          <w:sz w:val="22"/>
          <w:highlight w:val="none"/>
        </w:rPr>
      </w:pPr>
      <w:r>
        <w:rPr>
          <w:rFonts w:hint="eastAsia" w:ascii="Times New Roman" w:hAnsi="Times New Roman" w:eastAsia="宋体" w:cs="Times New Roman"/>
          <w:color w:val="auto"/>
          <w:kern w:val="2"/>
          <w:sz w:val="22"/>
          <w:szCs w:val="24"/>
          <w:highlight w:val="none"/>
          <w:lang w:val="en-US" w:eastAsia="zh-CN" w:bidi="ar-SA"/>
        </w:rPr>
        <w:t>1.</w:t>
      </w:r>
      <w:r>
        <w:rPr>
          <w:rFonts w:hint="eastAsia"/>
          <w:color w:val="auto"/>
          <w:sz w:val="22"/>
          <w:highlight w:val="none"/>
        </w:rPr>
        <w:t>供应商的报价是供应商响应采购项目要求的价格体现，本项目采用综合单价计价方式，合同总价为暂估总价。报价包含完成对应工程量所需的人工费、材料费、机械使用费、运输装卸费、安装费、管理费、利润、措施费、安全文明施工费、规费、税金、检验检测费、验收及移交等全部费用，以及合同明示或暗示的风险、责任和义务费用。</w:t>
      </w:r>
    </w:p>
    <w:p w14:paraId="6EE8C027">
      <w:pPr>
        <w:numPr>
          <w:ilvl w:val="0"/>
          <w:numId w:val="0"/>
        </w:numPr>
        <w:spacing w:line="360" w:lineRule="auto"/>
        <w:ind w:left="0" w:leftChars="0" w:firstLine="0" w:firstLineChars="0"/>
        <w:rPr>
          <w:rFonts w:ascii="宋体" w:hAnsi="宋体" w:eastAsia="宋体" w:cs="宋体"/>
          <w:color w:val="auto"/>
          <w:sz w:val="24"/>
          <w:szCs w:val="24"/>
          <w:highlight w:val="none"/>
        </w:rPr>
      </w:pPr>
      <w:r>
        <w:rPr>
          <w:rFonts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税金（增值税及附加费）以税前工程造价为基数计取，随报价调整而同步调整。</w:t>
      </w:r>
    </w:p>
    <w:p w14:paraId="3465F9A2">
      <w:pPr>
        <w:numPr>
          <w:ilvl w:val="0"/>
          <w:numId w:val="0"/>
        </w:numPr>
        <w:spacing w:line="360" w:lineRule="auto"/>
        <w:rPr>
          <w:rFonts w:hint="eastAsia"/>
          <w:color w:val="auto"/>
          <w:sz w:val="22"/>
          <w:highlight w:val="none"/>
        </w:rPr>
      </w:pPr>
      <w:r>
        <w:rPr>
          <w:rFonts w:hint="eastAsia" w:ascii="Times New Roman" w:hAnsi="Times New Roman" w:eastAsia="宋体" w:cs="Times New Roman"/>
          <w:color w:val="auto"/>
          <w:kern w:val="2"/>
          <w:sz w:val="22"/>
          <w:szCs w:val="24"/>
          <w:highlight w:val="none"/>
          <w:lang w:val="en-US" w:eastAsia="zh-CN" w:bidi="ar-SA"/>
        </w:rPr>
        <w:t>3.</w:t>
      </w:r>
      <w:r>
        <w:rPr>
          <w:rFonts w:hint="eastAsia"/>
          <w:color w:val="auto"/>
          <w:sz w:val="22"/>
          <w:highlight w:val="none"/>
        </w:rPr>
        <w:t xml:space="preserve"> 以上表格如不能完全表达清楚供应商认为必要的费用明细，报价人可自行补充。</w:t>
      </w:r>
    </w:p>
    <w:p w14:paraId="0102C195">
      <w:pPr>
        <w:numPr>
          <w:ilvl w:val="0"/>
          <w:numId w:val="0"/>
        </w:numPr>
        <w:spacing w:line="360" w:lineRule="auto"/>
        <w:rPr>
          <w:rFonts w:hint="eastAsia"/>
          <w:color w:val="auto"/>
          <w:sz w:val="22"/>
          <w:highlight w:val="none"/>
        </w:rPr>
      </w:pPr>
      <w:r>
        <w:rPr>
          <w:rFonts w:hint="eastAsia" w:ascii="Times New Roman" w:hAnsi="Times New Roman" w:eastAsia="宋体" w:cs="Times New Roman"/>
          <w:color w:val="auto"/>
          <w:kern w:val="2"/>
          <w:sz w:val="22"/>
          <w:szCs w:val="24"/>
          <w:highlight w:val="none"/>
          <w:lang w:val="en-US" w:eastAsia="zh-CN" w:bidi="ar-SA"/>
        </w:rPr>
        <w:t>4.</w:t>
      </w:r>
      <w:r>
        <w:rPr>
          <w:rFonts w:hint="eastAsia"/>
          <w:color w:val="auto"/>
          <w:sz w:val="22"/>
          <w:highlight w:val="none"/>
        </w:rPr>
        <w:t>“报价一览表”为多页的，每页均需由法定代表人或授权代表签字并盖供应商印章。</w:t>
      </w:r>
    </w:p>
    <w:p w14:paraId="5A3CC2F5">
      <w:pPr>
        <w:spacing w:line="360" w:lineRule="auto"/>
        <w:rPr>
          <w:rFonts w:hint="eastAsia"/>
          <w:color w:val="auto"/>
          <w:sz w:val="22"/>
          <w:highlight w:val="none"/>
        </w:rPr>
      </w:pPr>
    </w:p>
    <w:p w14:paraId="53BA6966">
      <w:pPr>
        <w:spacing w:line="360" w:lineRule="auto"/>
        <w:rPr>
          <w:color w:val="auto"/>
          <w:sz w:val="22"/>
          <w:highlight w:val="none"/>
        </w:rPr>
      </w:pPr>
      <w:r>
        <w:rPr>
          <w:color w:val="auto"/>
          <w:sz w:val="22"/>
          <w:highlight w:val="none"/>
        </w:rPr>
        <w:t>供应商（全称并加盖公章）：</w:t>
      </w:r>
      <w:r>
        <w:rPr>
          <w:color w:val="auto"/>
          <w:sz w:val="22"/>
          <w:highlight w:val="none"/>
          <w:u w:val="single"/>
        </w:rPr>
        <w:t xml:space="preserve">                         </w:t>
      </w:r>
    </w:p>
    <w:p w14:paraId="588C6F4E">
      <w:pPr>
        <w:spacing w:line="360" w:lineRule="auto"/>
        <w:rPr>
          <w:color w:val="auto"/>
          <w:sz w:val="22"/>
          <w:highlight w:val="none"/>
        </w:rPr>
      </w:pPr>
      <w:r>
        <w:rPr>
          <w:color w:val="auto"/>
          <w:sz w:val="22"/>
          <w:highlight w:val="none"/>
        </w:rPr>
        <w:t>法定代表人或授权代表（签字）</w:t>
      </w:r>
      <w:r>
        <w:rPr>
          <w:bCs/>
          <w:color w:val="auto"/>
          <w:sz w:val="22"/>
          <w:highlight w:val="none"/>
        </w:rPr>
        <w:t>：</w:t>
      </w:r>
      <w:r>
        <w:rPr>
          <w:color w:val="auto"/>
          <w:sz w:val="22"/>
          <w:highlight w:val="none"/>
          <w:u w:val="single"/>
        </w:rPr>
        <w:t xml:space="preserve">                     </w:t>
      </w:r>
    </w:p>
    <w:p w14:paraId="43F9CC7C">
      <w:pPr>
        <w:spacing w:line="360" w:lineRule="auto"/>
        <w:rPr>
          <w:color w:val="auto"/>
          <w:highlight w:val="none"/>
        </w:rPr>
      </w:pPr>
      <w:r>
        <w:rPr>
          <w:color w:val="auto"/>
          <w:sz w:val="22"/>
          <w:highlight w:val="none"/>
        </w:rPr>
        <w:t>日期：</w:t>
      </w:r>
      <w:r>
        <w:rPr>
          <w:color w:val="auto"/>
          <w:sz w:val="22"/>
          <w:highlight w:val="none"/>
          <w:u w:val="single"/>
        </w:rPr>
        <w:t xml:space="preserve">       </w:t>
      </w:r>
      <w:r>
        <w:rPr>
          <w:color w:val="auto"/>
          <w:sz w:val="22"/>
          <w:highlight w:val="none"/>
        </w:rPr>
        <w:t>年</w:t>
      </w:r>
      <w:r>
        <w:rPr>
          <w:color w:val="auto"/>
          <w:sz w:val="22"/>
          <w:highlight w:val="none"/>
          <w:u w:val="single"/>
        </w:rPr>
        <w:t xml:space="preserve">        </w:t>
      </w:r>
      <w:r>
        <w:rPr>
          <w:color w:val="auto"/>
          <w:sz w:val="22"/>
          <w:highlight w:val="none"/>
        </w:rPr>
        <w:t xml:space="preserve">月 </w:t>
      </w:r>
      <w:r>
        <w:rPr>
          <w:color w:val="auto"/>
          <w:sz w:val="22"/>
          <w:highlight w:val="none"/>
          <w:u w:val="single"/>
        </w:rPr>
        <w:t xml:space="preserve">      </w:t>
      </w:r>
      <w:r>
        <w:rPr>
          <w:color w:val="auto"/>
          <w:sz w:val="22"/>
          <w:highlight w:val="none"/>
        </w:rPr>
        <w:t xml:space="preserve"> </w:t>
      </w:r>
    </w:p>
    <w:p w14:paraId="321F1ADC">
      <w:pPr>
        <w:rPr>
          <w:color w:val="auto"/>
          <w:highlight w:val="none"/>
        </w:rPr>
      </w:pPr>
    </w:p>
    <w:sectPr>
      <w:pgSz w:w="11907" w:h="16840"/>
      <w:pgMar w:top="1134" w:right="1418" w:bottom="1134" w:left="1418" w:header="426"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5DB8077-6EBC-4B06-8B80-A052157CFBCA}"/>
  </w:font>
  <w:font w:name="Arial">
    <w:panose1 w:val="020B0604020202020204"/>
    <w:charset w:val="01"/>
    <w:family w:val="swiss"/>
    <w:pitch w:val="default"/>
    <w:sig w:usb0="E0002EFF" w:usb1="C000785B" w:usb2="00000009" w:usb3="00000000" w:csb0="400001FF" w:csb1="FFFF0000"/>
    <w:embedRegular r:id="rId2" w:fontKey="{E4D2523A-DE38-41B0-9D99-EE401D08CFAA}"/>
  </w:font>
  <w:font w:name="黑体">
    <w:panose1 w:val="02010609060101010101"/>
    <w:charset w:val="86"/>
    <w:family w:val="auto"/>
    <w:pitch w:val="default"/>
    <w:sig w:usb0="800002BF" w:usb1="38CF7CFA" w:usb2="00000016" w:usb3="00000000" w:csb0="00040001" w:csb1="00000000"/>
    <w:embedRegular r:id="rId3" w:fontKey="{9B5C45FA-4461-49DA-8825-2E02D5ACB036}"/>
  </w:font>
  <w:font w:name="Courier New">
    <w:panose1 w:val="02070309020205020404"/>
    <w:charset w:val="01"/>
    <w:family w:val="modern"/>
    <w:pitch w:val="default"/>
    <w:sig w:usb0="E0002EFF" w:usb1="C0007843" w:usb2="00000009" w:usb3="00000000" w:csb0="400001FF" w:csb1="FFFF0000"/>
    <w:embedRegular r:id="rId4" w:fontKey="{728B37B9-DAAC-4A52-AC65-5085B28CCBA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EAD73661-428E-4C79-9FA9-B42C7F8E677C}"/>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6" w:fontKey="{5F7010F5-C4CA-40F0-89D1-ED5EB3320317}"/>
  </w:font>
  <w:font w:name="华文隶书">
    <w:panose1 w:val="02010800040101010101"/>
    <w:charset w:val="86"/>
    <w:family w:val="auto"/>
    <w:pitch w:val="default"/>
    <w:sig w:usb0="00000001" w:usb1="080F0000" w:usb2="00000000" w:usb3="00000000" w:csb0="00040000" w:csb1="00000000"/>
    <w:embedRegular r:id="rId7" w:fontKey="{7E9EA258-A81F-41AD-BE90-2F313C3CE417}"/>
  </w:font>
  <w:font w:name="华文行楷">
    <w:panose1 w:val="02010800040101010101"/>
    <w:charset w:val="86"/>
    <w:family w:val="auto"/>
    <w:pitch w:val="default"/>
    <w:sig w:usb0="00000001" w:usb1="080F0000" w:usb2="00000000" w:usb3="00000000" w:csb0="00040000" w:csb1="00000000"/>
    <w:embedRegular r:id="rId8" w:fontKey="{F6306819-A751-4F78-ACAF-17FED82A6511}"/>
  </w:font>
  <w:font w:name="Wingdings 2">
    <w:panose1 w:val="05020102010507070707"/>
    <w:charset w:val="02"/>
    <w:family w:val="roman"/>
    <w:pitch w:val="default"/>
    <w:sig w:usb0="00000000" w:usb1="00000000" w:usb2="00000000" w:usb3="00000000" w:csb0="80000000" w:csb1="00000000"/>
    <w:embedRegular r:id="rId9" w:fontKey="{FDF24E42-60F2-4C81-B8A7-8313EFC57447}"/>
  </w:font>
  <w:font w:name="方正小标宋_GBK">
    <w:panose1 w:val="02000000000000000000"/>
    <w:charset w:val="86"/>
    <w:family w:val="auto"/>
    <w:pitch w:val="default"/>
    <w:sig w:usb0="A00002BF" w:usb1="38CF7CFA" w:usb2="00082016" w:usb3="00000000" w:csb0="00040001" w:csb1="00000000"/>
    <w:embedRegular r:id="rId10" w:fontKey="{E9B58D05-3670-43D6-A80F-042F9A395936}"/>
  </w:font>
  <w:font w:name="WPSEMBED1">
    <w:panose1 w:val="02010800040101010101"/>
    <w:charset w:val="86"/>
    <w:family w:val="auto"/>
    <w:pitch w:val="default"/>
    <w:sig w:usb0="00000001" w:usb1="080F0000" w:usb2="00000000" w:usb3="00000000" w:csb0="00040000" w:csb1="00000000"/>
  </w:font>
  <w:font w:name="WPSEMBED3">
    <w:panose1 w:val="05020102010507070707"/>
    <w:charset w:val="00"/>
    <w:family w:val="auto"/>
    <w:pitch w:val="default"/>
    <w:sig w:usb0="00000000" w:usb1="00000000" w:usb2="00000000" w:usb3="00000000" w:csb0="80000000" w:csb1="00000000"/>
  </w:font>
  <w:font w:name="WPSEMBED4">
    <w:panose1 w:val="02000000000000000000"/>
    <w:charset w:val="86"/>
    <w:family w:val="auto"/>
    <w:pitch w:val="default"/>
    <w:sig w:usb0="A00002BF" w:usb1="38CF7CFA" w:usb2="00082016" w:usb3="00000000" w:csb0="00040001" w:csb1="00000000"/>
  </w:font>
  <w:font w:name="WPSEMBED2">
    <w:panose1 w:val="02010800040101010101"/>
    <w:charset w:val="86"/>
    <w:family w:val="auto"/>
    <w:pitch w:val="default"/>
    <w:sig w:usb0="00000001" w:usb1="080F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9FF0D">
    <w:pPr>
      <w:tabs>
        <w:tab w:val="center" w:pos="4153"/>
        <w:tab w:val="right" w:pos="8306"/>
      </w:tabs>
      <w:snapToGrid w:val="0"/>
      <w:jc w:val="center"/>
      <w:rPr>
        <w:sz w:val="18"/>
        <w:szCs w:val="18"/>
      </w:rPr>
    </w:pPr>
  </w:p>
  <w:p w14:paraId="2211C593">
    <w:pPr>
      <w:tabs>
        <w:tab w:val="center" w:pos="4153"/>
        <w:tab w:val="right" w:pos="8306"/>
      </w:tabs>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C0EC9">
    <w:pPr>
      <w:tabs>
        <w:tab w:val="center" w:pos="4153"/>
        <w:tab w:val="right" w:pos="8306"/>
      </w:tabs>
      <w:snapToGrid w:val="0"/>
      <w:jc w:val="center"/>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A6862C">
                          <w:pPr>
                            <w:pStyle w:val="12"/>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FA6862C">
                    <w:pPr>
                      <w:pStyle w:val="12"/>
                    </w:pPr>
                    <w:r>
                      <w:fldChar w:fldCharType="begin"/>
                    </w:r>
                    <w:r>
                      <w:instrText xml:space="preserve"> PAGE  \* MERGEFORMAT </w:instrText>
                    </w:r>
                    <w:r>
                      <w:fldChar w:fldCharType="separate"/>
                    </w:r>
                    <w:r>
                      <w:t>6</w:t>
                    </w:r>
                    <w:r>
                      <w:fldChar w:fldCharType="end"/>
                    </w:r>
                  </w:p>
                </w:txbxContent>
              </v:textbox>
            </v:shape>
          </w:pict>
        </mc:Fallback>
      </mc:AlternateContent>
    </w:r>
  </w:p>
  <w:p w14:paraId="1F6C77F0">
    <w:pPr>
      <w:tabs>
        <w:tab w:val="center" w:pos="4153"/>
        <w:tab w:val="right" w:pos="8306"/>
      </w:tabs>
      <w:snapToGrid w:val="0"/>
      <w:jc w:val="left"/>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BC844">
    <w:pPr>
      <w:pStyle w:val="6"/>
      <w:spacing w:line="171" w:lineRule="auto"/>
      <w:ind w:left="4324"/>
      <w:rPr>
        <w:sz w:val="24"/>
        <w:szCs w:val="24"/>
      </w:rPr>
    </w:pPr>
  </w:p>
  <w:p w14:paraId="1839DAC4">
    <w:pPr>
      <w:pStyle w:val="6"/>
      <w:spacing w:line="171" w:lineRule="auto"/>
      <w:ind w:left="4324"/>
      <w:rPr>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12FC4">
    <w:pPr>
      <w:pStyle w:val="12"/>
      <w:jc w:val="center"/>
    </w:pPr>
  </w:p>
  <w:p w14:paraId="427D14D7">
    <w:pPr>
      <w:pStyle w:val="12"/>
      <w:rPr>
        <w:rFonts w:ascii="宋体" w:hAnsi="宋体"/>
        <w:sz w:val="28"/>
        <w:szCs w:val="28"/>
      </w:rPr>
    </w:pPr>
    <w:r>
      <w:rPr>
        <w:sz w:val="18"/>
      </w:rPr>
      <mc:AlternateContent>
        <mc:Choice Requires="wps">
          <w:drawing>
            <wp:anchor distT="0" distB="0" distL="114300" distR="114300" simplePos="0" relativeHeight="251662336" behindDoc="0" locked="0" layoutInCell="1" allowOverlap="1">
              <wp:simplePos x="0" y="0"/>
              <wp:positionH relativeFrom="margin">
                <wp:posOffset>2863850</wp:posOffset>
              </wp:positionH>
              <wp:positionV relativeFrom="paragraph">
                <wp:posOffset>8255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0D190D">
                          <w:pPr>
                            <w:pStyle w:val="12"/>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5.5pt;margin-top:0.65pt;height:144pt;width:144pt;mso-position-horizontal-relative:margin;mso-wrap-style:none;z-index:251662336;mso-width-relative:page;mso-height-relative:page;" filled="f" stroked="f" coordsize="21600,21600" o:gfxdata="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gW5zjWAAAACQEAAA8AAAAAAAAAAQAgAAAAIgAAAGRycy9kb3ducmV2LnhtbFBL&#10;AQIUABQAAAAIAIdO4kAwiRJeMQIAAGEEAAAOAAAAAAAAAAEAIAAAACUBAABkcnMvZTJvRG9jLnht&#10;bFBLBQYAAAAABgAGAFkBAADIBQAAAAA=&#10;">
              <v:fill on="f" focussize="0,0"/>
              <v:stroke on="f" weight="0.5pt"/>
              <v:imagedata o:title=""/>
              <o:lock v:ext="edit" aspectratio="f"/>
              <v:textbox inset="0mm,0mm,0mm,0mm" style="mso-fit-shape-to-text:t;">
                <w:txbxContent>
                  <w:p w14:paraId="010D190D">
                    <w:pPr>
                      <w:pStyle w:val="12"/>
                    </w:pPr>
                    <w:r>
                      <w:fldChar w:fldCharType="begin"/>
                    </w:r>
                    <w:r>
                      <w:instrText xml:space="preserve"> PAGE  \* MERGEFORMAT </w:instrText>
                    </w:r>
                    <w:r>
                      <w:fldChar w:fldCharType="separate"/>
                    </w:r>
                    <w:r>
                      <w:t>18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2B2EC">
    <w:pPr>
      <w:pBdr>
        <w:bottom w:val="single" w:color="auto" w:sz="6" w:space="1"/>
      </w:pBdr>
      <w:tabs>
        <w:tab w:val="center" w:pos="4153"/>
        <w:tab w:val="right" w:pos="8306"/>
      </w:tabs>
      <w:wordWrap w:val="0"/>
      <w:snapToGrid w:val="0"/>
      <w:jc w:val="right"/>
      <w:rPr>
        <w:sz w:val="18"/>
        <w:szCs w:val="18"/>
      </w:rPr>
    </w:pPr>
    <w:r>
      <w:rPr>
        <w:rFonts w:hint="eastAsia" w:ascii="华文隶书" w:hAnsi="华文行楷" w:eastAsia="华文隶书" w:cs="华文行楷"/>
        <w:color w:val="F28221"/>
        <w:sz w:val="20"/>
        <w:szCs w:val="28"/>
      </w:rPr>
      <w:t>专业</w:t>
    </w:r>
    <w:r>
      <w:rPr>
        <w:rFonts w:hint="eastAsia" w:ascii="华文隶书" w:hAnsi="华文行楷" w:eastAsia="华文隶书" w:cs="华文行楷"/>
        <w:color w:val="F28221"/>
        <w:sz w:val="20"/>
        <w:szCs w:val="28"/>
        <w:lang w:val="en-US" w:eastAsia="zh-CN"/>
      </w:rPr>
      <w:t xml:space="preserve">用心 </w:t>
    </w:r>
    <w:r>
      <w:rPr>
        <w:rFonts w:hint="eastAsia" w:ascii="华文隶书" w:hAnsi="华文行楷" w:eastAsia="华文隶书" w:cs="华文行楷"/>
        <w:color w:val="F28221"/>
        <w:sz w:val="20"/>
        <w:szCs w:val="28"/>
      </w:rPr>
      <w:t xml:space="preserve"> 服务</w:t>
    </w:r>
    <w:r>
      <w:rPr>
        <w:rFonts w:hint="eastAsia" w:ascii="华文隶书" w:hAnsi="华文行楷" w:eastAsia="华文隶书" w:cs="华文行楷"/>
        <w:color w:val="F28221"/>
        <w:sz w:val="20"/>
        <w:szCs w:val="28"/>
        <w:lang w:val="en-US" w:eastAsia="zh-CN"/>
      </w:rPr>
      <w:t>暖</w:t>
    </w:r>
    <w:r>
      <w:rPr>
        <w:rFonts w:hint="eastAsia" w:ascii="华文隶书" w:hAnsi="华文行楷" w:eastAsia="华文隶书" w:cs="华文行楷"/>
        <w:color w:val="F28221"/>
        <w:sz w:val="20"/>
        <w:szCs w:val="28"/>
      </w:rPr>
      <w:t>心</w:t>
    </w:r>
  </w:p>
  <w:p w14:paraId="6B4C824A">
    <w:pPr>
      <w:pBdr>
        <w:bottom w:val="single" w:color="auto" w:sz="6" w:space="1"/>
      </w:pBdr>
      <w:tabs>
        <w:tab w:val="center" w:pos="4153"/>
        <w:tab w:val="right" w:pos="8306"/>
      </w:tabs>
      <w:snapToGrid w:val="0"/>
      <w:jc w:val="center"/>
      <w:rPr>
        <w:sz w:val="18"/>
        <w:szCs w:val="18"/>
      </w:rPr>
    </w:pPr>
    <w:r>
      <w:rPr>
        <w:rFonts w:ascii="Calibri" w:hAnsi="Calibri"/>
        <w:sz w:val="10"/>
        <w:szCs w:val="10"/>
      </w:rPr>
      <w:drawing>
        <wp:anchor distT="0" distB="0" distL="114300" distR="114300" simplePos="0" relativeHeight="251659264" behindDoc="1" locked="0" layoutInCell="1" allowOverlap="1">
          <wp:simplePos x="0" y="0"/>
          <wp:positionH relativeFrom="column">
            <wp:posOffset>-302895</wp:posOffset>
          </wp:positionH>
          <wp:positionV relativeFrom="paragraph">
            <wp:posOffset>-278765</wp:posOffset>
          </wp:positionV>
          <wp:extent cx="2219325" cy="474980"/>
          <wp:effectExtent l="0" t="0" r="9525" b="127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rcRect l="16148" t="39595" r="15654" b="39757"/>
                  <a:stretch>
                    <a:fillRect/>
                  </a:stretch>
                </pic:blipFill>
                <pic:spPr>
                  <a:xfrm>
                    <a:off x="0" y="0"/>
                    <a:ext cx="2219325" cy="474980"/>
                  </a:xfrm>
                  <a:prstGeom prst="rect">
                    <a:avLst/>
                  </a:prstGeom>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3BE1D">
    <w:pPr>
      <w:pStyle w:val="13"/>
      <w:wordWrap w:val="0"/>
      <w:jc w:val="right"/>
      <w:rPr>
        <w:rFonts w:eastAsia="华文隶书"/>
      </w:rPr>
    </w:pPr>
    <w:r>
      <w:rPr>
        <w:rFonts w:hint="eastAsia" w:ascii="华文隶书" w:hAnsi="华文行楷" w:eastAsia="华文隶书" w:cs="华文行楷"/>
        <w:color w:val="F28221"/>
        <w:sz w:val="20"/>
        <w:szCs w:val="28"/>
      </w:rPr>
      <w:t>专业诚信  服务用心</w:t>
    </w:r>
  </w:p>
  <w:p w14:paraId="4BDE70F2">
    <w:pPr>
      <w:pStyle w:val="13"/>
    </w:pPr>
    <w:r>
      <w:rPr>
        <w:rFonts w:ascii="Calibri" w:hAnsi="Calibri"/>
        <w:sz w:val="10"/>
        <w:szCs w:val="10"/>
      </w:rPr>
      <w:drawing>
        <wp:anchor distT="0" distB="0" distL="114300" distR="114300" simplePos="0" relativeHeight="251660288" behindDoc="1" locked="0" layoutInCell="1" allowOverlap="1">
          <wp:simplePos x="0" y="0"/>
          <wp:positionH relativeFrom="column">
            <wp:posOffset>-302895</wp:posOffset>
          </wp:positionH>
          <wp:positionV relativeFrom="paragraph">
            <wp:posOffset>-278765</wp:posOffset>
          </wp:positionV>
          <wp:extent cx="2219325" cy="474980"/>
          <wp:effectExtent l="0" t="0" r="9525" b="127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
                  <a:srcRect l="16148" t="39595" r="15654" b="39757"/>
                  <a:stretch>
                    <a:fillRect/>
                  </a:stretch>
                </pic:blipFill>
                <pic:spPr>
                  <a:xfrm>
                    <a:off x="0" y="0"/>
                    <a:ext cx="2219325" cy="474980"/>
                  </a:xfrm>
                  <a:prstGeom prst="rect">
                    <a:avLst/>
                  </a:prstGeom>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A22CC6"/>
    <w:multiLevelType w:val="singleLevel"/>
    <w:tmpl w:val="CDA22CC6"/>
    <w:lvl w:ilvl="0" w:tentative="0">
      <w:start w:val="3"/>
      <w:numFmt w:val="chineseCounting"/>
      <w:suff w:val="nothing"/>
      <w:lvlText w:val="%1、"/>
      <w:lvlJc w:val="left"/>
      <w:rPr>
        <w:rFonts w:hint="eastAsia"/>
      </w:rPr>
    </w:lvl>
  </w:abstractNum>
  <w:abstractNum w:abstractNumId="1">
    <w:nsid w:val="32C4E530"/>
    <w:multiLevelType w:val="singleLevel"/>
    <w:tmpl w:val="32C4E530"/>
    <w:lvl w:ilvl="0" w:tentative="0">
      <w:start w:val="5"/>
      <w:numFmt w:val="decimal"/>
      <w:suff w:val="nothing"/>
      <w:lvlText w:val="%1、"/>
      <w:lvlJc w:val="left"/>
    </w:lvl>
  </w:abstractNum>
  <w:abstractNum w:abstractNumId="2">
    <w:nsid w:val="6EA4489A"/>
    <w:multiLevelType w:val="multilevel"/>
    <w:tmpl w:val="6EA4489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0NzVlYzU1NmJkODk5ZjhkNTk5M2IwMWQzN2Q2NGMifQ=="/>
  </w:docVars>
  <w:rsids>
    <w:rsidRoot w:val="5304070D"/>
    <w:rsid w:val="002835C4"/>
    <w:rsid w:val="00513D83"/>
    <w:rsid w:val="00690244"/>
    <w:rsid w:val="007C124C"/>
    <w:rsid w:val="00C32F96"/>
    <w:rsid w:val="02B17177"/>
    <w:rsid w:val="0590119C"/>
    <w:rsid w:val="05D215EF"/>
    <w:rsid w:val="067452CE"/>
    <w:rsid w:val="073A0269"/>
    <w:rsid w:val="082F566C"/>
    <w:rsid w:val="090A6DDF"/>
    <w:rsid w:val="09954E0D"/>
    <w:rsid w:val="09C43FCD"/>
    <w:rsid w:val="0A7A0E41"/>
    <w:rsid w:val="0B700D83"/>
    <w:rsid w:val="0B9E5174"/>
    <w:rsid w:val="0C2D757F"/>
    <w:rsid w:val="0DAC0124"/>
    <w:rsid w:val="0DC43470"/>
    <w:rsid w:val="0DF77A15"/>
    <w:rsid w:val="0F925757"/>
    <w:rsid w:val="13EB7807"/>
    <w:rsid w:val="153B1488"/>
    <w:rsid w:val="15DD4B3E"/>
    <w:rsid w:val="170D689B"/>
    <w:rsid w:val="17376B07"/>
    <w:rsid w:val="17BF7C21"/>
    <w:rsid w:val="191E4E1F"/>
    <w:rsid w:val="1A8A3DEE"/>
    <w:rsid w:val="1AC4117F"/>
    <w:rsid w:val="1BCE552E"/>
    <w:rsid w:val="1C0F7BBC"/>
    <w:rsid w:val="1C7A236C"/>
    <w:rsid w:val="1CC25AC1"/>
    <w:rsid w:val="1CE1575A"/>
    <w:rsid w:val="1E037543"/>
    <w:rsid w:val="1E0F11DA"/>
    <w:rsid w:val="1EAE09F3"/>
    <w:rsid w:val="1ECD2174"/>
    <w:rsid w:val="1EF320EC"/>
    <w:rsid w:val="1EF369DC"/>
    <w:rsid w:val="1F15542D"/>
    <w:rsid w:val="1F6169B6"/>
    <w:rsid w:val="1F6F5AB9"/>
    <w:rsid w:val="20452C91"/>
    <w:rsid w:val="21447C5E"/>
    <w:rsid w:val="21AA36F4"/>
    <w:rsid w:val="21F32BA9"/>
    <w:rsid w:val="22E847AB"/>
    <w:rsid w:val="22FB7F7F"/>
    <w:rsid w:val="24AC2947"/>
    <w:rsid w:val="26F75B3F"/>
    <w:rsid w:val="27F05BD9"/>
    <w:rsid w:val="29C25B34"/>
    <w:rsid w:val="2B9B149C"/>
    <w:rsid w:val="2C241F35"/>
    <w:rsid w:val="2E2760CC"/>
    <w:rsid w:val="2E8E614B"/>
    <w:rsid w:val="2EAC6B31"/>
    <w:rsid w:val="2F775638"/>
    <w:rsid w:val="30200F0B"/>
    <w:rsid w:val="30D065A7"/>
    <w:rsid w:val="30F5600E"/>
    <w:rsid w:val="3115220C"/>
    <w:rsid w:val="32C4038E"/>
    <w:rsid w:val="3354687F"/>
    <w:rsid w:val="34D967AB"/>
    <w:rsid w:val="35943341"/>
    <w:rsid w:val="36527B36"/>
    <w:rsid w:val="377249BA"/>
    <w:rsid w:val="37A02FC6"/>
    <w:rsid w:val="37C72144"/>
    <w:rsid w:val="39904001"/>
    <w:rsid w:val="3D5D11C3"/>
    <w:rsid w:val="3D883F23"/>
    <w:rsid w:val="3DB86D41"/>
    <w:rsid w:val="3DE511B8"/>
    <w:rsid w:val="3E3C1720"/>
    <w:rsid w:val="3EAB41B0"/>
    <w:rsid w:val="3EB022D3"/>
    <w:rsid w:val="41862D01"/>
    <w:rsid w:val="42C71B8C"/>
    <w:rsid w:val="42E63CEA"/>
    <w:rsid w:val="43AC2EA4"/>
    <w:rsid w:val="447B15D8"/>
    <w:rsid w:val="44AE56AE"/>
    <w:rsid w:val="45A007E6"/>
    <w:rsid w:val="45D4223E"/>
    <w:rsid w:val="45F16441"/>
    <w:rsid w:val="46456C98"/>
    <w:rsid w:val="46AB11F1"/>
    <w:rsid w:val="4B5333AE"/>
    <w:rsid w:val="4C4C5224"/>
    <w:rsid w:val="4DF40145"/>
    <w:rsid w:val="4F6129D2"/>
    <w:rsid w:val="4F761DFE"/>
    <w:rsid w:val="50375D83"/>
    <w:rsid w:val="5304070D"/>
    <w:rsid w:val="53B35B89"/>
    <w:rsid w:val="54681F3B"/>
    <w:rsid w:val="55564A1D"/>
    <w:rsid w:val="557233B5"/>
    <w:rsid w:val="55A7506F"/>
    <w:rsid w:val="567C4AF9"/>
    <w:rsid w:val="57B27F05"/>
    <w:rsid w:val="57BA133D"/>
    <w:rsid w:val="58607961"/>
    <w:rsid w:val="5902152F"/>
    <w:rsid w:val="59527BF2"/>
    <w:rsid w:val="5AAC4337"/>
    <w:rsid w:val="5E0C65C1"/>
    <w:rsid w:val="5E34020C"/>
    <w:rsid w:val="5F6D6A5F"/>
    <w:rsid w:val="62242035"/>
    <w:rsid w:val="62A254B2"/>
    <w:rsid w:val="62F824D2"/>
    <w:rsid w:val="63901A42"/>
    <w:rsid w:val="64A31301"/>
    <w:rsid w:val="65161704"/>
    <w:rsid w:val="65314751"/>
    <w:rsid w:val="653463FD"/>
    <w:rsid w:val="65BD6F9C"/>
    <w:rsid w:val="664B7FAF"/>
    <w:rsid w:val="66D32372"/>
    <w:rsid w:val="67892A30"/>
    <w:rsid w:val="68AA1941"/>
    <w:rsid w:val="68B801AC"/>
    <w:rsid w:val="69BE4811"/>
    <w:rsid w:val="6A033A43"/>
    <w:rsid w:val="6A31115D"/>
    <w:rsid w:val="6AD31A70"/>
    <w:rsid w:val="6AEB2B47"/>
    <w:rsid w:val="6B6C09E0"/>
    <w:rsid w:val="6C841A18"/>
    <w:rsid w:val="6D885ECE"/>
    <w:rsid w:val="6DB119A4"/>
    <w:rsid w:val="6E337B9A"/>
    <w:rsid w:val="6E9543B1"/>
    <w:rsid w:val="710F044A"/>
    <w:rsid w:val="71EF3C23"/>
    <w:rsid w:val="72E871A5"/>
    <w:rsid w:val="736305DA"/>
    <w:rsid w:val="74D47444"/>
    <w:rsid w:val="7508401D"/>
    <w:rsid w:val="75973CB6"/>
    <w:rsid w:val="760F67F7"/>
    <w:rsid w:val="7726179B"/>
    <w:rsid w:val="7775446C"/>
    <w:rsid w:val="77E24E65"/>
    <w:rsid w:val="78774BC6"/>
    <w:rsid w:val="78C22246"/>
    <w:rsid w:val="79A731EA"/>
    <w:rsid w:val="7E3944B5"/>
    <w:rsid w:val="7EC2766C"/>
    <w:rsid w:val="7F167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3">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annotation text"/>
    <w:basedOn w:val="1"/>
    <w:link w:val="33"/>
    <w:autoRedefine/>
    <w:qFormat/>
    <w:uiPriority w:val="0"/>
    <w:pPr>
      <w:jc w:val="left"/>
    </w:pPr>
  </w:style>
  <w:style w:type="paragraph" w:styleId="6">
    <w:name w:val="Body Text"/>
    <w:basedOn w:val="1"/>
    <w:next w:val="1"/>
    <w:autoRedefine/>
    <w:qFormat/>
    <w:uiPriority w:val="0"/>
    <w:pPr>
      <w:spacing w:after="120"/>
    </w:pPr>
  </w:style>
  <w:style w:type="paragraph" w:styleId="7">
    <w:name w:val="Body Text Indent"/>
    <w:basedOn w:val="1"/>
    <w:autoRedefine/>
    <w:qFormat/>
    <w:uiPriority w:val="0"/>
    <w:pPr>
      <w:ind w:firstLine="630"/>
    </w:pPr>
    <w:rPr>
      <w:sz w:val="32"/>
      <w:szCs w:val="20"/>
    </w:rPr>
  </w:style>
  <w:style w:type="paragraph" w:styleId="8">
    <w:name w:val="Plain Text"/>
    <w:basedOn w:val="1"/>
    <w:autoRedefine/>
    <w:qFormat/>
    <w:uiPriority w:val="99"/>
    <w:pPr>
      <w:autoSpaceDE w:val="0"/>
      <w:autoSpaceDN w:val="0"/>
      <w:adjustRightInd w:val="0"/>
    </w:pPr>
    <w:rPr>
      <w:rFonts w:ascii="宋体" w:hAnsi="Tms Rmn" w:cs="宋体"/>
      <w:szCs w:val="22"/>
    </w:rPr>
  </w:style>
  <w:style w:type="paragraph" w:styleId="9">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10">
    <w:name w:val="Body Text Indent 2"/>
    <w:basedOn w:val="1"/>
    <w:autoRedefine/>
    <w:qFormat/>
    <w:uiPriority w:val="0"/>
    <w:pPr>
      <w:spacing w:after="120" w:line="480" w:lineRule="auto"/>
      <w:ind w:left="420" w:leftChars="200"/>
    </w:pPr>
  </w:style>
  <w:style w:type="paragraph" w:styleId="11">
    <w:name w:val="Balloon Text"/>
    <w:basedOn w:val="1"/>
    <w:link w:val="32"/>
    <w:autoRedefine/>
    <w:qFormat/>
    <w:uiPriority w:val="0"/>
    <w:rPr>
      <w:sz w:val="18"/>
      <w:szCs w:val="18"/>
    </w:r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39"/>
    <w:pPr>
      <w:spacing w:line="480" w:lineRule="auto"/>
    </w:pPr>
    <w:rPr>
      <w:sz w:val="24"/>
      <w:szCs w:val="20"/>
    </w:rPr>
  </w:style>
  <w:style w:type="paragraph" w:styleId="15">
    <w:name w:val="toc 2"/>
    <w:basedOn w:val="1"/>
    <w:next w:val="1"/>
    <w:autoRedefine/>
    <w:qFormat/>
    <w:uiPriority w:val="0"/>
    <w:pPr>
      <w:ind w:left="420" w:leftChars="200"/>
    </w:pPr>
  </w:style>
  <w:style w:type="paragraph" w:styleId="16">
    <w:name w:val="Title"/>
    <w:basedOn w:val="1"/>
    <w:next w:val="1"/>
    <w:autoRedefine/>
    <w:qFormat/>
    <w:uiPriority w:val="0"/>
    <w:pPr>
      <w:spacing w:before="240" w:after="60"/>
      <w:jc w:val="center"/>
      <w:outlineLvl w:val="0"/>
    </w:pPr>
    <w:rPr>
      <w:rFonts w:ascii="Cambria" w:hAnsi="Cambria" w:cs="宋体"/>
      <w:b/>
      <w:bCs/>
      <w:sz w:val="32"/>
      <w:szCs w:val="32"/>
    </w:rPr>
  </w:style>
  <w:style w:type="paragraph" w:styleId="17">
    <w:name w:val="annotation subject"/>
    <w:basedOn w:val="5"/>
    <w:next w:val="5"/>
    <w:link w:val="34"/>
    <w:autoRedefine/>
    <w:qFormat/>
    <w:uiPriority w:val="0"/>
    <w:rPr>
      <w:b/>
      <w:bCs/>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qFormat/>
    <w:uiPriority w:val="0"/>
  </w:style>
  <w:style w:type="character" w:styleId="22">
    <w:name w:val="Hyperlink"/>
    <w:autoRedefine/>
    <w:qFormat/>
    <w:uiPriority w:val="99"/>
    <w:rPr>
      <w:color w:val="0000FF"/>
      <w:u w:val="single"/>
    </w:rPr>
  </w:style>
  <w:style w:type="character" w:styleId="23">
    <w:name w:val="annotation reference"/>
    <w:basedOn w:val="20"/>
    <w:autoRedefine/>
    <w:qFormat/>
    <w:uiPriority w:val="99"/>
    <w:rPr>
      <w:sz w:val="21"/>
      <w:szCs w:val="21"/>
    </w:rPr>
  </w:style>
  <w:style w:type="paragraph" w:customStyle="1" w:styleId="24">
    <w:name w:val="正文首行缩进两字符"/>
    <w:basedOn w:val="1"/>
    <w:autoRedefine/>
    <w:qFormat/>
    <w:uiPriority w:val="0"/>
    <w:pPr>
      <w:spacing w:line="360" w:lineRule="auto"/>
      <w:ind w:firstLine="200" w:firstLineChars="200"/>
    </w:pPr>
  </w:style>
  <w:style w:type="paragraph" w:customStyle="1" w:styleId="25">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6">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03、“注：”正文(加粗，首行缩进2字符)"/>
    <w:basedOn w:val="28"/>
    <w:autoRedefine/>
    <w:qFormat/>
    <w:uiPriority w:val="0"/>
    <w:pPr>
      <w:tabs>
        <w:tab w:val="left" w:pos="0"/>
      </w:tabs>
      <w:ind w:firstLine="480" w:firstLineChars="200"/>
    </w:pPr>
    <w:rPr>
      <w:b/>
    </w:rPr>
  </w:style>
  <w:style w:type="paragraph" w:customStyle="1" w:styleId="28">
    <w:name w:val="01、普通正文"/>
    <w:basedOn w:val="1"/>
    <w:autoRedefine/>
    <w:qFormat/>
    <w:uiPriority w:val="0"/>
    <w:pPr>
      <w:tabs>
        <w:tab w:val="left" w:pos="0"/>
      </w:tabs>
      <w:wordWrap w:val="0"/>
      <w:topLinePunct/>
    </w:pPr>
    <w:rPr>
      <w:rFonts w:ascii="宋体" w:hAnsi="宋体"/>
      <w:snapToGrid w:val="0"/>
    </w:rPr>
  </w:style>
  <w:style w:type="paragraph" w:customStyle="1" w:styleId="29">
    <w:name w:val="列表段落1"/>
    <w:basedOn w:val="1"/>
    <w:autoRedefine/>
    <w:qFormat/>
    <w:uiPriority w:val="0"/>
    <w:pPr>
      <w:ind w:firstLine="420" w:firstLineChars="200"/>
    </w:pPr>
  </w:style>
  <w:style w:type="paragraph" w:customStyle="1" w:styleId="30">
    <w:name w:val="Plain Text1"/>
    <w:basedOn w:val="1"/>
    <w:autoRedefine/>
    <w:qFormat/>
    <w:uiPriority w:val="0"/>
    <w:pPr>
      <w:adjustRightInd w:val="0"/>
      <w:jc w:val="left"/>
      <w:textAlignment w:val="baseline"/>
    </w:pPr>
    <w:rPr>
      <w:rFonts w:ascii="宋体" w:hAnsi="Courier New"/>
      <w:sz w:val="24"/>
      <w:szCs w:val="20"/>
    </w:rPr>
  </w:style>
  <w:style w:type="character" w:customStyle="1" w:styleId="31">
    <w:name w:val="NormalCharacter"/>
    <w:autoRedefine/>
    <w:qFormat/>
    <w:uiPriority w:val="0"/>
  </w:style>
  <w:style w:type="character" w:customStyle="1" w:styleId="32">
    <w:name w:val="批注框文本 字符"/>
    <w:basedOn w:val="20"/>
    <w:link w:val="11"/>
    <w:autoRedefine/>
    <w:qFormat/>
    <w:uiPriority w:val="0"/>
    <w:rPr>
      <w:kern w:val="2"/>
      <w:sz w:val="18"/>
      <w:szCs w:val="18"/>
    </w:rPr>
  </w:style>
  <w:style w:type="character" w:customStyle="1" w:styleId="33">
    <w:name w:val="批注文字 字符"/>
    <w:basedOn w:val="20"/>
    <w:link w:val="5"/>
    <w:autoRedefine/>
    <w:qFormat/>
    <w:uiPriority w:val="0"/>
    <w:rPr>
      <w:kern w:val="2"/>
      <w:sz w:val="21"/>
      <w:szCs w:val="24"/>
    </w:rPr>
  </w:style>
  <w:style w:type="character" w:customStyle="1" w:styleId="34">
    <w:name w:val="批注主题 字符"/>
    <w:basedOn w:val="33"/>
    <w:link w:val="17"/>
    <w:autoRedefine/>
    <w:qFormat/>
    <w:uiPriority w:val="0"/>
    <w:rPr>
      <w:b/>
      <w:bCs/>
      <w:kern w:val="2"/>
      <w:sz w:val="21"/>
      <w:szCs w:val="24"/>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null3"/>
    <w:qFormat/>
    <w:uiPriority w:val="0"/>
    <w:rPr>
      <w:rFonts w:hint="eastAsia" w:ascii="Calibri" w:hAnsi="Calibri" w:eastAsia="宋体" w:cs="Times New Roman"/>
      <w:lang w:val="en-US" w:eastAsia="zh-Hans" w:bidi="ar-SA"/>
    </w:rPr>
  </w:style>
  <w:style w:type="paragraph" w:customStyle="1" w:styleId="37">
    <w:name w:val="无间隔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37449</Words>
  <Characters>39168</Characters>
  <Lines>299</Lines>
  <Paragraphs>84</Paragraphs>
  <TotalTime>19</TotalTime>
  <ScaleCrop>false</ScaleCrop>
  <LinksUpToDate>false</LinksUpToDate>
  <CharactersWithSpaces>40048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2024-02-19T02:19:00Z</dcterms:created>
  <dc:creator>AB</dc:creator>
  <cp:lastModifiedBy>範</cp:lastModifiedBy>
  <dcterms:modified xsi:type="dcterms:W3CDTF">2026-04-27T08:56:01Z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9C12A32CD50C4D26809F71B45F0D1A96_13</vt:lpwstr>
  </property>
  <property fmtid="{D5CDD505-2E9C-101B-9397-08002B2CF9AE}" pid="4" name="KSOTemplateDocerSaveRecord">
    <vt:lpwstr>eyJoZGlkIjoiZjM0MDVkMGZiZmIwMzE4MWEyY2UxYWY2MTNmNTU2ZDkiLCJ1c2VySWQiOiI0NTI4MTExNjIifQ==</vt:lpwstr>
  </property>
</Properties>
</file>