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326E39">
      <w:pPr>
        <w:pStyle w:val="61"/>
        <w:numPr>
          <w:ilvl w:val="0"/>
          <w:numId w:val="0"/>
        </w:numPr>
        <w:rPr>
          <w:rFonts w:cs="宋体"/>
          <w:b/>
          <w:bCs/>
          <w:color w:val="auto"/>
          <w:kern w:val="0"/>
          <w:sz w:val="32"/>
          <w:szCs w:val="32"/>
          <w:highlight w:val="none"/>
        </w:rPr>
      </w:pPr>
    </w:p>
    <w:p w14:paraId="3BEF2EB0">
      <w:pPr>
        <w:spacing w:line="240" w:lineRule="auto"/>
        <w:ind w:left="0" w:firstLine="0" w:firstLineChars="0"/>
        <w:jc w:val="center"/>
        <w:rPr>
          <w:rFonts w:hint="default" w:ascii="宋体" w:hAnsi="宋体" w:eastAsia="宋体" w:cs="宋体"/>
          <w:b/>
          <w:bCs w:val="0"/>
          <w:color w:val="auto"/>
          <w:kern w:val="0"/>
          <w:sz w:val="44"/>
          <w:szCs w:val="44"/>
          <w:highlight w:val="none"/>
          <w:lang w:val="en-US" w:eastAsia="zh-CN"/>
        </w:rPr>
      </w:pPr>
      <w:r>
        <w:rPr>
          <w:rFonts w:hint="eastAsia" w:ascii="宋体" w:hAnsi="宋体" w:cs="宋体"/>
          <w:b/>
          <w:bCs w:val="0"/>
          <w:color w:val="auto"/>
          <w:kern w:val="0"/>
          <w:sz w:val="44"/>
          <w:szCs w:val="44"/>
          <w:highlight w:val="none"/>
          <w:lang w:val="en-US" w:eastAsia="zh-CN"/>
        </w:rPr>
        <w:t>中国石油大学（北京）超临界萃取综合平台采购项目</w:t>
      </w:r>
    </w:p>
    <w:p w14:paraId="021483ED">
      <w:pPr>
        <w:spacing w:line="360" w:lineRule="atLeast"/>
        <w:ind w:left="1446" w:hanging="1446" w:hangingChars="450"/>
        <w:jc w:val="center"/>
        <w:rPr>
          <w:rFonts w:hint="eastAsia" w:hAnsi="宋体" w:cs="宋体"/>
          <w:b/>
          <w:bCs/>
          <w:color w:val="auto"/>
          <w:kern w:val="0"/>
          <w:sz w:val="32"/>
          <w:szCs w:val="32"/>
          <w:highlight w:val="none"/>
        </w:rPr>
      </w:pPr>
    </w:p>
    <w:p w14:paraId="53217133">
      <w:pPr>
        <w:spacing w:line="360" w:lineRule="atLeast"/>
        <w:ind w:left="1446" w:hanging="1446" w:hangingChars="450"/>
        <w:jc w:val="center"/>
        <w:rPr>
          <w:rFonts w:hint="eastAsia" w:hAnsi="宋体" w:cs="宋体"/>
          <w:b/>
          <w:bCs/>
          <w:color w:val="auto"/>
          <w:kern w:val="0"/>
          <w:sz w:val="32"/>
          <w:szCs w:val="32"/>
          <w:highlight w:val="none"/>
        </w:rPr>
      </w:pPr>
    </w:p>
    <w:p w14:paraId="3E821A6D">
      <w:pPr>
        <w:spacing w:line="360" w:lineRule="atLeast"/>
        <w:ind w:left="1446" w:hanging="1446" w:hangingChars="450"/>
        <w:jc w:val="center"/>
        <w:rPr>
          <w:rFonts w:hint="eastAsia" w:eastAsia="宋体"/>
          <w:color w:val="auto"/>
          <w:sz w:val="30"/>
          <w:szCs w:val="30"/>
          <w:highlight w:val="none"/>
          <w:lang w:val="en-US" w:eastAsia="zh-CN"/>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eastAsia="zh-CN"/>
        </w:rPr>
        <w:t>HYGS-ZC-2026-65</w:t>
      </w:r>
    </w:p>
    <w:p w14:paraId="6116CC58">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14:paraId="4F228A03">
      <w:pPr>
        <w:spacing w:line="360" w:lineRule="auto"/>
        <w:rPr>
          <w:rFonts w:ascii="宋体" w:hAnsi="宋体" w:cs="宋体"/>
          <w:color w:val="auto"/>
          <w:sz w:val="30"/>
          <w:szCs w:val="30"/>
          <w:highlight w:val="none"/>
        </w:rPr>
      </w:pPr>
    </w:p>
    <w:p w14:paraId="2DA63DBA">
      <w:pPr>
        <w:spacing w:line="360" w:lineRule="auto"/>
        <w:rPr>
          <w:rFonts w:ascii="宋体" w:hAnsi="宋体" w:cs="宋体"/>
          <w:color w:val="auto"/>
          <w:sz w:val="30"/>
          <w:szCs w:val="30"/>
          <w:highlight w:val="none"/>
        </w:rPr>
      </w:pPr>
    </w:p>
    <w:p w14:paraId="29826D19">
      <w:pPr>
        <w:spacing w:line="360" w:lineRule="auto"/>
        <w:rPr>
          <w:rFonts w:ascii="宋体" w:hAnsi="宋体" w:cs="宋体"/>
          <w:color w:val="auto"/>
          <w:sz w:val="30"/>
          <w:szCs w:val="30"/>
          <w:highlight w:val="none"/>
        </w:rPr>
      </w:pPr>
    </w:p>
    <w:p w14:paraId="0A9BBBB8">
      <w:pPr>
        <w:spacing w:line="360" w:lineRule="auto"/>
        <w:rPr>
          <w:rFonts w:ascii="宋体" w:hAnsi="宋体" w:cs="宋体"/>
          <w:color w:val="auto"/>
          <w:sz w:val="30"/>
          <w:szCs w:val="30"/>
          <w:highlight w:val="none"/>
        </w:rPr>
      </w:pPr>
    </w:p>
    <w:p w14:paraId="5593C69C">
      <w:pPr>
        <w:pStyle w:val="3"/>
        <w:rPr>
          <w:rFonts w:ascii="宋体" w:hAnsi="宋体" w:cs="宋体"/>
          <w:color w:val="auto"/>
          <w:sz w:val="30"/>
          <w:szCs w:val="30"/>
          <w:highlight w:val="none"/>
        </w:rPr>
      </w:pPr>
    </w:p>
    <w:p w14:paraId="779C1440">
      <w:pPr>
        <w:spacing w:line="360" w:lineRule="auto"/>
        <w:rPr>
          <w:rFonts w:hint="default" w:ascii="宋体" w:hAnsi="宋体" w:eastAsia="宋体" w:cs="宋体"/>
          <w:b/>
          <w:bCs/>
          <w:color w:val="auto"/>
          <w:sz w:val="30"/>
          <w:szCs w:val="30"/>
          <w:highlight w:val="none"/>
          <w:lang w:val="en-US" w:eastAsia="zh-CN"/>
        </w:rPr>
      </w:pPr>
      <w:bookmarkStart w:id="0" w:name="_Toc16938516"/>
      <w:bookmarkStart w:id="1" w:name="_Toc120614210"/>
      <w:bookmarkStart w:id="2" w:name="_Toc494375077"/>
      <w:bookmarkStart w:id="3" w:name="_Toc513029200"/>
      <w:bookmarkStart w:id="4" w:name="_Toc523127445"/>
      <w:bookmarkStart w:id="5" w:name="_Toc479757206"/>
      <w:bookmarkStart w:id="6" w:name="_Toc20823272"/>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：中国石油大学（北京）</w:t>
      </w:r>
    </w:p>
    <w:p w14:paraId="1C516A7F">
      <w:pP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联系人：</w:t>
      </w:r>
      <w:r>
        <w:rPr>
          <w:rFonts w:hint="eastAsia" w:ascii="宋体" w:hAnsi="宋体" w:cs="宋体"/>
          <w:b/>
          <w:bCs/>
          <w:color w:val="auto"/>
          <w:sz w:val="30"/>
          <w:szCs w:val="30"/>
          <w:highlight w:val="none"/>
          <w:lang w:eastAsia="zh-CN"/>
        </w:rPr>
        <w:t>乔文欢</w:t>
      </w:r>
    </w:p>
    <w:p w14:paraId="1B7286C1">
      <w:pP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联系电话：</w:t>
      </w:r>
      <w:r>
        <w:rPr>
          <w:rFonts w:hint="eastAsia" w:ascii="宋体" w:hAnsi="宋体" w:cs="宋体"/>
          <w:b/>
          <w:bCs/>
          <w:color w:val="auto"/>
          <w:sz w:val="30"/>
          <w:szCs w:val="30"/>
          <w:highlight w:val="none"/>
          <w:lang w:eastAsia="zh-CN"/>
        </w:rPr>
        <w:t>18621059538</w:t>
      </w:r>
    </w:p>
    <w:p w14:paraId="6DAC3883">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6350" r="0" b="635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14:paraId="715B0FA4">
      <w:pPr>
        <w:spacing w:line="360" w:lineRule="auto"/>
        <w:ind w:left="3313" w:hanging="3313" w:hangingChars="1100"/>
        <w:jc w:val="both"/>
        <w:rPr>
          <w:rFonts w:hint="eastAsia" w:ascii="宋体" w:hAnsi="宋体" w:eastAsia="宋体" w:cs="宋体"/>
          <w:b/>
          <w:bCs/>
          <w:color w:val="auto"/>
          <w:sz w:val="30"/>
          <w:szCs w:val="30"/>
          <w:highlight w:val="none"/>
          <w:lang w:eastAsia="zh-CN"/>
        </w:rPr>
      </w:pPr>
      <w:r>
        <w:rPr>
          <w:rFonts w:hint="eastAsia" w:ascii="宋体" w:hAnsi="宋体" w:cs="宋体"/>
          <w:b/>
          <w:bCs/>
          <w:color w:val="auto"/>
          <w:kern w:val="0"/>
          <w:sz w:val="30"/>
          <w:szCs w:val="30"/>
          <w:highlight w:val="none"/>
        </w:rPr>
        <w:t>招标代理机构（盖章）：</w:t>
      </w:r>
      <w:r>
        <w:rPr>
          <w:rFonts w:hint="eastAsia" w:ascii="宋体" w:hAnsi="宋体" w:cs="宋体"/>
          <w:b/>
          <w:bCs/>
          <w:color w:val="auto"/>
          <w:spacing w:val="-11"/>
          <w:kern w:val="0"/>
          <w:sz w:val="30"/>
          <w:szCs w:val="30"/>
          <w:highlight w:val="none"/>
        </w:rPr>
        <w:t>新疆宏宇建设工程项目管理有限责任公司</w:t>
      </w:r>
      <w:r>
        <w:rPr>
          <w:rFonts w:hint="eastAsia" w:ascii="宋体" w:hAnsi="宋体" w:cs="宋体"/>
          <w:b/>
          <w:bCs/>
          <w:color w:val="auto"/>
          <w:sz w:val="30"/>
          <w:szCs w:val="30"/>
          <w:highlight w:val="none"/>
          <w:lang w:val="en-US" w:eastAsia="zh-CN"/>
        </w:rPr>
        <w:t xml:space="preserve"> </w:t>
      </w:r>
    </w:p>
    <w:p w14:paraId="6B74CE62">
      <w:pPr>
        <w:spacing w:line="360" w:lineRule="auto"/>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法人代表（盖章）：</w:t>
      </w:r>
    </w:p>
    <w:p w14:paraId="3600FAB1">
      <w:pPr>
        <w:spacing w:line="360" w:lineRule="auto"/>
        <w:rPr>
          <w:rFonts w:hint="eastAsia" w:ascii="宋体" w:hAnsi="宋体" w:eastAsia="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联系人：</w:t>
      </w:r>
      <w:r>
        <w:rPr>
          <w:rFonts w:hint="eastAsia" w:ascii="宋体" w:hAnsi="宋体" w:cs="宋体"/>
          <w:b/>
          <w:bCs/>
          <w:color w:val="auto"/>
          <w:kern w:val="0"/>
          <w:sz w:val="30"/>
          <w:szCs w:val="30"/>
          <w:highlight w:val="none"/>
          <w:lang w:eastAsia="zh-CN"/>
        </w:rPr>
        <w:t xml:space="preserve">周水霞、杨童艳、陈晨 </w:t>
      </w:r>
    </w:p>
    <w:p w14:paraId="302F6B18">
      <w:pPr>
        <w:spacing w:line="360" w:lineRule="auto"/>
        <w:rPr>
          <w:color w:val="auto"/>
          <w:highlight w:val="none"/>
        </w:rPr>
      </w:pPr>
      <w:r>
        <w:rPr>
          <w:rFonts w:hint="eastAsia" w:ascii="宋体" w:hAnsi="宋体" w:cs="宋体"/>
          <w:b/>
          <w:bCs/>
          <w:color w:val="auto"/>
          <w:kern w:val="0"/>
          <w:sz w:val="30"/>
          <w:szCs w:val="30"/>
          <w:highlight w:val="none"/>
        </w:rPr>
        <w:t>联系电话：</w:t>
      </w:r>
      <w:r>
        <w:rPr>
          <w:rFonts w:hint="eastAsia" w:ascii="宋体" w:hAnsi="宋体" w:cs="宋体"/>
          <w:b/>
          <w:bCs/>
          <w:color w:val="auto"/>
          <w:kern w:val="0"/>
          <w:sz w:val="30"/>
          <w:szCs w:val="30"/>
          <w:highlight w:val="none"/>
          <w:lang w:val="en-US" w:eastAsia="zh-CN"/>
        </w:rPr>
        <w:t>18599209929  0990-6608599</w:t>
      </w:r>
    </w:p>
    <w:p w14:paraId="079D9C52">
      <w:pPr>
        <w:pStyle w:val="136"/>
        <w:jc w:val="center"/>
        <w:rPr>
          <w:color w:val="auto"/>
          <w:sz w:val="44"/>
          <w:szCs w:val="44"/>
          <w:highlight w:val="none"/>
          <w:lang w:val="zh-CN"/>
        </w:rPr>
      </w:pPr>
      <w:r>
        <w:rPr>
          <w:color w:val="auto"/>
          <w:sz w:val="44"/>
          <w:szCs w:val="44"/>
          <w:highlight w:val="none"/>
          <w:lang w:val="zh-CN"/>
        </w:rPr>
        <w:t>目录</w:t>
      </w:r>
    </w:p>
    <w:p w14:paraId="65520A8B">
      <w:pPr>
        <w:rPr>
          <w:color w:val="auto"/>
          <w:sz w:val="44"/>
          <w:szCs w:val="44"/>
          <w:highlight w:val="none"/>
          <w:lang w:val="zh-CN"/>
        </w:rPr>
      </w:pPr>
    </w:p>
    <w:p w14:paraId="070B9E89">
      <w:pPr>
        <w:pStyle w:val="23"/>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_Toc26965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687F7851">
      <w:pPr>
        <w:pStyle w:val="23"/>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采购公告</w:t>
      </w:r>
      <w:r>
        <w:rPr>
          <w:color w:val="auto"/>
          <w:sz w:val="28"/>
          <w:szCs w:val="28"/>
          <w:highlight w:val="none"/>
        </w:rPr>
        <w:tab/>
      </w:r>
      <w:r>
        <w:rPr>
          <w:rFonts w:hint="eastAsia"/>
          <w:color w:val="auto"/>
          <w:sz w:val="28"/>
          <w:szCs w:val="28"/>
          <w:highlight w:val="none"/>
          <w:lang w:val="en-US" w:eastAsia="zh-CN"/>
        </w:rPr>
        <w:t>7</w:t>
      </w:r>
      <w:r>
        <w:rPr>
          <w:color w:val="auto"/>
          <w:sz w:val="28"/>
          <w:szCs w:val="28"/>
          <w:highlight w:val="none"/>
        </w:rPr>
        <w:fldChar w:fldCharType="end"/>
      </w:r>
    </w:p>
    <w:p w14:paraId="3CA6D0EA">
      <w:pPr>
        <w:pStyle w:val="23"/>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rFonts w:hint="eastAsia"/>
          <w:color w:val="auto"/>
          <w:sz w:val="28"/>
          <w:szCs w:val="28"/>
          <w:highlight w:val="none"/>
          <w:lang w:val="en-US" w:eastAsia="zh-CN"/>
        </w:rPr>
        <w:t>1</w:t>
      </w:r>
      <w:r>
        <w:rPr>
          <w:color w:val="auto"/>
          <w:sz w:val="28"/>
          <w:szCs w:val="28"/>
          <w:highlight w:val="none"/>
        </w:rPr>
        <w:fldChar w:fldCharType="end"/>
      </w:r>
      <w:r>
        <w:rPr>
          <w:rFonts w:hint="eastAsia"/>
          <w:color w:val="auto"/>
          <w:sz w:val="28"/>
          <w:szCs w:val="28"/>
          <w:highlight w:val="none"/>
          <w:lang w:val="en-US" w:eastAsia="zh-CN"/>
        </w:rPr>
        <w:t>0</w:t>
      </w:r>
    </w:p>
    <w:p w14:paraId="4C9A9D2A">
      <w:pPr>
        <w:pStyle w:val="23"/>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rFonts w:hint="eastAsia"/>
          <w:color w:val="auto"/>
          <w:sz w:val="28"/>
          <w:szCs w:val="28"/>
          <w:highlight w:val="none"/>
          <w:lang w:val="en-US" w:eastAsia="zh-CN"/>
        </w:rPr>
        <w:t>2</w:t>
      </w:r>
      <w:r>
        <w:rPr>
          <w:color w:val="auto"/>
          <w:sz w:val="28"/>
          <w:szCs w:val="28"/>
          <w:highlight w:val="none"/>
        </w:rPr>
        <w:fldChar w:fldCharType="end"/>
      </w:r>
      <w:r>
        <w:rPr>
          <w:rFonts w:hint="eastAsia"/>
          <w:color w:val="auto"/>
          <w:sz w:val="28"/>
          <w:szCs w:val="28"/>
          <w:highlight w:val="none"/>
          <w:lang w:val="en-US" w:eastAsia="zh-CN"/>
        </w:rPr>
        <w:t>9</w:t>
      </w:r>
    </w:p>
    <w:p w14:paraId="2BFDDF1A">
      <w:pPr>
        <w:pStyle w:val="23"/>
        <w:tabs>
          <w:tab w:val="right" w:leader="dot" w:pos="9072"/>
        </w:tabs>
        <w:spacing w:line="720" w:lineRule="auto"/>
        <w:rPr>
          <w:rFonts w:hint="default"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color w:val="auto"/>
          <w:sz w:val="28"/>
          <w:szCs w:val="28"/>
          <w:highlight w:val="none"/>
        </w:rPr>
        <w:fldChar w:fldCharType="end"/>
      </w:r>
      <w:r>
        <w:rPr>
          <w:rFonts w:hint="eastAsia"/>
          <w:color w:val="auto"/>
          <w:sz w:val="28"/>
          <w:szCs w:val="28"/>
          <w:highlight w:val="none"/>
          <w:lang w:val="en-US" w:eastAsia="zh-CN"/>
        </w:rPr>
        <w:t>34</w:t>
      </w:r>
    </w:p>
    <w:p w14:paraId="292E9C73">
      <w:pPr>
        <w:pStyle w:val="23"/>
        <w:tabs>
          <w:tab w:val="right" w:leader="dot" w:pos="9072"/>
        </w:tabs>
        <w:spacing w:line="720" w:lineRule="auto"/>
        <w:rPr>
          <w:rFonts w:hint="default"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rPr>
        <w:fldChar w:fldCharType="end"/>
      </w:r>
      <w:r>
        <w:rPr>
          <w:rFonts w:hint="eastAsia"/>
          <w:color w:val="auto"/>
          <w:sz w:val="28"/>
          <w:szCs w:val="28"/>
          <w:highlight w:val="none"/>
          <w:lang w:val="en-US" w:eastAsia="zh-CN"/>
        </w:rPr>
        <w:t>46</w:t>
      </w:r>
    </w:p>
    <w:p w14:paraId="2CA9BED1">
      <w:pPr>
        <w:pStyle w:val="23"/>
        <w:tabs>
          <w:tab w:val="right" w:leader="dot" w:pos="9072"/>
        </w:tabs>
        <w:spacing w:line="720" w:lineRule="auto"/>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lang w:val="en-US" w:eastAsia="zh-CN"/>
        </w:rPr>
        <w:t>8</w:t>
      </w:r>
      <w:r>
        <w:rPr>
          <w:rFonts w:hint="eastAsia"/>
          <w:color w:val="auto"/>
          <w:sz w:val="28"/>
          <w:szCs w:val="28"/>
          <w:highlight w:val="none"/>
        </w:rPr>
        <w:fldChar w:fldCharType="end"/>
      </w:r>
      <w:r>
        <w:rPr>
          <w:rFonts w:hint="eastAsia"/>
          <w:color w:val="auto"/>
          <w:sz w:val="28"/>
          <w:szCs w:val="28"/>
          <w:highlight w:val="none"/>
          <w:lang w:val="en-US" w:eastAsia="zh-CN"/>
        </w:rPr>
        <w:t>4</w:t>
      </w:r>
    </w:p>
    <w:p w14:paraId="608084E6">
      <w:pPr>
        <w:pStyle w:val="23"/>
        <w:tabs>
          <w:tab w:val="right" w:leader="dot" w:pos="9072"/>
        </w:tabs>
        <w:spacing w:line="720" w:lineRule="auto"/>
        <w:rPr>
          <w:rFonts w:hint="eastAsia" w:eastAsia="宋体"/>
          <w:color w:val="auto"/>
          <w:highlight w:val="none"/>
          <w:lang w:val="en-US" w:eastAsia="zh-CN"/>
        </w:rPr>
      </w:pPr>
      <w:r>
        <w:rPr>
          <w:color w:val="auto"/>
          <w:szCs w:val="28"/>
          <w:highlight w:val="none"/>
        </w:rPr>
        <w:fldChar w:fldCharType="end"/>
      </w:r>
    </w:p>
    <w:p w14:paraId="6E88557E">
      <w:pPr>
        <w:rPr>
          <w:color w:val="auto"/>
          <w:highlight w:val="none"/>
        </w:rPr>
      </w:pPr>
      <w:r>
        <w:rPr>
          <w:color w:val="auto"/>
          <w:szCs w:val="28"/>
          <w:highlight w:val="none"/>
        </w:rPr>
        <w:fldChar w:fldCharType="end"/>
      </w:r>
    </w:p>
    <w:p w14:paraId="7C55516C">
      <w:pPr>
        <w:pStyle w:val="2"/>
        <w:rPr>
          <w:color w:val="auto"/>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7" w:name="_Toc20753"/>
      <w:bookmarkStart w:id="8" w:name="_Toc26965"/>
      <w:bookmarkStart w:id="9" w:name="_Toc21554"/>
      <w:bookmarkStart w:id="10" w:name="_Toc13808"/>
      <w:bookmarkStart w:id="11" w:name="_Toc534725596"/>
      <w:bookmarkStart w:id="12" w:name="_Toc22122"/>
    </w:p>
    <w:p w14:paraId="1C323CF8">
      <w:pPr>
        <w:pStyle w:val="2"/>
        <w:rPr>
          <w:color w:val="auto"/>
          <w:highlight w:val="none"/>
          <w:lang w:eastAsia="en-US"/>
        </w:rPr>
      </w:pPr>
      <w:r>
        <w:rPr>
          <w:rFonts w:hint="eastAsia"/>
          <w:color w:val="auto"/>
          <w:highlight w:val="none"/>
        </w:rPr>
        <w:t>须知前附表</w:t>
      </w:r>
      <w:bookmarkEnd w:id="7"/>
      <w:bookmarkEnd w:id="8"/>
      <w:bookmarkEnd w:id="9"/>
    </w:p>
    <w:tbl>
      <w:tblPr>
        <w:tblStyle w:val="41"/>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14:paraId="422F9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0950151">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14:paraId="04FDF2B1">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14:paraId="16E9DB66">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14:paraId="0D001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14:paraId="2487C5C9">
            <w:pPr>
              <w:spacing w:line="300" w:lineRule="exact"/>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14:paraId="0E95043D">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14:paraId="25F8EDA9">
            <w:pPr>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中国石油大学（北京）超临界萃取综合平台采购项目</w:t>
            </w:r>
          </w:p>
        </w:tc>
      </w:tr>
      <w:tr w14:paraId="70965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14:paraId="5909C015">
            <w:pPr>
              <w:spacing w:line="300" w:lineRule="exact"/>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14:paraId="08B7F513">
            <w:pPr>
              <w:spacing w:line="288" w:lineRule="auto"/>
              <w:jc w:val="center"/>
              <w:rPr>
                <w:rFonts w:hAnsi="宋体" w:cs="Arial"/>
                <w:bCs/>
                <w:color w:val="auto"/>
                <w:highlight w:val="none"/>
              </w:rPr>
            </w:pPr>
            <w:r>
              <w:rPr>
                <w:rFonts w:hint="eastAsia"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14:paraId="79D5B114">
            <w:pPr>
              <w:spacing w:line="400" w:lineRule="exact"/>
              <w:rPr>
                <w:rFonts w:hint="default" w:hAnsi="宋体" w:eastAsia="宋体" w:cs="Arial"/>
                <w:bCs/>
                <w:color w:val="auto"/>
                <w:highlight w:val="none"/>
                <w:lang w:val="en-US" w:eastAsia="zh-CN"/>
              </w:rPr>
            </w:pPr>
            <w:r>
              <w:rPr>
                <w:rFonts w:hint="eastAsia" w:hAnsi="宋体" w:cs="Arial"/>
                <w:bCs/>
                <w:color w:val="auto"/>
                <w:highlight w:val="none"/>
                <w:lang w:val="en-US" w:eastAsia="zh-CN"/>
              </w:rPr>
              <w:t>HYGS-ZC-2026-65</w:t>
            </w:r>
          </w:p>
        </w:tc>
      </w:tr>
      <w:tr w14:paraId="1991B6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684" w:type="dxa"/>
            <w:vMerge w:val="restart"/>
            <w:tcBorders>
              <w:top w:val="single" w:color="auto" w:sz="4" w:space="0"/>
              <w:left w:val="single" w:color="auto" w:sz="4" w:space="0"/>
              <w:right w:val="single" w:color="auto" w:sz="4" w:space="0"/>
            </w:tcBorders>
            <w:vAlign w:val="center"/>
          </w:tcPr>
          <w:p w14:paraId="6C6C8431">
            <w:pPr>
              <w:spacing w:line="300" w:lineRule="exact"/>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14:paraId="546B9895">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14:paraId="61421828">
            <w:pPr>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中央财政预算</w:t>
            </w:r>
          </w:p>
        </w:tc>
      </w:tr>
      <w:tr w14:paraId="6B6F2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14:paraId="0B874B4F">
            <w:pPr>
              <w:spacing w:line="300" w:lineRule="exact"/>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14:paraId="3D246521">
            <w:pPr>
              <w:spacing w:line="288" w:lineRule="auto"/>
              <w:jc w:val="center"/>
              <w:rPr>
                <w:rFonts w:hAnsi="宋体" w:cs="Arial"/>
                <w:bCs/>
                <w:color w:val="auto"/>
                <w:highlight w:val="none"/>
              </w:rPr>
            </w:pPr>
            <w:r>
              <w:rPr>
                <w:rFonts w:hint="eastAsia" w:hAnsi="宋体" w:cs="Arial"/>
                <w:bCs/>
                <w:color w:val="auto"/>
                <w:highlight w:val="none"/>
              </w:rPr>
              <w:t>预算金额</w:t>
            </w:r>
          </w:p>
          <w:p w14:paraId="622C364B">
            <w:pPr>
              <w:spacing w:line="288" w:lineRule="auto"/>
              <w:jc w:val="center"/>
              <w:rPr>
                <w:color w:val="auto"/>
                <w:highlight w:val="none"/>
              </w:rPr>
            </w:pPr>
            <w:r>
              <w:rPr>
                <w:rFonts w:hint="eastAsia"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14:paraId="4E489C62">
            <w:pPr>
              <w:pStyle w:val="24"/>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rPr>
              <w:t>预算总金</w:t>
            </w:r>
            <w:r>
              <w:rPr>
                <w:rFonts w:hint="eastAsia" w:ascii="Times New Roman" w:hAnsi="宋体" w:cs="Arial"/>
                <w:bCs/>
                <w:color w:val="auto"/>
                <w:highlight w:val="none"/>
                <w:lang w:val="en-US" w:eastAsia="zh-CN"/>
              </w:rPr>
              <w:t>额：62.9万元</w:t>
            </w:r>
          </w:p>
        </w:tc>
      </w:tr>
      <w:tr w14:paraId="6F8615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14:paraId="0A6EE4B4">
            <w:pPr>
              <w:spacing w:line="300" w:lineRule="exact"/>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14:paraId="32FB60FD">
            <w:pPr>
              <w:spacing w:line="288" w:lineRule="auto"/>
              <w:jc w:val="center"/>
              <w:rPr>
                <w:rFonts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14:paraId="0C0BF500">
            <w:pPr>
              <w:pStyle w:val="24"/>
              <w:spacing w:line="288" w:lineRule="auto"/>
              <w:jc w:val="left"/>
              <w:rPr>
                <w:rFonts w:hint="default" w:ascii="Times New Roman" w:hAnsi="宋体" w:cs="Arial"/>
                <w:bCs/>
                <w:color w:val="auto"/>
                <w:highlight w:val="none"/>
                <w:lang w:val="en-US" w:eastAsia="zh-CN"/>
              </w:rPr>
            </w:pPr>
            <w:r>
              <w:rPr>
                <w:rFonts w:hint="eastAsia" w:hAnsi="宋体" w:cs="Arial"/>
                <w:bCs/>
                <w:color w:val="auto"/>
                <w:highlight w:val="none"/>
              </w:rPr>
              <w:t>最高限</w:t>
            </w:r>
            <w:r>
              <w:rPr>
                <w:rFonts w:hint="eastAsia" w:ascii="Times New Roman" w:hAnsi="宋体" w:cs="Arial"/>
                <w:bCs/>
                <w:color w:val="auto"/>
                <w:highlight w:val="none"/>
                <w:lang w:val="en-US" w:eastAsia="zh-CN"/>
              </w:rPr>
              <w:t>价：62.9万元</w:t>
            </w:r>
          </w:p>
          <w:p w14:paraId="3BDC14EC">
            <w:pPr>
              <w:pStyle w:val="24"/>
              <w:spacing w:line="288" w:lineRule="auto"/>
              <w:jc w:val="left"/>
              <w:rPr>
                <w:rFonts w:hint="eastAsia"/>
                <w:color w:val="auto"/>
                <w:highlight w:val="none"/>
              </w:rPr>
            </w:pPr>
            <w:r>
              <w:rPr>
                <w:rFonts w:hint="eastAsia" w:hAnsi="宋体" w:cs="Arial"/>
                <w:bCs/>
                <w:color w:val="auto"/>
                <w:highlight w:val="none"/>
              </w:rPr>
              <w:t>最高单价限价</w:t>
            </w:r>
            <w:r>
              <w:rPr>
                <w:rFonts w:hint="eastAsia" w:ascii="Times New Roman" w:hAnsi="宋体" w:cs="Arial"/>
                <w:bCs/>
                <w:color w:val="auto"/>
                <w:highlight w:val="none"/>
              </w:rPr>
              <w:t>：</w:t>
            </w:r>
            <w:r>
              <w:rPr>
                <w:rFonts w:hint="eastAsia" w:hAnsi="宋体"/>
                <w:color w:val="auto"/>
                <w:highlight w:val="none"/>
              </w:rPr>
              <w:t>详见本招标文件第六章项目需求</w:t>
            </w:r>
          </w:p>
          <w:p w14:paraId="42619EC4">
            <w:pPr>
              <w:pStyle w:val="24"/>
              <w:spacing w:line="288" w:lineRule="auto"/>
              <w:jc w:val="left"/>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
                <w:bCs w:val="0"/>
                <w:color w:val="auto"/>
                <w:highlight w:val="none"/>
                <w:lang w:eastAsia="zh-CN"/>
              </w:rPr>
              <w:t>（</w:t>
            </w:r>
            <w:r>
              <w:rPr>
                <w:rFonts w:hint="eastAsia" w:asciiTheme="minorEastAsia" w:hAnsiTheme="minorEastAsia" w:eastAsiaTheme="minorEastAsia" w:cstheme="minorEastAsia"/>
                <w:b/>
                <w:color w:val="auto"/>
                <w:highlight w:val="none"/>
              </w:rPr>
              <w:t>供应商的报价总价、单项报价均不得超过招标文件公布的最高限价，</w:t>
            </w:r>
            <w:r>
              <w:rPr>
                <w:rFonts w:hint="eastAsia" w:asciiTheme="minorEastAsia" w:hAnsiTheme="minorEastAsia" w:eastAsiaTheme="minorEastAsia" w:cstheme="minorEastAsia"/>
                <w:b/>
                <w:bCs w:val="0"/>
                <w:color w:val="auto"/>
                <w:highlight w:val="none"/>
                <w:lang w:eastAsia="zh-CN"/>
              </w:rPr>
              <w:t>否则其投标无效。）</w:t>
            </w:r>
          </w:p>
        </w:tc>
      </w:tr>
      <w:tr w14:paraId="0F983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DC2DD8">
            <w:pPr>
              <w:spacing w:line="300" w:lineRule="exact"/>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14:paraId="4E0FF794">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14:paraId="68A2B349">
            <w:pPr>
              <w:pStyle w:val="130"/>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14:paraId="042C56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B1FE28D">
            <w:pPr>
              <w:spacing w:line="300" w:lineRule="exact"/>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14:paraId="195F10B0">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14:paraId="30EC4312">
            <w:pPr>
              <w:spacing w:line="288" w:lineRule="auto"/>
              <w:jc w:val="left"/>
              <w:rPr>
                <w:rFonts w:hAnsi="宋体"/>
                <w:color w:val="auto"/>
                <w:highlight w:val="none"/>
              </w:rPr>
            </w:pPr>
            <w:r>
              <w:rPr>
                <w:rFonts w:hint="eastAsia" w:hAnsi="宋体"/>
                <w:color w:val="auto"/>
                <w:highlight w:val="none"/>
              </w:rPr>
              <w:t>详见本招标文件第六章项目需求</w:t>
            </w:r>
          </w:p>
        </w:tc>
      </w:tr>
      <w:tr w14:paraId="4C957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24949E3">
            <w:pPr>
              <w:spacing w:line="300" w:lineRule="exact"/>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14:paraId="774CAE6A">
            <w:pPr>
              <w:spacing w:line="288" w:lineRule="auto"/>
              <w:jc w:val="center"/>
              <w:rPr>
                <w:rFonts w:hAnsi="宋体" w:cs="Arial"/>
                <w:bCs/>
                <w:color w:val="auto"/>
                <w:highlight w:val="none"/>
              </w:rPr>
            </w:pPr>
            <w:r>
              <w:rPr>
                <w:rFonts w:hint="eastAsia" w:hAnsi="宋体" w:cs="Arial"/>
                <w:bCs/>
                <w:color w:val="auto"/>
                <w:highlight w:val="none"/>
                <w:lang w:val="en-US" w:eastAsia="zh-CN"/>
              </w:rPr>
              <w:t>供货</w:t>
            </w:r>
            <w:r>
              <w:rPr>
                <w:rFonts w:hint="eastAsia" w:hAnsi="宋体" w:cs="Arial"/>
                <w:bCs/>
                <w:color w:val="auto"/>
                <w:highlight w:val="none"/>
              </w:rPr>
              <w:t>地点</w:t>
            </w:r>
          </w:p>
        </w:tc>
        <w:tc>
          <w:tcPr>
            <w:tcW w:w="6639" w:type="dxa"/>
            <w:tcBorders>
              <w:top w:val="single" w:color="auto" w:sz="4" w:space="0"/>
              <w:left w:val="single" w:color="auto" w:sz="4" w:space="0"/>
              <w:bottom w:val="single" w:color="auto" w:sz="4" w:space="0"/>
              <w:right w:val="single" w:color="auto" w:sz="4" w:space="0"/>
            </w:tcBorders>
            <w:vAlign w:val="center"/>
          </w:tcPr>
          <w:p w14:paraId="20956209">
            <w:pPr>
              <w:spacing w:line="288" w:lineRule="auto"/>
              <w:jc w:val="left"/>
              <w:rPr>
                <w:rFonts w:hAnsi="宋体"/>
                <w:color w:val="auto"/>
                <w:highlight w:val="none"/>
              </w:rPr>
            </w:pPr>
            <w:r>
              <w:rPr>
                <w:rFonts w:hint="eastAsia" w:hAnsi="宋体"/>
                <w:color w:val="auto"/>
                <w:highlight w:val="none"/>
              </w:rPr>
              <w:t>中国石油大学（北京）克拉玛依校区</w:t>
            </w:r>
          </w:p>
        </w:tc>
      </w:tr>
      <w:tr w14:paraId="40E775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6FD5A15">
            <w:pPr>
              <w:spacing w:line="300" w:lineRule="exact"/>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14:paraId="07F71C87">
            <w:pPr>
              <w:spacing w:line="288" w:lineRule="auto"/>
              <w:jc w:val="center"/>
              <w:rPr>
                <w:rFonts w:hAnsi="宋体" w:cs="宋体"/>
                <w:color w:val="auto"/>
                <w:highlight w:val="none"/>
              </w:rPr>
            </w:pPr>
            <w:r>
              <w:rPr>
                <w:rFonts w:hint="eastAsia" w:hAnsi="宋体" w:cs="宋体"/>
                <w:color w:val="auto"/>
                <w:highlight w:val="none"/>
                <w:lang w:val="en-US" w:eastAsia="zh-CN"/>
              </w:rPr>
              <w:t>合同履约期限</w:t>
            </w:r>
          </w:p>
        </w:tc>
        <w:tc>
          <w:tcPr>
            <w:tcW w:w="6639" w:type="dxa"/>
            <w:tcBorders>
              <w:top w:val="single" w:color="auto" w:sz="4" w:space="0"/>
              <w:left w:val="single" w:color="auto" w:sz="4" w:space="0"/>
              <w:bottom w:val="single" w:color="auto" w:sz="4" w:space="0"/>
              <w:right w:val="single" w:color="auto" w:sz="4" w:space="0"/>
            </w:tcBorders>
            <w:vAlign w:val="center"/>
          </w:tcPr>
          <w:p w14:paraId="24B2078A">
            <w:pPr>
              <w:spacing w:line="288" w:lineRule="auto"/>
              <w:jc w:val="left"/>
              <w:rPr>
                <w:rFonts w:hint="eastAsia" w:hAnsi="宋体" w:eastAsia="宋体"/>
                <w:color w:val="auto"/>
                <w:highlight w:val="none"/>
                <w:lang w:val="en-US" w:eastAsia="zh-CN"/>
              </w:rPr>
            </w:pPr>
            <w:r>
              <w:rPr>
                <w:rFonts w:hint="eastAsia" w:hAnsi="宋体"/>
                <w:color w:val="auto"/>
                <w:highlight w:val="none"/>
                <w:lang w:val="en-US" w:eastAsia="zh-CN"/>
              </w:rPr>
              <w:t>自采购合同签订后60日内交货并完成安装调试。</w:t>
            </w:r>
          </w:p>
        </w:tc>
      </w:tr>
      <w:tr w14:paraId="3BBE55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CF79F76">
            <w:pPr>
              <w:spacing w:line="300" w:lineRule="exact"/>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14:paraId="535525DE">
            <w:pPr>
              <w:spacing w:line="288" w:lineRule="auto"/>
              <w:jc w:val="center"/>
              <w:rPr>
                <w:rFonts w:hAnsi="宋体" w:cs="宋体"/>
                <w:color w:val="auto"/>
                <w:highlight w:val="none"/>
              </w:rPr>
            </w:pPr>
            <w:r>
              <w:rPr>
                <w:rFonts w:hint="eastAsia"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14:paraId="522597B7">
            <w:pPr>
              <w:spacing w:line="288" w:lineRule="auto"/>
              <w:jc w:val="left"/>
              <w:rPr>
                <w:rFonts w:hAnsi="宋体"/>
                <w:color w:val="auto"/>
                <w:highlight w:val="none"/>
              </w:rPr>
            </w:pPr>
            <w:r>
              <w:rPr>
                <w:rFonts w:hint="eastAsia" w:hAnsi="宋体"/>
                <w:color w:val="auto"/>
                <w:highlight w:val="none"/>
              </w:rPr>
              <w:t>达到招标人要求</w:t>
            </w:r>
          </w:p>
        </w:tc>
      </w:tr>
      <w:tr w14:paraId="5DEEA5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D37AD3D">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14:paraId="7C6FD45F">
            <w:pPr>
              <w:spacing w:line="288" w:lineRule="auto"/>
              <w:jc w:val="center"/>
              <w:rPr>
                <w:rFonts w:hAnsi="宋体" w:cs="宋体"/>
                <w:color w:val="auto"/>
                <w:highlight w:val="none"/>
              </w:rPr>
            </w:pPr>
            <w:r>
              <w:rPr>
                <w:rFonts w:hint="eastAsia"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14:paraId="503436AE">
            <w:pPr>
              <w:pStyle w:val="40"/>
              <w:ind w:left="0" w:leftChars="0" w:firstLine="0" w:firstLineChars="0"/>
              <w:rPr>
                <w:rFonts w:hint="eastAsia"/>
                <w:color w:val="auto"/>
                <w:highlight w:val="none"/>
                <w:lang w:eastAsia="zh-CN"/>
              </w:rPr>
            </w:pPr>
            <w:r>
              <w:rPr>
                <w:rFonts w:hint="eastAsia"/>
                <w:color w:val="auto"/>
                <w:highlight w:val="none"/>
                <w:lang w:eastAsia="zh-CN"/>
              </w:rPr>
              <w:t>（一）合同签订后，采购人向中标人支付合同总价50%的预付款。</w:t>
            </w:r>
          </w:p>
          <w:p w14:paraId="61E28F93">
            <w:pPr>
              <w:pStyle w:val="40"/>
              <w:ind w:left="0" w:leftChars="0" w:firstLine="0" w:firstLineChars="0"/>
              <w:rPr>
                <w:rFonts w:hint="eastAsia"/>
                <w:color w:val="auto"/>
                <w:highlight w:val="none"/>
                <w:lang w:eastAsia="zh-CN"/>
              </w:rPr>
            </w:pPr>
            <w:r>
              <w:rPr>
                <w:rFonts w:hint="eastAsia"/>
                <w:color w:val="auto"/>
                <w:highlight w:val="none"/>
                <w:lang w:eastAsia="zh-CN"/>
              </w:rPr>
              <w:t>（二）中标人按采购合同交货，完成安装调试，经验收合格后，采购人向中标人支付合同总价</w:t>
            </w:r>
            <w:r>
              <w:rPr>
                <w:rFonts w:hint="eastAsia"/>
                <w:color w:val="auto"/>
                <w:highlight w:val="none"/>
                <w:lang w:val="en-US" w:eastAsia="zh-CN"/>
              </w:rPr>
              <w:t>5</w:t>
            </w:r>
            <w:r>
              <w:rPr>
                <w:rFonts w:hint="eastAsia"/>
                <w:color w:val="auto"/>
                <w:highlight w:val="none"/>
                <w:lang w:eastAsia="zh-CN"/>
              </w:rPr>
              <w:t>0%的货款。</w:t>
            </w:r>
          </w:p>
          <w:p w14:paraId="1B3D4663">
            <w:pPr>
              <w:pStyle w:val="40"/>
              <w:ind w:left="0" w:leftChars="0" w:firstLine="0" w:firstLineChars="0"/>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三</w:t>
            </w:r>
            <w:r>
              <w:rPr>
                <w:rFonts w:hint="eastAsia"/>
                <w:color w:val="auto"/>
                <w:highlight w:val="none"/>
                <w:lang w:eastAsia="zh-CN"/>
              </w:rPr>
              <w:t>）中标人提交采购合同、发票等材料，向采购人申请付款。</w:t>
            </w:r>
          </w:p>
          <w:p w14:paraId="73F1F5FB">
            <w:pPr>
              <w:pStyle w:val="40"/>
              <w:ind w:left="0" w:leftChars="0" w:firstLine="0" w:firstLineChars="0"/>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四</w:t>
            </w:r>
            <w:r>
              <w:rPr>
                <w:rFonts w:hint="eastAsia"/>
                <w:color w:val="auto"/>
                <w:highlight w:val="none"/>
                <w:lang w:eastAsia="zh-CN"/>
              </w:rPr>
              <w:t>）采购人对中标人提交的付款资料审核通过后，以转账方式向中标人付款。</w:t>
            </w:r>
          </w:p>
        </w:tc>
      </w:tr>
      <w:tr w14:paraId="559A33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B93C944">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14:paraId="1BCB0F62">
            <w:pPr>
              <w:spacing w:line="288" w:lineRule="auto"/>
              <w:jc w:val="center"/>
              <w:rPr>
                <w:rFonts w:cs="宋体"/>
                <w:color w:val="auto"/>
                <w:highlight w:val="none"/>
              </w:rPr>
            </w:pPr>
            <w:r>
              <w:rPr>
                <w:rFonts w:hint="eastAsia"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14:paraId="6DFBB6BE">
            <w:pPr>
              <w:spacing w:line="288" w:lineRule="auto"/>
              <w:rPr>
                <w:color w:val="auto"/>
                <w:highlight w:val="none"/>
              </w:rPr>
            </w:pPr>
            <w:r>
              <w:rPr>
                <w:rFonts w:hint="eastAsia"/>
                <w:color w:val="auto"/>
                <w:highlight w:val="none"/>
              </w:rPr>
              <w:t>自验收</w:t>
            </w:r>
            <w:r>
              <w:rPr>
                <w:rFonts w:hint="eastAsia"/>
                <w:color w:val="auto"/>
                <w:highlight w:val="none"/>
                <w:lang w:eastAsia="zh-CN"/>
              </w:rPr>
              <w:t>合格</w:t>
            </w:r>
            <w:r>
              <w:rPr>
                <w:rFonts w:hint="eastAsia"/>
                <w:color w:val="auto"/>
                <w:highlight w:val="none"/>
              </w:rPr>
              <w:t>之日起</w:t>
            </w:r>
            <w:r>
              <w:rPr>
                <w:rFonts w:hint="eastAsia"/>
                <w:color w:val="auto"/>
                <w:highlight w:val="none"/>
                <w:lang w:val="en-US" w:eastAsia="zh-CN"/>
              </w:rPr>
              <w:t>1</w:t>
            </w:r>
            <w:r>
              <w:rPr>
                <w:rFonts w:hint="eastAsia"/>
                <w:color w:val="auto"/>
                <w:highlight w:val="none"/>
              </w:rPr>
              <w:t>年</w:t>
            </w:r>
            <w:r>
              <w:rPr>
                <w:rFonts w:hint="eastAsia"/>
                <w:color w:val="auto"/>
                <w:highlight w:val="none"/>
                <w:lang w:eastAsia="zh-CN"/>
              </w:rPr>
              <w:t>，质保期内</w:t>
            </w:r>
            <w:r>
              <w:rPr>
                <w:rFonts w:hint="eastAsia"/>
                <w:color w:val="auto"/>
                <w:highlight w:val="none"/>
              </w:rPr>
              <w:t>免费维修更换相关配件。</w:t>
            </w:r>
          </w:p>
        </w:tc>
      </w:tr>
      <w:tr w14:paraId="0A1C49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26E0D77">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14:paraId="1D2D93DA">
            <w:pPr>
              <w:spacing w:line="288" w:lineRule="auto"/>
              <w:jc w:val="center"/>
              <w:rPr>
                <w:rFonts w:cs="宋体"/>
                <w:color w:val="auto"/>
                <w:highlight w:val="none"/>
              </w:rPr>
            </w:pPr>
            <w:r>
              <w:rPr>
                <w:rFonts w:hint="eastAsia" w:cs="宋体"/>
                <w:color w:val="auto"/>
                <w:highlight w:val="none"/>
                <w:lang w:val="en-US" w:eastAsia="zh-CN"/>
              </w:rPr>
              <w:t>是否接受</w:t>
            </w:r>
            <w:r>
              <w:rPr>
                <w:rFonts w:hint="eastAsia" w:cs="宋体"/>
                <w:color w:val="auto"/>
                <w:highlight w:val="none"/>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14:paraId="08BCFB57">
            <w:pPr>
              <w:spacing w:line="288" w:lineRule="auto"/>
              <w:jc w:val="left"/>
              <w:rPr>
                <w:rFonts w:hAnsi="宋体"/>
                <w:color w:val="auto"/>
                <w:highlight w:val="none"/>
              </w:rPr>
            </w:pPr>
            <w:r>
              <w:rPr>
                <w:rFonts w:hint="eastAsia" w:cs="Times New Roman"/>
                <w:color w:val="auto"/>
                <w:highlight w:val="none"/>
                <w:lang w:val="en-US" w:eastAsia="zh-CN"/>
              </w:rPr>
              <w:sym w:font="Wingdings" w:char="00A8"/>
            </w:r>
            <w:r>
              <w:rPr>
                <w:rFonts w:hint="eastAsia" w:cs="Times New Roman"/>
                <w:color w:val="auto"/>
                <w:highlight w:val="none"/>
                <w:lang w:val="en-US" w:eastAsia="zh-CN"/>
              </w:rPr>
              <w:t xml:space="preserve">是   </w:t>
            </w:r>
            <w:r>
              <w:rPr>
                <w:rFonts w:hint="eastAsia" w:cs="Times New Roman"/>
                <w:color w:val="auto"/>
                <w:highlight w:val="none"/>
                <w:lang w:val="en-US" w:eastAsia="zh-CN"/>
              </w:rPr>
              <w:sym w:font="Wingdings" w:char="00FE"/>
            </w:r>
            <w:r>
              <w:rPr>
                <w:rFonts w:hint="eastAsia" w:cs="Times New Roman"/>
                <w:color w:val="auto"/>
                <w:highlight w:val="none"/>
                <w:lang w:val="en-US" w:eastAsia="zh-CN"/>
              </w:rPr>
              <w:t>否</w:t>
            </w:r>
          </w:p>
        </w:tc>
      </w:tr>
      <w:tr w14:paraId="22FC0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80FFCBB">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14:paraId="3C363448">
            <w:pPr>
              <w:spacing w:line="288" w:lineRule="auto"/>
              <w:jc w:val="center"/>
              <w:rPr>
                <w:rFonts w:cs="宋体"/>
                <w:color w:val="auto"/>
                <w:highlight w:val="none"/>
              </w:rPr>
            </w:pPr>
            <w:r>
              <w:rPr>
                <w:rFonts w:hint="eastAsia"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14:paraId="4C28F2CC">
            <w:pPr>
              <w:pStyle w:val="3"/>
              <w:keepNext w:val="0"/>
              <w:keepLines w:val="0"/>
              <w:pageBreakBefore w:val="0"/>
              <w:kinsoku/>
              <w:wordWrap/>
              <w:overflowPunct/>
              <w:topLinePunct w:val="0"/>
              <w:autoSpaceDE/>
              <w:autoSpaceDN/>
              <w:bidi w:val="0"/>
              <w:adjustRightInd/>
              <w:snapToGrid/>
              <w:spacing w:line="320" w:lineRule="exact"/>
              <w:ind w:firstLine="0"/>
              <w:rPr>
                <w:rFonts w:hint="default"/>
                <w:color w:val="auto"/>
                <w:highlight w:val="none"/>
                <w:lang w:val="en-US" w:eastAsia="zh-CN"/>
              </w:rPr>
            </w:pP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w:t>
            </w:r>
            <w:r>
              <w:rPr>
                <w:rFonts w:hint="eastAsia" w:cs="Times New Roman"/>
                <w:color w:val="auto"/>
                <w:kern w:val="2"/>
                <w:sz w:val="21"/>
                <w:szCs w:val="21"/>
                <w:highlight w:val="none"/>
                <w:lang w:val="en-US" w:eastAsia="zh-CN" w:bidi="ar-SA"/>
              </w:rPr>
              <w:t xml:space="preserve"> </w:t>
            </w:r>
            <w:r>
              <w:rPr>
                <w:rFonts w:hint="eastAsia" w:ascii="Times New Roman" w:hAnsi="Times New Roman" w:eastAsia="宋体" w:cs="Times New Roman"/>
                <w:color w:val="auto"/>
                <w:kern w:val="2"/>
                <w:sz w:val="21"/>
                <w:szCs w:val="21"/>
                <w:highlight w:val="none"/>
                <w:lang w:val="en-US" w:eastAsia="zh-CN" w:bidi="ar-SA"/>
              </w:rPr>
              <w:t>单一产品无需确认核心产品</w:t>
            </w:r>
          </w:p>
        </w:tc>
      </w:tr>
      <w:tr w14:paraId="04F94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8C14EDA">
            <w:pPr>
              <w:spacing w:line="300" w:lineRule="exact"/>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14:paraId="2A66D5B5">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14:paraId="3442E96A">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14:paraId="23CA3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4F5FE45">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14:paraId="3F3399E2">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14:paraId="3EFA87CF">
            <w:pPr>
              <w:spacing w:line="288" w:lineRule="auto"/>
              <w:rPr>
                <w:color w:val="auto"/>
                <w:highlight w:val="none"/>
                <w:lang w:val="zh-CN"/>
              </w:rPr>
            </w:pPr>
            <w:r>
              <w:rPr>
                <w:rFonts w:hint="eastAsia"/>
                <w:color w:val="auto"/>
                <w:highlight w:val="none"/>
                <w:lang w:val="zh-CN"/>
              </w:rPr>
              <w:t>1.满足《中华人民共和国政府采购法》第二十二条规定；</w:t>
            </w:r>
          </w:p>
          <w:p w14:paraId="02B7269F">
            <w:pPr>
              <w:spacing w:line="400" w:lineRule="exact"/>
              <w:rPr>
                <w:rFonts w:hint="default" w:eastAsia="宋体"/>
                <w:color w:val="auto"/>
                <w:highlight w:val="none"/>
                <w:lang w:val="en-US" w:eastAsia="zh-CN"/>
              </w:rPr>
            </w:pPr>
            <w:r>
              <w:rPr>
                <w:rFonts w:hint="eastAsia"/>
                <w:color w:val="auto"/>
                <w:highlight w:val="none"/>
                <w:lang w:val="zh-CN"/>
              </w:rPr>
              <w:t>2.落实政府采购政策需满足的资格要求：</w:t>
            </w:r>
            <w:r>
              <w:rPr>
                <w:rFonts w:hint="eastAsia"/>
                <w:color w:val="auto"/>
                <w:highlight w:val="none"/>
                <w:lang w:val="en-US" w:eastAsia="zh-CN"/>
              </w:rPr>
              <w:t>1)本项目专门面向中小企业采购。</w:t>
            </w: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1BBEBAB3">
            <w:pPr>
              <w:spacing w:line="288" w:lineRule="auto"/>
              <w:rPr>
                <w:rFonts w:hint="eastAsia"/>
                <w:color w:val="auto"/>
                <w:highlight w:val="none"/>
                <w:lang w:val="zh-CN"/>
              </w:rPr>
            </w:pPr>
            <w:r>
              <w:rPr>
                <w:rFonts w:hint="eastAsia"/>
                <w:color w:val="auto"/>
                <w:highlight w:val="none"/>
                <w:lang w:val="en-US" w:eastAsia="zh-CN"/>
              </w:rPr>
              <w:t>3</w:t>
            </w:r>
            <w:r>
              <w:rPr>
                <w:rFonts w:hint="eastAsia"/>
                <w:color w:val="auto"/>
                <w:highlight w:val="none"/>
                <w:lang w:val="zh-CN"/>
              </w:rPr>
              <w:t>.本项目的特定资格要求：</w:t>
            </w:r>
          </w:p>
          <w:p w14:paraId="58305A8A">
            <w:pPr>
              <w:spacing w:line="288" w:lineRule="auto"/>
              <w:rPr>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与招标人存在利害关系可能影响招标公正性的法人、其他组织或者个人，不得参加同一标段投标或者未划分标段的同一招标不得参加投标；</w:t>
            </w:r>
          </w:p>
          <w:p w14:paraId="4430DF87">
            <w:pPr>
              <w:spacing w:line="288" w:lineRule="auto"/>
              <w:rPr>
                <w:color w:val="auto"/>
                <w:highlight w:val="none"/>
              </w:rPr>
            </w:pPr>
            <w:r>
              <w:rPr>
                <w:rFonts w:hint="eastAsia"/>
                <w:color w:val="auto"/>
                <w:highlight w:val="none"/>
                <w:lang w:val="en-US" w:eastAsia="zh-CN"/>
              </w:rPr>
              <w:t>（2）投标单位负责人为同一人或者存在直接控股、管理关系的不同投标人不得参加同一合同项下的采购活动。</w:t>
            </w:r>
          </w:p>
          <w:p w14:paraId="2E82965B">
            <w:pPr>
              <w:spacing w:line="288" w:lineRule="auto"/>
              <w:rPr>
                <w:color w:val="auto"/>
                <w:highlight w:val="none"/>
                <w:lang w:val="zh-CN"/>
              </w:rPr>
            </w:pPr>
            <w:r>
              <w:rPr>
                <w:rFonts w:hint="eastAsia"/>
                <w:color w:val="auto"/>
                <w:highlight w:val="none"/>
                <w:lang w:val="en-US" w:eastAsia="zh-CN"/>
              </w:rPr>
              <w:t>（3）</w:t>
            </w:r>
            <w:r>
              <w:rPr>
                <w:rFonts w:hint="eastAsia"/>
                <w:color w:val="auto"/>
                <w:highlight w:val="none"/>
              </w:rPr>
              <w:t>根据《财政部关于在政府采购活动中查询及使用信用记录有关问题的通知》（财库﹝2016﹞125号）的要求，凡拟参加本次招标项目的投标供应商，如在“信用中国”网（www.creditchina.gov.cn）、中国政府采购网（www.ccgp.gov.cn）列入失信被执行人、</w:t>
            </w:r>
            <w:r>
              <w:rPr>
                <w:rFonts w:hint="eastAsia"/>
                <w:color w:val="auto"/>
                <w:highlight w:val="none"/>
                <w:lang w:eastAsia="zh-CN"/>
              </w:rPr>
              <w:t>重大税收违法失信主体</w:t>
            </w:r>
            <w:r>
              <w:rPr>
                <w:rFonts w:hint="eastAsia"/>
                <w:color w:val="auto"/>
                <w:highlight w:val="none"/>
              </w:rPr>
              <w:t>、政府采购严重违法失信行为记录名单的（尚在处罚期内的），将拒绝其参加本次项目投标。</w:t>
            </w:r>
          </w:p>
          <w:p w14:paraId="741DC74B">
            <w:pPr>
              <w:spacing w:line="288" w:lineRule="auto"/>
              <w:rPr>
                <w:color w:val="auto"/>
                <w:highlight w:val="none"/>
              </w:rPr>
            </w:pPr>
            <w:r>
              <w:rPr>
                <w:rFonts w:hint="eastAsia"/>
                <w:color w:val="auto"/>
                <w:highlight w:val="none"/>
                <w:lang w:val="en-US" w:eastAsia="zh-CN"/>
              </w:rPr>
              <w:t>4</w:t>
            </w:r>
            <w:r>
              <w:rPr>
                <w:rFonts w:hint="eastAsia"/>
                <w:color w:val="auto"/>
                <w:highlight w:val="none"/>
              </w:rPr>
              <w:t>.本项目不接受联合体投标。</w:t>
            </w:r>
          </w:p>
        </w:tc>
      </w:tr>
      <w:tr w14:paraId="02BC1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D9B3BAD">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4</w:t>
            </w:r>
          </w:p>
        </w:tc>
        <w:tc>
          <w:tcPr>
            <w:tcW w:w="1695" w:type="dxa"/>
            <w:tcBorders>
              <w:top w:val="single" w:color="auto" w:sz="4" w:space="0"/>
              <w:left w:val="single" w:color="auto" w:sz="4" w:space="0"/>
              <w:bottom w:val="single" w:color="auto" w:sz="4" w:space="0"/>
              <w:right w:val="single" w:color="auto" w:sz="4" w:space="0"/>
            </w:tcBorders>
            <w:vAlign w:val="center"/>
          </w:tcPr>
          <w:p w14:paraId="6BC6517B">
            <w:pPr>
              <w:spacing w:line="288" w:lineRule="auto"/>
              <w:jc w:val="center"/>
              <w:rPr>
                <w:rFonts w:hint="eastAsia" w:hAnsi="宋体" w:cs="Arial"/>
                <w:bCs/>
                <w:color w:val="auto"/>
                <w:highlight w:val="none"/>
              </w:rPr>
            </w:pPr>
            <w:r>
              <w:rPr>
                <w:rFonts w:hint="eastAsia" w:hAnsi="宋体" w:cs="Arial"/>
                <w:bCs/>
                <w:color w:val="auto"/>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14:paraId="3D9AE8D6">
            <w:pPr>
              <w:pStyle w:val="40"/>
              <w:spacing w:line="288" w:lineRule="auto"/>
              <w:ind w:leftChars="-1" w:hanging="2" w:hangingChars="1"/>
              <w:rPr>
                <w:rFonts w:hint="eastAsia"/>
                <w:color w:val="auto"/>
                <w:highlight w:val="none"/>
                <w:lang w:val="en-US" w:eastAsia="zh-CN"/>
              </w:rPr>
            </w:pPr>
            <w:r>
              <w:rPr>
                <w:rFonts w:hint="eastAsia"/>
                <w:color w:val="auto"/>
                <w:highlight w:val="none"/>
              </w:rPr>
              <w:t xml:space="preserve">1. </w:t>
            </w:r>
            <w:r>
              <w:rPr>
                <w:rFonts w:hint="eastAsia"/>
                <w:color w:val="auto"/>
                <w:highlight w:val="none"/>
                <w:lang w:val="en-US" w:eastAsia="zh-CN"/>
              </w:rPr>
              <w:t>投标保证金金额：</w:t>
            </w:r>
          </w:p>
          <w:p w14:paraId="48D691C6">
            <w:pPr>
              <w:pStyle w:val="40"/>
              <w:spacing w:line="288" w:lineRule="auto"/>
              <w:ind w:leftChars="-1" w:hanging="2" w:hangingChars="1"/>
              <w:rPr>
                <w:color w:val="auto"/>
                <w:highlight w:val="none"/>
              </w:rPr>
            </w:pPr>
            <w:r>
              <w:rPr>
                <w:rFonts w:hint="eastAsia" w:ascii="Arial" w:hAnsi="Arial" w:cs="Arial"/>
                <w:color w:val="auto"/>
                <w:highlight w:val="none"/>
                <w:lang w:val="en-US" w:eastAsia="zh-CN"/>
              </w:rPr>
              <w:t>/</w:t>
            </w:r>
            <w:r>
              <w:rPr>
                <w:rFonts w:hint="eastAsia"/>
                <w:color w:val="auto"/>
                <w:highlight w:val="none"/>
              </w:rPr>
              <w:t>万元，大写：</w:t>
            </w:r>
            <w:r>
              <w:rPr>
                <w:rFonts w:hint="eastAsia"/>
                <w:color w:val="auto"/>
                <w:highlight w:val="none"/>
                <w:lang w:val="en-US" w:eastAsia="zh-CN"/>
              </w:rPr>
              <w:t>/</w:t>
            </w:r>
            <w:r>
              <w:rPr>
                <w:rFonts w:hint="eastAsia"/>
                <w:color w:val="auto"/>
                <w:highlight w:val="none"/>
              </w:rPr>
              <w:t>；</w:t>
            </w:r>
          </w:p>
          <w:p w14:paraId="2906C465">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14:paraId="644831C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highlight w:val="none"/>
              </w:rPr>
            </w:pPr>
            <w:r>
              <w:rPr>
                <w:rFonts w:hint="eastAsia"/>
                <w:color w:val="auto"/>
                <w:highlight w:val="none"/>
              </w:rPr>
              <w:t>3.投标保证金缴纳形式：投标保证金应当以支票、汇票、本票或者金融机构、担保机构出具的保函等非现金形式提交</w:t>
            </w:r>
            <w:r>
              <w:rPr>
                <w:rFonts w:hint="eastAsia"/>
                <w:color w:val="auto"/>
                <w:highlight w:val="none"/>
                <w:lang w:eastAsia="zh-CN"/>
              </w:rPr>
              <w:t>，</w:t>
            </w:r>
            <w:r>
              <w:rPr>
                <w:rFonts w:hint="eastAsia"/>
                <w:color w:val="auto"/>
                <w:highlight w:val="none"/>
              </w:rPr>
              <w:t>投标人未按照招标文件要求提交投标保证金的，投标无效。</w:t>
            </w:r>
          </w:p>
          <w:p w14:paraId="148BA5AF">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14:paraId="3FCD0C12">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5.投标保证金递交的开户银行及账号如下：</w:t>
            </w:r>
          </w:p>
          <w:p w14:paraId="6A6874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账户名称：新疆宏宇建设工程项目管理有限责任公司克拉玛依咨询分公司</w:t>
            </w:r>
          </w:p>
          <w:p w14:paraId="722DB70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 xml:space="preserve">地址：新疆克拉玛依市克拉玛依区新兴路339-401号（四楼）     </w:t>
            </w:r>
          </w:p>
          <w:p w14:paraId="749100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邮政编码：834000</w:t>
            </w:r>
          </w:p>
          <w:p w14:paraId="13556E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 xml:space="preserve">开户行：昆仑银行股份有限公司克拉玛依分行           </w:t>
            </w:r>
          </w:p>
          <w:p w14:paraId="4FCB3D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银行账号：88202221188980000027</w:t>
            </w:r>
          </w:p>
          <w:p w14:paraId="7312F27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行号：313882000131</w:t>
            </w:r>
          </w:p>
          <w:p w14:paraId="781002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auto"/>
                <w:kern w:val="0"/>
                <w:highlight w:val="none"/>
              </w:rPr>
            </w:pPr>
            <w:r>
              <w:rPr>
                <w:rFonts w:hint="eastAsia"/>
                <w:color w:val="auto"/>
                <w:highlight w:val="none"/>
              </w:rPr>
              <w:t>注意：不得以办事处或其他机构名义缴纳，投标人在缴纳保证金时，需在进账凭证上明确自己用途</w:t>
            </w:r>
            <w:r>
              <w:rPr>
                <w:rFonts w:hint="eastAsia"/>
                <w:color w:val="auto"/>
                <w:highlight w:val="none"/>
                <w:lang w:eastAsia="zh-CN"/>
              </w:rPr>
              <w:t>、</w:t>
            </w:r>
            <w:r>
              <w:rPr>
                <w:rFonts w:hint="eastAsia"/>
                <w:color w:val="auto"/>
                <w:highlight w:val="none"/>
                <w:lang w:val="en-US" w:eastAsia="zh-CN"/>
              </w:rPr>
              <w:t>投标项目</w:t>
            </w:r>
            <w:r>
              <w:rPr>
                <w:rFonts w:hint="eastAsia"/>
                <w:color w:val="auto"/>
                <w:highlight w:val="none"/>
              </w:rPr>
              <w:t>和</w:t>
            </w:r>
            <w:r>
              <w:rPr>
                <w:rFonts w:hint="eastAsia"/>
                <w:color w:val="auto"/>
                <w:highlight w:val="none"/>
                <w:lang w:val="en-US" w:eastAsia="zh-CN"/>
              </w:rPr>
              <w:t>项目编号</w:t>
            </w:r>
            <w:r>
              <w:rPr>
                <w:rFonts w:hint="eastAsia"/>
                <w:color w:val="auto"/>
                <w:highlight w:val="none"/>
              </w:rPr>
              <w:t>，并注明联系人及电话，以便查对核实。请投标人按上述要求将投标保证金汇入指定的开户银行，未按规定提交投标保证金的投标，将被视为投标无效。保证金事宜请联系</w:t>
            </w:r>
            <w:r>
              <w:rPr>
                <w:rFonts w:hint="eastAsia"/>
                <w:color w:val="auto"/>
                <w:highlight w:val="none"/>
                <w:lang w:val="en-US" w:eastAsia="zh-CN"/>
              </w:rPr>
              <w:t>（0990-6608599）</w:t>
            </w:r>
          </w:p>
        </w:tc>
      </w:tr>
      <w:tr w14:paraId="6C934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344886D">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5</w:t>
            </w:r>
          </w:p>
        </w:tc>
        <w:tc>
          <w:tcPr>
            <w:tcW w:w="1695" w:type="dxa"/>
            <w:tcBorders>
              <w:top w:val="single" w:color="auto" w:sz="4" w:space="0"/>
              <w:left w:val="single" w:color="auto" w:sz="4" w:space="0"/>
              <w:bottom w:val="single" w:color="auto" w:sz="4" w:space="0"/>
              <w:right w:val="single" w:color="auto" w:sz="4" w:space="0"/>
            </w:tcBorders>
            <w:vAlign w:val="center"/>
          </w:tcPr>
          <w:p w14:paraId="666C45F7">
            <w:pPr>
              <w:spacing w:line="288" w:lineRule="auto"/>
              <w:jc w:val="center"/>
              <w:rPr>
                <w:rFonts w:hint="eastAsia"/>
                <w:color w:val="auto"/>
                <w:highlight w:val="none"/>
              </w:rPr>
            </w:pPr>
            <w:r>
              <w:rPr>
                <w:rFonts w:hint="eastAsia"/>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14:paraId="480DCE36">
            <w:pPr>
              <w:spacing w:line="288" w:lineRule="auto"/>
              <w:rPr>
                <w:rFonts w:hint="eastAsia"/>
                <w:color w:val="auto"/>
                <w:highlight w:val="none"/>
              </w:rPr>
            </w:pPr>
            <w:r>
              <w:rPr>
                <w:rFonts w:hint="eastAsia"/>
                <w:color w:val="auto"/>
                <w:highlight w:val="none"/>
              </w:rPr>
              <w:t>递交投标文件的截止之日起90天。</w:t>
            </w:r>
          </w:p>
        </w:tc>
      </w:tr>
      <w:tr w14:paraId="68C85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A1F38AD">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6</w:t>
            </w:r>
          </w:p>
        </w:tc>
        <w:tc>
          <w:tcPr>
            <w:tcW w:w="1695" w:type="dxa"/>
            <w:tcBorders>
              <w:top w:val="single" w:color="auto" w:sz="4" w:space="0"/>
              <w:left w:val="single" w:color="auto" w:sz="4" w:space="0"/>
              <w:bottom w:val="single" w:color="auto" w:sz="4" w:space="0"/>
              <w:right w:val="single" w:color="auto" w:sz="4" w:space="0"/>
            </w:tcBorders>
            <w:vAlign w:val="center"/>
          </w:tcPr>
          <w:p w14:paraId="63670B54">
            <w:pPr>
              <w:spacing w:line="288" w:lineRule="auto"/>
              <w:jc w:val="center"/>
              <w:rPr>
                <w:rFonts w:hint="eastAsia"/>
                <w:color w:val="auto"/>
                <w:highlight w:val="none"/>
              </w:rPr>
            </w:pPr>
            <w:r>
              <w:rPr>
                <w:rFonts w:hint="eastAsia"/>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14:paraId="099CDB1F">
            <w:pPr>
              <w:spacing w:line="288" w:lineRule="auto"/>
              <w:rPr>
                <w:rFonts w:hint="eastAsia"/>
                <w:color w:val="auto"/>
                <w:highlight w:val="none"/>
              </w:rPr>
            </w:pPr>
            <w:r>
              <w:rPr>
                <w:rFonts w:hint="eastAsia"/>
                <w:color w:val="auto"/>
                <w:highlight w:val="none"/>
                <w:lang w:val="en-US" w:eastAsia="zh-CN"/>
              </w:rPr>
              <w:t>本项目不安排现场踏勘</w:t>
            </w:r>
            <w:r>
              <w:rPr>
                <w:rFonts w:hint="eastAsia"/>
                <w:color w:val="auto"/>
                <w:highlight w:val="none"/>
              </w:rPr>
              <w:t>。</w:t>
            </w:r>
          </w:p>
        </w:tc>
      </w:tr>
      <w:tr w14:paraId="0908D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17F0B47">
            <w:pPr>
              <w:spacing w:line="300" w:lineRule="exact"/>
              <w:jc w:val="center"/>
              <w:rPr>
                <w:rFonts w:hint="eastAsia" w:ascii="宋体" w:hAnsi="宋体" w:eastAsia="宋体" w:cs="Arial"/>
                <w:color w:val="auto"/>
                <w:kern w:val="2"/>
                <w:sz w:val="21"/>
                <w:szCs w:val="21"/>
                <w:highlight w:val="none"/>
                <w:lang w:val="en-US" w:eastAsia="zh-CN" w:bidi="ar-SA"/>
              </w:rPr>
            </w:pPr>
            <w:r>
              <w:rPr>
                <w:rFonts w:hint="eastAsia" w:hAnsi="宋体" w:cs="Arial"/>
                <w:color w:val="auto"/>
                <w:highlight w:val="none"/>
              </w:rPr>
              <w:t>1</w:t>
            </w:r>
            <w:r>
              <w:rPr>
                <w:rFonts w:hint="eastAsia" w:hAnsi="宋体" w:cs="Arial"/>
                <w:color w:val="auto"/>
                <w:highlight w:val="none"/>
                <w:lang w:val="en-US" w:eastAsia="zh-CN"/>
              </w:rPr>
              <w:t>7</w:t>
            </w:r>
          </w:p>
        </w:tc>
        <w:tc>
          <w:tcPr>
            <w:tcW w:w="1695" w:type="dxa"/>
            <w:tcBorders>
              <w:top w:val="single" w:color="auto" w:sz="4" w:space="0"/>
              <w:left w:val="single" w:color="auto" w:sz="4" w:space="0"/>
              <w:bottom w:val="single" w:color="auto" w:sz="4" w:space="0"/>
              <w:right w:val="single" w:color="auto" w:sz="4" w:space="0"/>
            </w:tcBorders>
            <w:vAlign w:val="center"/>
          </w:tcPr>
          <w:p w14:paraId="4EF2683C">
            <w:pPr>
              <w:spacing w:line="288" w:lineRule="auto"/>
              <w:jc w:val="center"/>
              <w:rPr>
                <w:rFonts w:hAnsi="宋体" w:cs="Arial"/>
                <w:bCs/>
                <w:color w:val="auto"/>
                <w:highlight w:val="none"/>
              </w:rPr>
            </w:pPr>
            <w:r>
              <w:rPr>
                <w:rFonts w:hint="eastAsia" w:hAnsi="宋体" w:cs="Arial"/>
                <w:bCs/>
                <w:color w:val="auto"/>
                <w:highlight w:val="none"/>
              </w:rPr>
              <w:t>投标文件</w:t>
            </w:r>
          </w:p>
          <w:p w14:paraId="1F7B7DB3">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14:paraId="3248D3CE">
            <w:pPr>
              <w:spacing w:line="288" w:lineRule="auto"/>
              <w:rPr>
                <w:rFonts w:hint="default" w:ascii="宋体" w:hAnsi="宋体" w:eastAsia="宋体" w:cs="Arial"/>
                <w:bCs/>
                <w:color w:val="auto"/>
                <w:highlight w:val="none"/>
                <w:lang w:val="en-US" w:eastAsia="zh-CN"/>
              </w:rPr>
            </w:pPr>
            <w:r>
              <w:rPr>
                <w:rFonts w:hint="eastAsia"/>
                <w:color w:val="auto"/>
                <w:highlight w:val="none"/>
                <w:lang w:val="en-US" w:eastAsia="zh-CN"/>
              </w:rPr>
              <w:t>投标人无论中标与否，开评标结束后均需提供纸质版投标文件（一正两副），具体装订要求详见投标须知正文。</w:t>
            </w:r>
          </w:p>
        </w:tc>
      </w:tr>
      <w:tr w14:paraId="2D650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BA859AB">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8</w:t>
            </w:r>
          </w:p>
        </w:tc>
        <w:tc>
          <w:tcPr>
            <w:tcW w:w="1695" w:type="dxa"/>
            <w:tcBorders>
              <w:top w:val="single" w:color="auto" w:sz="4" w:space="0"/>
              <w:left w:val="single" w:color="auto" w:sz="4" w:space="0"/>
              <w:bottom w:val="single" w:color="auto" w:sz="4" w:space="0"/>
              <w:right w:val="single" w:color="auto" w:sz="4" w:space="0"/>
            </w:tcBorders>
            <w:vAlign w:val="center"/>
          </w:tcPr>
          <w:p w14:paraId="5760A2CA">
            <w:pPr>
              <w:spacing w:line="288" w:lineRule="auto"/>
              <w:jc w:val="center"/>
              <w:rPr>
                <w:rFonts w:ascii="宋体" w:hAnsi="宋体" w:cs="Arial"/>
                <w:bCs/>
                <w:color w:val="auto"/>
                <w:highlight w:val="none"/>
              </w:rPr>
            </w:pPr>
            <w:r>
              <w:rPr>
                <w:rFonts w:hint="eastAsia" w:hAnsi="宋体" w:cs="Arial"/>
                <w:bCs/>
                <w:color w:val="auto"/>
                <w:highlight w:val="none"/>
              </w:rPr>
              <w:t>投标</w:t>
            </w:r>
            <w:r>
              <w:rPr>
                <w:rFonts w:hint="eastAsia" w:hAnsi="宋体" w:cs="Arial"/>
                <w:bCs/>
                <w:color w:val="auto"/>
                <w:highlight w:val="none"/>
                <w:lang w:val="en-US" w:eastAsia="zh-CN"/>
              </w:rPr>
              <w:t>文件递交</w:t>
            </w:r>
            <w:r>
              <w:rPr>
                <w:rFonts w:hint="eastAsia" w:hAnsi="宋体" w:cs="Arial"/>
                <w:bCs/>
                <w:color w:val="auto"/>
                <w:highlight w:val="none"/>
              </w:rPr>
              <w:t>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14:paraId="1F8430A1">
            <w:pPr>
              <w:pStyle w:val="36"/>
              <w:keepNext w:val="0"/>
              <w:keepLines w:val="0"/>
              <w:pageBreakBefore w:val="0"/>
              <w:numPr>
                <w:ilvl w:val="0"/>
                <w:numId w:val="0"/>
              </w:numPr>
              <w:kinsoku/>
              <w:topLinePunct w:val="0"/>
              <w:bidi w:val="0"/>
              <w:adjustRightInd/>
              <w:spacing w:line="360" w:lineRule="auto"/>
              <w:textAlignment w:val="auto"/>
              <w:rPr>
                <w:rStyle w:val="44"/>
                <w:rFonts w:hint="eastAsia" w:ascii="宋体" w:hAnsi="宋体" w:eastAsia="宋体" w:cs="宋体"/>
                <w:b w:val="0"/>
                <w:color w:val="auto"/>
                <w:kern w:val="0"/>
                <w:sz w:val="21"/>
                <w:szCs w:val="21"/>
                <w:highlight w:val="none"/>
              </w:rPr>
            </w:pPr>
            <w:r>
              <w:rPr>
                <w:rStyle w:val="44"/>
                <w:rFonts w:hint="eastAsia" w:ascii="宋体" w:hAnsi="宋体" w:eastAsia="宋体" w:cs="宋体"/>
                <w:b w:val="0"/>
                <w:color w:val="auto"/>
                <w:kern w:val="0"/>
                <w:sz w:val="21"/>
                <w:szCs w:val="21"/>
                <w:highlight w:val="none"/>
              </w:rPr>
              <w:sym w:font="Wingdings 2" w:char="00A3"/>
            </w:r>
            <w:r>
              <w:rPr>
                <w:rStyle w:val="44"/>
                <w:rFonts w:hint="eastAsia" w:ascii="宋体" w:hAnsi="宋体" w:eastAsia="宋体" w:cs="宋体"/>
                <w:b w:val="0"/>
                <w:color w:val="auto"/>
                <w:kern w:val="0"/>
                <w:sz w:val="21"/>
                <w:szCs w:val="21"/>
                <w:highlight w:val="none"/>
              </w:rPr>
              <w:t>采用见面开标：</w:t>
            </w:r>
          </w:p>
          <w:p w14:paraId="525D7B02">
            <w:pPr>
              <w:pStyle w:val="36"/>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纸质版投标文件要求：</w:t>
            </w:r>
          </w:p>
          <w:p w14:paraId="3E02DE3C">
            <w:pPr>
              <w:pStyle w:val="36"/>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4"/>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w:t>
            </w:r>
            <w:r>
              <w:rPr>
                <w:rFonts w:hint="eastAsia" w:ascii="宋体" w:hAnsi="宋体" w:eastAsia="宋体" w:cs="宋体"/>
                <w:b/>
                <w:bCs/>
                <w:color w:val="auto"/>
                <w:sz w:val="21"/>
                <w:szCs w:val="21"/>
                <w:highlight w:val="none"/>
                <w:u w:val="single"/>
                <w:lang w:val="en-US" w:eastAsia="zh-CN"/>
              </w:rPr>
              <w:t>投标</w:t>
            </w:r>
            <w:r>
              <w:rPr>
                <w:rStyle w:val="44"/>
                <w:rFonts w:hint="eastAsia" w:ascii="宋体" w:hAnsi="宋体" w:eastAsia="宋体" w:cs="宋体"/>
                <w:b/>
                <w:bCs/>
                <w:color w:val="auto"/>
                <w:kern w:val="0"/>
                <w:sz w:val="21"/>
                <w:szCs w:val="21"/>
                <w:highlight w:val="none"/>
                <w:lang w:val="en-US" w:eastAsia="zh-CN" w:bidi="ar-SA"/>
              </w:rPr>
              <w:t>单位提供正本壹份、副本伍份投标文件；在每一份投标文件上应明确注明“正本”或“副本”字样，如正、副本之间有差异，以正本为准。电子版投标文件U盘或光盘（不予退还）两份装入投标文件封袋内。</w:t>
            </w:r>
          </w:p>
          <w:p w14:paraId="7CCB417C">
            <w:pPr>
              <w:pStyle w:val="36"/>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4"/>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装订要求：投标文件的正本和副本一律用A4复印纸（图、表及证件可以除外）编制和复制。投标文件的正本和副本应采用粘贴方式左侧装订，不得采用活页夹等可随时拆换的方式装订，不得有零散页。若同一册的内容较多，可装订成若干分册，并在封面标明次序及册数。投标文件中的证明、证件及附件等的复制件应集中紧附在相应正文内容后面，并尽量与前面正文部分的顺序相对应。</w:t>
            </w:r>
          </w:p>
          <w:p w14:paraId="09A75797">
            <w:pPr>
              <w:pStyle w:val="36"/>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4"/>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（3）</w:t>
            </w:r>
            <w:r>
              <w:rPr>
                <w:rStyle w:val="44"/>
                <w:rFonts w:hint="eastAsia" w:ascii="宋体" w:hAnsi="宋体" w:eastAsia="宋体" w:cs="宋体"/>
                <w:b w:val="0"/>
                <w:bCs w:val="0"/>
                <w:color w:val="auto"/>
                <w:kern w:val="0"/>
                <w:sz w:val="21"/>
                <w:szCs w:val="21"/>
                <w:highlight w:val="none"/>
                <w:lang w:val="en-US" w:eastAsia="zh-CN" w:bidi="ar-SA"/>
              </w:rPr>
              <w:t>投标人提交的投标文件必须唯一有效，投标文件正本须打印并由法定代表人或委托代理人签字或盖章，所盖章必须是红章。</w:t>
            </w:r>
          </w:p>
          <w:p w14:paraId="3449A0EA">
            <w:pPr>
              <w:pStyle w:val="36"/>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4"/>
                <w:rFonts w:hint="eastAsia" w:ascii="宋体" w:hAnsi="宋体" w:eastAsia="宋体" w:cs="宋体"/>
                <w:b w:val="0"/>
                <w:bCs w:val="0"/>
                <w:color w:val="auto"/>
                <w:kern w:val="0"/>
                <w:sz w:val="21"/>
                <w:szCs w:val="21"/>
                <w:highlight w:val="none"/>
                <w:lang w:val="en-US" w:eastAsia="zh-CN" w:bidi="ar-SA"/>
              </w:rPr>
            </w:pPr>
            <w:r>
              <w:rPr>
                <w:rStyle w:val="44"/>
                <w:rFonts w:hint="eastAsia" w:ascii="宋体" w:hAnsi="宋体" w:eastAsia="宋体" w:cs="宋体"/>
                <w:b w:val="0"/>
                <w:bCs w:val="0"/>
                <w:color w:val="auto"/>
                <w:kern w:val="0"/>
                <w:sz w:val="21"/>
                <w:szCs w:val="21"/>
                <w:highlight w:val="none"/>
                <w:lang w:val="en-US" w:eastAsia="zh-CN" w:bidi="ar-SA"/>
              </w:rPr>
              <w:t>投标文件副本的上述签名及盖章之处既可由投标人的法定代表人或其委托代理人亲笔签署,也可通过复印正本将上述签名及盖章复制到副本上。</w:t>
            </w:r>
          </w:p>
          <w:p w14:paraId="122AAF42">
            <w:pPr>
              <w:pStyle w:val="36"/>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4"/>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（4）</w:t>
            </w:r>
            <w:r>
              <w:rPr>
                <w:rStyle w:val="44"/>
                <w:rFonts w:hint="eastAsia" w:ascii="宋体" w:hAnsi="宋体" w:eastAsia="宋体" w:cs="宋体"/>
                <w:b w:val="0"/>
                <w:bCs w:val="0"/>
                <w:color w:val="auto"/>
                <w:kern w:val="0"/>
                <w:sz w:val="21"/>
                <w:szCs w:val="21"/>
                <w:highlight w:val="none"/>
                <w:lang w:val="en-US" w:eastAsia="zh-CN" w:bidi="ar-SA"/>
              </w:rPr>
              <w:t>投标文件的包装和密封：项目名称、编号、竞标人名称、年月日。</w:t>
            </w:r>
          </w:p>
          <w:p w14:paraId="4ABD54AF">
            <w:pPr>
              <w:pStyle w:val="2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Style w:val="44"/>
                <w:rFonts w:hint="eastAsia" w:ascii="宋体" w:hAnsi="宋体" w:eastAsia="宋体" w:cs="宋体"/>
                <w:b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bidi="ar-SA"/>
              </w:rPr>
              <w:t>（5）</w:t>
            </w:r>
            <w:r>
              <w:rPr>
                <w:rStyle w:val="44"/>
                <w:rFonts w:hint="eastAsia" w:ascii="宋体" w:hAnsi="宋体" w:eastAsia="宋体" w:cs="宋体"/>
                <w:b w:val="0"/>
                <w:bCs w:val="0"/>
                <w:color w:val="auto"/>
                <w:kern w:val="0"/>
                <w:sz w:val="21"/>
                <w:szCs w:val="21"/>
                <w:highlight w:val="none"/>
                <w:lang w:val="en-US" w:eastAsia="zh-CN" w:bidi="ar-SA"/>
              </w:rPr>
              <w:t>封套上写明：响应文件正本和副本的封面上均应标明：项目名称、项目编号、供应商名称、年月日；并分别在右上角标明“正本”和“副本”字样</w:t>
            </w:r>
          </w:p>
          <w:p w14:paraId="5B4D0807">
            <w:pPr>
              <w:pStyle w:val="24"/>
              <w:snapToGrid w:val="0"/>
              <w:spacing w:line="360" w:lineRule="auto"/>
              <w:rPr>
                <w:rStyle w:val="44"/>
                <w:rFonts w:hint="eastAsia" w:ascii="宋体" w:hAnsi="宋体" w:eastAsia="宋体" w:cs="宋体"/>
                <w:b w:val="0"/>
                <w:color w:val="auto"/>
                <w:kern w:val="0"/>
                <w:sz w:val="21"/>
                <w:szCs w:val="21"/>
                <w:highlight w:val="none"/>
              </w:rPr>
            </w:pPr>
            <w:r>
              <w:rPr>
                <w:rStyle w:val="44"/>
                <w:rFonts w:hint="eastAsia" w:ascii="宋体" w:hAnsi="宋体" w:eastAsia="宋体" w:cs="宋体"/>
                <w:b w:val="0"/>
                <w:color w:val="auto"/>
                <w:kern w:val="0"/>
                <w:sz w:val="21"/>
                <w:szCs w:val="21"/>
                <w:highlight w:val="none"/>
              </w:rPr>
              <w:sym w:font="Wingdings 2" w:char="0052"/>
            </w:r>
            <w:r>
              <w:rPr>
                <w:rStyle w:val="44"/>
                <w:rFonts w:hint="eastAsia" w:ascii="宋体" w:hAnsi="宋体" w:eastAsia="宋体" w:cs="宋体"/>
                <w:b w:val="0"/>
                <w:color w:val="auto"/>
                <w:kern w:val="0"/>
                <w:sz w:val="21"/>
                <w:szCs w:val="21"/>
                <w:highlight w:val="none"/>
              </w:rPr>
              <w:t>采用不见面开标：</w:t>
            </w:r>
          </w:p>
          <w:p w14:paraId="6CC30BDE">
            <w:pPr>
              <w:pStyle w:val="36"/>
              <w:keepNext w:val="0"/>
              <w:keepLines w:val="0"/>
              <w:pageBreakBefore w:val="0"/>
              <w:numPr>
                <w:ilvl w:val="0"/>
                <w:numId w:val="0"/>
              </w:numPr>
              <w:kinsoku/>
              <w:topLinePunct w:val="0"/>
              <w:bidi w:val="0"/>
              <w:adjustRightInd/>
              <w:spacing w:line="360" w:lineRule="auto"/>
              <w:textAlignment w:val="auto"/>
              <w:rPr>
                <w:rStyle w:val="44"/>
                <w:rFonts w:hint="eastAsia" w:ascii="宋体" w:hAnsi="宋体" w:eastAsia="宋体" w:cs="宋体"/>
                <w:b w:val="0"/>
                <w:color w:val="auto"/>
                <w:kern w:val="0"/>
                <w:sz w:val="21"/>
                <w:szCs w:val="21"/>
                <w:highlight w:val="none"/>
                <w:lang w:val="en-US" w:eastAsia="zh-CN"/>
              </w:rPr>
            </w:pPr>
            <w:r>
              <w:rPr>
                <w:rStyle w:val="44"/>
                <w:rFonts w:hint="eastAsia" w:ascii="宋体" w:hAnsi="宋体" w:eastAsia="宋体" w:cs="宋体"/>
                <w:b w:val="0"/>
                <w:color w:val="auto"/>
                <w:kern w:val="0"/>
                <w:sz w:val="21"/>
                <w:szCs w:val="21"/>
                <w:highlight w:val="none"/>
                <w:lang w:val="en-US" w:eastAsia="zh-CN"/>
              </w:rPr>
              <w:t>①</w:t>
            </w:r>
            <w:r>
              <w:rPr>
                <w:rStyle w:val="44"/>
                <w:rFonts w:hint="eastAsia" w:ascii="宋体" w:hAnsi="宋体" w:eastAsia="宋体" w:cs="宋体"/>
                <w:b w:val="0"/>
                <w:color w:val="auto"/>
                <w:kern w:val="0"/>
                <w:sz w:val="21"/>
                <w:szCs w:val="21"/>
                <w:highlight w:val="none"/>
              </w:rPr>
              <w:t>递交</w:t>
            </w:r>
            <w:r>
              <w:rPr>
                <w:rStyle w:val="44"/>
                <w:rFonts w:hint="eastAsia" w:ascii="宋体" w:hAnsi="宋体" w:eastAsia="宋体" w:cs="宋体"/>
                <w:b w:val="0"/>
                <w:color w:val="auto"/>
                <w:kern w:val="0"/>
                <w:sz w:val="21"/>
                <w:szCs w:val="21"/>
                <w:highlight w:val="none"/>
                <w:lang w:val="en-US" w:eastAsia="zh-CN"/>
              </w:rPr>
              <w:t>投标</w:t>
            </w:r>
            <w:r>
              <w:rPr>
                <w:rStyle w:val="44"/>
                <w:rFonts w:hint="eastAsia" w:ascii="宋体" w:hAnsi="宋体" w:eastAsia="宋体" w:cs="宋体"/>
                <w:b w:val="0"/>
                <w:color w:val="auto"/>
                <w:kern w:val="0"/>
                <w:sz w:val="21"/>
                <w:szCs w:val="21"/>
                <w:highlight w:val="none"/>
              </w:rPr>
              <w:t>文件截止时间：2026年</w:t>
            </w:r>
            <w:r>
              <w:rPr>
                <w:rStyle w:val="44"/>
                <w:rFonts w:hint="eastAsia" w:cs="宋体"/>
                <w:b w:val="0"/>
                <w:color w:val="auto"/>
                <w:kern w:val="0"/>
                <w:sz w:val="21"/>
                <w:szCs w:val="21"/>
                <w:highlight w:val="none"/>
                <w:lang w:val="en-US" w:eastAsia="zh-CN"/>
              </w:rPr>
              <w:t>11</w:t>
            </w:r>
            <w:r>
              <w:rPr>
                <w:rStyle w:val="44"/>
                <w:rFonts w:hint="eastAsia" w:ascii="宋体" w:hAnsi="宋体" w:eastAsia="宋体" w:cs="宋体"/>
                <w:b w:val="0"/>
                <w:color w:val="auto"/>
                <w:kern w:val="0"/>
                <w:sz w:val="21"/>
                <w:szCs w:val="21"/>
                <w:highlight w:val="none"/>
              </w:rPr>
              <w:t>月</w:t>
            </w:r>
            <w:r>
              <w:rPr>
                <w:rStyle w:val="44"/>
                <w:rFonts w:hint="eastAsia" w:cs="宋体"/>
                <w:b w:val="0"/>
                <w:color w:val="auto"/>
                <w:kern w:val="0"/>
                <w:sz w:val="21"/>
                <w:szCs w:val="21"/>
                <w:highlight w:val="none"/>
                <w:lang w:val="en-US" w:eastAsia="zh-CN"/>
              </w:rPr>
              <w:t>12</w:t>
            </w:r>
            <w:r>
              <w:rPr>
                <w:rStyle w:val="44"/>
                <w:rFonts w:hint="eastAsia" w:ascii="宋体" w:hAnsi="宋体" w:eastAsia="宋体" w:cs="宋体"/>
                <w:b w:val="0"/>
                <w:color w:val="auto"/>
                <w:kern w:val="0"/>
                <w:sz w:val="21"/>
                <w:szCs w:val="21"/>
                <w:highlight w:val="none"/>
              </w:rPr>
              <w:t>日</w:t>
            </w:r>
            <w:r>
              <w:rPr>
                <w:rStyle w:val="44"/>
                <w:rFonts w:hint="eastAsia" w:cs="宋体"/>
                <w:b w:val="0"/>
                <w:color w:val="auto"/>
                <w:kern w:val="0"/>
                <w:sz w:val="21"/>
                <w:szCs w:val="21"/>
                <w:highlight w:val="none"/>
                <w:lang w:val="en-US" w:eastAsia="zh-CN"/>
              </w:rPr>
              <w:t>16</w:t>
            </w:r>
            <w:r>
              <w:rPr>
                <w:rStyle w:val="44"/>
                <w:rFonts w:hint="eastAsia" w:ascii="宋体" w:hAnsi="宋体" w:eastAsia="宋体" w:cs="宋体"/>
                <w:b w:val="0"/>
                <w:color w:val="auto"/>
                <w:kern w:val="0"/>
                <w:sz w:val="21"/>
                <w:szCs w:val="21"/>
                <w:highlight w:val="none"/>
              </w:rPr>
              <w:t>时</w:t>
            </w:r>
            <w:r>
              <w:rPr>
                <w:rStyle w:val="44"/>
                <w:rFonts w:hint="eastAsia" w:cs="宋体"/>
                <w:b w:val="0"/>
                <w:color w:val="auto"/>
                <w:kern w:val="0"/>
                <w:sz w:val="21"/>
                <w:szCs w:val="21"/>
                <w:highlight w:val="none"/>
                <w:lang w:val="en-US" w:eastAsia="zh-CN"/>
              </w:rPr>
              <w:t>00</w:t>
            </w:r>
            <w:r>
              <w:rPr>
                <w:rStyle w:val="44"/>
                <w:rFonts w:hint="eastAsia" w:ascii="宋体" w:hAnsi="宋体" w:eastAsia="宋体" w:cs="宋体"/>
                <w:b w:val="0"/>
                <w:color w:val="auto"/>
                <w:kern w:val="0"/>
                <w:sz w:val="21"/>
                <w:szCs w:val="21"/>
                <w:highlight w:val="none"/>
              </w:rPr>
              <w:t>分</w:t>
            </w:r>
          </w:p>
          <w:p w14:paraId="2E4F2EFF">
            <w:pPr>
              <w:pStyle w:val="36"/>
              <w:keepNext w:val="0"/>
              <w:keepLines w:val="0"/>
              <w:pageBreakBefore w:val="0"/>
              <w:numPr>
                <w:ilvl w:val="0"/>
                <w:numId w:val="0"/>
              </w:numPr>
              <w:kinsoku/>
              <w:topLinePunct w:val="0"/>
              <w:bidi w:val="0"/>
              <w:adjustRightInd/>
              <w:spacing w:line="360" w:lineRule="auto"/>
              <w:textAlignment w:val="auto"/>
              <w:rPr>
                <w:rStyle w:val="44"/>
                <w:rFonts w:hint="eastAsia" w:ascii="宋体" w:hAnsi="宋体" w:eastAsia="宋体" w:cs="宋体"/>
                <w:b w:val="0"/>
                <w:color w:val="auto"/>
                <w:kern w:val="0"/>
                <w:sz w:val="21"/>
                <w:szCs w:val="21"/>
                <w:highlight w:val="none"/>
                <w:lang w:val="en-US" w:eastAsia="zh-CN"/>
              </w:rPr>
            </w:pPr>
            <w:r>
              <w:rPr>
                <w:rStyle w:val="44"/>
                <w:rFonts w:hint="eastAsia" w:ascii="宋体" w:hAnsi="宋体" w:eastAsia="宋体" w:cs="宋体"/>
                <w:b w:val="0"/>
                <w:color w:val="auto"/>
                <w:kern w:val="0"/>
                <w:sz w:val="21"/>
                <w:szCs w:val="21"/>
                <w:highlight w:val="none"/>
              </w:rPr>
              <w:t>递交</w:t>
            </w:r>
            <w:r>
              <w:rPr>
                <w:rStyle w:val="44"/>
                <w:rFonts w:hint="eastAsia" w:ascii="宋体" w:hAnsi="宋体" w:eastAsia="宋体" w:cs="宋体"/>
                <w:b w:val="0"/>
                <w:color w:val="auto"/>
                <w:kern w:val="0"/>
                <w:sz w:val="21"/>
                <w:szCs w:val="21"/>
                <w:highlight w:val="none"/>
                <w:lang w:val="en-US" w:eastAsia="zh-CN"/>
              </w:rPr>
              <w:t>投标</w:t>
            </w:r>
            <w:r>
              <w:rPr>
                <w:rStyle w:val="44"/>
                <w:rFonts w:hint="eastAsia" w:ascii="宋体" w:hAnsi="宋体" w:eastAsia="宋体" w:cs="宋体"/>
                <w:b w:val="0"/>
                <w:color w:val="auto"/>
                <w:kern w:val="0"/>
                <w:sz w:val="21"/>
                <w:szCs w:val="21"/>
                <w:highlight w:val="none"/>
              </w:rPr>
              <w:t>文件时间：202</w:t>
            </w:r>
            <w:r>
              <w:rPr>
                <w:rStyle w:val="44"/>
                <w:rFonts w:hint="eastAsia" w:ascii="宋体" w:hAnsi="宋体" w:eastAsia="宋体" w:cs="宋体"/>
                <w:b w:val="0"/>
                <w:color w:val="auto"/>
                <w:kern w:val="0"/>
                <w:sz w:val="21"/>
                <w:szCs w:val="21"/>
                <w:highlight w:val="none"/>
                <w:lang w:val="en-US" w:eastAsia="zh-CN"/>
              </w:rPr>
              <w:t>6</w:t>
            </w:r>
            <w:r>
              <w:rPr>
                <w:rStyle w:val="44"/>
                <w:rFonts w:hint="eastAsia" w:ascii="宋体" w:hAnsi="宋体" w:eastAsia="宋体" w:cs="宋体"/>
                <w:b w:val="0"/>
                <w:color w:val="auto"/>
                <w:kern w:val="0"/>
                <w:sz w:val="21"/>
                <w:szCs w:val="21"/>
                <w:highlight w:val="none"/>
              </w:rPr>
              <w:t>年</w:t>
            </w:r>
            <w:r>
              <w:rPr>
                <w:rStyle w:val="44"/>
                <w:rFonts w:hint="eastAsia" w:cs="宋体"/>
                <w:b w:val="0"/>
                <w:color w:val="auto"/>
                <w:kern w:val="0"/>
                <w:sz w:val="21"/>
                <w:szCs w:val="21"/>
                <w:highlight w:val="none"/>
                <w:lang w:val="en-US" w:eastAsia="zh-CN"/>
              </w:rPr>
              <w:t>11</w:t>
            </w:r>
            <w:r>
              <w:rPr>
                <w:rStyle w:val="44"/>
                <w:rFonts w:hint="eastAsia" w:ascii="宋体" w:hAnsi="宋体" w:eastAsia="宋体" w:cs="宋体"/>
                <w:b w:val="0"/>
                <w:color w:val="auto"/>
                <w:kern w:val="0"/>
                <w:sz w:val="21"/>
                <w:szCs w:val="21"/>
                <w:highlight w:val="none"/>
              </w:rPr>
              <w:t>月</w:t>
            </w:r>
            <w:r>
              <w:rPr>
                <w:rStyle w:val="44"/>
                <w:rFonts w:hint="eastAsia" w:cs="宋体"/>
                <w:b w:val="0"/>
                <w:color w:val="auto"/>
                <w:kern w:val="0"/>
                <w:sz w:val="21"/>
                <w:szCs w:val="21"/>
                <w:highlight w:val="none"/>
                <w:lang w:val="en-US" w:eastAsia="zh-CN"/>
              </w:rPr>
              <w:t>12</w:t>
            </w:r>
            <w:r>
              <w:rPr>
                <w:rStyle w:val="44"/>
                <w:rFonts w:hint="eastAsia" w:ascii="宋体" w:hAnsi="宋体" w:eastAsia="宋体" w:cs="宋体"/>
                <w:b w:val="0"/>
                <w:color w:val="auto"/>
                <w:kern w:val="0"/>
                <w:sz w:val="21"/>
                <w:szCs w:val="21"/>
                <w:highlight w:val="none"/>
              </w:rPr>
              <w:t>日</w:t>
            </w:r>
            <w:r>
              <w:rPr>
                <w:rStyle w:val="44"/>
                <w:rFonts w:hint="eastAsia" w:cs="宋体"/>
                <w:b w:val="0"/>
                <w:color w:val="auto"/>
                <w:kern w:val="0"/>
                <w:sz w:val="21"/>
                <w:szCs w:val="21"/>
                <w:highlight w:val="none"/>
                <w:lang w:val="en-US" w:eastAsia="zh-CN"/>
              </w:rPr>
              <w:t>15</w:t>
            </w:r>
            <w:r>
              <w:rPr>
                <w:rStyle w:val="44"/>
                <w:rFonts w:hint="eastAsia" w:ascii="宋体" w:hAnsi="宋体" w:eastAsia="宋体" w:cs="宋体"/>
                <w:b w:val="0"/>
                <w:color w:val="auto"/>
                <w:kern w:val="0"/>
                <w:sz w:val="21"/>
                <w:szCs w:val="21"/>
                <w:highlight w:val="none"/>
              </w:rPr>
              <w:t>：</w:t>
            </w:r>
            <w:r>
              <w:rPr>
                <w:rStyle w:val="44"/>
                <w:rFonts w:hint="eastAsia" w:cs="宋体"/>
                <w:b w:val="0"/>
                <w:color w:val="auto"/>
                <w:kern w:val="0"/>
                <w:sz w:val="21"/>
                <w:szCs w:val="21"/>
                <w:highlight w:val="none"/>
                <w:lang w:val="en-US" w:eastAsia="zh-CN"/>
              </w:rPr>
              <w:t>3</w:t>
            </w:r>
            <w:r>
              <w:rPr>
                <w:rStyle w:val="44"/>
                <w:rFonts w:hint="eastAsia" w:ascii="宋体" w:hAnsi="宋体" w:eastAsia="宋体" w:cs="宋体"/>
                <w:b w:val="0"/>
                <w:color w:val="auto"/>
                <w:kern w:val="0"/>
                <w:sz w:val="21"/>
                <w:szCs w:val="21"/>
                <w:highlight w:val="none"/>
                <w:lang w:val="en-US" w:eastAsia="zh-CN"/>
              </w:rPr>
              <w:t>0</w:t>
            </w:r>
            <w:r>
              <w:rPr>
                <w:rStyle w:val="44"/>
                <w:rFonts w:hint="eastAsia" w:ascii="宋体" w:hAnsi="宋体" w:eastAsia="宋体" w:cs="宋体"/>
                <w:b w:val="0"/>
                <w:color w:val="auto"/>
                <w:kern w:val="0"/>
                <w:sz w:val="21"/>
                <w:szCs w:val="21"/>
                <w:highlight w:val="none"/>
              </w:rPr>
              <w:t>～</w:t>
            </w:r>
            <w:r>
              <w:rPr>
                <w:rStyle w:val="44"/>
                <w:rFonts w:hint="eastAsia" w:cs="宋体"/>
                <w:b w:val="0"/>
                <w:color w:val="auto"/>
                <w:kern w:val="0"/>
                <w:sz w:val="21"/>
                <w:szCs w:val="21"/>
                <w:highlight w:val="none"/>
                <w:lang w:val="en-US" w:eastAsia="zh-CN"/>
              </w:rPr>
              <w:t>16</w:t>
            </w:r>
            <w:r>
              <w:rPr>
                <w:rStyle w:val="44"/>
                <w:rFonts w:hint="eastAsia" w:ascii="宋体" w:hAnsi="宋体" w:eastAsia="宋体" w:cs="宋体"/>
                <w:b w:val="0"/>
                <w:color w:val="auto"/>
                <w:kern w:val="0"/>
                <w:sz w:val="21"/>
                <w:szCs w:val="21"/>
                <w:highlight w:val="none"/>
              </w:rPr>
              <w:t>：</w:t>
            </w:r>
            <w:r>
              <w:rPr>
                <w:rStyle w:val="44"/>
                <w:rFonts w:hint="eastAsia" w:ascii="宋体" w:hAnsi="宋体" w:eastAsia="宋体" w:cs="宋体"/>
                <w:b w:val="0"/>
                <w:color w:val="auto"/>
                <w:kern w:val="0"/>
                <w:sz w:val="21"/>
                <w:szCs w:val="21"/>
                <w:highlight w:val="none"/>
                <w:lang w:val="en-US" w:eastAsia="zh-CN"/>
              </w:rPr>
              <w:t>00</w:t>
            </w:r>
          </w:p>
          <w:p w14:paraId="181D89EC">
            <w:pPr>
              <w:spacing w:line="288" w:lineRule="auto"/>
              <w:rPr>
                <w:rFonts w:hint="eastAsia" w:ascii="宋体" w:hAnsi="宋体" w:eastAsia="宋体" w:cs="宋体"/>
                <w:color w:val="auto"/>
                <w:sz w:val="21"/>
                <w:szCs w:val="21"/>
                <w:highlight w:val="none"/>
              </w:rPr>
            </w:pPr>
            <w:r>
              <w:rPr>
                <w:rStyle w:val="44"/>
                <w:rFonts w:hint="eastAsia" w:ascii="宋体" w:hAnsi="宋体" w:eastAsia="宋体" w:cs="宋体"/>
                <w:b w:val="0"/>
                <w:color w:val="auto"/>
                <w:kern w:val="0"/>
                <w:sz w:val="21"/>
                <w:szCs w:val="21"/>
                <w:highlight w:val="none"/>
              </w:rPr>
              <w:t>②电子响应文件递交方式及时间：202</w:t>
            </w:r>
            <w:r>
              <w:rPr>
                <w:rStyle w:val="44"/>
                <w:rFonts w:hint="eastAsia" w:ascii="宋体" w:hAnsi="宋体" w:eastAsia="宋体" w:cs="宋体"/>
                <w:b w:val="0"/>
                <w:color w:val="auto"/>
                <w:kern w:val="0"/>
                <w:sz w:val="21"/>
                <w:szCs w:val="21"/>
                <w:highlight w:val="none"/>
                <w:lang w:val="en-US" w:eastAsia="zh-CN"/>
              </w:rPr>
              <w:t>6</w:t>
            </w:r>
            <w:r>
              <w:rPr>
                <w:rStyle w:val="44"/>
                <w:rFonts w:hint="eastAsia" w:ascii="宋体" w:hAnsi="宋体" w:eastAsia="宋体" w:cs="宋体"/>
                <w:b w:val="0"/>
                <w:color w:val="auto"/>
                <w:kern w:val="0"/>
                <w:sz w:val="21"/>
                <w:szCs w:val="21"/>
                <w:highlight w:val="none"/>
              </w:rPr>
              <w:t>年</w:t>
            </w:r>
            <w:r>
              <w:rPr>
                <w:rStyle w:val="44"/>
                <w:rFonts w:hint="eastAsia" w:ascii="宋体" w:hAnsi="宋体" w:cs="宋体"/>
                <w:b w:val="0"/>
                <w:color w:val="auto"/>
                <w:kern w:val="0"/>
                <w:sz w:val="21"/>
                <w:szCs w:val="21"/>
                <w:highlight w:val="none"/>
                <w:lang w:val="en-US" w:eastAsia="zh-CN"/>
              </w:rPr>
              <w:t>11</w:t>
            </w:r>
            <w:r>
              <w:rPr>
                <w:rStyle w:val="44"/>
                <w:rFonts w:hint="eastAsia" w:ascii="宋体" w:hAnsi="宋体" w:eastAsia="宋体" w:cs="宋体"/>
                <w:b w:val="0"/>
                <w:color w:val="auto"/>
                <w:kern w:val="0"/>
                <w:sz w:val="21"/>
                <w:szCs w:val="21"/>
                <w:highlight w:val="none"/>
              </w:rPr>
              <w:t>月</w:t>
            </w:r>
            <w:r>
              <w:rPr>
                <w:rStyle w:val="44"/>
                <w:rFonts w:hint="eastAsia" w:ascii="宋体" w:hAnsi="宋体" w:cs="宋体"/>
                <w:b w:val="0"/>
                <w:color w:val="auto"/>
                <w:kern w:val="0"/>
                <w:sz w:val="21"/>
                <w:szCs w:val="21"/>
                <w:highlight w:val="none"/>
                <w:lang w:val="en-US" w:eastAsia="zh-CN"/>
              </w:rPr>
              <w:t>12</w:t>
            </w:r>
            <w:r>
              <w:rPr>
                <w:rStyle w:val="44"/>
                <w:rFonts w:hint="eastAsia" w:ascii="宋体" w:hAnsi="宋体" w:eastAsia="宋体" w:cs="宋体"/>
                <w:b w:val="0"/>
                <w:color w:val="auto"/>
                <w:kern w:val="0"/>
                <w:sz w:val="21"/>
                <w:szCs w:val="21"/>
                <w:highlight w:val="none"/>
              </w:rPr>
              <w:t>日</w:t>
            </w:r>
            <w:r>
              <w:rPr>
                <w:rStyle w:val="44"/>
                <w:rFonts w:hint="eastAsia" w:ascii="宋体" w:hAnsi="宋体" w:cs="宋体"/>
                <w:b w:val="0"/>
                <w:color w:val="auto"/>
                <w:kern w:val="0"/>
                <w:sz w:val="21"/>
                <w:szCs w:val="21"/>
                <w:highlight w:val="none"/>
                <w:lang w:val="en-US" w:eastAsia="zh-CN"/>
              </w:rPr>
              <w:t>15</w:t>
            </w:r>
            <w:r>
              <w:rPr>
                <w:rStyle w:val="44"/>
                <w:rFonts w:hint="eastAsia" w:ascii="宋体" w:hAnsi="宋体" w:eastAsia="宋体" w:cs="宋体"/>
                <w:b w:val="0"/>
                <w:color w:val="auto"/>
                <w:kern w:val="0"/>
                <w:sz w:val="21"/>
                <w:szCs w:val="21"/>
                <w:highlight w:val="none"/>
              </w:rPr>
              <w:t>：</w:t>
            </w:r>
            <w:r>
              <w:rPr>
                <w:rStyle w:val="44"/>
                <w:rFonts w:hint="eastAsia" w:ascii="宋体" w:hAnsi="宋体" w:cs="宋体"/>
                <w:b w:val="0"/>
                <w:color w:val="auto"/>
                <w:kern w:val="0"/>
                <w:sz w:val="21"/>
                <w:szCs w:val="21"/>
                <w:highlight w:val="none"/>
                <w:lang w:val="en-US" w:eastAsia="zh-CN"/>
              </w:rPr>
              <w:t>30</w:t>
            </w:r>
            <w:r>
              <w:rPr>
                <w:rStyle w:val="44"/>
                <w:rFonts w:hint="eastAsia" w:ascii="宋体" w:hAnsi="宋体" w:eastAsia="宋体" w:cs="宋体"/>
                <w:b w:val="0"/>
                <w:color w:val="auto"/>
                <w:kern w:val="0"/>
                <w:sz w:val="21"/>
                <w:szCs w:val="21"/>
                <w:highlight w:val="none"/>
              </w:rPr>
              <w:t>～</w:t>
            </w:r>
            <w:r>
              <w:rPr>
                <w:rStyle w:val="44"/>
                <w:rFonts w:hint="eastAsia" w:ascii="宋体" w:hAnsi="宋体" w:cs="宋体"/>
                <w:b w:val="0"/>
                <w:color w:val="auto"/>
                <w:kern w:val="0"/>
                <w:sz w:val="21"/>
                <w:szCs w:val="21"/>
                <w:highlight w:val="none"/>
                <w:lang w:val="en-US" w:eastAsia="zh-CN"/>
              </w:rPr>
              <w:t>16</w:t>
            </w:r>
            <w:r>
              <w:rPr>
                <w:rStyle w:val="44"/>
                <w:rFonts w:hint="eastAsia" w:ascii="宋体" w:hAnsi="宋体" w:eastAsia="宋体" w:cs="宋体"/>
                <w:b w:val="0"/>
                <w:color w:val="auto"/>
                <w:kern w:val="0"/>
                <w:sz w:val="21"/>
                <w:szCs w:val="21"/>
                <w:highlight w:val="none"/>
              </w:rPr>
              <w:t>：</w:t>
            </w:r>
            <w:r>
              <w:rPr>
                <w:rStyle w:val="44"/>
                <w:rFonts w:hint="eastAsia" w:ascii="宋体" w:hAnsi="宋体" w:cs="宋体"/>
                <w:b w:val="0"/>
                <w:color w:val="auto"/>
                <w:kern w:val="0"/>
                <w:sz w:val="21"/>
                <w:szCs w:val="21"/>
                <w:highlight w:val="none"/>
                <w:lang w:val="en-US" w:eastAsia="zh-CN"/>
              </w:rPr>
              <w:t>00</w:t>
            </w:r>
            <w:r>
              <w:rPr>
                <w:rStyle w:val="44"/>
                <w:rFonts w:hint="eastAsia" w:ascii="宋体" w:hAnsi="宋体" w:eastAsia="宋体" w:cs="宋体"/>
                <w:b w:val="0"/>
                <w:color w:val="auto"/>
                <w:kern w:val="0"/>
                <w:sz w:val="21"/>
                <w:szCs w:val="21"/>
                <w:highlight w:val="none"/>
              </w:rPr>
              <w:t>将各自加密电子版</w:t>
            </w:r>
            <w:r>
              <w:rPr>
                <w:rStyle w:val="44"/>
                <w:rFonts w:hint="eastAsia" w:ascii="宋体" w:hAnsi="宋体" w:eastAsia="宋体" w:cs="宋体"/>
                <w:b w:val="0"/>
                <w:color w:val="auto"/>
                <w:kern w:val="0"/>
                <w:sz w:val="21"/>
                <w:szCs w:val="21"/>
                <w:highlight w:val="none"/>
                <w:lang w:val="en-US" w:eastAsia="zh-CN"/>
              </w:rPr>
              <w:t>投标</w:t>
            </w:r>
            <w:r>
              <w:rPr>
                <w:rStyle w:val="44"/>
                <w:rFonts w:hint="eastAsia" w:ascii="宋体" w:hAnsi="宋体" w:eastAsia="宋体" w:cs="宋体"/>
                <w:b w:val="0"/>
                <w:color w:val="auto"/>
                <w:kern w:val="0"/>
                <w:sz w:val="21"/>
                <w:szCs w:val="21"/>
                <w:highlight w:val="none"/>
              </w:rPr>
              <w:t>文件压缩包（加密要求：只能对压缩包进行加密，不得再对压缩包内的任何文件进行加密）发至XJHYGSZB@163.com邮箱，如未按要求时间提前或逾期发至指定邮箱的，不予接收其响应文件。各投标人须在递交</w:t>
            </w:r>
            <w:r>
              <w:rPr>
                <w:rStyle w:val="44"/>
                <w:rFonts w:hint="eastAsia" w:ascii="宋体" w:hAnsi="宋体" w:eastAsia="宋体" w:cs="宋体"/>
                <w:b w:val="0"/>
                <w:color w:val="auto"/>
                <w:kern w:val="0"/>
                <w:sz w:val="21"/>
                <w:szCs w:val="21"/>
                <w:highlight w:val="none"/>
                <w:lang w:val="en-US" w:eastAsia="zh-CN"/>
              </w:rPr>
              <w:t>投标</w:t>
            </w:r>
            <w:r>
              <w:rPr>
                <w:rStyle w:val="44"/>
                <w:rFonts w:hint="eastAsia" w:ascii="宋体" w:hAnsi="宋体" w:eastAsia="宋体" w:cs="宋体"/>
                <w:b w:val="0"/>
                <w:color w:val="auto"/>
                <w:kern w:val="0"/>
                <w:sz w:val="21"/>
                <w:szCs w:val="21"/>
                <w:highlight w:val="none"/>
              </w:rPr>
              <w:t>文件截止时间后15分钟内（202</w:t>
            </w:r>
            <w:r>
              <w:rPr>
                <w:rStyle w:val="44"/>
                <w:rFonts w:hint="eastAsia" w:ascii="宋体" w:hAnsi="宋体" w:eastAsia="宋体" w:cs="宋体"/>
                <w:b w:val="0"/>
                <w:color w:val="auto"/>
                <w:kern w:val="0"/>
                <w:sz w:val="21"/>
                <w:szCs w:val="21"/>
                <w:highlight w:val="none"/>
                <w:lang w:val="en-US" w:eastAsia="zh-CN"/>
              </w:rPr>
              <w:t>6</w:t>
            </w:r>
            <w:r>
              <w:rPr>
                <w:rStyle w:val="44"/>
                <w:rFonts w:hint="eastAsia" w:ascii="宋体" w:hAnsi="宋体" w:eastAsia="宋体" w:cs="宋体"/>
                <w:b w:val="0"/>
                <w:color w:val="auto"/>
                <w:kern w:val="0"/>
                <w:sz w:val="21"/>
                <w:szCs w:val="21"/>
                <w:highlight w:val="none"/>
              </w:rPr>
              <w:t>年</w:t>
            </w:r>
            <w:r>
              <w:rPr>
                <w:rStyle w:val="44"/>
                <w:rFonts w:hint="eastAsia" w:ascii="宋体" w:hAnsi="宋体" w:cs="宋体"/>
                <w:b w:val="0"/>
                <w:color w:val="auto"/>
                <w:kern w:val="0"/>
                <w:sz w:val="21"/>
                <w:szCs w:val="21"/>
                <w:highlight w:val="none"/>
                <w:lang w:val="en-US" w:eastAsia="zh-CN"/>
              </w:rPr>
              <w:t>11</w:t>
            </w:r>
            <w:r>
              <w:rPr>
                <w:rStyle w:val="44"/>
                <w:rFonts w:hint="eastAsia" w:ascii="宋体" w:hAnsi="宋体" w:eastAsia="宋体" w:cs="宋体"/>
                <w:b w:val="0"/>
                <w:color w:val="auto"/>
                <w:kern w:val="0"/>
                <w:sz w:val="21"/>
                <w:szCs w:val="21"/>
                <w:highlight w:val="none"/>
              </w:rPr>
              <w:t>月</w:t>
            </w:r>
            <w:r>
              <w:rPr>
                <w:rStyle w:val="44"/>
                <w:rFonts w:hint="eastAsia" w:ascii="宋体" w:hAnsi="宋体" w:cs="宋体"/>
                <w:b w:val="0"/>
                <w:color w:val="auto"/>
                <w:kern w:val="0"/>
                <w:sz w:val="21"/>
                <w:szCs w:val="21"/>
                <w:highlight w:val="none"/>
                <w:lang w:val="en-US" w:eastAsia="zh-CN"/>
              </w:rPr>
              <w:t>12</w:t>
            </w:r>
            <w:r>
              <w:rPr>
                <w:rStyle w:val="44"/>
                <w:rFonts w:hint="eastAsia" w:ascii="宋体" w:hAnsi="宋体" w:eastAsia="宋体" w:cs="宋体"/>
                <w:b w:val="0"/>
                <w:color w:val="auto"/>
                <w:kern w:val="0"/>
                <w:sz w:val="21"/>
                <w:szCs w:val="21"/>
                <w:highlight w:val="none"/>
              </w:rPr>
              <w:t>日</w:t>
            </w:r>
            <w:r>
              <w:rPr>
                <w:rStyle w:val="44"/>
                <w:rFonts w:hint="eastAsia" w:ascii="宋体" w:hAnsi="宋体" w:cs="宋体"/>
                <w:b w:val="0"/>
                <w:color w:val="auto"/>
                <w:kern w:val="0"/>
                <w:sz w:val="21"/>
                <w:szCs w:val="21"/>
                <w:highlight w:val="none"/>
                <w:lang w:val="en-US" w:eastAsia="zh-CN"/>
              </w:rPr>
              <w:t>16</w:t>
            </w:r>
            <w:r>
              <w:rPr>
                <w:rStyle w:val="44"/>
                <w:rFonts w:hint="eastAsia" w:ascii="宋体" w:hAnsi="宋体" w:eastAsia="宋体" w:cs="宋体"/>
                <w:b w:val="0"/>
                <w:color w:val="auto"/>
                <w:kern w:val="0"/>
                <w:sz w:val="21"/>
                <w:szCs w:val="21"/>
                <w:highlight w:val="none"/>
              </w:rPr>
              <w:t>：</w:t>
            </w:r>
            <w:r>
              <w:rPr>
                <w:rStyle w:val="44"/>
                <w:rFonts w:hint="eastAsia" w:ascii="宋体" w:hAnsi="宋体" w:eastAsia="宋体" w:cs="宋体"/>
                <w:b w:val="0"/>
                <w:color w:val="auto"/>
                <w:kern w:val="0"/>
                <w:sz w:val="21"/>
                <w:szCs w:val="21"/>
                <w:highlight w:val="none"/>
                <w:lang w:val="en-US" w:eastAsia="zh-CN"/>
              </w:rPr>
              <w:t>00</w:t>
            </w:r>
            <w:r>
              <w:rPr>
                <w:rStyle w:val="44"/>
                <w:rFonts w:hint="eastAsia" w:ascii="宋体" w:hAnsi="宋体" w:eastAsia="宋体" w:cs="宋体"/>
                <w:b w:val="0"/>
                <w:color w:val="auto"/>
                <w:kern w:val="0"/>
                <w:sz w:val="21"/>
                <w:szCs w:val="21"/>
                <w:highlight w:val="none"/>
              </w:rPr>
              <w:t>～</w:t>
            </w:r>
            <w:r>
              <w:rPr>
                <w:rStyle w:val="44"/>
                <w:rFonts w:hint="eastAsia" w:ascii="宋体" w:hAnsi="宋体" w:cs="宋体"/>
                <w:b w:val="0"/>
                <w:color w:val="auto"/>
                <w:kern w:val="0"/>
                <w:sz w:val="21"/>
                <w:szCs w:val="21"/>
                <w:highlight w:val="none"/>
                <w:lang w:val="en-US" w:eastAsia="zh-CN"/>
              </w:rPr>
              <w:t>16</w:t>
            </w:r>
            <w:r>
              <w:rPr>
                <w:rStyle w:val="44"/>
                <w:rFonts w:hint="eastAsia" w:ascii="宋体" w:hAnsi="宋体" w:eastAsia="宋体" w:cs="宋体"/>
                <w:b w:val="0"/>
                <w:color w:val="auto"/>
                <w:kern w:val="0"/>
                <w:sz w:val="21"/>
                <w:szCs w:val="21"/>
                <w:highlight w:val="none"/>
              </w:rPr>
              <w:t>：</w:t>
            </w:r>
            <w:r>
              <w:rPr>
                <w:rStyle w:val="44"/>
                <w:rFonts w:hint="eastAsia" w:ascii="宋体" w:hAnsi="宋体" w:eastAsia="宋体" w:cs="宋体"/>
                <w:b w:val="0"/>
                <w:color w:val="auto"/>
                <w:kern w:val="0"/>
                <w:sz w:val="21"/>
                <w:szCs w:val="21"/>
                <w:highlight w:val="none"/>
                <w:lang w:val="en-US" w:eastAsia="zh-CN"/>
              </w:rPr>
              <w:t>15</w:t>
            </w:r>
            <w:r>
              <w:rPr>
                <w:rStyle w:val="44"/>
                <w:rFonts w:hint="eastAsia" w:ascii="宋体" w:hAnsi="宋体" w:cs="宋体"/>
                <w:b w:val="0"/>
                <w:color w:val="auto"/>
                <w:kern w:val="0"/>
                <w:sz w:val="21"/>
                <w:szCs w:val="21"/>
                <w:highlight w:val="none"/>
                <w:lang w:val="en-US" w:eastAsia="zh-CN"/>
              </w:rPr>
              <w:t>）将密码</w:t>
            </w:r>
            <w:r>
              <w:rPr>
                <w:rStyle w:val="44"/>
                <w:rFonts w:hint="eastAsia" w:ascii="宋体" w:hAnsi="宋体" w:eastAsia="宋体" w:cs="宋体"/>
                <w:b w:val="0"/>
                <w:color w:val="auto"/>
                <w:kern w:val="0"/>
                <w:sz w:val="21"/>
                <w:szCs w:val="21"/>
                <w:highlight w:val="none"/>
              </w:rPr>
              <w:t>发至XJHYGSZB@163.com邮箱，如未按要求发至指定邮箱的，视为其递交的</w:t>
            </w:r>
            <w:r>
              <w:rPr>
                <w:rStyle w:val="44"/>
                <w:rFonts w:hint="eastAsia" w:ascii="宋体" w:hAnsi="宋体" w:eastAsia="宋体" w:cs="宋体"/>
                <w:b w:val="0"/>
                <w:color w:val="auto"/>
                <w:kern w:val="0"/>
                <w:sz w:val="21"/>
                <w:szCs w:val="21"/>
                <w:highlight w:val="none"/>
                <w:lang w:val="en-US" w:eastAsia="zh-CN"/>
              </w:rPr>
              <w:t>投标</w:t>
            </w:r>
            <w:r>
              <w:rPr>
                <w:rStyle w:val="44"/>
                <w:rFonts w:hint="eastAsia" w:ascii="宋体" w:hAnsi="宋体" w:eastAsia="宋体" w:cs="宋体"/>
                <w:b w:val="0"/>
                <w:color w:val="auto"/>
                <w:kern w:val="0"/>
                <w:sz w:val="21"/>
                <w:szCs w:val="21"/>
                <w:highlight w:val="none"/>
              </w:rPr>
              <w:t>文件为无效响应文件，不予接收。邮件名称必须为</w:t>
            </w:r>
            <w:r>
              <w:rPr>
                <w:rStyle w:val="44"/>
                <w:rFonts w:hint="eastAsia" w:ascii="宋体" w:hAnsi="宋体" w:eastAsia="宋体" w:cs="宋体"/>
                <w:b w:val="0"/>
                <w:color w:val="auto"/>
                <w:kern w:val="0"/>
                <w:sz w:val="21"/>
                <w:szCs w:val="21"/>
                <w:highlight w:val="none"/>
                <w:lang w:val="en-US" w:eastAsia="zh-CN"/>
              </w:rPr>
              <w:t>项目名称+</w:t>
            </w:r>
            <w:r>
              <w:rPr>
                <w:rStyle w:val="44"/>
                <w:rFonts w:hint="eastAsia" w:ascii="宋体" w:hAnsi="宋体" w:eastAsia="宋体" w:cs="宋体"/>
                <w:b w:val="0"/>
                <w:color w:val="auto"/>
                <w:kern w:val="0"/>
                <w:sz w:val="21"/>
                <w:szCs w:val="21"/>
                <w:highlight w:val="none"/>
              </w:rPr>
              <w:t>投标单位名称</w:t>
            </w:r>
          </w:p>
        </w:tc>
      </w:tr>
      <w:tr w14:paraId="4ACD59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E71249F">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lang w:val="en-US" w:eastAsia="zh-CN"/>
              </w:rPr>
              <w:t>19</w:t>
            </w:r>
          </w:p>
        </w:tc>
        <w:tc>
          <w:tcPr>
            <w:tcW w:w="1695" w:type="dxa"/>
            <w:tcBorders>
              <w:top w:val="single" w:color="auto" w:sz="4" w:space="0"/>
              <w:left w:val="single" w:color="auto" w:sz="4" w:space="0"/>
              <w:bottom w:val="single" w:color="auto" w:sz="4" w:space="0"/>
              <w:right w:val="single" w:color="auto" w:sz="4" w:space="0"/>
            </w:tcBorders>
            <w:vAlign w:val="center"/>
          </w:tcPr>
          <w:p w14:paraId="7BE5EB71">
            <w:pPr>
              <w:spacing w:line="288" w:lineRule="auto"/>
              <w:jc w:val="center"/>
              <w:rPr>
                <w:rFonts w:hAnsi="宋体" w:cs="Arial"/>
                <w:bCs/>
                <w:color w:val="auto"/>
                <w:highlight w:val="none"/>
              </w:rPr>
            </w:pPr>
            <w:r>
              <w:rPr>
                <w:rFonts w:hint="eastAsia" w:hAnsi="宋体" w:cs="Arial"/>
                <w:bCs/>
                <w:color w:val="auto"/>
                <w:highlight w:val="none"/>
              </w:rPr>
              <w:t>开标时间</w:t>
            </w:r>
          </w:p>
          <w:p w14:paraId="7EB34BBD">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14:paraId="08055D7A">
            <w:pPr>
              <w:spacing w:line="288" w:lineRule="auto"/>
              <w:rPr>
                <w:rFonts w:hint="eastAsia"/>
                <w:color w:val="auto"/>
                <w:highlight w:val="none"/>
              </w:rPr>
            </w:pPr>
            <w:r>
              <w:rPr>
                <w:rFonts w:hint="eastAsia"/>
                <w:color w:val="auto"/>
                <w:highlight w:val="none"/>
              </w:rPr>
              <w:t>开标时间：</w:t>
            </w:r>
            <w:r>
              <w:rPr>
                <w:rFonts w:hint="eastAsia"/>
                <w:color w:val="auto"/>
                <w:highlight w:val="none"/>
                <w:lang w:val="en-US" w:eastAsia="zh-CN"/>
              </w:rPr>
              <w:t>2026</w:t>
            </w:r>
            <w:r>
              <w:rPr>
                <w:rFonts w:hint="eastAsia"/>
                <w:color w:val="auto"/>
                <w:highlight w:val="none"/>
              </w:rPr>
              <w:t>年</w:t>
            </w:r>
            <w:r>
              <w:rPr>
                <w:rFonts w:hint="eastAsia"/>
                <w:color w:val="auto"/>
                <w:highlight w:val="none"/>
                <w:lang w:val="en-US" w:eastAsia="zh-CN"/>
              </w:rPr>
              <w:t>11</w:t>
            </w:r>
            <w:r>
              <w:rPr>
                <w:rFonts w:hint="eastAsia"/>
                <w:color w:val="auto"/>
                <w:highlight w:val="none"/>
              </w:rPr>
              <w:t>月</w:t>
            </w:r>
            <w:r>
              <w:rPr>
                <w:rFonts w:hint="eastAsia"/>
                <w:color w:val="auto"/>
                <w:highlight w:val="none"/>
                <w:lang w:val="en-US" w:eastAsia="zh-CN"/>
              </w:rPr>
              <w:t>12</w:t>
            </w:r>
            <w:r>
              <w:rPr>
                <w:rFonts w:hint="eastAsia"/>
                <w:color w:val="auto"/>
                <w:highlight w:val="none"/>
              </w:rPr>
              <w:t>日</w:t>
            </w:r>
            <w:r>
              <w:rPr>
                <w:rFonts w:hint="eastAsia"/>
                <w:color w:val="auto"/>
                <w:highlight w:val="none"/>
                <w:lang w:val="en-US" w:eastAsia="zh-CN"/>
              </w:rPr>
              <w:t>16</w:t>
            </w:r>
            <w:r>
              <w:rPr>
                <w:rFonts w:hint="eastAsia"/>
                <w:color w:val="auto"/>
                <w:highlight w:val="none"/>
              </w:rPr>
              <w:t>点</w:t>
            </w:r>
            <w:r>
              <w:rPr>
                <w:rFonts w:hint="eastAsia"/>
                <w:color w:val="auto"/>
                <w:highlight w:val="none"/>
                <w:lang w:val="en-US" w:eastAsia="zh-CN"/>
              </w:rPr>
              <w:t>00</w:t>
            </w:r>
            <w:r>
              <w:rPr>
                <w:rFonts w:hint="eastAsia"/>
                <w:color w:val="auto"/>
                <w:highlight w:val="none"/>
              </w:rPr>
              <w:t>分(北京时间)</w:t>
            </w:r>
          </w:p>
          <w:p w14:paraId="0380C0E0">
            <w:pPr>
              <w:spacing w:line="288" w:lineRule="auto"/>
              <w:rPr>
                <w:rFonts w:hint="eastAsia"/>
                <w:color w:val="auto"/>
                <w:highlight w:val="none"/>
              </w:rPr>
            </w:pPr>
            <w:r>
              <w:rPr>
                <w:rFonts w:hint="eastAsia"/>
                <w:color w:val="auto"/>
                <w:highlight w:val="none"/>
              </w:rPr>
              <w:t>开标地点：克拉玛依市恒隆广场A座4</w:t>
            </w:r>
            <w:r>
              <w:rPr>
                <w:rFonts w:hint="eastAsia"/>
                <w:color w:val="auto"/>
                <w:highlight w:val="none"/>
                <w:lang w:val="en-US" w:eastAsia="zh-CN"/>
              </w:rPr>
              <w:t>12-1</w:t>
            </w:r>
            <w:r>
              <w:rPr>
                <w:rFonts w:hint="eastAsia"/>
                <w:color w:val="auto"/>
                <w:highlight w:val="none"/>
              </w:rPr>
              <w:t>室</w:t>
            </w:r>
          </w:p>
        </w:tc>
      </w:tr>
      <w:tr w14:paraId="26993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C106201">
            <w:pPr>
              <w:spacing w:line="300" w:lineRule="exact"/>
              <w:jc w:val="center"/>
              <w:rPr>
                <w:rFonts w:hint="default" w:ascii="宋体" w:hAnsi="宋体" w:eastAsia="宋体" w:cs="Arial"/>
                <w:bCs/>
                <w:color w:val="auto"/>
                <w:kern w:val="2"/>
                <w:sz w:val="21"/>
                <w:szCs w:val="21"/>
                <w:highlight w:val="none"/>
                <w:lang w:val="en-US" w:eastAsia="zh-CN" w:bidi="ar-SA"/>
              </w:rPr>
            </w:pPr>
            <w:r>
              <w:rPr>
                <w:rFonts w:hint="eastAsia" w:hAnsi="宋体" w:cs="Arial"/>
                <w:bCs/>
                <w:color w:val="auto"/>
                <w:highlight w:val="none"/>
                <w:lang w:val="en-US" w:eastAsia="zh-CN"/>
              </w:rPr>
              <w:t>20</w:t>
            </w:r>
          </w:p>
        </w:tc>
        <w:tc>
          <w:tcPr>
            <w:tcW w:w="1695" w:type="dxa"/>
            <w:tcBorders>
              <w:top w:val="single" w:color="auto" w:sz="4" w:space="0"/>
              <w:left w:val="single" w:color="auto" w:sz="4" w:space="0"/>
              <w:bottom w:val="single" w:color="auto" w:sz="4" w:space="0"/>
              <w:right w:val="single" w:color="auto" w:sz="4" w:space="0"/>
            </w:tcBorders>
            <w:vAlign w:val="center"/>
          </w:tcPr>
          <w:p w14:paraId="6CC184E2">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14:paraId="56CEECB0">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14:paraId="1E5D03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CDB4364">
            <w:pPr>
              <w:spacing w:line="300" w:lineRule="exact"/>
              <w:jc w:val="center"/>
              <w:rPr>
                <w:rFonts w:hint="default" w:ascii="宋体"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1</w:t>
            </w:r>
          </w:p>
        </w:tc>
        <w:tc>
          <w:tcPr>
            <w:tcW w:w="1695" w:type="dxa"/>
            <w:tcBorders>
              <w:top w:val="single" w:color="auto" w:sz="4" w:space="0"/>
              <w:left w:val="single" w:color="auto" w:sz="4" w:space="0"/>
              <w:bottom w:val="single" w:color="auto" w:sz="4" w:space="0"/>
              <w:right w:val="single" w:color="auto" w:sz="4" w:space="0"/>
            </w:tcBorders>
            <w:vAlign w:val="center"/>
          </w:tcPr>
          <w:p w14:paraId="55D2EAD8">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14:paraId="42C05F40">
            <w:pPr>
              <w:pStyle w:val="224"/>
              <w:spacing w:beforeLines="0"/>
              <w:rPr>
                <w:color w:val="auto"/>
                <w:highlight w:val="none"/>
              </w:rPr>
            </w:pPr>
            <w:r>
              <w:rPr>
                <w:rFonts w:hint="eastAsia" w:ascii="宋体" w:hAnsi="宋体" w:eastAsia="宋体" w:cs="宋体"/>
                <w:bCs/>
                <w:color w:val="auto"/>
                <w:sz w:val="21"/>
                <w:szCs w:val="21"/>
                <w:highlight w:val="none"/>
                <w:u w:val="none"/>
              </w:rPr>
              <w:t>合同签订前，中标单位按照中标金额的</w:t>
            </w:r>
            <w:r>
              <w:rPr>
                <w:rFonts w:hint="eastAsia" w:ascii="宋体" w:hAnsi="宋体" w:eastAsia="宋体" w:cs="宋体"/>
                <w:bCs/>
                <w:color w:val="auto"/>
                <w:sz w:val="21"/>
                <w:szCs w:val="21"/>
                <w:highlight w:val="none"/>
                <w:u w:val="none"/>
                <w:lang w:val="en-US" w:eastAsia="zh-CN"/>
              </w:rPr>
              <w:t>0</w:t>
            </w:r>
            <w:r>
              <w:rPr>
                <w:rFonts w:hint="eastAsia" w:ascii="宋体" w:hAnsi="宋体" w:eastAsia="宋体" w:cs="宋体"/>
                <w:bCs/>
                <w:color w:val="auto"/>
                <w:sz w:val="21"/>
                <w:szCs w:val="21"/>
                <w:highlight w:val="none"/>
                <w:u w:val="none"/>
              </w:rPr>
              <w:t>%向甲方足额一次性缴纳履约保证金。中标单位按合同约定交付全部产品，安装调试完毕，书面验收合格一年后（如一个</w:t>
            </w:r>
            <w:r>
              <w:rPr>
                <w:rFonts w:hint="eastAsia" w:ascii="宋体" w:hAnsi="宋体" w:eastAsia="宋体" w:cs="宋体"/>
                <w:bCs/>
                <w:color w:val="auto"/>
                <w:sz w:val="21"/>
                <w:szCs w:val="21"/>
                <w:highlight w:val="none"/>
                <w:u w:val="none"/>
                <w:lang w:val="en-US" w:eastAsia="zh-CN"/>
              </w:rPr>
              <w:t>项目</w:t>
            </w:r>
            <w:r>
              <w:rPr>
                <w:rFonts w:hint="eastAsia" w:ascii="宋体" w:hAnsi="宋体" w:eastAsia="宋体" w:cs="宋体"/>
                <w:bCs/>
                <w:color w:val="auto"/>
                <w:sz w:val="21"/>
                <w:szCs w:val="21"/>
                <w:highlight w:val="none"/>
                <w:u w:val="none"/>
              </w:rPr>
              <w:t>含有多个产品，以最后一个产品书面验收合格时间为起算时间），采购单位无息退还全部履约保证金。</w:t>
            </w:r>
          </w:p>
        </w:tc>
      </w:tr>
      <w:tr w14:paraId="2AD4A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6793348">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2</w:t>
            </w:r>
          </w:p>
        </w:tc>
        <w:tc>
          <w:tcPr>
            <w:tcW w:w="1695" w:type="dxa"/>
            <w:tcBorders>
              <w:top w:val="single" w:color="auto" w:sz="4" w:space="0"/>
              <w:left w:val="single" w:color="auto" w:sz="4" w:space="0"/>
              <w:bottom w:val="single" w:color="auto" w:sz="4" w:space="0"/>
              <w:right w:val="single" w:color="auto" w:sz="4" w:space="0"/>
            </w:tcBorders>
            <w:vAlign w:val="center"/>
          </w:tcPr>
          <w:p w14:paraId="5EEFDE9A">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14:paraId="2C704E09">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14:paraId="6A45D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5F54C81">
            <w:pPr>
              <w:spacing w:line="300" w:lineRule="exact"/>
              <w:jc w:val="center"/>
              <w:rPr>
                <w:rFonts w:hint="eastAsia" w:ascii="Times New Roman"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3</w:t>
            </w:r>
          </w:p>
        </w:tc>
        <w:tc>
          <w:tcPr>
            <w:tcW w:w="1695" w:type="dxa"/>
            <w:tcBorders>
              <w:top w:val="single" w:color="auto" w:sz="4" w:space="0"/>
              <w:left w:val="single" w:color="auto" w:sz="4" w:space="0"/>
              <w:bottom w:val="single" w:color="auto" w:sz="4" w:space="0"/>
              <w:right w:val="single" w:color="auto" w:sz="4" w:space="0"/>
            </w:tcBorders>
            <w:vAlign w:val="center"/>
          </w:tcPr>
          <w:p w14:paraId="58925934">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14:paraId="32178E11">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14:paraId="725190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538A36">
            <w:pPr>
              <w:spacing w:line="300" w:lineRule="exact"/>
              <w:jc w:val="center"/>
              <w:rPr>
                <w:rFonts w:hint="eastAsia" w:ascii="Times New Roman"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4</w:t>
            </w:r>
          </w:p>
        </w:tc>
        <w:tc>
          <w:tcPr>
            <w:tcW w:w="1695" w:type="dxa"/>
            <w:tcBorders>
              <w:top w:val="single" w:color="auto" w:sz="4" w:space="0"/>
              <w:left w:val="single" w:color="auto" w:sz="4" w:space="0"/>
              <w:bottom w:val="single" w:color="auto" w:sz="4" w:space="0"/>
              <w:right w:val="single" w:color="auto" w:sz="4" w:space="0"/>
            </w:tcBorders>
            <w:vAlign w:val="center"/>
          </w:tcPr>
          <w:p w14:paraId="7517E1A2">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r>
              <w:rPr>
                <w:rFonts w:hint="eastAsia" w:ascii="宋体" w:hAnsi="宋体" w:cs="宋体"/>
                <w:color w:val="auto"/>
                <w:spacing w:val="-4"/>
                <w:highlight w:val="none"/>
                <w:lang w:val="en-US" w:eastAsia="zh-CN"/>
              </w:rPr>
              <w:t>等</w:t>
            </w:r>
          </w:p>
        </w:tc>
        <w:tc>
          <w:tcPr>
            <w:tcW w:w="6639" w:type="dxa"/>
            <w:tcBorders>
              <w:top w:val="single" w:color="auto" w:sz="4" w:space="0"/>
              <w:left w:val="single" w:color="auto" w:sz="4" w:space="0"/>
              <w:bottom w:val="single" w:color="auto" w:sz="4" w:space="0"/>
              <w:right w:val="single" w:color="auto" w:sz="4" w:space="0"/>
            </w:tcBorders>
            <w:vAlign w:val="center"/>
          </w:tcPr>
          <w:p w14:paraId="73062953">
            <w:pPr>
              <w:widowControl/>
              <w:tabs>
                <w:tab w:val="left" w:pos="720"/>
                <w:tab w:val="left" w:pos="900"/>
                <w:tab w:val="left" w:pos="1080"/>
                <w:tab w:val="left" w:pos="1260"/>
                <w:tab w:val="left" w:pos="1440"/>
                <w:tab w:val="left" w:pos="1800"/>
              </w:tabs>
              <w:spacing w:line="288" w:lineRule="auto"/>
              <w:rPr>
                <w:rFonts w:hint="eastAsia"/>
                <w:color w:val="auto"/>
                <w:highlight w:val="none"/>
              </w:rPr>
            </w:pPr>
            <w:r>
              <w:rPr>
                <w:rFonts w:hint="eastAsia"/>
                <w:color w:val="auto"/>
                <w:highlight w:val="none"/>
                <w:lang w:val="en-US" w:eastAsia="zh-CN"/>
              </w:rPr>
              <w:t>1.</w:t>
            </w:r>
            <w:r>
              <w:rPr>
                <w:rFonts w:hint="default" w:ascii="Times New Roman" w:hAnsi="Times New Roman" w:eastAsia="宋体" w:cs="Times New Roman"/>
                <w:b w:val="0"/>
                <w:bCs w:val="0"/>
                <w:color w:val="auto"/>
                <w:sz w:val="21"/>
                <w:szCs w:val="21"/>
                <w:highlight w:val="none"/>
                <w:lang w:val="en-US" w:eastAsia="zh-CN"/>
              </w:rPr>
              <w:t>根据《国家市场监督管理总局关于发布强制性产品认证目录描述与界定表的公告》（2023年第36号）要求，</w:t>
            </w:r>
            <w:r>
              <w:rPr>
                <w:rFonts w:hint="eastAsia" w:cs="Times New Roman"/>
                <w:b w:val="0"/>
                <w:bCs w:val="0"/>
                <w:color w:val="auto"/>
                <w:sz w:val="21"/>
                <w:szCs w:val="21"/>
                <w:highlight w:val="none"/>
                <w:lang w:val="en-US" w:eastAsia="zh-CN"/>
              </w:rPr>
              <w:t>如</w:t>
            </w:r>
            <w:r>
              <w:rPr>
                <w:rFonts w:hint="default" w:ascii="Times New Roman" w:hAnsi="Times New Roman" w:eastAsia="宋体" w:cs="Times New Roman"/>
                <w:b w:val="0"/>
                <w:bCs w:val="0"/>
                <w:color w:val="auto"/>
                <w:sz w:val="21"/>
                <w:szCs w:val="21"/>
                <w:highlight w:val="none"/>
                <w:lang w:val="en-US" w:eastAsia="zh-CN"/>
              </w:rPr>
              <w:t>本项目</w:t>
            </w:r>
            <w:r>
              <w:rPr>
                <w:rFonts w:hint="eastAsia" w:cs="Times New Roman"/>
                <w:b w:val="0"/>
                <w:bCs w:val="0"/>
                <w:color w:val="auto"/>
                <w:sz w:val="21"/>
                <w:szCs w:val="21"/>
                <w:highlight w:val="none"/>
                <w:lang w:val="en-US" w:eastAsia="zh-CN"/>
              </w:rPr>
              <w:t>采购</w:t>
            </w:r>
            <w:r>
              <w:rPr>
                <w:rFonts w:hint="default" w:ascii="Times New Roman" w:hAnsi="Times New Roman" w:eastAsia="宋体" w:cs="Times New Roman"/>
                <w:b w:val="0"/>
                <w:bCs w:val="0"/>
                <w:color w:val="auto"/>
                <w:sz w:val="21"/>
                <w:szCs w:val="21"/>
                <w:highlight w:val="none"/>
                <w:lang w:val="en-US" w:eastAsia="zh-CN"/>
              </w:rPr>
              <w:t>产品属于《强制性产品认证目录》、《强制性产品认证目录描述与界定表（2023 年修订）》范围内产品的，应取得有效期内的强制性认证证书（CCC认证证书），供应商须在投标文件中提供认证证书复印件（加盖公章），否则将被视为无效投标。</w:t>
            </w:r>
          </w:p>
          <w:p w14:paraId="0A77E71C">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供应商须在投标文件中提供认证证书复印件（加盖公章），否则将被视为无效投标</w:t>
            </w:r>
            <w:r>
              <w:rPr>
                <w:rFonts w:hint="eastAsia"/>
                <w:color w:val="auto"/>
                <w:highlight w:val="none"/>
              </w:rPr>
              <w:t>。</w:t>
            </w:r>
          </w:p>
          <w:p w14:paraId="757E5EE8">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w:t>
            </w:r>
            <w:r>
              <w:rPr>
                <w:rFonts w:hint="eastAsia" w:ascii="Times New Roman" w:hAnsi="Times New Roman" w:eastAsia="宋体" w:cs="Times New Roman"/>
                <w:color w:val="auto"/>
                <w:highlight w:val="none"/>
              </w:rPr>
              <w:t>印件（加盖公章），否则不予认定。</w:t>
            </w:r>
          </w:p>
        </w:tc>
      </w:tr>
      <w:tr w14:paraId="51AD65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785CE94">
            <w:pPr>
              <w:spacing w:line="300" w:lineRule="exact"/>
              <w:jc w:val="center"/>
              <w:rPr>
                <w:rFonts w:hint="eastAsia" w:ascii="Times New Roman" w:hAnsi="宋体" w:eastAsia="宋体" w:cs="Arial"/>
                <w:bCs/>
                <w:color w:val="auto"/>
                <w:kern w:val="2"/>
                <w:sz w:val="21"/>
                <w:szCs w:val="21"/>
                <w:highlight w:val="none"/>
                <w:lang w:val="en-US" w:eastAsia="zh-CN" w:bidi="ar-SA"/>
              </w:rPr>
            </w:pPr>
            <w:r>
              <w:rPr>
                <w:rFonts w:hint="eastAsia" w:cs="Arial"/>
                <w:bCs/>
                <w:color w:val="auto"/>
                <w:highlight w:val="none"/>
              </w:rPr>
              <w:t>2</w:t>
            </w:r>
            <w:r>
              <w:rPr>
                <w:rFonts w:hint="eastAsia" w:cs="Arial"/>
                <w:bCs/>
                <w:color w:val="auto"/>
                <w:highlight w:val="none"/>
                <w:lang w:val="en-US" w:eastAsia="zh-CN"/>
              </w:rPr>
              <w:t>5</w:t>
            </w:r>
          </w:p>
        </w:tc>
        <w:tc>
          <w:tcPr>
            <w:tcW w:w="1695" w:type="dxa"/>
            <w:tcBorders>
              <w:top w:val="single" w:color="auto" w:sz="4" w:space="0"/>
              <w:left w:val="single" w:color="auto" w:sz="4" w:space="0"/>
              <w:bottom w:val="single" w:color="auto" w:sz="4" w:space="0"/>
              <w:right w:val="single" w:color="auto" w:sz="4" w:space="0"/>
            </w:tcBorders>
            <w:vAlign w:val="center"/>
          </w:tcPr>
          <w:p w14:paraId="555547D5">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14:paraId="45A798F2">
            <w:pPr>
              <w:spacing w:line="288" w:lineRule="auto"/>
              <w:jc w:val="left"/>
              <w:rPr>
                <w:rFonts w:hint="eastAsia" w:ascii="宋体" w:hAnsi="宋体" w:cs="Arial"/>
                <w:bCs/>
                <w:color w:val="auto"/>
                <w:highlight w:val="none"/>
              </w:rPr>
            </w:pPr>
            <w:r>
              <w:rPr>
                <w:rFonts w:hint="eastAsia" w:ascii="宋体" w:hAnsi="宋体" w:cs="Arial"/>
                <w:bCs/>
                <w:color w:val="auto"/>
                <w:highlight w:val="none"/>
              </w:rPr>
              <w:t>经与采购人协商，本项目招标代理服务费由中标供应商支付，招标代理费金额为：</w:t>
            </w:r>
            <w:r>
              <w:rPr>
                <w:rFonts w:hint="eastAsia" w:ascii="宋体" w:hAnsi="宋体" w:cs="Arial"/>
                <w:bCs/>
                <w:color w:val="auto"/>
                <w:highlight w:val="none"/>
                <w:lang w:val="en-US" w:eastAsia="zh-CN"/>
              </w:rPr>
              <w:t>3262</w:t>
            </w:r>
            <w:r>
              <w:rPr>
                <w:rFonts w:hint="eastAsia" w:ascii="宋体" w:hAnsi="宋体" w:cs="Arial"/>
                <w:bCs/>
                <w:color w:val="auto"/>
                <w:highlight w:val="none"/>
              </w:rPr>
              <w:t>元（大写：人民币</w:t>
            </w:r>
            <w:r>
              <w:rPr>
                <w:rFonts w:hint="eastAsia" w:ascii="宋体" w:hAnsi="宋体" w:cs="Arial"/>
                <w:bCs/>
                <w:color w:val="auto"/>
                <w:highlight w:val="none"/>
                <w:lang w:val="en-US" w:eastAsia="zh-CN"/>
              </w:rPr>
              <w:t>叁仟贰佰陆拾贰</w:t>
            </w:r>
            <w:r>
              <w:rPr>
                <w:rFonts w:hint="eastAsia" w:ascii="宋体" w:hAnsi="宋体" w:cs="Arial"/>
                <w:bCs/>
                <w:color w:val="auto"/>
                <w:highlight w:val="none"/>
              </w:rPr>
              <w:t>元整），中标供应商凭招标代理服务费缴纳凭证领取中标通知书。</w:t>
            </w:r>
          </w:p>
          <w:p w14:paraId="5014EDD0">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rPr>
              <w:t>代理费缴纳账户</w:t>
            </w:r>
            <w:r>
              <w:rPr>
                <w:rFonts w:hint="eastAsia" w:ascii="宋体" w:hAnsi="宋体" w:cs="Arial"/>
                <w:bCs/>
                <w:color w:val="auto"/>
                <w:highlight w:val="none"/>
                <w:lang w:eastAsia="zh-CN"/>
              </w:rPr>
              <w:t>：</w:t>
            </w:r>
          </w:p>
          <w:p w14:paraId="34513FAD">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账户名称：新疆宏宇建设工程项目管理有限责任公司克拉玛依咨询分公司</w:t>
            </w:r>
          </w:p>
          <w:p w14:paraId="3D919C2A">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 xml:space="preserve">地址：新疆克拉玛依市克拉玛依区新兴路339-401号（四楼）     </w:t>
            </w:r>
          </w:p>
          <w:p w14:paraId="208773B4">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邮政编码：834000</w:t>
            </w:r>
          </w:p>
          <w:p w14:paraId="4CB70C17">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 xml:space="preserve">开户行：昆仑银行股份有限公司克拉玛依分行           </w:t>
            </w:r>
          </w:p>
          <w:p w14:paraId="3A046E89">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银行账号：88202221188980000027</w:t>
            </w:r>
          </w:p>
          <w:p w14:paraId="3443E4AD">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行号：313882000131</w:t>
            </w:r>
          </w:p>
        </w:tc>
      </w:tr>
      <w:tr w14:paraId="6C8663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962FF36">
            <w:pPr>
              <w:spacing w:line="300" w:lineRule="exact"/>
              <w:jc w:val="center"/>
              <w:rPr>
                <w:rFonts w:hint="eastAsia" w:ascii="Times New Roman" w:hAnsi="Times New Roman" w:eastAsia="宋体" w:cs="Arial"/>
                <w:bCs/>
                <w:color w:val="auto"/>
                <w:kern w:val="2"/>
                <w:sz w:val="21"/>
                <w:szCs w:val="21"/>
                <w:highlight w:val="none"/>
                <w:lang w:val="en-US" w:eastAsia="zh-CN" w:bidi="ar-SA"/>
              </w:rPr>
            </w:pPr>
            <w:r>
              <w:rPr>
                <w:rFonts w:hint="eastAsia" w:cs="Arial"/>
                <w:bCs/>
                <w:color w:val="auto"/>
                <w:highlight w:val="none"/>
              </w:rPr>
              <w:t>2</w:t>
            </w:r>
            <w:r>
              <w:rPr>
                <w:rFonts w:hint="eastAsia" w:cs="Arial"/>
                <w:bCs/>
                <w:color w:val="auto"/>
                <w:highlight w:val="none"/>
                <w:lang w:val="en-US" w:eastAsia="zh-CN"/>
              </w:rPr>
              <w:t>6</w:t>
            </w:r>
          </w:p>
        </w:tc>
        <w:tc>
          <w:tcPr>
            <w:tcW w:w="1695" w:type="dxa"/>
            <w:tcBorders>
              <w:top w:val="single" w:color="auto" w:sz="4" w:space="0"/>
              <w:left w:val="single" w:color="auto" w:sz="4" w:space="0"/>
              <w:bottom w:val="single" w:color="auto" w:sz="4" w:space="0"/>
              <w:right w:val="single" w:color="auto" w:sz="4" w:space="0"/>
            </w:tcBorders>
            <w:vAlign w:val="center"/>
          </w:tcPr>
          <w:p w14:paraId="6572B8D7">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异常低价</w:t>
            </w:r>
          </w:p>
        </w:tc>
        <w:tc>
          <w:tcPr>
            <w:tcW w:w="6639" w:type="dxa"/>
            <w:tcBorders>
              <w:top w:val="single" w:color="auto" w:sz="4" w:space="0"/>
              <w:left w:val="single" w:color="auto" w:sz="4" w:space="0"/>
              <w:bottom w:val="single" w:color="auto" w:sz="4" w:space="0"/>
              <w:right w:val="single" w:color="auto" w:sz="4" w:space="0"/>
            </w:tcBorders>
            <w:vAlign w:val="center"/>
          </w:tcPr>
          <w:p w14:paraId="04AAA66A">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1.</w:t>
            </w:r>
            <w:r>
              <w:rPr>
                <w:rFonts w:hint="eastAsia" w:ascii="宋体" w:hAnsi="宋体" w:cs="宋体"/>
                <w:color w:val="auto"/>
                <w:spacing w:val="-4"/>
                <w:highlight w:val="none"/>
                <w:lang w:eastAsia="zh-CN"/>
              </w:rPr>
              <w:t>政府采购评审中出现下列情形之一的，评审委员会应当启动异常低价投标（响应）审查程序：</w:t>
            </w:r>
          </w:p>
          <w:p w14:paraId="4533B815">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（1）</w:t>
            </w:r>
            <w:r>
              <w:rPr>
                <w:rFonts w:hint="eastAsia" w:ascii="宋体" w:hAnsi="宋体" w:cs="宋体"/>
                <w:color w:val="auto"/>
                <w:spacing w:val="-4"/>
                <w:highlight w:val="none"/>
                <w:lang w:eastAsia="zh-CN"/>
              </w:rPr>
              <w:t>投标（响应）报价低于全部通过符合性审查供应商投标（响应）报价平均值50%的，即投标（响应）报价&lt;全部通过符合性审查供应商投标（响应）报价平均值×50%；</w:t>
            </w:r>
          </w:p>
          <w:p w14:paraId="3AA99CED">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lang w:eastAsia="zh-CN"/>
              </w:rPr>
              <w:t>投标（响应）报价低于通过符合性审查的次低报价供应商投标（响应）报价50%的，即投标（响应）报价&lt;通过符合性审查的次低报价供应商投标（响应）报价×50%；</w:t>
            </w:r>
          </w:p>
          <w:p w14:paraId="79462ABE">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（3）</w:t>
            </w:r>
            <w:r>
              <w:rPr>
                <w:rFonts w:hint="eastAsia" w:ascii="宋体" w:hAnsi="宋体" w:cs="宋体"/>
                <w:color w:val="auto"/>
                <w:spacing w:val="-4"/>
                <w:highlight w:val="none"/>
                <w:lang w:eastAsia="zh-CN"/>
              </w:rPr>
              <w:t>投标（响应）报价低于采购项目最高限价45%的，即投标（响应）报价&lt;采购项目最高限价×45%；</w:t>
            </w:r>
          </w:p>
          <w:p w14:paraId="15131049">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（4）</w:t>
            </w:r>
            <w:r>
              <w:rPr>
                <w:rFonts w:hint="eastAsia" w:ascii="宋体" w:hAnsi="宋体" w:cs="宋体"/>
                <w:color w:val="auto"/>
                <w:spacing w:val="-4"/>
                <w:highlight w:val="none"/>
                <w:lang w:eastAsia="zh-CN"/>
              </w:rPr>
              <w:t>评审委员会基于专业判断，认为供应商报价过低，有可能影响产品质量或者不能诚信履约的其他情形。</w:t>
            </w:r>
          </w:p>
          <w:p w14:paraId="076C3B77">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eastAsia="zh-CN"/>
              </w:rPr>
              <w:t>采购人可以结合具体项目实际情况，提高上述第1项至第3项中启动异常低价投标（响应）审查的数值标准，但是最高不得超过65%。</w:t>
            </w:r>
          </w:p>
          <w:p w14:paraId="7C219A3E">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eastAsia="zh-CN"/>
              </w:rPr>
              <w:t>相关法律法规对供应商报价有规定的，从其规定。</w:t>
            </w:r>
          </w:p>
          <w:p w14:paraId="516703D0">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49C72C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24B8AD8">
            <w:pPr>
              <w:spacing w:line="300" w:lineRule="exact"/>
              <w:jc w:val="center"/>
              <w:rPr>
                <w:rFonts w:hint="eastAsia" w:ascii="Times New Roman" w:hAnsi="Times New Roman" w:eastAsia="宋体" w:cs="Arial"/>
                <w:bCs/>
                <w:color w:val="auto"/>
                <w:kern w:val="2"/>
                <w:sz w:val="21"/>
                <w:szCs w:val="21"/>
                <w:highlight w:val="none"/>
                <w:lang w:val="en-US" w:eastAsia="zh-CN" w:bidi="ar-SA"/>
              </w:rPr>
            </w:pPr>
            <w:r>
              <w:rPr>
                <w:rFonts w:hint="eastAsia" w:cs="Arial"/>
                <w:bCs/>
                <w:color w:val="auto"/>
                <w:highlight w:val="none"/>
              </w:rPr>
              <w:t>2</w:t>
            </w:r>
            <w:r>
              <w:rPr>
                <w:rFonts w:hint="eastAsia" w:cs="Arial"/>
                <w:bCs/>
                <w:color w:val="auto"/>
                <w:highlight w:val="none"/>
                <w:lang w:val="en-US" w:eastAsia="zh-CN"/>
              </w:rPr>
              <w:t>7</w:t>
            </w:r>
          </w:p>
        </w:tc>
        <w:tc>
          <w:tcPr>
            <w:tcW w:w="1695" w:type="dxa"/>
            <w:tcBorders>
              <w:top w:val="single" w:color="auto" w:sz="4" w:space="0"/>
              <w:left w:val="single" w:color="auto" w:sz="4" w:space="0"/>
              <w:bottom w:val="single" w:color="auto" w:sz="4" w:space="0"/>
              <w:right w:val="single" w:color="auto" w:sz="4" w:space="0"/>
            </w:tcBorders>
            <w:vAlign w:val="center"/>
          </w:tcPr>
          <w:p w14:paraId="6DA91E08">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14:paraId="32A791C1">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号中小企业划型标准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tc>
      </w:tr>
      <w:tr w14:paraId="712456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8BA9FA1">
            <w:pPr>
              <w:spacing w:line="300" w:lineRule="exact"/>
              <w:jc w:val="center"/>
              <w:rPr>
                <w:rFonts w:hint="eastAsia" w:ascii="Times New Roman" w:hAnsi="Times New Roman" w:eastAsia="宋体" w:cs="Arial"/>
                <w:bCs/>
                <w:color w:val="auto"/>
                <w:kern w:val="2"/>
                <w:sz w:val="21"/>
                <w:szCs w:val="21"/>
                <w:highlight w:val="none"/>
                <w:lang w:val="en-US" w:eastAsia="zh-CN" w:bidi="ar-SA"/>
              </w:rPr>
            </w:pPr>
            <w:r>
              <w:rPr>
                <w:rFonts w:hint="eastAsia" w:cs="Arial"/>
                <w:bCs/>
                <w:color w:val="auto"/>
                <w:highlight w:val="none"/>
                <w:lang w:val="en-US" w:eastAsia="zh-CN"/>
              </w:rPr>
              <w:t>28</w:t>
            </w:r>
          </w:p>
        </w:tc>
        <w:tc>
          <w:tcPr>
            <w:tcW w:w="1695" w:type="dxa"/>
            <w:tcBorders>
              <w:top w:val="single" w:color="auto" w:sz="4" w:space="0"/>
              <w:left w:val="single" w:color="auto" w:sz="4" w:space="0"/>
              <w:bottom w:val="single" w:color="auto" w:sz="4" w:space="0"/>
              <w:right w:val="single" w:color="auto" w:sz="4" w:space="0"/>
            </w:tcBorders>
            <w:vAlign w:val="center"/>
          </w:tcPr>
          <w:p w14:paraId="3A92D518">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14:paraId="197E9810">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14:paraId="1E38E164">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w:t>
            </w:r>
            <w:r>
              <w:rPr>
                <w:rFonts w:hint="eastAsia"/>
                <w:color w:val="auto"/>
                <w:highlight w:val="none"/>
                <w:lang w:val="zh-CN"/>
              </w:rPr>
              <w:t>本项目</w:t>
            </w:r>
            <w:r>
              <w:rPr>
                <w:rFonts w:hint="eastAsia"/>
                <w:color w:val="auto"/>
                <w:highlight w:val="none"/>
              </w:rPr>
              <w:t>专门面向</w:t>
            </w:r>
            <w:r>
              <w:rPr>
                <w:rFonts w:hint="eastAsia"/>
                <w:color w:val="auto"/>
                <w:highlight w:val="none"/>
                <w:lang w:val="zh-CN"/>
              </w:rPr>
              <w:t>中小企业采购，</w:t>
            </w:r>
            <w:r>
              <w:rPr>
                <w:rFonts w:hint="eastAsia"/>
                <w:color w:val="auto"/>
                <w:highlight w:val="none"/>
                <w:lang w:val="en-US" w:eastAsia="zh-CN"/>
              </w:rPr>
              <w:t>供应商所提供货物的制造商为中型、小型、微型企业。</w:t>
            </w:r>
          </w:p>
          <w:p w14:paraId="02B9793E">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14:paraId="30D99739">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提供的《中小企业声明函》不合格或未提供《中小企业声明函》的，</w:t>
            </w:r>
            <w:r>
              <w:rPr>
                <w:rFonts w:hint="eastAsia" w:cs="Times New Roman"/>
                <w:color w:val="auto"/>
                <w:highlight w:val="none"/>
                <w:lang w:val="en-US" w:eastAsia="zh-CN"/>
              </w:rPr>
              <w:t>专门面向中小企业采购的项目，将视为无效投标，非专门面向中小企业采购的项目，不享受相关中小微企业扶持政策。</w:t>
            </w:r>
          </w:p>
          <w:p w14:paraId="23B67752">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w:t>
            </w:r>
            <w:r>
              <w:rPr>
                <w:rFonts w:hint="eastAsia" w:cs="Times New Roman"/>
                <w:color w:val="auto"/>
                <w:highlight w:val="none"/>
                <w:lang w:val="en-US" w:eastAsia="zh-CN"/>
              </w:rPr>
              <w:t>招标文件</w:t>
            </w:r>
            <w:r>
              <w:rPr>
                <w:rFonts w:hint="eastAsia" w:ascii="Times New Roman" w:hAnsi="Times New Roman" w:eastAsia="宋体" w:cs="Times New Roman"/>
                <w:color w:val="auto"/>
                <w:highlight w:val="none"/>
                <w:lang w:val="en-US" w:eastAsia="zh-CN"/>
              </w:rPr>
              <w:t>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应提供合格的《监狱企业声明函》，如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提供的《监狱企业声明函》不合格或未提供《监狱企业声明函》的，</w:t>
            </w:r>
            <w:r>
              <w:rPr>
                <w:rFonts w:hint="eastAsia" w:cs="Times New Roman"/>
                <w:color w:val="auto"/>
                <w:highlight w:val="none"/>
                <w:lang w:val="en-US" w:eastAsia="zh-CN"/>
              </w:rPr>
              <w:t>专门面向中小企业采购的项目，将视为无效投标，非专门面向中小企业采购的项目，不享受相关中小微企业扶持政策。</w:t>
            </w:r>
          </w:p>
          <w:p w14:paraId="0AAECFCD">
            <w:pPr>
              <w:widowControl/>
              <w:numPr>
                <w:ilvl w:val="0"/>
                <w:numId w:val="0"/>
              </w:numPr>
              <w:tabs>
                <w:tab w:val="left" w:pos="720"/>
                <w:tab w:val="left" w:pos="900"/>
                <w:tab w:val="left" w:pos="1080"/>
                <w:tab w:val="left" w:pos="1260"/>
                <w:tab w:val="left" w:pos="1440"/>
                <w:tab w:val="left" w:pos="1800"/>
              </w:tabs>
              <w:spacing w:line="288" w:lineRule="auto"/>
              <w:jc w:val="left"/>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w:t>
            </w:r>
            <w:r>
              <w:rPr>
                <w:rFonts w:hint="eastAsia" w:cs="Times New Roman"/>
                <w:color w:val="auto"/>
                <w:highlight w:val="none"/>
                <w:lang w:val="en-US" w:eastAsia="zh-CN"/>
              </w:rPr>
              <w:t>专门面向中小企业采购的项目，将视为无效投标，非专门面向中小企业采购的项目，不享受相关中小微企业扶持政策。</w:t>
            </w:r>
          </w:p>
        </w:tc>
      </w:tr>
      <w:tr w14:paraId="5A1A55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6CE3B67">
            <w:pPr>
              <w:spacing w:line="300" w:lineRule="exact"/>
              <w:jc w:val="center"/>
              <w:rPr>
                <w:rFonts w:hint="default" w:ascii="Times New Roman" w:hAnsi="Times New Roman" w:eastAsia="宋体" w:cs="Arial"/>
                <w:bCs/>
                <w:color w:val="auto"/>
                <w:kern w:val="2"/>
                <w:sz w:val="21"/>
                <w:szCs w:val="21"/>
                <w:highlight w:val="none"/>
                <w:lang w:val="en-US" w:eastAsia="zh-CN" w:bidi="ar-SA"/>
              </w:rPr>
            </w:pPr>
            <w:r>
              <w:rPr>
                <w:rFonts w:hint="eastAsia" w:cs="Arial"/>
                <w:bCs/>
                <w:color w:val="auto"/>
                <w:highlight w:val="none"/>
                <w:lang w:val="en-US" w:eastAsia="zh-CN"/>
              </w:rPr>
              <w:t>29</w:t>
            </w:r>
          </w:p>
        </w:tc>
        <w:tc>
          <w:tcPr>
            <w:tcW w:w="1695" w:type="dxa"/>
            <w:tcBorders>
              <w:top w:val="single" w:color="auto" w:sz="4" w:space="0"/>
              <w:left w:val="single" w:color="auto" w:sz="4" w:space="0"/>
              <w:bottom w:val="single" w:color="auto" w:sz="4" w:space="0"/>
              <w:right w:val="single" w:color="auto" w:sz="4" w:space="0"/>
            </w:tcBorders>
            <w:vAlign w:val="center"/>
          </w:tcPr>
          <w:p w14:paraId="257BF0C9">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14:paraId="6FA5F6C0">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14:paraId="73B161A4">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lang w:val="en-US" w:eastAsia="zh-CN"/>
              </w:rPr>
              <w:t>1.</w:t>
            </w:r>
            <w:r>
              <w:rPr>
                <w:rFonts w:hint="eastAsia"/>
                <w:color w:val="auto"/>
                <w:highlight w:val="none"/>
              </w:rPr>
              <w:t>有国家或行业标准的产品</w:t>
            </w:r>
            <w:r>
              <w:rPr>
                <w:rFonts w:hint="eastAsia"/>
                <w:color w:val="auto"/>
                <w:highlight w:val="none"/>
                <w:lang w:val="en-US" w:eastAsia="zh-CN"/>
              </w:rPr>
              <w:t>投标时</w:t>
            </w:r>
            <w:r>
              <w:rPr>
                <w:rFonts w:hint="eastAsia"/>
                <w:color w:val="auto"/>
                <w:highlight w:val="none"/>
              </w:rPr>
              <w:t>应提供国家国家级质量检验检测机构出具的检验检测报告</w:t>
            </w:r>
            <w:r>
              <w:rPr>
                <w:rFonts w:hint="eastAsia"/>
                <w:color w:val="auto"/>
                <w:highlight w:val="none"/>
                <w:lang w:eastAsia="zh-CN"/>
              </w:rPr>
              <w:t>（</w:t>
            </w:r>
            <w:r>
              <w:rPr>
                <w:rFonts w:hint="eastAsia"/>
                <w:color w:val="auto"/>
                <w:highlight w:val="none"/>
                <w:lang w:val="en-US" w:eastAsia="zh-CN"/>
              </w:rPr>
              <w:t>如有</w:t>
            </w:r>
            <w:r>
              <w:rPr>
                <w:rFonts w:hint="eastAsia"/>
                <w:color w:val="auto"/>
                <w:highlight w:val="none"/>
                <w:lang w:eastAsia="zh-CN"/>
              </w:rPr>
              <w:t>）</w:t>
            </w:r>
            <w:r>
              <w:rPr>
                <w:rFonts w:hint="eastAsia"/>
                <w:color w:val="auto"/>
                <w:highlight w:val="none"/>
              </w:rPr>
              <w:t>。</w:t>
            </w:r>
          </w:p>
          <w:p w14:paraId="1939C0DA">
            <w:pPr>
              <w:widowControl/>
              <w:numPr>
                <w:ilvl w:val="0"/>
                <w:numId w:val="0"/>
              </w:numPr>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color w:val="auto"/>
                <w:highlight w:val="none"/>
                <w:lang w:val="en-US" w:eastAsia="zh-CN"/>
              </w:rPr>
              <w:t>2.</w:t>
            </w:r>
            <w:r>
              <w:rPr>
                <w:rFonts w:hint="eastAsia"/>
                <w:color w:val="auto"/>
                <w:highlight w:val="none"/>
              </w:rPr>
              <w:t>无国家或行业标准的产品投标时应提供国家认可的质量检验检测机构出具的检验检测报告（如有</w:t>
            </w:r>
            <w:r>
              <w:rPr>
                <w:rFonts w:hint="eastAsia"/>
                <w:color w:val="auto"/>
                <w:highlight w:val="none"/>
                <w:lang w:eastAsia="zh-CN"/>
              </w:rPr>
              <w:t>）；</w:t>
            </w:r>
            <w:r>
              <w:rPr>
                <w:rFonts w:hint="eastAsia"/>
                <w:color w:val="auto"/>
                <w:highlight w:val="none"/>
              </w:rPr>
              <w:t>如投标时未提供，应在</w:t>
            </w:r>
            <w:r>
              <w:rPr>
                <w:rFonts w:hint="eastAsia"/>
                <w:color w:val="auto"/>
                <w:highlight w:val="none"/>
                <w:lang w:val="en-US" w:eastAsia="zh-CN"/>
              </w:rPr>
              <w:t>产品</w:t>
            </w:r>
            <w:r>
              <w:rPr>
                <w:rFonts w:hint="eastAsia"/>
                <w:color w:val="auto"/>
                <w:highlight w:val="none"/>
              </w:rPr>
              <w:t>交付</w:t>
            </w:r>
            <w:r>
              <w:rPr>
                <w:rFonts w:hint="eastAsia"/>
                <w:color w:val="auto"/>
                <w:highlight w:val="none"/>
                <w:lang w:eastAsia="zh-CN"/>
              </w:rPr>
              <w:t>验收</w:t>
            </w:r>
            <w:r>
              <w:rPr>
                <w:rFonts w:hint="eastAsia"/>
                <w:color w:val="auto"/>
                <w:highlight w:val="none"/>
              </w:rPr>
              <w:t>时提供国家认可的质量检验检测机构出具的检验检测报告。</w:t>
            </w:r>
          </w:p>
        </w:tc>
      </w:tr>
      <w:tr w14:paraId="5703E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2E9B1FC">
            <w:pPr>
              <w:spacing w:line="300" w:lineRule="exact"/>
              <w:jc w:val="center"/>
              <w:rPr>
                <w:rFonts w:hint="default" w:ascii="Times New Roman" w:hAnsi="Times New Roman" w:eastAsia="宋体" w:cs="Arial"/>
                <w:bCs/>
                <w:color w:val="auto"/>
                <w:kern w:val="2"/>
                <w:sz w:val="21"/>
                <w:szCs w:val="21"/>
                <w:highlight w:val="none"/>
                <w:lang w:val="en-US" w:eastAsia="zh-CN" w:bidi="ar-SA"/>
              </w:rPr>
            </w:pPr>
            <w:r>
              <w:rPr>
                <w:rFonts w:hint="eastAsia" w:cs="Arial"/>
                <w:bCs/>
                <w:color w:val="auto"/>
                <w:highlight w:val="none"/>
                <w:lang w:val="en-US" w:eastAsia="zh-CN"/>
              </w:rPr>
              <w:t>30</w:t>
            </w:r>
          </w:p>
        </w:tc>
        <w:tc>
          <w:tcPr>
            <w:tcW w:w="1695" w:type="dxa"/>
            <w:tcBorders>
              <w:top w:val="single" w:color="auto" w:sz="4" w:space="0"/>
              <w:left w:val="single" w:color="auto" w:sz="4" w:space="0"/>
              <w:bottom w:val="single" w:color="auto" w:sz="4" w:space="0"/>
              <w:right w:val="single" w:color="auto" w:sz="4" w:space="0"/>
            </w:tcBorders>
            <w:vAlign w:val="center"/>
          </w:tcPr>
          <w:p w14:paraId="21ED45BA">
            <w:pPr>
              <w:widowControl/>
              <w:tabs>
                <w:tab w:val="left" w:pos="720"/>
                <w:tab w:val="left" w:pos="900"/>
                <w:tab w:val="left" w:pos="1080"/>
                <w:tab w:val="left" w:pos="1260"/>
                <w:tab w:val="left" w:pos="1440"/>
                <w:tab w:val="left" w:pos="1800"/>
              </w:tabs>
              <w:spacing w:line="288" w:lineRule="auto"/>
              <w:jc w:val="center"/>
              <w:rPr>
                <w:rFonts w:hint="default" w:ascii="宋体" w:hAnsi="宋体" w:eastAsia="宋体" w:cs="宋体"/>
                <w:color w:val="auto"/>
                <w:spacing w:val="-4"/>
                <w:highlight w:val="none"/>
                <w:lang w:val="en-US" w:eastAsia="zh-CN"/>
              </w:rPr>
            </w:pPr>
            <w:r>
              <w:rPr>
                <w:rFonts w:hint="eastAsia" w:ascii="宋体" w:hAnsi="宋体" w:cs="宋体"/>
                <w:color w:val="auto"/>
                <w:spacing w:val="-4"/>
                <w:highlight w:val="none"/>
              </w:rPr>
              <w:t>样品</w:t>
            </w:r>
          </w:p>
        </w:tc>
        <w:tc>
          <w:tcPr>
            <w:tcW w:w="6639" w:type="dxa"/>
            <w:tcBorders>
              <w:top w:val="single" w:color="auto" w:sz="4" w:space="0"/>
              <w:left w:val="single" w:color="auto" w:sz="4" w:space="0"/>
              <w:bottom w:val="single" w:color="auto" w:sz="4" w:space="0"/>
              <w:right w:val="single" w:color="auto" w:sz="4" w:space="0"/>
            </w:tcBorders>
            <w:vAlign w:val="center"/>
          </w:tcPr>
          <w:p w14:paraId="0F847D00">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s="Times New Roman"/>
                <w:color w:val="auto"/>
                <w:highlight w:val="none"/>
                <w:lang w:val="en-US" w:eastAsia="zh-CN"/>
              </w:rPr>
              <w:t>/</w:t>
            </w:r>
          </w:p>
        </w:tc>
      </w:tr>
      <w:tr w14:paraId="08FE4D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01F83A">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31</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38265E90">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kern w:val="2"/>
                <w:sz w:val="21"/>
                <w:szCs w:val="21"/>
                <w:highlight w:val="none"/>
                <w:lang w:val="en-US" w:eastAsia="zh-CN" w:bidi="ar-SA"/>
              </w:rPr>
            </w:pPr>
            <w:r>
              <w:rPr>
                <w:rFonts w:hint="eastAsia" w:ascii="宋体" w:hAnsi="宋体" w:cs="宋体"/>
                <w:color w:val="auto"/>
                <w:spacing w:val="-4"/>
                <w:highlight w:val="none"/>
              </w:rPr>
              <w:t>本国产品标准及相关政策</w:t>
            </w:r>
            <w:r>
              <w:rPr>
                <w:rFonts w:hint="eastAsia" w:ascii="宋体" w:hAnsi="宋体" w:cs="宋体"/>
                <w:color w:val="auto"/>
                <w:spacing w:val="-4"/>
                <w:highlight w:val="none"/>
                <w:lang w:eastAsia="zh-CN"/>
              </w:rPr>
              <w:t>（</w:t>
            </w:r>
            <w:r>
              <w:rPr>
                <w:rFonts w:hint="eastAsia" w:ascii="宋体" w:hAnsi="宋体" w:cs="宋体"/>
                <w:color w:val="auto"/>
                <w:spacing w:val="-4"/>
                <w:highlight w:val="none"/>
                <w:lang w:val="en-US" w:eastAsia="zh-CN"/>
              </w:rPr>
              <w:t>本项目不适用</w:t>
            </w:r>
            <w:r>
              <w:rPr>
                <w:rFonts w:hint="eastAsia" w:ascii="宋体" w:hAnsi="宋体" w:cs="宋体"/>
                <w:color w:val="auto"/>
                <w:spacing w:val="-4"/>
                <w:highlight w:val="none"/>
                <w:lang w:eastAsia="zh-CN"/>
              </w:rPr>
              <w:t>）</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14:paraId="7E3229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eastAsia" w:ascii="Helvetica" w:hAnsi="Helvetica" w:eastAsia="Helvetica" w:cs="Helvetica"/>
                <w:b/>
                <w:bCs/>
                <w:i w:val="0"/>
                <w:iCs w:val="0"/>
                <w:caps w:val="0"/>
                <w:color w:val="auto"/>
                <w:spacing w:val="0"/>
                <w:kern w:val="0"/>
                <w:sz w:val="21"/>
                <w:szCs w:val="21"/>
                <w:highlight w:val="none"/>
                <w:lang w:val="en-US" w:eastAsia="zh-CN" w:bidi="ar"/>
              </w:rPr>
            </w:pPr>
            <w:r>
              <w:rPr>
                <w:rFonts w:hint="eastAsia" w:ascii="Helvetica" w:hAnsi="Helvetica" w:eastAsia="Helvetica" w:cs="Helvetica"/>
                <w:b/>
                <w:bCs/>
                <w:i w:val="0"/>
                <w:iCs w:val="0"/>
                <w:caps w:val="0"/>
                <w:color w:val="auto"/>
                <w:spacing w:val="0"/>
                <w:kern w:val="0"/>
                <w:sz w:val="21"/>
                <w:szCs w:val="21"/>
                <w:highlight w:val="none"/>
                <w:lang w:val="en-US" w:eastAsia="zh-CN" w:bidi="ar"/>
              </w:rPr>
              <w:t>政策：</w:t>
            </w:r>
          </w:p>
          <w:p w14:paraId="7023B1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1"/>
                <w:szCs w:val="21"/>
                <w:highlight w:val="none"/>
                <w:lang w:val="en-US" w:eastAsia="zh-CN" w:bidi="ar"/>
              </w:rPr>
              <w:t>政府采购活动中既有本国产品又有非本国产品参与竞争的，依法对本国产品给予价格评审优惠，对本国产品的报价给予</w:t>
            </w:r>
            <w:r>
              <w:rPr>
                <w:rFonts w:hint="default" w:ascii="Helvetica" w:hAnsi="Helvetica" w:eastAsia="Helvetica" w:cs="Helvetica"/>
                <w:i w:val="0"/>
                <w:iCs w:val="0"/>
                <w:caps w:val="0"/>
                <w:color w:val="auto"/>
                <w:spacing w:val="0"/>
                <w:kern w:val="0"/>
                <w:sz w:val="24"/>
                <w:szCs w:val="24"/>
                <w:highlight w:val="none"/>
                <w:lang w:val="en-US" w:eastAsia="zh-CN" w:bidi="ar"/>
              </w:rPr>
              <w:t>20%</w:t>
            </w:r>
            <w:r>
              <w:rPr>
                <w:rFonts w:hint="default" w:ascii="Helvetica" w:hAnsi="Helvetica" w:eastAsia="Helvetica" w:cs="Helvetica"/>
                <w:i w:val="0"/>
                <w:iCs w:val="0"/>
                <w:caps w:val="0"/>
                <w:color w:val="auto"/>
                <w:spacing w:val="0"/>
                <w:kern w:val="0"/>
                <w:sz w:val="21"/>
                <w:szCs w:val="21"/>
                <w:highlight w:val="none"/>
                <w:lang w:val="en-US" w:eastAsia="zh-CN" w:bidi="ar"/>
              </w:rPr>
              <w:t>的价格扣除，用扣除后的价格参与评审。</w:t>
            </w:r>
          </w:p>
          <w:p w14:paraId="7FC9D7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kern w:val="0"/>
                <w:sz w:val="21"/>
                <w:szCs w:val="21"/>
                <w:highlight w:val="none"/>
                <w:lang w:val="en-US" w:eastAsia="zh-CN" w:bidi="ar"/>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当采购项目或者采购包中含有多种产品，供应商为该采购项目或者采购包提供的符合本国产品标准的产品成本之和占该供应商提供的全部产品成本之和的比例达到</w:t>
            </w:r>
            <w:r>
              <w:rPr>
                <w:rFonts w:hint="default" w:ascii="Helvetica" w:hAnsi="Helvetica" w:eastAsia="Helvetica" w:cs="Helvetica"/>
                <w:i w:val="0"/>
                <w:iCs w:val="0"/>
                <w:caps w:val="0"/>
                <w:color w:val="auto"/>
                <w:spacing w:val="0"/>
                <w:kern w:val="0"/>
                <w:sz w:val="24"/>
                <w:szCs w:val="24"/>
                <w:highlight w:val="none"/>
                <w:lang w:val="en-US" w:eastAsia="zh-CN" w:bidi="ar"/>
              </w:rPr>
              <w:t>80%</w:t>
            </w:r>
            <w:r>
              <w:rPr>
                <w:rFonts w:hint="default" w:ascii="Helvetica" w:hAnsi="Helvetica" w:eastAsia="Helvetica" w:cs="Helvetica"/>
                <w:i w:val="0"/>
                <w:iCs w:val="0"/>
                <w:caps w:val="0"/>
                <w:color w:val="auto"/>
                <w:spacing w:val="0"/>
                <w:kern w:val="0"/>
                <w:sz w:val="21"/>
                <w:szCs w:val="21"/>
                <w:highlight w:val="none"/>
                <w:lang w:val="en-US" w:eastAsia="zh-CN" w:bidi="ar"/>
              </w:rPr>
              <w:t>以上时，依法对该供应商提供的全部产品给予价格评审优惠，即对该供应商提供的全部产品的总报价给予20%的价格扣除，用扣除后的价格参与评审。</w:t>
            </w:r>
          </w:p>
          <w:p w14:paraId="1595E25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eastAsia" w:ascii="Helvetica" w:hAnsi="Helvetica" w:eastAsia="Helvetica" w:cs="Helvetica"/>
                <w:b/>
                <w:bCs/>
                <w:i w:val="0"/>
                <w:iCs w:val="0"/>
                <w:caps w:val="0"/>
                <w:color w:val="auto"/>
                <w:spacing w:val="0"/>
                <w:kern w:val="0"/>
                <w:sz w:val="21"/>
                <w:szCs w:val="21"/>
                <w:highlight w:val="none"/>
                <w:lang w:val="en-US" w:eastAsia="zh-CN" w:bidi="ar"/>
              </w:rPr>
            </w:pPr>
            <w:r>
              <w:rPr>
                <w:rFonts w:hint="eastAsia" w:ascii="Helvetica" w:hAnsi="Helvetica" w:eastAsia="Helvetica" w:cs="Helvetica"/>
                <w:b/>
                <w:bCs/>
                <w:i w:val="0"/>
                <w:iCs w:val="0"/>
                <w:caps w:val="0"/>
                <w:color w:val="auto"/>
                <w:spacing w:val="0"/>
                <w:kern w:val="0"/>
                <w:sz w:val="21"/>
                <w:szCs w:val="21"/>
                <w:highlight w:val="none"/>
                <w:lang w:val="en-US" w:eastAsia="zh-CN" w:bidi="ar"/>
              </w:rPr>
              <w:t>标准：</w:t>
            </w:r>
          </w:p>
          <w:p w14:paraId="41E849F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1"/>
                <w:szCs w:val="21"/>
                <w:highlight w:val="none"/>
                <w:lang w:val="en-US" w:eastAsia="zh-CN" w:bidi="ar"/>
              </w:rPr>
              <w:t>本国产品应当符合以下条件：</w:t>
            </w:r>
          </w:p>
          <w:p w14:paraId="0154BD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（一）在中国境内生产</w:t>
            </w:r>
          </w:p>
          <w:p w14:paraId="072CF6F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产品应当在中国境内生产，即在中华人民共和国关境内实现从原材料、组件到产品的属性改变。</w:t>
            </w:r>
          </w:p>
          <w:p w14:paraId="48150A9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属性改变是指经过制造、加工或者组装等工序，产生完全不同于原材料、组件的新产品，并具有新的名称和特征（用途）。属性改变不包括以下细微操作：</w:t>
            </w:r>
          </w:p>
          <w:p w14:paraId="76D4FC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1.</w:t>
            </w:r>
            <w:r>
              <w:rPr>
                <w:rFonts w:hint="default" w:ascii="Helvetica" w:hAnsi="Helvetica" w:eastAsia="Helvetica" w:cs="Helvetica"/>
                <w:i w:val="0"/>
                <w:iCs w:val="0"/>
                <w:caps w:val="0"/>
                <w:color w:val="auto"/>
                <w:spacing w:val="0"/>
                <w:kern w:val="0"/>
                <w:sz w:val="21"/>
                <w:szCs w:val="21"/>
                <w:highlight w:val="none"/>
                <w:lang w:val="en-US" w:eastAsia="zh-CN" w:bidi="ar"/>
              </w:rPr>
              <w:t>为确保产品在运输或者储存期间保持某种状态而进行的操作；</w:t>
            </w:r>
          </w:p>
          <w:p w14:paraId="6977681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2.</w:t>
            </w:r>
            <w:r>
              <w:rPr>
                <w:rFonts w:hint="default" w:ascii="Helvetica" w:hAnsi="Helvetica" w:eastAsia="Helvetica" w:cs="Helvetica"/>
                <w:i w:val="0"/>
                <w:iCs w:val="0"/>
                <w:caps w:val="0"/>
                <w:color w:val="auto"/>
                <w:spacing w:val="0"/>
                <w:kern w:val="0"/>
                <w:sz w:val="21"/>
                <w:szCs w:val="21"/>
                <w:highlight w:val="none"/>
                <w:lang w:val="en-US" w:eastAsia="zh-CN" w:bidi="ar"/>
              </w:rPr>
              <w:t>为产品运输或者销售进行的包装或者展示；</w:t>
            </w:r>
          </w:p>
          <w:p w14:paraId="2FDE98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3.</w:t>
            </w:r>
            <w:r>
              <w:rPr>
                <w:rFonts w:hint="default" w:ascii="Helvetica" w:hAnsi="Helvetica" w:eastAsia="Helvetica" w:cs="Helvetica"/>
                <w:i w:val="0"/>
                <w:iCs w:val="0"/>
                <w:caps w:val="0"/>
                <w:color w:val="auto"/>
                <w:spacing w:val="0"/>
                <w:kern w:val="0"/>
                <w:sz w:val="21"/>
                <w:szCs w:val="21"/>
                <w:highlight w:val="none"/>
                <w:lang w:val="en-US" w:eastAsia="zh-CN" w:bidi="ar"/>
              </w:rPr>
              <w:t>在产品或者其包装上粘贴或者印刷品牌、标志、标识以及其他用于区别的标记；</w:t>
            </w:r>
          </w:p>
          <w:p w14:paraId="0CA185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4.</w:t>
            </w:r>
            <w:r>
              <w:rPr>
                <w:rFonts w:hint="default" w:ascii="Helvetica" w:hAnsi="Helvetica" w:eastAsia="Helvetica" w:cs="Helvetica"/>
                <w:i w:val="0"/>
                <w:iCs w:val="0"/>
                <w:caps w:val="0"/>
                <w:color w:val="auto"/>
                <w:spacing w:val="0"/>
                <w:kern w:val="0"/>
                <w:sz w:val="21"/>
                <w:szCs w:val="21"/>
                <w:highlight w:val="none"/>
                <w:lang w:val="en-US" w:eastAsia="zh-CN" w:bidi="ar"/>
              </w:rPr>
              <w:t>简单的上漆、磨光和分装；</w:t>
            </w:r>
          </w:p>
          <w:p w14:paraId="513372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5.</w:t>
            </w:r>
            <w:r>
              <w:rPr>
                <w:rFonts w:hint="default" w:ascii="Helvetica" w:hAnsi="Helvetica" w:eastAsia="Helvetica" w:cs="Helvetica"/>
                <w:i w:val="0"/>
                <w:iCs w:val="0"/>
                <w:caps w:val="0"/>
                <w:color w:val="auto"/>
                <w:spacing w:val="0"/>
                <w:kern w:val="0"/>
                <w:sz w:val="21"/>
                <w:szCs w:val="21"/>
                <w:highlight w:val="none"/>
                <w:lang w:val="en-US" w:eastAsia="zh-CN" w:bidi="ar"/>
              </w:rPr>
              <w:t>其他不属于属性改变的情形。</w:t>
            </w:r>
          </w:p>
          <w:p w14:paraId="05CFDC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（二）在中国境内生产的组件成本占比达到规定比例</w:t>
            </w:r>
          </w:p>
          <w:p w14:paraId="1FB86A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产品在中国境内生产的组件成本占比应当达到规定比例，计算公式为：</w:t>
            </w:r>
          </w:p>
          <w:p w14:paraId="137FA16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1"/>
                <w:szCs w:val="21"/>
                <w:highlight w:val="none"/>
                <w:lang w:val="en-US" w:eastAsia="zh-CN" w:bidi="ar"/>
              </w:rPr>
              <w:drawing>
                <wp:inline distT="0" distB="0" distL="114300" distR="114300">
                  <wp:extent cx="4076065" cy="643255"/>
                  <wp:effectExtent l="0" t="0" r="635" b="444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9"/>
                          <a:stretch>
                            <a:fillRect/>
                          </a:stretch>
                        </pic:blipFill>
                        <pic:spPr>
                          <a:xfrm>
                            <a:off x="0" y="0"/>
                            <a:ext cx="4076065" cy="643255"/>
                          </a:xfrm>
                          <a:prstGeom prst="rect">
                            <a:avLst/>
                          </a:prstGeom>
                          <a:noFill/>
                          <a:ln w="9525">
                            <a:noFill/>
                          </a:ln>
                        </pic:spPr>
                      </pic:pic>
                    </a:graphicData>
                  </a:graphic>
                </wp:inline>
              </w:drawing>
            </w:r>
          </w:p>
          <w:p w14:paraId="00ED838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B819C8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（三）特定产品的关键组件、关键工序符合相关要求</w:t>
            </w:r>
          </w:p>
          <w:p w14:paraId="71BD57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对特定产品，在符合本通知第一条第（一）项和第（二）项条件的基础上，应当符合财政部会同有关行业主管部门确定的其关键组件、关键工序在中国境内生产、完成等要求。</w:t>
            </w:r>
          </w:p>
          <w:p w14:paraId="37070BF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leftChars="0" w:right="0" w:rightChars="0" w:firstLine="0" w:firstLineChars="0"/>
              <w:jc w:val="left"/>
              <w:rPr>
                <w:rFonts w:hint="default" w:ascii="Helvetica" w:hAnsi="Helvetica" w:eastAsia="Helvetica" w:cs="Helvetica"/>
                <w:i w:val="0"/>
                <w:iCs w:val="0"/>
                <w:caps w:val="0"/>
                <w:color w:val="auto"/>
                <w:spacing w:val="0"/>
                <w:kern w:val="0"/>
                <w:sz w:val="21"/>
                <w:szCs w:val="21"/>
                <w:highlight w:val="none"/>
                <w:lang w:val="en-US" w:eastAsia="zh-CN" w:bidi="ar"/>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财政部会同有关行业主管部门自本通知施行之日起</w:t>
            </w:r>
            <w:r>
              <w:rPr>
                <w:rFonts w:hint="default" w:ascii="Helvetica" w:hAnsi="Helvetica" w:eastAsia="Helvetica" w:cs="Helvetica"/>
                <w:i w:val="0"/>
                <w:iCs w:val="0"/>
                <w:caps w:val="0"/>
                <w:color w:val="auto"/>
                <w:spacing w:val="0"/>
                <w:kern w:val="0"/>
                <w:sz w:val="24"/>
                <w:szCs w:val="24"/>
                <w:highlight w:val="none"/>
                <w:lang w:val="en-US" w:eastAsia="zh-CN" w:bidi="ar"/>
              </w:rPr>
              <w:t>5</w:t>
            </w:r>
            <w:r>
              <w:rPr>
                <w:rFonts w:hint="default" w:ascii="Helvetica" w:hAnsi="Helvetica" w:eastAsia="Helvetica" w:cs="Helvetica"/>
                <w:i w:val="0"/>
                <w:iCs w:val="0"/>
                <w:caps w:val="0"/>
                <w:color w:val="auto"/>
                <w:spacing w:val="0"/>
                <w:kern w:val="0"/>
                <w:sz w:val="21"/>
                <w:szCs w:val="21"/>
                <w:highlight w:val="none"/>
                <w:lang w:val="en-US" w:eastAsia="zh-CN" w:bidi="ar"/>
              </w:rPr>
              <w:t>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tc>
      </w:tr>
      <w:tr w14:paraId="6EACA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1B154D1">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32</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76ABC18C">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kern w:val="2"/>
                <w:sz w:val="21"/>
                <w:szCs w:val="21"/>
                <w:highlight w:val="none"/>
                <w:lang w:val="en-US" w:eastAsia="zh-CN" w:bidi="ar-SA"/>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14:paraId="64F33188">
            <w:pPr>
              <w:widowControl/>
              <w:tabs>
                <w:tab w:val="left" w:pos="720"/>
                <w:tab w:val="left" w:pos="900"/>
                <w:tab w:val="left" w:pos="1080"/>
                <w:tab w:val="left" w:pos="1260"/>
                <w:tab w:val="left" w:pos="1440"/>
                <w:tab w:val="left" w:pos="1800"/>
              </w:tabs>
              <w:spacing w:line="288" w:lineRule="auto"/>
              <w:jc w:val="left"/>
              <w:rPr>
                <w:rFonts w:hint="default" w:ascii="Times New Roman" w:hAnsi="Times New Roman" w:eastAsia="宋体" w:cs="Times New Roman"/>
                <w:color w:val="auto"/>
                <w:kern w:val="2"/>
                <w:sz w:val="21"/>
                <w:szCs w:val="21"/>
                <w:highlight w:val="none"/>
                <w:lang w:val="en-US" w:eastAsia="zh-CN" w:bidi="ar-SA"/>
              </w:rPr>
            </w:pP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14:paraId="5A17C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14:paraId="7EB58D5B">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14:paraId="1FEB17FE">
      <w:pPr>
        <w:rPr>
          <w:color w:val="auto"/>
          <w:highlight w:val="none"/>
        </w:rPr>
      </w:pPr>
      <w:r>
        <w:rPr>
          <w:rFonts w:hint="eastAsia"/>
          <w:color w:val="auto"/>
          <w:highlight w:val="none"/>
        </w:rPr>
        <w:br w:type="page"/>
      </w:r>
    </w:p>
    <w:bookmarkEnd w:id="0"/>
    <w:bookmarkEnd w:id="1"/>
    <w:bookmarkEnd w:id="2"/>
    <w:bookmarkEnd w:id="3"/>
    <w:bookmarkEnd w:id="4"/>
    <w:bookmarkEnd w:id="5"/>
    <w:bookmarkEnd w:id="6"/>
    <w:bookmarkEnd w:id="10"/>
    <w:bookmarkEnd w:id="11"/>
    <w:bookmarkEnd w:id="12"/>
    <w:p w14:paraId="63825379">
      <w:pPr>
        <w:spacing w:line="360" w:lineRule="auto"/>
        <w:jc w:val="center"/>
        <w:rPr>
          <w:rFonts w:hint="eastAsia" w:asciiTheme="minorEastAsia" w:hAnsiTheme="minorEastAsia" w:eastAsiaTheme="minorEastAsia" w:cstheme="minorEastAsia"/>
          <w:b/>
          <w:color w:val="auto"/>
          <w:sz w:val="28"/>
          <w:szCs w:val="28"/>
          <w:highlight w:val="none"/>
        </w:rPr>
      </w:pPr>
      <w:bookmarkStart w:id="13" w:name="_Toc120614211"/>
      <w:bookmarkStart w:id="14" w:name="_Toc534725597"/>
      <w:bookmarkStart w:id="15" w:name="_Toc513029242"/>
      <w:bookmarkStart w:id="16" w:name="_Toc494375079"/>
      <w:bookmarkStart w:id="17" w:name="_Toc479757207"/>
      <w:bookmarkStart w:id="18" w:name="_Toc16938558"/>
      <w:bookmarkStart w:id="19" w:name="_Toc120614221"/>
      <w:bookmarkStart w:id="20" w:name="_Toc20823314"/>
      <w:r>
        <w:rPr>
          <w:rFonts w:hint="eastAsia" w:asciiTheme="minorEastAsia" w:hAnsiTheme="minorEastAsia" w:eastAsiaTheme="minorEastAsia" w:cstheme="minorEastAsia"/>
          <w:b/>
          <w:color w:val="auto"/>
          <w:sz w:val="28"/>
          <w:szCs w:val="28"/>
          <w:highlight w:val="none"/>
          <w:lang w:val="en-US" w:eastAsia="zh-CN"/>
        </w:rPr>
        <w:t xml:space="preserve">第一章  </w:t>
      </w:r>
      <w:r>
        <w:rPr>
          <w:rFonts w:hint="eastAsia" w:asciiTheme="minorEastAsia" w:hAnsiTheme="minorEastAsia" w:eastAsiaTheme="minorEastAsia" w:cstheme="minorEastAsia"/>
          <w:b/>
          <w:color w:val="auto"/>
          <w:sz w:val="28"/>
          <w:szCs w:val="28"/>
          <w:highlight w:val="none"/>
        </w:rPr>
        <w:t>采购公告</w:t>
      </w:r>
    </w:p>
    <w:p w14:paraId="1AF1484E">
      <w:pPr>
        <w:pStyle w:val="40"/>
        <w:spacing w:line="360" w:lineRule="auto"/>
        <w:ind w:left="0" w:firstLine="0" w:firstLineChars="0"/>
        <w:jc w:val="cente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中国石油大学（北京）超临界萃取综合平台采购项目</w:t>
      </w:r>
    </w:p>
    <w:p w14:paraId="66FA19F6">
      <w:pPr>
        <w:pStyle w:val="40"/>
        <w:spacing w:line="360" w:lineRule="auto"/>
        <w:ind w:left="0" w:firstLine="0" w:firstLineChars="0"/>
        <w:jc w:val="center"/>
        <w:rPr>
          <w:rFonts w:hint="eastAsia" w:asciiTheme="minorEastAsia" w:hAnsiTheme="minorEastAsia" w:eastAsiaTheme="minorEastAsia" w:cstheme="minorEastAsia"/>
          <w:b/>
          <w:bCs/>
          <w:color w:val="auto"/>
          <w:sz w:val="28"/>
          <w:szCs w:val="28"/>
          <w:highlight w:val="none"/>
        </w:rPr>
      </w:pPr>
    </w:p>
    <w:tbl>
      <w:tblPr>
        <w:tblStyle w:val="41"/>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9"/>
      </w:tblGrid>
      <w:tr w14:paraId="6C9A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8719" w:type="dxa"/>
            <w:noWrap w:val="0"/>
            <w:vAlign w:val="top"/>
          </w:tcPr>
          <w:p w14:paraId="516304BF">
            <w:pPr>
              <w:pStyle w:val="37"/>
              <w:spacing w:line="360" w:lineRule="auto"/>
              <w:rPr>
                <w:rFonts w:hint="eastAsia" w:asciiTheme="minorEastAsia" w:hAnsiTheme="minorEastAsia" w:eastAsiaTheme="minorEastAsia" w:cstheme="minorEastAsia"/>
                <w:color w:val="auto"/>
                <w:highlight w:val="none"/>
              </w:rPr>
            </w:pPr>
            <w:bookmarkStart w:id="21" w:name="_Toc35393629"/>
            <w:bookmarkStart w:id="22" w:name="_Toc35393798"/>
            <w:bookmarkStart w:id="23" w:name="_Toc28359012"/>
            <w:bookmarkStart w:id="24" w:name="_Toc28359089"/>
            <w:r>
              <w:rPr>
                <w:rFonts w:hint="eastAsia" w:asciiTheme="minorEastAsia" w:hAnsiTheme="minorEastAsia" w:eastAsiaTheme="minorEastAsia" w:cstheme="minorEastAsia"/>
                <w:color w:val="auto"/>
                <w:highlight w:val="none"/>
              </w:rPr>
              <w:t>项目概况：</w:t>
            </w:r>
            <w:r>
              <w:rPr>
                <w:rFonts w:hint="eastAsia" w:asciiTheme="minorEastAsia" w:hAnsiTheme="minorEastAsia" w:eastAsiaTheme="minorEastAsia" w:cstheme="minorEastAsia"/>
                <w:color w:val="auto"/>
                <w:highlight w:val="none"/>
                <w:u w:val="single"/>
                <w:lang w:val="en-US" w:eastAsia="zh-CN"/>
              </w:rPr>
              <w:t>中国石油大学（北京）超临界萃取综合平台采购项目</w:t>
            </w:r>
            <w:r>
              <w:rPr>
                <w:rFonts w:hint="eastAsia" w:asciiTheme="minorEastAsia" w:hAnsiTheme="minorEastAsia" w:eastAsiaTheme="minorEastAsia" w:cstheme="minorEastAsia"/>
                <w:color w:val="auto"/>
                <w:highlight w:val="none"/>
              </w:rPr>
              <w:t>的潜在供应商应在</w:t>
            </w:r>
            <w:r>
              <w:rPr>
                <w:rFonts w:hint="eastAsia" w:asciiTheme="minorEastAsia" w:hAnsiTheme="minorEastAsia" w:eastAsiaTheme="minorEastAsia" w:cstheme="minorEastAsia"/>
                <w:color w:val="auto"/>
                <w:highlight w:val="none"/>
                <w:u w:val="single"/>
                <w:lang w:val="en-US" w:eastAsia="zh-CN"/>
              </w:rPr>
              <w:t>中国政府采购网</w:t>
            </w:r>
            <w:r>
              <w:rPr>
                <w:rFonts w:hint="eastAsia" w:asciiTheme="minorEastAsia" w:hAnsiTheme="minorEastAsia" w:eastAsiaTheme="minorEastAsia" w:cstheme="minorEastAsia"/>
                <w:color w:val="auto"/>
                <w:highlight w:val="none"/>
              </w:rPr>
              <w:t>获取</w:t>
            </w:r>
            <w:r>
              <w:rPr>
                <w:rFonts w:hint="eastAsia" w:asciiTheme="minorEastAsia" w:hAnsiTheme="minorEastAsia" w:eastAsiaTheme="minorEastAsia" w:cstheme="minorEastAsia"/>
                <w:color w:val="auto"/>
                <w:highlight w:val="none"/>
                <w:lang w:val="en-US" w:eastAsia="zh-CN"/>
              </w:rPr>
              <w:t>招标</w:t>
            </w:r>
            <w:r>
              <w:rPr>
                <w:rFonts w:hint="eastAsia" w:asciiTheme="minorEastAsia" w:hAnsiTheme="minorEastAsia" w:eastAsiaTheme="minorEastAsia" w:cstheme="minorEastAsia"/>
                <w:color w:val="auto"/>
                <w:highlight w:val="none"/>
              </w:rPr>
              <w:t>文件，并于</w:t>
            </w:r>
            <w:r>
              <w:rPr>
                <w:rFonts w:hint="eastAsia" w:asciiTheme="minorEastAsia" w:hAnsiTheme="minorEastAsia" w:eastAsiaTheme="minorEastAsia" w:cstheme="minorEastAsia"/>
                <w:color w:val="auto"/>
                <w:highlight w:val="none"/>
                <w:u w:val="single"/>
                <w:lang w:eastAsia="zh-CN"/>
              </w:rPr>
              <w:t>202</w:t>
            </w:r>
            <w:r>
              <w:rPr>
                <w:rFonts w:hint="eastAsia" w:asciiTheme="minorEastAsia" w:hAnsiTheme="minorEastAsia" w:eastAsiaTheme="minorEastAsia" w:cstheme="minorEastAsia"/>
                <w:color w:val="auto"/>
                <w:highlight w:val="none"/>
                <w:u w:val="single"/>
                <w:lang w:val="en-US" w:eastAsia="zh-CN"/>
              </w:rPr>
              <w:t>6</w:t>
            </w:r>
            <w:r>
              <w:rPr>
                <w:rFonts w:hint="eastAsia" w:asciiTheme="minorEastAsia" w:hAnsiTheme="minorEastAsia" w:eastAsiaTheme="minorEastAsia" w:cstheme="minorEastAsia"/>
                <w:color w:val="auto"/>
                <w:highlight w:val="none"/>
                <w:u w:val="single"/>
                <w:lang w:eastAsia="zh-CN"/>
              </w:rPr>
              <w:t>年</w:t>
            </w:r>
            <w:r>
              <w:rPr>
                <w:rFonts w:hint="eastAsia" w:asciiTheme="minorEastAsia" w:hAnsiTheme="minorEastAsia" w:eastAsia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lang w:eastAsia="zh-CN"/>
              </w:rPr>
              <w:t>月</w:t>
            </w:r>
            <w:r>
              <w:rPr>
                <w:rFonts w:hint="eastAsia" w:asciiTheme="minorEastAsia" w:hAnsiTheme="minorEastAsia" w:eastAsiaTheme="minorEastAsia" w:cstheme="minorEastAsia"/>
                <w:color w:val="auto"/>
                <w:highlight w:val="none"/>
                <w:u w:val="single"/>
                <w:lang w:val="en-US" w:eastAsia="zh-CN"/>
              </w:rPr>
              <w:t>12</w:t>
            </w:r>
            <w:r>
              <w:rPr>
                <w:rFonts w:hint="eastAsia" w:asciiTheme="minorEastAsia" w:hAnsiTheme="minorEastAsia" w:eastAsiaTheme="minorEastAsia" w:cstheme="minorEastAsia"/>
                <w:color w:val="auto"/>
                <w:highlight w:val="none"/>
                <w:u w:val="single"/>
                <w:lang w:eastAsia="zh-CN"/>
              </w:rPr>
              <w:t>日</w:t>
            </w:r>
            <w:r>
              <w:rPr>
                <w:rFonts w:hint="eastAsia" w:asciiTheme="minorEastAsia" w:hAnsiTheme="minorEastAsia" w:eastAsiaTheme="minorEastAsia" w:cstheme="minorEastAsia"/>
                <w:color w:val="auto"/>
                <w:highlight w:val="none"/>
                <w:u w:val="single"/>
                <w:lang w:val="en-US" w:eastAsia="zh-CN"/>
              </w:rPr>
              <w:t>16</w:t>
            </w:r>
            <w:r>
              <w:rPr>
                <w:rFonts w:hint="eastAsia" w:asciiTheme="minorEastAsia" w:hAnsiTheme="minorEastAsia" w:eastAsiaTheme="minorEastAsia" w:cstheme="minorEastAsia"/>
                <w:color w:val="auto"/>
                <w:highlight w:val="none"/>
                <w:u w:val="single"/>
                <w:lang w:eastAsia="zh-CN"/>
              </w:rPr>
              <w:t>点</w:t>
            </w:r>
            <w:r>
              <w:rPr>
                <w:rFonts w:hint="eastAsia" w:asciiTheme="minorEastAsia" w:hAnsiTheme="minorEastAsia" w:eastAsiaTheme="minorEastAsia" w:cstheme="minorEastAsia"/>
                <w:color w:val="auto"/>
                <w:highlight w:val="none"/>
                <w:u w:val="single"/>
                <w:lang w:val="en-US" w:eastAsia="zh-CN"/>
              </w:rPr>
              <w:t>00</w:t>
            </w:r>
            <w:r>
              <w:rPr>
                <w:rFonts w:hint="eastAsia" w:asciiTheme="minorEastAsia" w:hAnsiTheme="minorEastAsia" w:eastAsiaTheme="minorEastAsia" w:cstheme="minorEastAsia"/>
                <w:color w:val="auto"/>
                <w:highlight w:val="none"/>
                <w:u w:val="single"/>
                <w:lang w:eastAsia="zh-CN"/>
              </w:rPr>
              <w:t>分</w:t>
            </w:r>
            <w:r>
              <w:rPr>
                <w:rFonts w:hint="eastAsia" w:asciiTheme="minorEastAsia" w:hAnsiTheme="minorEastAsia" w:eastAsiaTheme="minorEastAsia" w:cstheme="minorEastAsia"/>
                <w:color w:val="auto"/>
                <w:highlight w:val="none"/>
              </w:rPr>
              <w:t>（北京时间）前</w:t>
            </w:r>
            <w:r>
              <w:rPr>
                <w:rFonts w:hint="eastAsia" w:asciiTheme="minorEastAsia" w:hAnsiTheme="minorEastAsia" w:eastAsiaTheme="minorEastAsia" w:cstheme="minorEastAsia"/>
                <w:color w:val="auto"/>
                <w:highlight w:val="none"/>
                <w:lang w:val="en-US" w:eastAsia="zh-CN"/>
              </w:rPr>
              <w:t>递交投标</w:t>
            </w:r>
            <w:r>
              <w:rPr>
                <w:rFonts w:hint="eastAsia" w:asciiTheme="minorEastAsia" w:hAnsiTheme="minorEastAsia" w:eastAsiaTheme="minorEastAsia" w:cstheme="minorEastAsia"/>
                <w:color w:val="auto"/>
                <w:highlight w:val="none"/>
              </w:rPr>
              <w:t>文件。</w:t>
            </w:r>
          </w:p>
        </w:tc>
      </w:tr>
    </w:tbl>
    <w:p w14:paraId="5BA8B1E0">
      <w:pPr>
        <w:pStyle w:val="4"/>
        <w:numPr>
          <w:ilvl w:val="0"/>
          <w:numId w:val="0"/>
        </w:numPr>
        <w:spacing w:before="0" w:after="0" w:line="360" w:lineRule="auto"/>
        <w:ind w:firstLine="482" w:firstLineChars="200"/>
        <w:rPr>
          <w:rFonts w:hint="eastAsia" w:asciiTheme="minorEastAsia" w:hAnsiTheme="minorEastAsia" w:eastAsiaTheme="minorEastAsia" w:cstheme="minorEastAsia"/>
          <w:bCs/>
          <w:i w:val="0"/>
          <w:color w:val="auto"/>
          <w:kern w:val="2"/>
          <w:sz w:val="24"/>
          <w:szCs w:val="24"/>
          <w:highlight w:val="none"/>
          <w:lang w:val="en-US" w:eastAsia="zh-CN"/>
        </w:rPr>
      </w:pPr>
      <w:r>
        <w:rPr>
          <w:rFonts w:hint="eastAsia" w:asciiTheme="minorEastAsia" w:hAnsiTheme="minorEastAsia" w:eastAsiaTheme="minorEastAsia" w:cstheme="minorEastAsia"/>
          <w:bCs/>
          <w:i w:val="0"/>
          <w:color w:val="auto"/>
          <w:kern w:val="2"/>
          <w:sz w:val="24"/>
          <w:szCs w:val="24"/>
          <w:highlight w:val="none"/>
          <w:lang w:val="en-US" w:eastAsia="zh-CN"/>
        </w:rPr>
        <w:t>一、项目基本情况</w:t>
      </w:r>
      <w:bookmarkEnd w:id="21"/>
      <w:bookmarkEnd w:id="22"/>
      <w:bookmarkEnd w:id="23"/>
      <w:bookmarkEnd w:id="24"/>
    </w:p>
    <w:p w14:paraId="4F9123CB">
      <w:pPr>
        <w:pStyle w:val="58"/>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w:t>
      </w:r>
      <w:r>
        <w:rPr>
          <w:rFonts w:hint="eastAsia" w:hAnsi="宋体" w:cs="宋体"/>
          <w:color w:val="auto"/>
          <w:sz w:val="24"/>
          <w:szCs w:val="24"/>
          <w:highlight w:val="none"/>
          <w:lang w:eastAsia="zh-CN"/>
        </w:rPr>
        <w:t>HYGS-ZC-2026-65</w:t>
      </w:r>
      <w:r>
        <w:rPr>
          <w:rFonts w:ascii="宋体" w:hAnsi="宋体" w:eastAsia="宋体" w:cs="宋体"/>
          <w:color w:val="auto"/>
          <w:sz w:val="24"/>
          <w:szCs w:val="24"/>
          <w:highlight w:val="none"/>
        </w:rPr>
        <w:t xml:space="preserve"> </w:t>
      </w:r>
    </w:p>
    <w:p w14:paraId="757ECFFB">
      <w:pPr>
        <w:pStyle w:val="58"/>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项目名称：</w:t>
      </w:r>
      <w:r>
        <w:rPr>
          <w:rFonts w:hint="eastAsia" w:hAnsi="宋体" w:cs="宋体"/>
          <w:color w:val="auto"/>
          <w:sz w:val="24"/>
          <w:szCs w:val="24"/>
          <w:highlight w:val="none"/>
          <w:lang w:eastAsia="zh-CN"/>
        </w:rPr>
        <w:t>中国石油大学（北京）超临界萃取综合平台采购项目</w:t>
      </w:r>
    </w:p>
    <w:p w14:paraId="2BE56E5F">
      <w:pPr>
        <w:pStyle w:val="58"/>
        <w:rPr>
          <w:rFonts w:ascii="宋体" w:hAnsi="宋体" w:eastAsia="宋体" w:cs="宋体"/>
          <w:color w:val="auto"/>
          <w:sz w:val="24"/>
          <w:szCs w:val="24"/>
          <w:highlight w:val="none"/>
        </w:rPr>
      </w:pPr>
      <w:r>
        <w:rPr>
          <w:rFonts w:ascii="宋体" w:hAnsi="宋体" w:eastAsia="宋体" w:cs="宋体"/>
          <w:color w:val="auto"/>
          <w:sz w:val="24"/>
          <w:szCs w:val="24"/>
          <w:highlight w:val="none"/>
        </w:rPr>
        <w:t>预算金额：</w:t>
      </w:r>
      <w:r>
        <w:rPr>
          <w:rFonts w:hint="eastAsia" w:hAnsi="宋体" w:cs="宋体"/>
          <w:color w:val="auto"/>
          <w:sz w:val="24"/>
          <w:szCs w:val="24"/>
          <w:highlight w:val="none"/>
          <w:lang w:val="en-US" w:eastAsia="zh-CN"/>
        </w:rPr>
        <w:t>62.9万元</w:t>
      </w:r>
      <w:r>
        <w:rPr>
          <w:rFonts w:hint="eastAsia" w:ascii="宋体" w:hAnsi="宋体" w:eastAsia="宋体" w:cs="Arial"/>
          <w:bCs/>
          <w:color w:val="auto"/>
          <w:kern w:val="0"/>
          <w:sz w:val="24"/>
          <w:szCs w:val="24"/>
          <w:highlight w:val="none"/>
          <w:lang w:val="en-US" w:eastAsia="zh-CN" w:bidi="ar-SA"/>
        </w:rPr>
        <w:t>（</w:t>
      </w:r>
      <w:r>
        <w:rPr>
          <w:rFonts w:ascii="宋体" w:hAnsi="宋体" w:eastAsia="宋体" w:cs="宋体"/>
          <w:color w:val="auto"/>
          <w:sz w:val="24"/>
          <w:szCs w:val="24"/>
          <w:highlight w:val="none"/>
        </w:rPr>
        <w:t xml:space="preserve">人民币） </w:t>
      </w:r>
    </w:p>
    <w:p w14:paraId="6E39F36E">
      <w:pPr>
        <w:rPr>
          <w:rFonts w:hint="eastAsia"/>
          <w:color w:val="auto"/>
          <w:highlight w:val="none"/>
          <w:lang w:val="en-US" w:eastAsia="zh-CN"/>
        </w:rPr>
      </w:pPr>
      <w:r>
        <w:rPr>
          <w:rFonts w:ascii="宋体" w:hAnsi="宋体" w:eastAsia="宋体" w:cs="宋体"/>
          <w:color w:val="auto"/>
          <w:sz w:val="24"/>
          <w:szCs w:val="24"/>
          <w:highlight w:val="none"/>
        </w:rPr>
        <w:t>最高限价（如有）：</w:t>
      </w:r>
      <w:r>
        <w:rPr>
          <w:rFonts w:hint="eastAsia" w:ascii="宋体" w:hAnsi="宋体" w:cs="宋体"/>
          <w:color w:val="auto"/>
          <w:sz w:val="24"/>
          <w:szCs w:val="24"/>
          <w:highlight w:val="none"/>
          <w:lang w:val="en-US" w:eastAsia="zh-CN"/>
        </w:rPr>
        <w:t>62.9万元</w:t>
      </w:r>
      <w:r>
        <w:rPr>
          <w:rFonts w:ascii="宋体" w:hAnsi="宋体" w:eastAsia="宋体" w:cs="宋体"/>
          <w:color w:val="auto"/>
          <w:sz w:val="24"/>
          <w:szCs w:val="24"/>
          <w:highlight w:val="none"/>
        </w:rPr>
        <w:t>（人民币）</w:t>
      </w:r>
    </w:p>
    <w:p w14:paraId="72FC123D">
      <w:pPr>
        <w:pStyle w:val="58"/>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采购需求：</w:t>
      </w:r>
    </w:p>
    <w:tbl>
      <w:tblPr>
        <w:tblStyle w:val="4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
        <w:gridCol w:w="2997"/>
        <w:gridCol w:w="1281"/>
        <w:gridCol w:w="1598"/>
        <w:gridCol w:w="1598"/>
      </w:tblGrid>
      <w:tr w14:paraId="3A01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045" w:type="dxa"/>
            <w:vAlign w:val="center"/>
          </w:tcPr>
          <w:p w14:paraId="0A059798">
            <w:pPr>
              <w:widowControl/>
              <w:jc w:val="center"/>
              <w:textAlignment w:val="center"/>
              <w:rPr>
                <w:rFonts w:hint="eastAsia" w:asciiTheme="minorEastAsia" w:hAnsiTheme="minorEastAsia" w:eastAsiaTheme="minorEastAsia" w:cstheme="minorEastAsia"/>
                <w:color w:val="auto"/>
                <w:sz w:val="24"/>
                <w:highlight w:val="none"/>
                <w:vertAlign w:val="baseline"/>
                <w:lang w:eastAsia="zh-CN"/>
              </w:rPr>
            </w:pPr>
            <w:r>
              <w:rPr>
                <w:rFonts w:hint="eastAsia" w:ascii="宋体" w:hAnsi="宋体" w:cs="宋体"/>
                <w:color w:val="auto"/>
                <w:kern w:val="0"/>
                <w:sz w:val="24"/>
                <w:szCs w:val="24"/>
                <w:highlight w:val="none"/>
              </w:rPr>
              <w:t>包号</w:t>
            </w:r>
          </w:p>
        </w:tc>
        <w:tc>
          <w:tcPr>
            <w:tcW w:w="2997" w:type="dxa"/>
            <w:vAlign w:val="center"/>
          </w:tcPr>
          <w:p w14:paraId="46CA5743">
            <w:pPr>
              <w:widowControl/>
              <w:jc w:val="center"/>
              <w:textAlignment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采购品目名称</w:t>
            </w:r>
          </w:p>
        </w:tc>
        <w:tc>
          <w:tcPr>
            <w:tcW w:w="1281" w:type="dxa"/>
            <w:vAlign w:val="center"/>
          </w:tcPr>
          <w:p w14:paraId="70D082A0">
            <w:pPr>
              <w:widowControl/>
              <w:jc w:val="center"/>
              <w:textAlignment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单位</w:t>
            </w:r>
          </w:p>
        </w:tc>
        <w:tc>
          <w:tcPr>
            <w:tcW w:w="1598" w:type="dxa"/>
            <w:vAlign w:val="center"/>
          </w:tcPr>
          <w:p w14:paraId="5044FB32">
            <w:pPr>
              <w:widowControl/>
              <w:jc w:val="center"/>
              <w:textAlignment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采购数量</w:t>
            </w:r>
          </w:p>
        </w:tc>
        <w:tc>
          <w:tcPr>
            <w:tcW w:w="1598" w:type="dxa"/>
            <w:shd w:val="clear" w:color="auto" w:fill="auto"/>
            <w:vAlign w:val="center"/>
          </w:tcPr>
          <w:p w14:paraId="4BC60DFF">
            <w:pPr>
              <w:widowControl/>
              <w:jc w:val="center"/>
              <w:textAlignment w:val="cente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备注</w:t>
            </w:r>
          </w:p>
        </w:tc>
      </w:tr>
      <w:tr w14:paraId="7EFC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1045" w:type="dxa"/>
            <w:vAlign w:val="center"/>
          </w:tcPr>
          <w:p w14:paraId="26B2B0F4">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2997" w:type="dxa"/>
            <w:vAlign w:val="center"/>
          </w:tcPr>
          <w:p w14:paraId="11AC909C">
            <w:pPr>
              <w:widowControl/>
              <w:jc w:val="center"/>
              <w:textAlignment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超临界萃取综合平台</w:t>
            </w:r>
          </w:p>
        </w:tc>
        <w:tc>
          <w:tcPr>
            <w:tcW w:w="1281" w:type="dxa"/>
            <w:vAlign w:val="center"/>
          </w:tcPr>
          <w:p w14:paraId="0A7269AC">
            <w:pPr>
              <w:widowControl/>
              <w:jc w:val="center"/>
              <w:textAlignment w:val="center"/>
              <w:rPr>
                <w:rFonts w:hint="default" w:ascii="宋体" w:hAnsi="宋体" w:cs="宋体"/>
                <w:color w:val="auto"/>
                <w:kern w:val="0"/>
                <w:sz w:val="24"/>
                <w:szCs w:val="24"/>
                <w:highlight w:val="none"/>
                <w:lang w:val="en-US" w:eastAsia="zh-CN"/>
              </w:rPr>
            </w:pPr>
            <w:r>
              <w:rPr>
                <w:rFonts w:hint="default" w:ascii="宋体" w:hAnsi="宋体" w:cs="宋体"/>
                <w:color w:val="auto"/>
                <w:kern w:val="0"/>
                <w:sz w:val="24"/>
                <w:szCs w:val="24"/>
                <w:highlight w:val="none"/>
                <w:lang w:val="en-US" w:eastAsia="zh-CN"/>
              </w:rPr>
              <w:t>套</w:t>
            </w:r>
          </w:p>
        </w:tc>
        <w:tc>
          <w:tcPr>
            <w:tcW w:w="1598" w:type="dxa"/>
            <w:vAlign w:val="center"/>
          </w:tcPr>
          <w:p w14:paraId="5FFE6D8E">
            <w:pPr>
              <w:widowControl/>
              <w:jc w:val="center"/>
              <w:textAlignment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w:t>
            </w:r>
          </w:p>
        </w:tc>
        <w:tc>
          <w:tcPr>
            <w:tcW w:w="1598" w:type="dxa"/>
            <w:shd w:val="clear" w:color="auto" w:fill="auto"/>
            <w:vAlign w:val="center"/>
          </w:tcPr>
          <w:p w14:paraId="204E23FA">
            <w:pPr>
              <w:widowControl/>
              <w:jc w:val="center"/>
              <w:textAlignment w:val="center"/>
              <w:rPr>
                <w:rFonts w:hint="eastAsia" w:ascii="宋体" w:hAnsi="宋体" w:cs="宋体"/>
                <w:color w:val="auto"/>
                <w:kern w:val="0"/>
                <w:sz w:val="24"/>
                <w:szCs w:val="24"/>
                <w:highlight w:val="none"/>
                <w:lang w:val="en-US" w:eastAsia="zh-CN"/>
              </w:rPr>
            </w:pPr>
          </w:p>
        </w:tc>
      </w:tr>
    </w:tbl>
    <w:p w14:paraId="11A8DFF6">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bookmarkStart w:id="25" w:name="_Toc28359090"/>
      <w:bookmarkStart w:id="26" w:name="_Toc28359013"/>
      <w:bookmarkStart w:id="27" w:name="_Toc35393630"/>
      <w:bookmarkStart w:id="28" w:name="_Toc35393799"/>
      <w:bookmarkStart w:id="29" w:name="_Toc35393631"/>
      <w:bookmarkStart w:id="30" w:name="_Toc35393800"/>
      <w:bookmarkStart w:id="31" w:name="_Toc28359091"/>
      <w:bookmarkStart w:id="32" w:name="_Toc28359014"/>
      <w:r>
        <w:rPr>
          <w:rFonts w:hint="eastAsia" w:hAnsi="宋体" w:cs="宋体"/>
          <w:color w:val="auto"/>
          <w:sz w:val="24"/>
          <w:szCs w:val="24"/>
          <w:highlight w:val="none"/>
          <w:lang w:val="en-US" w:eastAsia="zh-CN"/>
        </w:rPr>
        <w:t>合同履约期限</w:t>
      </w:r>
      <w:r>
        <w:rPr>
          <w:rFonts w:hint="eastAsia" w:asciiTheme="minorEastAsia" w:hAnsiTheme="minorEastAsia" w:eastAsiaTheme="minorEastAsia" w:cstheme="minorEastAsia"/>
          <w:b w:val="0"/>
          <w:bCs w:val="0"/>
          <w:color w:val="auto"/>
          <w:sz w:val="24"/>
          <w:highlight w:val="none"/>
        </w:rPr>
        <w:t>：自采购合同签订后</w:t>
      </w:r>
      <w:r>
        <w:rPr>
          <w:rFonts w:hint="eastAsia" w:asciiTheme="minorEastAsia" w:hAnsiTheme="minorEastAsia" w:eastAsiaTheme="minorEastAsia" w:cstheme="minorEastAsia"/>
          <w:b w:val="0"/>
          <w:bCs w:val="0"/>
          <w:color w:val="auto"/>
          <w:sz w:val="24"/>
          <w:highlight w:val="none"/>
          <w:lang w:val="en-US" w:eastAsia="zh-CN"/>
        </w:rPr>
        <w:t>60</w:t>
      </w:r>
      <w:r>
        <w:rPr>
          <w:rFonts w:hint="eastAsia" w:asciiTheme="minorEastAsia" w:hAnsiTheme="minorEastAsia" w:eastAsiaTheme="minorEastAsia" w:cstheme="minorEastAsia"/>
          <w:b w:val="0"/>
          <w:bCs w:val="0"/>
          <w:color w:val="auto"/>
          <w:sz w:val="24"/>
          <w:highlight w:val="none"/>
        </w:rPr>
        <w:t>日内交货并完成安装调试。</w:t>
      </w:r>
    </w:p>
    <w:p w14:paraId="0D06D0DD">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本项目不接受联合体投标。</w:t>
      </w:r>
    </w:p>
    <w:p w14:paraId="4F535A2A">
      <w:pPr>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二、申请人的资格要求：</w:t>
      </w:r>
      <w:bookmarkEnd w:id="25"/>
      <w:bookmarkEnd w:id="26"/>
      <w:bookmarkEnd w:id="27"/>
      <w:bookmarkEnd w:id="28"/>
    </w:p>
    <w:p w14:paraId="44F6C40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1.满足《中华人民共和国政府采购法》第二十二条规定；</w:t>
      </w:r>
    </w:p>
    <w:p w14:paraId="43D791FA">
      <w:pPr>
        <w:spacing w:line="360" w:lineRule="auto"/>
        <w:ind w:firstLine="480" w:firstLineChars="200"/>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.落实政府采购政策需满足的资格要求：</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本项目专门面向中小企业采购。</w:t>
      </w:r>
      <w:r>
        <w:rPr>
          <w:rFonts w:hint="eastAsia" w:asciiTheme="minorEastAsia" w:hAnsiTheme="minorEastAsia" w:eastAsiaTheme="minorEastAsia" w:cstheme="minorEastAsia"/>
          <w:color w:val="auto"/>
          <w:sz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2C9D579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.本项目的特定资格要求：</w:t>
      </w:r>
    </w:p>
    <w:p w14:paraId="05F98F3B">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（1）与招标人存在利害关系可能影响招标公正性的法人、其他组织或者个人，不得参加同一标段投标或者未划分标段的同一招标不得参加投标；</w:t>
      </w:r>
    </w:p>
    <w:p w14:paraId="3899345D">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（2）投标单位负责人为同一人或者存在直接控股、管理关系的不同投标人不得参加同一合同项下的采购活动。</w:t>
      </w:r>
    </w:p>
    <w:p w14:paraId="5082DE06">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bookmarkEnd w:id="29"/>
    <w:bookmarkEnd w:id="30"/>
    <w:bookmarkEnd w:id="31"/>
    <w:bookmarkEnd w:id="32"/>
    <w:p w14:paraId="38EAAA7F">
      <w:pPr>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三、获取</w:t>
      </w:r>
      <w:r>
        <w:rPr>
          <w:rFonts w:hint="eastAsia" w:asciiTheme="minorEastAsia" w:hAnsiTheme="minorEastAsia" w:eastAsiaTheme="minorEastAsia" w:cstheme="minorEastAsia"/>
          <w:b/>
          <w:bCs/>
          <w:color w:val="auto"/>
          <w:sz w:val="24"/>
          <w:highlight w:val="none"/>
          <w:lang w:val="en-US" w:eastAsia="zh-CN"/>
        </w:rPr>
        <w:t>招标</w:t>
      </w:r>
      <w:r>
        <w:rPr>
          <w:rFonts w:hint="eastAsia" w:asciiTheme="minorEastAsia" w:hAnsiTheme="minorEastAsia" w:eastAsiaTheme="minorEastAsia" w:cstheme="minorEastAsia"/>
          <w:b/>
          <w:bCs/>
          <w:color w:val="auto"/>
          <w:sz w:val="24"/>
          <w:highlight w:val="none"/>
        </w:rPr>
        <w:t>文件</w:t>
      </w:r>
    </w:p>
    <w:p w14:paraId="65165B9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时间：</w:t>
      </w:r>
      <w:r>
        <w:rPr>
          <w:rFonts w:hint="eastAsia" w:asciiTheme="minorEastAsia" w:hAnsiTheme="minorEastAsia" w:eastAsiaTheme="minorEastAsia" w:cstheme="minorEastAsia"/>
          <w:color w:val="auto"/>
          <w:sz w:val="24"/>
          <w:highlight w:val="none"/>
          <w:lang w:eastAsia="zh-CN"/>
        </w:rPr>
        <w:t>202</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09</w:t>
      </w:r>
      <w:r>
        <w:rPr>
          <w:rFonts w:hint="eastAsia" w:asciiTheme="minorEastAsia" w:hAnsiTheme="minorEastAsia" w:eastAsiaTheme="minorEastAsia" w:cstheme="minorEastAsia"/>
          <w:color w:val="auto"/>
          <w:sz w:val="24"/>
          <w:highlight w:val="none"/>
        </w:rPr>
        <w:t>日至</w:t>
      </w:r>
      <w:r>
        <w:rPr>
          <w:rFonts w:hint="eastAsia" w:asciiTheme="minorEastAsia" w:hAnsiTheme="minorEastAsia" w:eastAsiaTheme="minorEastAsia" w:cstheme="minorEastAsia"/>
          <w:color w:val="auto"/>
          <w:sz w:val="24"/>
          <w:highlight w:val="none"/>
          <w:lang w:eastAsia="zh-CN"/>
        </w:rPr>
        <w:t>202</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15</w:t>
      </w:r>
      <w:r>
        <w:rPr>
          <w:rFonts w:hint="eastAsia" w:asciiTheme="minorEastAsia" w:hAnsiTheme="minorEastAsia" w:eastAsiaTheme="minorEastAsia" w:cstheme="minorEastAsia"/>
          <w:color w:val="auto"/>
          <w:sz w:val="24"/>
          <w:highlight w:val="none"/>
        </w:rPr>
        <w:t>日（每天上午10:00至13:30，下午16:00至19:30（北京时间，法定节假日除外）</w:t>
      </w:r>
    </w:p>
    <w:p w14:paraId="1F46EEC1">
      <w:pPr>
        <w:spacing w:line="360" w:lineRule="auto"/>
        <w:ind w:firstLine="480" w:firstLineChars="200"/>
        <w:rPr>
          <w:rFonts w:hint="eastAsia" w:asciiTheme="minorEastAsia" w:hAnsiTheme="minorEastAsia" w:eastAsiaTheme="minorEastAsia" w:cstheme="minorEastAsia"/>
          <w:color w:val="auto"/>
          <w:sz w:val="24"/>
          <w:highlight w:val="none"/>
        </w:rPr>
      </w:pPr>
      <w:bookmarkStart w:id="33" w:name="_Toc28359015"/>
      <w:bookmarkStart w:id="34" w:name="_Toc35393632"/>
      <w:bookmarkStart w:id="35" w:name="_Toc28359092"/>
      <w:bookmarkStart w:id="36" w:name="_Toc35393801"/>
      <w:r>
        <w:rPr>
          <w:rFonts w:hint="eastAsia" w:asciiTheme="minorEastAsia" w:hAnsiTheme="minorEastAsia" w:eastAsiaTheme="minorEastAsia" w:cstheme="minorEastAsia"/>
          <w:color w:val="auto"/>
          <w:sz w:val="24"/>
          <w:highlight w:val="none"/>
        </w:rPr>
        <w:t>地点：中国政府采购网</w:t>
      </w:r>
    </w:p>
    <w:bookmarkEnd w:id="33"/>
    <w:bookmarkEnd w:id="34"/>
    <w:bookmarkEnd w:id="35"/>
    <w:bookmarkEnd w:id="36"/>
    <w:p w14:paraId="1D30B786">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bookmarkStart w:id="37" w:name="_Toc35393804"/>
      <w:bookmarkStart w:id="38" w:name="_Toc35393635"/>
      <w:r>
        <w:rPr>
          <w:rFonts w:hint="eastAsia" w:asciiTheme="minorEastAsia" w:hAnsiTheme="minorEastAsia" w:eastAsiaTheme="minorEastAsia" w:cstheme="minorEastAsia"/>
          <w:color w:val="auto"/>
          <w:sz w:val="24"/>
          <w:highlight w:val="none"/>
        </w:rPr>
        <w:t>方式：中国政府采购网</w:t>
      </w:r>
      <w:r>
        <w:rPr>
          <w:rFonts w:hint="eastAsia" w:asciiTheme="minorEastAsia" w:hAnsiTheme="minorEastAsia" w:eastAsiaTheme="minorEastAsia" w:cstheme="minorEastAsia"/>
          <w:color w:val="auto"/>
          <w:sz w:val="24"/>
          <w:highlight w:val="none"/>
          <w:lang w:val="en-US" w:eastAsia="zh-CN"/>
        </w:rPr>
        <w:t>下载</w:t>
      </w:r>
    </w:p>
    <w:p w14:paraId="73B89CCC">
      <w:pPr>
        <w:spacing w:line="360" w:lineRule="auto"/>
        <w:ind w:firstLine="5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售价：0.00元</w:t>
      </w:r>
    </w:p>
    <w:p w14:paraId="16CFA2E2">
      <w:pPr>
        <w:spacing w:line="360" w:lineRule="auto"/>
        <w:ind w:firstLine="482" w:firstLineChars="200"/>
        <w:rPr>
          <w:rFonts w:hint="eastAsia" w:asciiTheme="minorEastAsia" w:hAnsiTheme="minorEastAsia" w:eastAsiaTheme="minorEastAsia" w:cstheme="minorEastAsia"/>
          <w:b/>
          <w:bCs/>
          <w:color w:val="auto"/>
          <w:kern w:val="2"/>
          <w:sz w:val="24"/>
          <w:szCs w:val="21"/>
          <w:highlight w:val="none"/>
          <w:lang w:val="en-US" w:eastAsia="zh-CN" w:bidi="ar-SA"/>
        </w:rPr>
      </w:pPr>
      <w:r>
        <w:rPr>
          <w:rFonts w:hint="eastAsia" w:asciiTheme="minorEastAsia" w:hAnsiTheme="minorEastAsia" w:eastAsiaTheme="minorEastAsia" w:cstheme="minorEastAsia"/>
          <w:b/>
          <w:bCs/>
          <w:color w:val="auto"/>
          <w:kern w:val="2"/>
          <w:sz w:val="24"/>
          <w:szCs w:val="21"/>
          <w:highlight w:val="none"/>
          <w:lang w:val="en-US" w:eastAsia="zh-CN" w:bidi="ar-SA"/>
        </w:rPr>
        <w:t>四、提交投标文件截止时间、开标时间和地点</w:t>
      </w:r>
    </w:p>
    <w:p w14:paraId="627348B2">
      <w:pPr>
        <w:pStyle w:val="37"/>
        <w:spacing w:before="0" w:beforeAutospacing="0" w:after="0" w:afterAutospacing="0" w:line="360" w:lineRule="auto"/>
        <w:ind w:firstLine="480" w:firstLineChars="200"/>
        <w:rPr>
          <w:rFonts w:hint="eastAsia" w:asciiTheme="minorEastAsia" w:hAnsiTheme="minorEastAsia" w:eastAsiaTheme="minorEastAsia" w:cstheme="minorEastAsia"/>
          <w:color w:val="auto"/>
          <w:highlight w:val="none"/>
        </w:rPr>
      </w:pPr>
      <w:bookmarkStart w:id="39" w:name="_Toc28359016"/>
      <w:bookmarkStart w:id="40" w:name="_Toc28359093"/>
      <w:bookmarkStart w:id="41" w:name="_Toc35393633"/>
      <w:bookmarkStart w:id="42" w:name="_Toc35393802"/>
      <w:r>
        <w:rPr>
          <w:rFonts w:hint="eastAsia" w:asciiTheme="minorEastAsia" w:hAnsiTheme="minorEastAsia" w:eastAsiaTheme="minorEastAsia" w:cstheme="minorEastAsia"/>
          <w:color w:val="auto"/>
          <w:highlight w:val="none"/>
        </w:rPr>
        <w:t>提交投标文件截止时间：202</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12</w:t>
      </w:r>
      <w:r>
        <w:rPr>
          <w:rFonts w:hint="eastAsia" w:asciiTheme="minorEastAsia" w:hAnsiTheme="minorEastAsia" w:eastAsiaTheme="minorEastAsia" w:cstheme="minorEastAsia"/>
          <w:color w:val="auto"/>
          <w:highlight w:val="none"/>
        </w:rPr>
        <w:t xml:space="preserve">日 </w:t>
      </w:r>
      <w:r>
        <w:rPr>
          <w:rFonts w:hint="eastAsia" w:asciiTheme="minorEastAsia" w:hAnsiTheme="minorEastAsia" w:eastAsiaTheme="minorEastAsia" w:cstheme="minorEastAsia"/>
          <w:color w:val="auto"/>
          <w:highlight w:val="none"/>
          <w:lang w:val="en-US" w:eastAsia="zh-CN"/>
        </w:rPr>
        <w:t>16</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00</w:t>
      </w:r>
      <w:r>
        <w:rPr>
          <w:rFonts w:hint="eastAsia" w:asciiTheme="minorEastAsia" w:hAnsiTheme="minorEastAsia" w:eastAsiaTheme="minorEastAsia" w:cstheme="minorEastAsia"/>
          <w:color w:val="auto"/>
          <w:highlight w:val="none"/>
        </w:rPr>
        <w:t>分（北京时间）</w:t>
      </w:r>
    </w:p>
    <w:p w14:paraId="1C915BAD">
      <w:pPr>
        <w:pStyle w:val="37"/>
        <w:spacing w:before="0" w:beforeAutospacing="0" w:after="0" w:afterAutospacing="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开标时间：202</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12</w:t>
      </w:r>
      <w:r>
        <w:rPr>
          <w:rFonts w:hint="eastAsia" w:asciiTheme="minorEastAsia" w:hAnsiTheme="minorEastAsia" w:eastAsiaTheme="minorEastAsia" w:cstheme="minorEastAsia"/>
          <w:color w:val="auto"/>
          <w:highlight w:val="none"/>
        </w:rPr>
        <w:t xml:space="preserve">日 </w:t>
      </w:r>
      <w:r>
        <w:rPr>
          <w:rFonts w:hint="eastAsia" w:asciiTheme="minorEastAsia" w:hAnsiTheme="minorEastAsia" w:eastAsiaTheme="minorEastAsia" w:cstheme="minorEastAsia"/>
          <w:color w:val="auto"/>
          <w:highlight w:val="none"/>
          <w:lang w:val="en-US" w:eastAsia="zh-CN"/>
        </w:rPr>
        <w:t>16</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00</w:t>
      </w:r>
      <w:r>
        <w:rPr>
          <w:rFonts w:hint="eastAsia" w:asciiTheme="minorEastAsia" w:hAnsiTheme="minorEastAsia" w:eastAsiaTheme="minorEastAsia" w:cstheme="minorEastAsia"/>
          <w:color w:val="auto"/>
          <w:highlight w:val="none"/>
        </w:rPr>
        <w:t>分（北京时间）</w:t>
      </w:r>
    </w:p>
    <w:p w14:paraId="68633A93">
      <w:pPr>
        <w:pStyle w:val="37"/>
        <w:spacing w:before="0" w:beforeAutospacing="0" w:after="0" w:afterAutospacing="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地点：克拉玛依市恒隆广场A座4</w:t>
      </w:r>
      <w:r>
        <w:rPr>
          <w:rFonts w:hint="eastAsia" w:asciiTheme="minorEastAsia" w:hAnsiTheme="minorEastAsia" w:eastAsiaTheme="minorEastAsia" w:cstheme="minorEastAsia"/>
          <w:color w:val="auto"/>
          <w:highlight w:val="none"/>
          <w:lang w:val="en-US" w:eastAsia="zh-CN"/>
        </w:rPr>
        <w:t>12-1</w:t>
      </w:r>
      <w:r>
        <w:rPr>
          <w:rFonts w:hint="eastAsia" w:asciiTheme="minorEastAsia" w:hAnsiTheme="minorEastAsia" w:eastAsiaTheme="minorEastAsia" w:cstheme="minorEastAsia"/>
          <w:color w:val="auto"/>
          <w:highlight w:val="none"/>
        </w:rPr>
        <w:t>室</w:t>
      </w:r>
    </w:p>
    <w:bookmarkEnd w:id="39"/>
    <w:bookmarkEnd w:id="40"/>
    <w:bookmarkEnd w:id="41"/>
    <w:bookmarkEnd w:id="42"/>
    <w:p w14:paraId="728F13F2">
      <w:pPr>
        <w:pStyle w:val="37"/>
        <w:numPr>
          <w:ilvl w:val="0"/>
          <w:numId w:val="0"/>
        </w:numPr>
        <w:spacing w:before="0" w:beforeAutospacing="0" w:after="0" w:afterAutospacing="0" w:line="360" w:lineRule="auto"/>
        <w:ind w:firstLine="482" w:firstLineChars="200"/>
        <w:rPr>
          <w:rFonts w:hint="eastAsia" w:asciiTheme="minorEastAsia" w:hAnsiTheme="minorEastAsia" w:eastAsiaTheme="minorEastAsia" w:cstheme="minorEastAsia"/>
          <w:b/>
          <w:bCs/>
          <w:color w:val="auto"/>
          <w:highlight w:val="none"/>
        </w:rPr>
      </w:pPr>
      <w:bookmarkStart w:id="43" w:name="_Toc35393803"/>
      <w:bookmarkStart w:id="44" w:name="_Toc28359017"/>
      <w:bookmarkStart w:id="45" w:name="_Toc35393634"/>
      <w:bookmarkStart w:id="46" w:name="_Toc28359094"/>
      <w:r>
        <w:rPr>
          <w:rFonts w:hint="eastAsia" w:asciiTheme="minorEastAsia" w:hAnsiTheme="minorEastAsia" w:eastAsiaTheme="minorEastAsia" w:cstheme="minorEastAsia"/>
          <w:b/>
          <w:bCs/>
          <w:color w:val="auto"/>
          <w:highlight w:val="none"/>
          <w:lang w:eastAsia="zh-CN"/>
        </w:rPr>
        <w:t>五、</w:t>
      </w:r>
      <w:r>
        <w:rPr>
          <w:rFonts w:hint="eastAsia" w:asciiTheme="minorEastAsia" w:hAnsiTheme="minorEastAsia" w:eastAsiaTheme="minorEastAsia" w:cstheme="minorEastAsia"/>
          <w:b/>
          <w:bCs/>
          <w:color w:val="auto"/>
          <w:highlight w:val="none"/>
        </w:rPr>
        <w:t>公告期限</w:t>
      </w:r>
      <w:bookmarkEnd w:id="43"/>
      <w:bookmarkEnd w:id="44"/>
      <w:bookmarkEnd w:id="45"/>
      <w:bookmarkEnd w:id="46"/>
    </w:p>
    <w:p w14:paraId="7B0082DB">
      <w:pPr>
        <w:pStyle w:val="37"/>
        <w:spacing w:before="0" w:beforeAutospacing="0" w:after="0" w:afterAutospacing="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w:t>
      </w: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个工作日</w:t>
      </w:r>
    </w:p>
    <w:p w14:paraId="4B818702">
      <w:pPr>
        <w:pStyle w:val="37"/>
        <w:numPr>
          <w:ilvl w:val="0"/>
          <w:numId w:val="0"/>
        </w:numPr>
        <w:spacing w:before="0" w:beforeAutospacing="0" w:after="0" w:afterAutospacing="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eastAsia="zh-CN"/>
        </w:rPr>
        <w:t>六、</w:t>
      </w:r>
      <w:r>
        <w:rPr>
          <w:rFonts w:hint="eastAsia" w:asciiTheme="minorEastAsia" w:hAnsiTheme="minorEastAsia" w:eastAsiaTheme="minorEastAsia" w:cstheme="minorEastAsia"/>
          <w:b/>
          <w:bCs/>
          <w:color w:val="auto"/>
          <w:highlight w:val="none"/>
        </w:rPr>
        <w:t>其他补充事宜</w:t>
      </w:r>
      <w:bookmarkEnd w:id="37"/>
      <w:bookmarkEnd w:id="38"/>
    </w:p>
    <w:p w14:paraId="6FD40944">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bookmarkStart w:id="47" w:name="_Toc28359018"/>
      <w:bookmarkStart w:id="48" w:name="_Toc28359095"/>
      <w:bookmarkStart w:id="49" w:name="_Toc35393805"/>
      <w:bookmarkStart w:id="50" w:name="_Toc35393636"/>
      <w:r>
        <w:rPr>
          <w:rFonts w:hint="eastAsia" w:asciiTheme="minorEastAsia" w:hAnsiTheme="minorEastAsia" w:eastAsiaTheme="minorEastAsia" w:cstheme="minorEastAsia"/>
          <w:color w:val="auto"/>
          <w:sz w:val="24"/>
          <w:highlight w:val="none"/>
          <w:lang w:val="en-US" w:eastAsia="zh-CN"/>
        </w:rPr>
        <w:t>领取招标文件时：需将单位名称、所投项目名称、联系人、联系方式和电子邮箱号书写在一张A4纸上并加盖公章，扫描件递交至</w:t>
      </w:r>
      <w:r>
        <w:rPr>
          <w:rFonts w:hint="eastAsia" w:asciiTheme="minorEastAsia" w:hAnsiTheme="minorEastAsia" w:eastAsiaTheme="minorEastAsia" w:cstheme="minorEastAsia"/>
          <w:color w:val="auto"/>
          <w:sz w:val="24"/>
          <w:highlight w:val="none"/>
        </w:rPr>
        <w:t>新疆宏宇建设工程项目管理有限责任公司（克拉玛依市恒隆广场A座401室）</w:t>
      </w:r>
      <w:r>
        <w:rPr>
          <w:rFonts w:hint="eastAsia" w:asciiTheme="minorEastAsia" w:hAnsiTheme="minorEastAsia" w:eastAsiaTheme="minorEastAsia" w:cstheme="minorEastAsia"/>
          <w:color w:val="auto"/>
          <w:sz w:val="24"/>
          <w:highlight w:val="none"/>
          <w:lang w:val="en-US" w:eastAsia="zh-CN"/>
        </w:rPr>
        <w:t>，或发送至指定邮箱1504448575@qq.com</w:t>
      </w:r>
    </w:p>
    <w:p w14:paraId="14D6EE24">
      <w:pPr>
        <w:spacing w:line="360" w:lineRule="auto"/>
        <w:ind w:firstLine="482" w:firstLineChars="200"/>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lang w:eastAsia="zh-CN"/>
        </w:rPr>
        <w:t>七、</w:t>
      </w:r>
      <w:r>
        <w:rPr>
          <w:rFonts w:hint="eastAsia" w:asciiTheme="minorEastAsia" w:hAnsiTheme="minorEastAsia" w:eastAsiaTheme="minorEastAsia" w:cstheme="minorEastAsia"/>
          <w:b/>
          <w:bCs/>
          <w:color w:val="auto"/>
          <w:kern w:val="0"/>
          <w:sz w:val="24"/>
          <w:highlight w:val="none"/>
        </w:rPr>
        <w:t>凡对本次采购提出询问，请按以下方式联系。</w:t>
      </w:r>
      <w:bookmarkEnd w:id="47"/>
      <w:bookmarkEnd w:id="48"/>
      <w:bookmarkEnd w:id="49"/>
      <w:bookmarkEnd w:id="50"/>
      <w:bookmarkStart w:id="51" w:name="_Toc28359096"/>
      <w:bookmarkStart w:id="52" w:name="_Toc28359019"/>
      <w:bookmarkStart w:id="53" w:name="_Toc35393637"/>
      <w:bookmarkStart w:id="54" w:name="_Toc35393806"/>
    </w:p>
    <w:bookmarkEnd w:id="51"/>
    <w:bookmarkEnd w:id="52"/>
    <w:bookmarkEnd w:id="53"/>
    <w:bookmarkEnd w:id="54"/>
    <w:p w14:paraId="7A93ED1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1.采购人信息</w:t>
      </w:r>
    </w:p>
    <w:p w14:paraId="398E5ED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    称：中国石油大学（北京）  </w:t>
      </w:r>
    </w:p>
    <w:p w14:paraId="62D47D2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    址：新疆克拉玛依市克拉玛依区安定路355号          </w:t>
      </w:r>
    </w:p>
    <w:p w14:paraId="68D10E0B">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联 系 人：</w:t>
      </w:r>
      <w:r>
        <w:rPr>
          <w:rFonts w:hint="eastAsia" w:asciiTheme="minorEastAsia" w:hAnsiTheme="minorEastAsia" w:eastAsiaTheme="minorEastAsia" w:cstheme="minorEastAsia"/>
          <w:color w:val="auto"/>
          <w:sz w:val="24"/>
          <w:highlight w:val="none"/>
          <w:lang w:eastAsia="zh-CN"/>
        </w:rPr>
        <w:t>乔文欢</w:t>
      </w:r>
    </w:p>
    <w:p w14:paraId="5E5714EF">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联系电话：</w:t>
      </w:r>
      <w:r>
        <w:rPr>
          <w:rFonts w:hint="eastAsia" w:asciiTheme="minorEastAsia" w:hAnsiTheme="minorEastAsia" w:eastAsiaTheme="minorEastAsia" w:cstheme="minorEastAsia"/>
          <w:color w:val="auto"/>
          <w:sz w:val="24"/>
          <w:highlight w:val="none"/>
          <w:lang w:eastAsia="zh-CN"/>
        </w:rPr>
        <w:t>18621059538</w:t>
      </w:r>
    </w:p>
    <w:p w14:paraId="4866DA1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2.采购代理机构信息</w:t>
      </w:r>
    </w:p>
    <w:p w14:paraId="2B80706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称：新疆宏宇建设工程项目管理有限责任公司</w:t>
      </w:r>
    </w:p>
    <w:p w14:paraId="3C40F99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址：克拉玛依市恒隆广场A座401-1室</w:t>
      </w:r>
    </w:p>
    <w:p w14:paraId="00371611">
      <w:pPr>
        <w:spacing w:line="360" w:lineRule="auto"/>
        <w:ind w:firstLine="480" w:firstLineChars="200"/>
        <w:rPr>
          <w:rFonts w:hint="default"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rPr>
        <w:t>联系方式：</w:t>
      </w:r>
      <w:r>
        <w:rPr>
          <w:rFonts w:hint="eastAsia" w:asciiTheme="minorEastAsia" w:hAnsiTheme="minorEastAsia" w:eastAsiaTheme="minorEastAsia" w:cstheme="minorEastAsia"/>
          <w:color w:val="auto"/>
          <w:sz w:val="24"/>
          <w:highlight w:val="none"/>
          <w:lang w:val="en-US" w:eastAsia="zh-CN"/>
        </w:rPr>
        <w:t xml:space="preserve">周水霞、杨童艳、陈晨18599209929   </w:t>
      </w:r>
      <w:r>
        <w:rPr>
          <w:rFonts w:hint="eastAsia" w:asciiTheme="minorEastAsia" w:hAnsiTheme="minorEastAsia" w:eastAsiaTheme="minorEastAsia" w:cstheme="minorEastAsia"/>
          <w:color w:val="auto"/>
          <w:sz w:val="24"/>
          <w:highlight w:val="none"/>
        </w:rPr>
        <w:t>0990-6608599</w:t>
      </w:r>
    </w:p>
    <w:p w14:paraId="541CB39A">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3.项目联系方式</w:t>
      </w:r>
    </w:p>
    <w:p w14:paraId="06B22CAE">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项目联系人：周水霞、杨童艳、陈晨</w:t>
      </w:r>
    </w:p>
    <w:p w14:paraId="453FE595">
      <w:pPr>
        <w:spacing w:line="360" w:lineRule="auto"/>
        <w:ind w:firstLine="480" w:firstLineChars="200"/>
        <w:rPr>
          <w:rFonts w:hint="default"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lang w:val="en-US" w:eastAsia="zh-CN"/>
        </w:rPr>
        <w:t>电话：18599209929   0990-6608599</w:t>
      </w:r>
    </w:p>
    <w:p w14:paraId="144E1DCE">
      <w:pPr>
        <w:pStyle w:val="130"/>
        <w:ind w:left="432" w:right="130"/>
        <w:jc w:val="right"/>
        <w:rPr>
          <w:rFonts w:hint="eastAsia" w:asciiTheme="minorEastAsia" w:hAnsiTheme="minorEastAsia" w:eastAsiaTheme="minorEastAsia" w:cstheme="minorEastAsia"/>
          <w:color w:val="auto"/>
          <w:sz w:val="24"/>
          <w:highlight w:val="none"/>
        </w:rPr>
      </w:pPr>
    </w:p>
    <w:p w14:paraId="2ADAA796">
      <w:pPr>
        <w:pStyle w:val="130"/>
        <w:ind w:left="432" w:right="130"/>
        <w:jc w:val="right"/>
        <w:rPr>
          <w:rFonts w:hint="eastAsia" w:asciiTheme="minorEastAsia" w:hAnsiTheme="minorEastAsia" w:eastAsiaTheme="minorEastAsia" w:cstheme="minorEastAsia"/>
          <w:color w:val="auto"/>
          <w:sz w:val="24"/>
          <w:highlight w:val="none"/>
          <w:lang w:eastAsia="zh-CN"/>
        </w:rPr>
      </w:pPr>
    </w:p>
    <w:p w14:paraId="6EB043BE">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3"/>
    <w:p w14:paraId="237B33EC">
      <w:pPr>
        <w:pStyle w:val="2"/>
        <w:rPr>
          <w:color w:val="auto"/>
          <w:highlight w:val="none"/>
        </w:rPr>
      </w:pPr>
      <w:bookmarkStart w:id="55" w:name="_Toc16938518"/>
      <w:bookmarkStart w:id="56" w:name="_Toc120614213"/>
      <w:bookmarkStart w:id="57" w:name="_Toc13939"/>
      <w:bookmarkStart w:id="58" w:name="_Toc9359"/>
      <w:bookmarkStart w:id="59" w:name="_Toc513029202"/>
      <w:bookmarkStart w:id="60" w:name="_Toc20823274"/>
      <w:bookmarkStart w:id="61" w:name="_Toc26763"/>
      <w:r>
        <w:rPr>
          <w:rFonts w:hint="eastAsia"/>
          <w:color w:val="auto"/>
          <w:highlight w:val="none"/>
        </w:rPr>
        <w:t>第二章 投标人须知</w:t>
      </w:r>
      <w:bookmarkEnd w:id="14"/>
      <w:bookmarkEnd w:id="55"/>
      <w:bookmarkEnd w:id="56"/>
      <w:bookmarkEnd w:id="57"/>
      <w:bookmarkEnd w:id="58"/>
      <w:bookmarkEnd w:id="59"/>
      <w:bookmarkEnd w:id="60"/>
      <w:bookmarkEnd w:id="61"/>
    </w:p>
    <w:p w14:paraId="44A3F386">
      <w:pPr>
        <w:pStyle w:val="4"/>
        <w:rPr>
          <w:color w:val="auto"/>
          <w:highlight w:val="none"/>
        </w:rPr>
      </w:pPr>
      <w:bookmarkStart w:id="62" w:name="_Toc21065"/>
      <w:bookmarkStart w:id="63" w:name="_Toc19352"/>
      <w:bookmarkStart w:id="64" w:name="_Toc534725606"/>
      <w:r>
        <w:rPr>
          <w:rFonts w:hint="eastAsia"/>
          <w:color w:val="auto"/>
          <w:highlight w:val="none"/>
        </w:rPr>
        <w:t xml:space="preserve">一、总  </w:t>
      </w:r>
      <w:bookmarkStart w:id="65" w:name="_Toc9510635"/>
      <w:r>
        <w:rPr>
          <w:rFonts w:hint="eastAsia"/>
          <w:color w:val="auto"/>
          <w:highlight w:val="none"/>
        </w:rPr>
        <w:t>则</w:t>
      </w:r>
      <w:bookmarkEnd w:id="62"/>
      <w:bookmarkEnd w:id="63"/>
    </w:p>
    <w:p w14:paraId="0BD4864E">
      <w:pPr>
        <w:pStyle w:val="5"/>
        <w:rPr>
          <w:color w:val="auto"/>
          <w:highlight w:val="none"/>
        </w:rPr>
      </w:pPr>
      <w:bookmarkStart w:id="66" w:name="_Toc26214"/>
      <w:r>
        <w:rPr>
          <w:rFonts w:hint="eastAsia"/>
          <w:color w:val="auto"/>
          <w:highlight w:val="none"/>
        </w:rPr>
        <w:t>1、适用</w:t>
      </w:r>
      <w:bookmarkEnd w:id="65"/>
      <w:r>
        <w:rPr>
          <w:rFonts w:hint="eastAsia"/>
          <w:color w:val="auto"/>
          <w:highlight w:val="none"/>
        </w:rPr>
        <w:t>范围</w:t>
      </w:r>
      <w:bookmarkEnd w:id="66"/>
    </w:p>
    <w:p w14:paraId="328180C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14:paraId="4F34B2D5">
      <w:pPr>
        <w:pStyle w:val="5"/>
        <w:rPr>
          <w:color w:val="auto"/>
          <w:highlight w:val="none"/>
        </w:rPr>
      </w:pPr>
      <w:bookmarkStart w:id="67" w:name="_Toc24800"/>
      <w:r>
        <w:rPr>
          <w:rFonts w:hint="eastAsia"/>
          <w:color w:val="auto"/>
          <w:highlight w:val="none"/>
        </w:rPr>
        <w:t>2、定义</w:t>
      </w:r>
      <w:bookmarkEnd w:id="67"/>
    </w:p>
    <w:p w14:paraId="6FB48F4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14:paraId="3CF4D5E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14:paraId="3444A90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14:paraId="4D99DDF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14:paraId="2D3296A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14:paraId="05789842">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14:paraId="731403E0">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14:paraId="1731096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14:paraId="7E4710F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14:paraId="6BD2AAB4">
      <w:pPr>
        <w:pStyle w:val="5"/>
        <w:rPr>
          <w:color w:val="auto"/>
          <w:highlight w:val="none"/>
        </w:rPr>
      </w:pPr>
      <w:bookmarkStart w:id="68" w:name="_Toc17392"/>
      <w:r>
        <w:rPr>
          <w:rFonts w:hint="eastAsia"/>
          <w:color w:val="auto"/>
          <w:highlight w:val="none"/>
        </w:rPr>
        <w:t>3、招标方式</w:t>
      </w:r>
      <w:bookmarkEnd w:id="68"/>
    </w:p>
    <w:p w14:paraId="31D704B9">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14:paraId="5BB85FA7">
      <w:pPr>
        <w:pStyle w:val="5"/>
        <w:rPr>
          <w:color w:val="auto"/>
          <w:highlight w:val="none"/>
        </w:rPr>
      </w:pPr>
      <w:bookmarkStart w:id="69" w:name="_Toc32376"/>
      <w:r>
        <w:rPr>
          <w:rFonts w:hint="eastAsia"/>
          <w:color w:val="auto"/>
          <w:highlight w:val="none"/>
        </w:rPr>
        <w:t>4、投标委托</w:t>
      </w:r>
      <w:bookmarkEnd w:id="69"/>
    </w:p>
    <w:p w14:paraId="2B10A7B8">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14:paraId="1FCA6068">
      <w:pPr>
        <w:pStyle w:val="5"/>
        <w:rPr>
          <w:color w:val="auto"/>
          <w:highlight w:val="none"/>
        </w:rPr>
      </w:pPr>
      <w:bookmarkStart w:id="70" w:name="_Toc21031"/>
      <w:r>
        <w:rPr>
          <w:rFonts w:hint="eastAsia"/>
          <w:color w:val="auto"/>
          <w:highlight w:val="none"/>
        </w:rPr>
        <w:t>5、投标费用</w:t>
      </w:r>
      <w:bookmarkEnd w:id="70"/>
    </w:p>
    <w:p w14:paraId="12515058">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14:paraId="7D0611CD">
      <w:pPr>
        <w:pStyle w:val="5"/>
        <w:rPr>
          <w:color w:val="auto"/>
          <w:highlight w:val="none"/>
        </w:rPr>
      </w:pPr>
      <w:bookmarkStart w:id="71" w:name="_Toc505"/>
      <w:r>
        <w:rPr>
          <w:rFonts w:hint="eastAsia"/>
          <w:color w:val="auto"/>
          <w:highlight w:val="none"/>
        </w:rPr>
        <w:t>6、分包转包</w:t>
      </w:r>
      <w:bookmarkEnd w:id="71"/>
    </w:p>
    <w:p w14:paraId="592126E4">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14:paraId="4392C1A3">
      <w:pPr>
        <w:pStyle w:val="5"/>
        <w:rPr>
          <w:color w:val="auto"/>
          <w:highlight w:val="none"/>
        </w:rPr>
      </w:pPr>
      <w:bookmarkStart w:id="72" w:name="_Toc5076"/>
      <w:r>
        <w:rPr>
          <w:rFonts w:hint="eastAsia"/>
          <w:color w:val="auto"/>
          <w:highlight w:val="none"/>
        </w:rPr>
        <w:t>7、提供相同品牌产品处理</w:t>
      </w:r>
      <w:bookmarkEnd w:id="72"/>
    </w:p>
    <w:p w14:paraId="05A72040">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提供相同品牌产品且通过资格审查、符合性审查的不同投标人参加同一合同项下投标的，按一家投标人计算，评审后得分最高的同品牌投标人获得中标人推荐资格；评审得分相同的，按照投标报价</w:t>
      </w:r>
      <w:r>
        <w:rPr>
          <w:rFonts w:hint="eastAsia" w:asciiTheme="majorEastAsia" w:hAnsiTheme="majorEastAsia" w:eastAsiaTheme="majorEastAsia" w:cstheme="majorEastAsia"/>
          <w:color w:val="auto"/>
          <w:sz w:val="24"/>
          <w:szCs w:val="24"/>
          <w:highlight w:val="none"/>
          <w:lang w:val="en-US" w:eastAsia="zh-CN"/>
        </w:rPr>
        <w:t>最低</w:t>
      </w:r>
      <w:r>
        <w:rPr>
          <w:rFonts w:hint="eastAsia" w:asciiTheme="majorEastAsia" w:hAnsiTheme="majorEastAsia" w:eastAsiaTheme="majorEastAsia" w:cstheme="majorEastAsia"/>
          <w:color w:val="auto"/>
          <w:sz w:val="24"/>
          <w:szCs w:val="24"/>
          <w:highlight w:val="none"/>
        </w:rPr>
        <w:t>的</w:t>
      </w:r>
      <w:r>
        <w:rPr>
          <w:rFonts w:hint="eastAsia" w:asciiTheme="majorEastAsia" w:hAnsiTheme="majorEastAsia" w:eastAsiaTheme="majorEastAsia" w:cstheme="majorEastAsia"/>
          <w:color w:val="auto"/>
          <w:sz w:val="24"/>
          <w:szCs w:val="24"/>
          <w:highlight w:val="none"/>
          <w:lang w:val="en-US" w:eastAsia="zh-CN"/>
        </w:rPr>
        <w:t>同品牌投标人</w:t>
      </w:r>
      <w:r>
        <w:rPr>
          <w:rFonts w:hint="eastAsia" w:asciiTheme="majorEastAsia" w:hAnsiTheme="majorEastAsia" w:eastAsiaTheme="majorEastAsia" w:cstheme="majorEastAsia"/>
          <w:color w:val="auto"/>
          <w:sz w:val="24"/>
          <w:szCs w:val="24"/>
          <w:highlight w:val="none"/>
        </w:rPr>
        <w:t>获得中标人推荐资格；得分</w:t>
      </w:r>
      <w:r>
        <w:rPr>
          <w:rFonts w:hint="eastAsia" w:asciiTheme="majorEastAsia" w:hAnsiTheme="majorEastAsia" w:eastAsiaTheme="majorEastAsia" w:cstheme="majorEastAsia"/>
          <w:color w:val="auto"/>
          <w:sz w:val="24"/>
          <w:szCs w:val="24"/>
          <w:highlight w:val="none"/>
          <w:lang w:val="en-US" w:eastAsia="zh-CN"/>
        </w:rPr>
        <w:t>且</w:t>
      </w:r>
      <w:r>
        <w:rPr>
          <w:rFonts w:hint="eastAsia" w:asciiTheme="majorEastAsia" w:hAnsiTheme="majorEastAsia" w:eastAsiaTheme="majorEastAsia" w:cstheme="majorEastAsia"/>
          <w:color w:val="auto"/>
          <w:sz w:val="24"/>
          <w:szCs w:val="24"/>
          <w:highlight w:val="none"/>
        </w:rPr>
        <w:t xml:space="preserve">投标报价相同的由评标委员会采取随机抽取方式确定中标人推荐资格，其他同品牌投标人不作为中标候选人。 </w:t>
      </w:r>
    </w:p>
    <w:p w14:paraId="03D62E22">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14:paraId="3B8D1A0A">
      <w:pPr>
        <w:pStyle w:val="5"/>
        <w:rPr>
          <w:color w:val="auto"/>
          <w:highlight w:val="none"/>
        </w:rPr>
      </w:pPr>
      <w:bookmarkStart w:id="73" w:name="_Toc21631"/>
      <w:r>
        <w:rPr>
          <w:rFonts w:hint="eastAsia"/>
          <w:color w:val="auto"/>
          <w:highlight w:val="none"/>
        </w:rPr>
        <w:t>8、特别说明：</w:t>
      </w:r>
      <w:bookmarkEnd w:id="73"/>
    </w:p>
    <w:p w14:paraId="60B62F3D">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14:paraId="61B364EE">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14:paraId="16BD00AF">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14:paraId="610A7DF0">
      <w:pPr>
        <w:pStyle w:val="5"/>
        <w:rPr>
          <w:color w:val="auto"/>
          <w:highlight w:val="none"/>
        </w:rPr>
      </w:pPr>
      <w:bookmarkStart w:id="74" w:name="_Toc24888"/>
      <w:r>
        <w:rPr>
          <w:rFonts w:hint="eastAsia"/>
          <w:color w:val="auto"/>
          <w:highlight w:val="none"/>
        </w:rPr>
        <w:t>9、质疑</w:t>
      </w:r>
      <w:bookmarkEnd w:id="74"/>
    </w:p>
    <w:p w14:paraId="7236242A">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14:paraId="0BA787B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6422A306">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14:paraId="5C63E82D">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14:paraId="7D488FCE">
      <w:pPr>
        <w:pStyle w:val="6"/>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9.4接收质疑函的方式：以书面方式将质疑函邮寄至联系部门或当面递交至联系部门，或将质疑函扫描后发送至指定邮箱1504448575@qq.com。</w:t>
      </w:r>
    </w:p>
    <w:p w14:paraId="3A61ACBE">
      <w:pPr>
        <w:adjustRightInd w:val="0"/>
        <w:snapToGrid w:val="0"/>
        <w:spacing w:line="500" w:lineRule="exact"/>
        <w:ind w:firstLine="480" w:firstLineChars="200"/>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联系部门：新疆宏宇建设工程项目管理有限责任公司</w:t>
      </w:r>
    </w:p>
    <w:p w14:paraId="3001AF0F">
      <w:pPr>
        <w:adjustRightInd w:val="0"/>
        <w:snapToGrid w:val="0"/>
        <w:spacing w:line="500" w:lineRule="exact"/>
        <w:ind w:firstLine="480" w:firstLineChars="200"/>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 系 人：周水霞、杨童艳、陈晨</w:t>
      </w:r>
    </w:p>
    <w:p w14:paraId="73E3D839">
      <w:pPr>
        <w:adjustRightInd w:val="0"/>
        <w:snapToGrid w:val="0"/>
        <w:spacing w:line="500" w:lineRule="exact"/>
        <w:ind w:firstLine="480" w:firstLineChars="200"/>
        <w:rPr>
          <w:rFonts w:hint="default"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联系地址：克拉玛依市恒隆广场A座401-1室</w:t>
      </w:r>
    </w:p>
    <w:p w14:paraId="7649C05B">
      <w:pPr>
        <w:adjustRightInd w:val="0"/>
        <w:snapToGrid w:val="0"/>
        <w:spacing w:line="500" w:lineRule="exact"/>
        <w:ind w:firstLine="480" w:firstLineChars="200"/>
        <w:rPr>
          <w:rFonts w:hint="default"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联系电话：0990-6608599  18599209929（杨童艳）</w:t>
      </w:r>
    </w:p>
    <w:p w14:paraId="4B504202">
      <w:pPr>
        <w:pStyle w:val="4"/>
        <w:rPr>
          <w:color w:val="auto"/>
          <w:highlight w:val="none"/>
        </w:rPr>
      </w:pPr>
      <w:bookmarkStart w:id="75" w:name="_Toc12925"/>
      <w:bookmarkStart w:id="76" w:name="_Toc31383"/>
      <w:r>
        <w:rPr>
          <w:rFonts w:hint="eastAsia"/>
          <w:color w:val="auto"/>
          <w:highlight w:val="none"/>
        </w:rPr>
        <w:t>二、</w:t>
      </w:r>
      <w:bookmarkEnd w:id="75"/>
      <w:bookmarkEnd w:id="76"/>
      <w:bookmarkStart w:id="77" w:name="_Toc9510636"/>
      <w:r>
        <w:rPr>
          <w:rFonts w:hint="eastAsia"/>
          <w:color w:val="auto"/>
          <w:highlight w:val="none"/>
        </w:rPr>
        <w:t>招标文件</w:t>
      </w:r>
    </w:p>
    <w:p w14:paraId="46399E7C">
      <w:pPr>
        <w:pStyle w:val="5"/>
        <w:rPr>
          <w:color w:val="auto"/>
          <w:highlight w:val="none"/>
        </w:rPr>
      </w:pPr>
      <w:bookmarkStart w:id="78" w:name="_Toc11465"/>
      <w:r>
        <w:rPr>
          <w:rFonts w:hint="eastAsia"/>
          <w:color w:val="auto"/>
          <w:highlight w:val="none"/>
        </w:rPr>
        <w:t>10、</w:t>
      </w:r>
      <w:bookmarkEnd w:id="77"/>
      <w:r>
        <w:rPr>
          <w:rFonts w:hint="eastAsia"/>
          <w:color w:val="auto"/>
          <w:highlight w:val="none"/>
        </w:rPr>
        <w:t>招标文件的构成</w:t>
      </w:r>
      <w:bookmarkEnd w:id="78"/>
      <w:r>
        <w:rPr>
          <w:rFonts w:hint="eastAsia" w:asciiTheme="majorEastAsia" w:hAnsiTheme="majorEastAsia" w:eastAsiaTheme="majorEastAsia" w:cstheme="majorEastAsia"/>
          <w:b w:val="0"/>
          <w:bCs w:val="0"/>
          <w:color w:val="auto"/>
          <w:sz w:val="24"/>
          <w:szCs w:val="24"/>
          <w:highlight w:val="none"/>
        </w:rPr>
        <w:t>（详见本招标文件目录明细）</w:t>
      </w:r>
    </w:p>
    <w:p w14:paraId="5BD29F32">
      <w:pPr>
        <w:pStyle w:val="5"/>
        <w:rPr>
          <w:color w:val="auto"/>
          <w:highlight w:val="none"/>
        </w:rPr>
      </w:pPr>
      <w:bookmarkStart w:id="79" w:name="_Toc9329"/>
      <w:r>
        <w:rPr>
          <w:rFonts w:hint="eastAsia"/>
          <w:color w:val="auto"/>
          <w:highlight w:val="none"/>
        </w:rPr>
        <w:t>11、投标人的风险</w:t>
      </w:r>
      <w:bookmarkEnd w:id="79"/>
    </w:p>
    <w:p w14:paraId="0B24D813">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25C15150">
      <w:pPr>
        <w:pStyle w:val="5"/>
        <w:rPr>
          <w:color w:val="auto"/>
          <w:highlight w:val="none"/>
        </w:rPr>
      </w:pPr>
      <w:bookmarkStart w:id="80" w:name="_Toc14128"/>
      <w:r>
        <w:rPr>
          <w:rFonts w:hint="eastAsia"/>
          <w:color w:val="auto"/>
          <w:highlight w:val="none"/>
        </w:rPr>
        <w:t>1</w:t>
      </w:r>
      <w:bookmarkStart w:id="81" w:name="_Toc9510637"/>
      <w:r>
        <w:rPr>
          <w:rFonts w:hint="eastAsia"/>
          <w:color w:val="auto"/>
          <w:highlight w:val="none"/>
        </w:rPr>
        <w:t>2、招标文件的澄清与修改</w:t>
      </w:r>
      <w:bookmarkEnd w:id="80"/>
    </w:p>
    <w:p w14:paraId="22DEA5BC">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14:paraId="7B14BF65">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2DD7D17">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14:paraId="4F4BEB8E">
      <w:pPr>
        <w:pStyle w:val="4"/>
        <w:rPr>
          <w:color w:val="auto"/>
          <w:highlight w:val="none"/>
        </w:rPr>
      </w:pPr>
      <w:bookmarkStart w:id="82" w:name="_Toc25731"/>
      <w:bookmarkStart w:id="83" w:name="_Toc3009"/>
      <w:r>
        <w:rPr>
          <w:rFonts w:hint="eastAsia"/>
          <w:color w:val="auto"/>
          <w:highlight w:val="none"/>
        </w:rPr>
        <w:t>三、投标文件的编制</w:t>
      </w:r>
      <w:bookmarkEnd w:id="82"/>
      <w:bookmarkEnd w:id="83"/>
    </w:p>
    <w:bookmarkEnd w:id="81"/>
    <w:p w14:paraId="4466A22C">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w:t>
      </w:r>
      <w:r>
        <w:rPr>
          <w:rFonts w:hint="eastAsia" w:asciiTheme="majorEastAsia" w:hAnsiTheme="majorEastAsia" w:eastAsiaTheme="majorEastAsia" w:cstheme="majorEastAsia"/>
          <w:b/>
          <w:color w:val="auto"/>
          <w:sz w:val="24"/>
          <w:szCs w:val="24"/>
          <w:highlight w:val="none"/>
          <w:lang w:val="en-US" w:eastAsia="zh-CN"/>
        </w:rPr>
        <w:t>招标文件</w:t>
      </w:r>
      <w:r>
        <w:rPr>
          <w:rFonts w:hint="eastAsia" w:asciiTheme="majorEastAsia" w:hAnsiTheme="majorEastAsia" w:eastAsiaTheme="majorEastAsia" w:cstheme="majorEastAsia"/>
          <w:b/>
          <w:color w:val="auto"/>
          <w:sz w:val="24"/>
          <w:szCs w:val="24"/>
          <w:highlight w:val="none"/>
        </w:rPr>
        <w:t>要求编制并独立密封，不得混装，否则视为无效标。</w:t>
      </w:r>
    </w:p>
    <w:p w14:paraId="1EDEBDFE">
      <w:pPr>
        <w:pStyle w:val="5"/>
        <w:rPr>
          <w:color w:val="auto"/>
          <w:highlight w:val="none"/>
        </w:rPr>
      </w:pPr>
      <w:bookmarkStart w:id="84" w:name="_Toc29638"/>
      <w:r>
        <w:rPr>
          <w:rFonts w:hint="eastAsia"/>
          <w:color w:val="auto"/>
          <w:highlight w:val="none"/>
        </w:rPr>
        <w:t>13、投标文件的组成</w:t>
      </w:r>
      <w:bookmarkEnd w:id="84"/>
    </w:p>
    <w:p w14:paraId="50ABA7AB">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w:t>
      </w:r>
      <w:r>
        <w:rPr>
          <w:rFonts w:hint="eastAsia" w:asciiTheme="majorEastAsia" w:hAnsiTheme="majorEastAsia" w:eastAsiaTheme="majorEastAsia" w:cstheme="majorEastAsia"/>
          <w:b/>
          <w:color w:val="auto"/>
          <w:sz w:val="24"/>
          <w:szCs w:val="24"/>
          <w:highlight w:val="none"/>
          <w:lang w:val="en-US" w:eastAsia="zh-CN"/>
        </w:rPr>
        <w:t>部分</w:t>
      </w:r>
      <w:r>
        <w:rPr>
          <w:rFonts w:hint="eastAsia" w:asciiTheme="majorEastAsia" w:hAnsiTheme="majorEastAsia" w:eastAsiaTheme="majorEastAsia" w:cstheme="majorEastAsia"/>
          <w:b/>
          <w:color w:val="auto"/>
          <w:sz w:val="24"/>
          <w:szCs w:val="24"/>
          <w:highlight w:val="none"/>
        </w:rPr>
        <w:t>、商务</w:t>
      </w:r>
      <w:r>
        <w:rPr>
          <w:rFonts w:hint="eastAsia" w:asciiTheme="majorEastAsia" w:hAnsiTheme="majorEastAsia" w:eastAsiaTheme="majorEastAsia" w:cstheme="majorEastAsia"/>
          <w:b/>
          <w:color w:val="auto"/>
          <w:sz w:val="24"/>
          <w:szCs w:val="24"/>
          <w:highlight w:val="none"/>
          <w:lang w:val="en-US" w:eastAsia="zh-CN"/>
        </w:rPr>
        <w:t>部分</w:t>
      </w:r>
      <w:r>
        <w:rPr>
          <w:rFonts w:hint="eastAsia" w:asciiTheme="majorEastAsia" w:hAnsiTheme="majorEastAsia" w:eastAsiaTheme="majorEastAsia" w:cstheme="majorEastAsia"/>
          <w:b/>
          <w:color w:val="auto"/>
          <w:sz w:val="24"/>
          <w:szCs w:val="24"/>
          <w:highlight w:val="none"/>
          <w:lang w:eastAsia="zh-CN"/>
        </w:rPr>
        <w:t>、</w:t>
      </w:r>
      <w:r>
        <w:rPr>
          <w:rFonts w:hint="eastAsia" w:asciiTheme="majorEastAsia" w:hAnsiTheme="majorEastAsia" w:eastAsiaTheme="majorEastAsia" w:cstheme="majorEastAsia"/>
          <w:b/>
          <w:color w:val="auto"/>
          <w:sz w:val="24"/>
          <w:szCs w:val="24"/>
          <w:highlight w:val="none"/>
        </w:rPr>
        <w:t>技术</w:t>
      </w:r>
      <w:r>
        <w:rPr>
          <w:rFonts w:hint="eastAsia" w:asciiTheme="majorEastAsia" w:hAnsiTheme="majorEastAsia" w:eastAsiaTheme="majorEastAsia" w:cstheme="majorEastAsia"/>
          <w:b/>
          <w:color w:val="auto"/>
          <w:sz w:val="24"/>
          <w:szCs w:val="24"/>
          <w:highlight w:val="none"/>
          <w:lang w:val="en-US" w:eastAsia="zh-CN"/>
        </w:rPr>
        <w:t>部分</w:t>
      </w:r>
      <w:r>
        <w:rPr>
          <w:rFonts w:hint="eastAsia" w:asciiTheme="majorEastAsia" w:hAnsiTheme="majorEastAsia" w:eastAsiaTheme="majorEastAsia" w:cstheme="majorEastAsia"/>
          <w:b/>
          <w:color w:val="auto"/>
          <w:sz w:val="24"/>
          <w:szCs w:val="24"/>
          <w:highlight w:val="none"/>
        </w:rPr>
        <w:t>组成。</w:t>
      </w:r>
    </w:p>
    <w:p w14:paraId="242E9E0C">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13.1 报价</w:t>
      </w:r>
      <w:r>
        <w:rPr>
          <w:rFonts w:hint="eastAsia" w:asciiTheme="majorEastAsia" w:hAnsiTheme="majorEastAsia" w:eastAsiaTheme="majorEastAsia" w:cstheme="majorEastAsia"/>
          <w:b/>
          <w:color w:val="auto"/>
          <w:sz w:val="24"/>
          <w:szCs w:val="24"/>
          <w:highlight w:val="none"/>
          <w:lang w:val="en-US" w:eastAsia="zh-CN"/>
        </w:rPr>
        <w:t>部分</w:t>
      </w:r>
    </w:p>
    <w:p w14:paraId="6024F588">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14:paraId="2A6C299C">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14:paraId="0DBE73D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14:paraId="439C6B9F">
      <w:pPr>
        <w:adjustRightInd w:val="0"/>
        <w:snapToGrid w:val="0"/>
        <w:spacing w:line="500" w:lineRule="exact"/>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投标保证金缴纳凭证复印件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p>
    <w:p w14:paraId="6D4DF022">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投标人针对报价需要说明的其他文件和资料（如有）。</w:t>
      </w:r>
    </w:p>
    <w:p w14:paraId="664AFC82">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14:paraId="7BD1EBDD">
      <w:pPr>
        <w:numPr>
          <w:ilvl w:val="0"/>
          <w:numId w:val="0"/>
        </w:num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（1）</w:t>
      </w:r>
      <w:r>
        <w:rPr>
          <w:rFonts w:hint="eastAsia" w:asciiTheme="majorEastAsia" w:hAnsiTheme="majorEastAsia" w:eastAsiaTheme="majorEastAsia" w:cstheme="majorEastAsia"/>
          <w:color w:val="auto"/>
          <w:sz w:val="24"/>
          <w:szCs w:val="24"/>
          <w:highlight w:val="none"/>
        </w:rPr>
        <w:t>投标声明书(格式见附件)；</w:t>
      </w:r>
    </w:p>
    <w:p w14:paraId="52B5559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）授权委托书(格式见附件)；</w:t>
      </w:r>
    </w:p>
    <w:p w14:paraId="39A932FE">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）有效的营业执照（事业单位法人证书、民办非企业单位登记证书、社会团体法人登记证书、基金会法人登记证书、自然人身份证）副本复印件；</w:t>
      </w:r>
    </w:p>
    <w:p w14:paraId="2CBFFEB7">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）投标人情况介绍（格式见附件）；</w:t>
      </w:r>
    </w:p>
    <w:p w14:paraId="3285DFCC">
      <w:pPr>
        <w:adjustRightInd w:val="0"/>
        <w:snapToGrid w:val="0"/>
        <w:spacing w:line="500" w:lineRule="exact"/>
        <w:ind w:firstLine="470" w:firstLineChars="196"/>
        <w:jc w:val="left"/>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（5）</w:t>
      </w:r>
      <w:r>
        <w:rPr>
          <w:rFonts w:hint="eastAsia" w:asciiTheme="majorEastAsia" w:hAnsiTheme="majorEastAsia" w:eastAsiaTheme="majorEastAsia" w:cstheme="majorEastAsia"/>
          <w:color w:val="auto"/>
          <w:sz w:val="24"/>
          <w:szCs w:val="24"/>
          <w:highlight w:val="none"/>
          <w:lang w:val="en-US" w:eastAsia="zh-CN"/>
        </w:rPr>
        <w:t>提供2025年度</w:t>
      </w:r>
      <w:r>
        <w:rPr>
          <w:rFonts w:hint="eastAsia" w:asciiTheme="minorEastAsia" w:hAnsiTheme="minorEastAsia" w:eastAsiaTheme="minorEastAsia" w:cstheme="minorEastAsia"/>
          <w:color w:val="auto"/>
          <w:kern w:val="0"/>
          <w:sz w:val="24"/>
          <w:szCs w:val="24"/>
          <w:highlight w:val="none"/>
          <w:lang w:val="en-US" w:eastAsia="zh-CN" w:bidi="ar-SA"/>
        </w:rPr>
        <w:t>经会计师事务所出具的审计报告复印件，（ 如供应商注册不满 1 年无需提供上述资料）；</w:t>
      </w:r>
    </w:p>
    <w:p w14:paraId="6738B9E0">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14:paraId="1D2C27FC">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）依法缴纳税收和社会保障资金的良好记录；</w:t>
      </w:r>
    </w:p>
    <w:p w14:paraId="31F69C64">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14:paraId="49D5052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w:t>
      </w:r>
      <w:r>
        <w:rPr>
          <w:rFonts w:hint="eastAsia" w:asciiTheme="majorEastAsia" w:hAnsiTheme="majorEastAsia" w:eastAsiaTheme="majorEastAsia" w:cstheme="majorEastAsia"/>
          <w:color w:val="auto"/>
          <w:sz w:val="24"/>
          <w:szCs w:val="24"/>
          <w:highlight w:val="none"/>
          <w:lang w:eastAsia="zh-CN"/>
        </w:rPr>
        <w:t>重大税收违法失信主体</w:t>
      </w:r>
      <w:r>
        <w:rPr>
          <w:rFonts w:hint="eastAsia" w:asciiTheme="majorEastAsia" w:hAnsiTheme="majorEastAsia" w:eastAsiaTheme="majorEastAsia" w:cstheme="majorEastAsia"/>
          <w:color w:val="auto"/>
          <w:sz w:val="24"/>
          <w:szCs w:val="24"/>
          <w:highlight w:val="none"/>
        </w:rPr>
        <w:t>、政府采购严重违法失信行为记录名单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14:paraId="6DB0A2E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p>
    <w:p w14:paraId="39B97EA8">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lang w:val="en-US" w:eastAsia="zh-CN"/>
        </w:rPr>
        <w:t>2023</w:t>
      </w:r>
      <w:r>
        <w:rPr>
          <w:rFonts w:hint="eastAsia" w:asciiTheme="majorEastAsia" w:hAnsiTheme="majorEastAsia" w:eastAsia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lang w:eastAsia="zh-CN"/>
        </w:rPr>
        <w:t>月</w:t>
      </w:r>
      <w:r>
        <w:rPr>
          <w:rFonts w:hint="eastAsia" w:asciiTheme="majorEastAsia" w:hAnsiTheme="majorEastAsia" w:eastAsiaTheme="majorEastAsia" w:cstheme="majorEastAsia"/>
          <w:color w:val="auto"/>
          <w:sz w:val="24"/>
          <w:szCs w:val="24"/>
          <w:highlight w:val="none"/>
          <w:lang w:val="en-US" w:eastAsia="zh-CN"/>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14:paraId="1B5C1987">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14:paraId="4782BC6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14:paraId="002F5684">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w:t>
      </w:r>
      <w:r>
        <w:rPr>
          <w:rFonts w:hint="eastAsia" w:asciiTheme="majorEastAsia" w:hAnsiTheme="majorEastAsia" w:eastAsiaTheme="majorEastAsia" w:cstheme="majorEastAsia"/>
          <w:b/>
          <w:color w:val="auto"/>
          <w:sz w:val="24"/>
          <w:szCs w:val="24"/>
          <w:highlight w:val="none"/>
          <w:lang w:eastAsia="zh-CN"/>
        </w:rPr>
        <w:t>技术部分</w:t>
      </w:r>
    </w:p>
    <w:p w14:paraId="4C96A882">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14:paraId="4B8BF655">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14:paraId="29136CB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14:paraId="48EA283D">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（17）针对项目的详细组织方案：</w:t>
      </w:r>
      <w:r>
        <w:rPr>
          <w:rFonts w:hint="eastAsia" w:asciiTheme="majorEastAsia" w:hAnsiTheme="majorEastAsia" w:eastAsiaTheme="majorEastAsia" w:cstheme="majorEastAsia"/>
          <w:color w:val="auto"/>
          <w:sz w:val="24"/>
          <w:szCs w:val="24"/>
          <w:highlight w:val="none"/>
        </w:rPr>
        <w:t>包括（但不限于）项目人员安排、供货方案、质量管控方案、测试（调试）方案等内容（格式自拟）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14:paraId="3B288E30">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（18）针对本项目的详细技术培训方案：包括（但不限于）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14:paraId="583F920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含备件</w:t>
      </w:r>
      <w:r>
        <w:rPr>
          <w:rFonts w:hint="eastAsia" w:asciiTheme="majorEastAsia" w:hAnsiTheme="majorEastAsia" w:eastAsiaTheme="majorEastAsia" w:cstheme="majorEastAsia"/>
          <w:color w:val="auto"/>
          <w:sz w:val="24"/>
          <w:szCs w:val="24"/>
          <w:highlight w:val="none"/>
          <w:lang w:eastAsia="zh-CN"/>
        </w:rPr>
        <w:t>清单及</w:t>
      </w:r>
      <w:r>
        <w:rPr>
          <w:rFonts w:hint="eastAsia" w:asciiTheme="majorEastAsia" w:hAnsiTheme="majorEastAsia" w:eastAsiaTheme="majorEastAsia" w:cstheme="majorEastAsia"/>
          <w:color w:val="auto"/>
          <w:sz w:val="24"/>
          <w:szCs w:val="24"/>
          <w:highlight w:val="none"/>
        </w:rPr>
        <w:t>价格</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14:paraId="1A2FEF0D">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14:paraId="053F0444">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14:paraId="3167D9D4">
      <w:pPr>
        <w:adjustRightInd w:val="0"/>
        <w:snapToGrid w:val="0"/>
        <w:spacing w:line="500" w:lineRule="exact"/>
        <w:ind w:left="479" w:leftChars="228" w:firstLine="0" w:firstLineChars="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w:t>
      </w:r>
      <w:r>
        <w:rPr>
          <w:rFonts w:hint="eastAsia" w:asciiTheme="majorEastAsia" w:hAnsiTheme="majorEastAsia" w:eastAsiaTheme="majorEastAsia" w:cstheme="majorEastAsia"/>
          <w:b/>
          <w:bCs/>
          <w:color w:val="auto"/>
          <w:sz w:val="24"/>
          <w:szCs w:val="24"/>
          <w:highlight w:val="none"/>
          <w:lang w:val="en-US" w:eastAsia="zh-CN"/>
        </w:rPr>
        <w:t>.</w:t>
      </w:r>
      <w:r>
        <w:rPr>
          <w:rFonts w:hint="eastAsia" w:asciiTheme="majorEastAsia" w:hAnsiTheme="majorEastAsia" w:eastAsiaTheme="majorEastAsia" w:cstheme="majorEastAsia"/>
          <w:b/>
          <w:bCs/>
          <w:color w:val="auto"/>
          <w:sz w:val="24"/>
          <w:szCs w:val="24"/>
          <w:highlight w:val="none"/>
        </w:rPr>
        <w:t>授权委托书、投标声明书、投标函、开标一览表必须由法定代表人（负责人、自然人）或其授权代表签名（按格式要求）并加盖单位公章。</w:t>
      </w:r>
    </w:p>
    <w:p w14:paraId="5F594A77">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b.</w:t>
      </w:r>
      <w:r>
        <w:rPr>
          <w:rFonts w:hint="eastAsia" w:asciiTheme="majorEastAsia" w:hAnsiTheme="majorEastAsia" w:eastAsiaTheme="majorEastAsia" w:cstheme="majorEastAsia"/>
          <w:b/>
          <w:bCs/>
          <w:color w:val="auto"/>
          <w:sz w:val="24"/>
          <w:szCs w:val="24"/>
          <w:highlight w:val="none"/>
        </w:rPr>
        <w:t>以上提供的各种证书、证件、证明资料如是复印件，须在复印件上加盖有效公章，如发现有造假嫌疑的，将根据有关规定以“提供虚假材料谋取中标”予以处罚。</w:t>
      </w:r>
    </w:p>
    <w:p w14:paraId="6BD49341">
      <w:pPr>
        <w:adjustRightInd w:val="0"/>
        <w:snapToGrid w:val="0"/>
        <w:spacing w:line="500" w:lineRule="exact"/>
        <w:ind w:left="479" w:leftChars="228" w:firstLine="463" w:firstLineChars="192"/>
        <w:jc w:val="left"/>
        <w:rPr>
          <w:rFonts w:hint="eastAsia" w:eastAsiaTheme="majorEastAsia"/>
          <w:color w:val="auto"/>
          <w:highlight w:val="none"/>
          <w:lang w:eastAsia="zh-CN"/>
        </w:rPr>
      </w:pPr>
      <w:r>
        <w:rPr>
          <w:rFonts w:hint="eastAsia" w:asciiTheme="majorEastAsia" w:hAnsiTheme="majorEastAsia" w:eastAsiaTheme="majorEastAsia" w:cstheme="majorEastAsia"/>
          <w:b/>
          <w:bCs/>
          <w:color w:val="auto"/>
          <w:sz w:val="24"/>
          <w:szCs w:val="24"/>
          <w:highlight w:val="none"/>
          <w:lang w:val="en-US" w:eastAsia="zh-CN"/>
        </w:rPr>
        <w:t>c.</w:t>
      </w:r>
      <w:r>
        <w:rPr>
          <w:rFonts w:hint="eastAsia" w:asciiTheme="majorEastAsia" w:hAnsiTheme="majorEastAsia" w:eastAsiaTheme="majorEastAsia" w:cstheme="majorEastAsia"/>
          <w:b/>
          <w:bCs/>
          <w:color w:val="auto"/>
          <w:sz w:val="24"/>
          <w:szCs w:val="24"/>
          <w:highlight w:val="none"/>
        </w:rPr>
        <w:t>以上材料须加盖单位公章，投标人需将投标文件按上述顺序装订成一整册，请投标人编制投标文件的目录及页码。</w:t>
      </w:r>
    </w:p>
    <w:p w14:paraId="023C24C3">
      <w:pPr>
        <w:pStyle w:val="5"/>
        <w:rPr>
          <w:color w:val="auto"/>
          <w:highlight w:val="none"/>
        </w:rPr>
      </w:pPr>
      <w:bookmarkStart w:id="85" w:name="_Toc26745"/>
      <w:r>
        <w:rPr>
          <w:rFonts w:hint="eastAsia"/>
          <w:color w:val="auto"/>
          <w:highlight w:val="none"/>
        </w:rPr>
        <w:t>14、投标文件的语言及计量</w:t>
      </w:r>
      <w:bookmarkEnd w:id="85"/>
    </w:p>
    <w:p w14:paraId="68E45F3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14:paraId="1960DEB0">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14:paraId="313C3A37">
      <w:pPr>
        <w:pStyle w:val="5"/>
        <w:rPr>
          <w:color w:val="auto"/>
          <w:highlight w:val="none"/>
        </w:rPr>
      </w:pPr>
      <w:bookmarkStart w:id="86" w:name="_Toc10847"/>
      <w:r>
        <w:rPr>
          <w:rFonts w:hint="eastAsia"/>
          <w:color w:val="auto"/>
          <w:highlight w:val="none"/>
        </w:rPr>
        <w:t>15、投标报价</w:t>
      </w:r>
      <w:bookmarkEnd w:id="86"/>
    </w:p>
    <w:p w14:paraId="73E363B6">
      <w:pPr>
        <w:adjustRightInd w:val="0"/>
        <w:snapToGrid w:val="0"/>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投标报价按招标文件中相关附表格式填写，应为所投产品的单价报价，每个产品只允许一个报价，否则视为有选择性报价，按无效标处理。</w:t>
      </w:r>
    </w:p>
    <w:p w14:paraId="6F4CCFD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14:paraId="2433D7D4">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14:paraId="7C6E8C0A">
      <w:pPr>
        <w:pStyle w:val="5"/>
        <w:rPr>
          <w:color w:val="auto"/>
          <w:highlight w:val="none"/>
        </w:rPr>
      </w:pPr>
      <w:bookmarkStart w:id="87" w:name="_Toc11872"/>
      <w:r>
        <w:rPr>
          <w:rFonts w:hint="eastAsia"/>
          <w:color w:val="auto"/>
          <w:highlight w:val="none"/>
        </w:rPr>
        <w:t>16、投标文件的有效期</w:t>
      </w:r>
      <w:bookmarkEnd w:id="87"/>
    </w:p>
    <w:p w14:paraId="2DC17372">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14:paraId="72383858">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14:paraId="007FBD08">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14:paraId="2C1E60BD">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14:paraId="6BCB232F">
      <w:pPr>
        <w:pStyle w:val="5"/>
        <w:rPr>
          <w:color w:val="auto"/>
          <w:highlight w:val="none"/>
        </w:rPr>
      </w:pPr>
      <w:bookmarkStart w:id="88" w:name="_Toc2098"/>
      <w:r>
        <w:rPr>
          <w:rFonts w:hint="eastAsia"/>
          <w:color w:val="auto"/>
          <w:highlight w:val="none"/>
        </w:rPr>
        <w:t>17、投标保证金</w:t>
      </w:r>
      <w:bookmarkEnd w:id="88"/>
    </w:p>
    <w:p w14:paraId="3CC089A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14:paraId="61BBF13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14:paraId="521BA8EC">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14:paraId="7D1DE94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14:paraId="58390C9A">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14:paraId="79FB3630">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14:paraId="25668FB6">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14:paraId="0C9B57BE">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14:paraId="7F26237B">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14:paraId="49A4F2B1">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w:t>
      </w:r>
      <w:r>
        <w:rPr>
          <w:rFonts w:hint="eastAsia" w:asciiTheme="majorEastAsia" w:hAnsiTheme="majorEastAsia" w:eastAsiaTheme="majorEastAsia" w:cstheme="majorEastAsia"/>
          <w:b/>
          <w:color w:val="auto"/>
          <w:sz w:val="24"/>
          <w:szCs w:val="24"/>
          <w:highlight w:val="none"/>
          <w:lang w:val="en-US" w:eastAsia="zh-CN"/>
        </w:rPr>
        <w:t>法律法规规定的其他不予退还的情形</w:t>
      </w:r>
      <w:r>
        <w:rPr>
          <w:rFonts w:hint="eastAsia" w:asciiTheme="majorEastAsia" w:hAnsiTheme="majorEastAsia" w:eastAsiaTheme="majorEastAsia" w:cstheme="majorEastAsia"/>
          <w:b/>
          <w:color w:val="auto"/>
          <w:sz w:val="24"/>
          <w:szCs w:val="24"/>
          <w:highlight w:val="none"/>
        </w:rPr>
        <w:t>。</w:t>
      </w:r>
    </w:p>
    <w:p w14:paraId="570DD8F3">
      <w:pPr>
        <w:pStyle w:val="5"/>
        <w:rPr>
          <w:rFonts w:hint="eastAsia" w:asciiTheme="majorEastAsia" w:hAnsiTheme="majorEastAsia" w:eastAsiaTheme="majorEastAsia" w:cstheme="majorEastAsia"/>
          <w:color w:val="auto"/>
          <w:sz w:val="24"/>
          <w:szCs w:val="24"/>
          <w:highlight w:val="none"/>
          <w:lang w:eastAsia="zh-CN"/>
        </w:rPr>
      </w:pPr>
      <w:bookmarkStart w:id="89" w:name="_Toc16494"/>
      <w:r>
        <w:rPr>
          <w:rFonts w:hint="eastAsia" w:asciiTheme="majorEastAsia" w:hAnsiTheme="majorEastAsia" w:eastAsiaTheme="majorEastAsia" w:cstheme="majorEastAsia"/>
          <w:color w:val="auto"/>
          <w:sz w:val="24"/>
          <w:szCs w:val="24"/>
          <w:highlight w:val="none"/>
        </w:rPr>
        <w:t>18、投标文件</w:t>
      </w:r>
      <w:r>
        <w:rPr>
          <w:rStyle w:val="90"/>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89"/>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标后提供纸质版投标文件具体要求</w:t>
      </w:r>
      <w:r>
        <w:rPr>
          <w:rFonts w:hint="eastAsia" w:asciiTheme="majorEastAsia" w:hAnsiTheme="majorEastAsia" w:eastAsiaTheme="majorEastAsia" w:cstheme="majorEastAsia"/>
          <w:color w:val="auto"/>
          <w:sz w:val="24"/>
          <w:szCs w:val="24"/>
          <w:highlight w:val="none"/>
          <w:lang w:eastAsia="zh-CN"/>
        </w:rPr>
        <w:t>）</w:t>
      </w:r>
    </w:p>
    <w:p w14:paraId="4C55F90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14:paraId="62CA1AE9">
      <w:pPr>
        <w:adjustRightInd w:val="0"/>
        <w:snapToGrid w:val="0"/>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w:t>
      </w:r>
      <w:r>
        <w:rPr>
          <w:rFonts w:hint="eastAsia" w:asciiTheme="majorEastAsia" w:hAnsiTheme="majorEastAsia" w:eastAsiaTheme="majorEastAsia" w:cstheme="majorEastAsia"/>
          <w:color w:val="auto"/>
          <w:sz w:val="24"/>
          <w:szCs w:val="24"/>
          <w:highlight w:val="none"/>
          <w:lang w:val="en-US" w:eastAsia="zh-CN"/>
        </w:rPr>
        <w:t>二</w:t>
      </w:r>
      <w:r>
        <w:rPr>
          <w:rFonts w:hint="eastAsia" w:asciiTheme="majorEastAsia" w:hAnsiTheme="majorEastAsia" w:eastAsiaTheme="majorEastAsia" w:cstheme="majorEastAsia"/>
          <w:color w:val="auto"/>
          <w:sz w:val="24"/>
          <w:szCs w:val="24"/>
          <w:highlight w:val="none"/>
        </w:rPr>
        <w:t>份。</w:t>
      </w:r>
    </w:p>
    <w:p w14:paraId="4A345A5F">
      <w:pPr>
        <w:adjustRightInd w:val="0"/>
        <w:snapToGrid w:val="0"/>
        <w:spacing w:line="500" w:lineRule="exact"/>
        <w:ind w:firstLine="482"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14:paraId="130FBC1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14:paraId="04477BA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14:paraId="05FDB75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14:paraId="6879485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90" w:name="_Toc233618975"/>
      <w:bookmarkStart w:id="91" w:name="_Toc86216991"/>
      <w:r>
        <w:rPr>
          <w:rFonts w:hint="eastAsia" w:asciiTheme="majorEastAsia" w:hAnsiTheme="majorEastAsia" w:eastAsiaTheme="majorEastAsia" w:cstheme="majorEastAsia"/>
          <w:b/>
          <w:color w:val="auto"/>
          <w:sz w:val="24"/>
          <w:szCs w:val="24"/>
          <w:highlight w:val="none"/>
        </w:rPr>
        <w:t>U盘和1份电子版光盘中须包含投标文件的全部内容，格式为WORD版和签章后的投标文件正本扫描件PDF版两种。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光盘上须注明投标人名称及所投项目及内容。光盘上的内容应与投标人纸制投标文件一致。</w:t>
      </w:r>
    </w:p>
    <w:p w14:paraId="6CCC8AFC">
      <w:pPr>
        <w:adjustRightInd w:val="0"/>
        <w:snapToGrid w:val="0"/>
        <w:spacing w:line="500" w:lineRule="exact"/>
        <w:ind w:firstLine="42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18.7投</w:t>
      </w:r>
      <w:bookmarkEnd w:id="90"/>
      <w:bookmarkEnd w:id="91"/>
      <w:r>
        <w:rPr>
          <w:rFonts w:hint="eastAsia" w:asciiTheme="majorEastAsia" w:hAnsiTheme="majorEastAsia" w:eastAsiaTheme="majorEastAsia" w:cstheme="majorEastAsia"/>
          <w:b/>
          <w:bCs/>
          <w:color w:val="auto"/>
          <w:sz w:val="24"/>
          <w:szCs w:val="24"/>
          <w:highlight w:val="none"/>
        </w:rPr>
        <w:t>标人</w:t>
      </w:r>
      <w:r>
        <w:rPr>
          <w:rFonts w:hint="eastAsia" w:asciiTheme="majorEastAsia" w:hAnsiTheme="majorEastAsia" w:eastAsiaTheme="majorEastAsia" w:cstheme="majorEastAsia"/>
          <w:b/>
          <w:bCs/>
          <w:color w:val="auto"/>
          <w:sz w:val="24"/>
          <w:szCs w:val="24"/>
          <w:highlight w:val="none"/>
          <w:lang w:val="en-US" w:eastAsia="zh-CN"/>
        </w:rPr>
        <w:t>应</w:t>
      </w:r>
      <w:r>
        <w:rPr>
          <w:rFonts w:hint="eastAsia" w:asciiTheme="majorEastAsia" w:hAnsiTheme="majorEastAsia" w:eastAsiaTheme="majorEastAsia" w:cstheme="majorEastAsia"/>
          <w:b/>
          <w:bCs/>
          <w:color w:val="auto"/>
          <w:sz w:val="24"/>
          <w:szCs w:val="24"/>
          <w:highlight w:val="none"/>
        </w:rPr>
        <w:t>在投标文件封面上列明</w:t>
      </w:r>
      <w:r>
        <w:rPr>
          <w:rFonts w:hint="eastAsia" w:asciiTheme="majorEastAsia" w:hAnsiTheme="majorEastAsia" w:eastAsiaTheme="majorEastAsia" w:cstheme="majorEastAsia"/>
          <w:b/>
          <w:bCs/>
          <w:color w:val="auto"/>
          <w:sz w:val="24"/>
          <w:szCs w:val="24"/>
          <w:highlight w:val="none"/>
          <w:lang w:val="en-US" w:eastAsia="zh-CN"/>
        </w:rPr>
        <w:t>项目名称及编号</w:t>
      </w:r>
      <w:r>
        <w:rPr>
          <w:rFonts w:hint="eastAsia" w:asciiTheme="majorEastAsia" w:hAnsiTheme="majorEastAsia" w:eastAsiaTheme="majorEastAsia" w:cstheme="majorEastAsia"/>
          <w:b/>
          <w:bCs/>
          <w:color w:val="auto"/>
          <w:sz w:val="24"/>
          <w:szCs w:val="24"/>
          <w:highlight w:val="none"/>
        </w:rPr>
        <w:t>。</w:t>
      </w:r>
    </w:p>
    <w:p w14:paraId="49227391">
      <w:pPr>
        <w:pStyle w:val="5"/>
        <w:rPr>
          <w:color w:val="auto"/>
          <w:highlight w:val="none"/>
        </w:rPr>
      </w:pPr>
      <w:bookmarkStart w:id="92" w:name="_Toc8464"/>
      <w:r>
        <w:rPr>
          <w:rFonts w:hint="eastAsia"/>
          <w:color w:val="auto"/>
          <w:highlight w:val="none"/>
        </w:rPr>
        <w:t>19、投标文件的包装、递交、修改和撤回</w:t>
      </w:r>
      <w:bookmarkEnd w:id="92"/>
    </w:p>
    <w:p w14:paraId="4B1709E1">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w:t>
      </w:r>
      <w:r>
        <w:rPr>
          <w:rFonts w:hint="eastAsia" w:asciiTheme="majorEastAsia" w:hAnsiTheme="majorEastAsia" w:eastAsiaTheme="majorEastAsia" w:cstheme="majorEastAsia"/>
          <w:b/>
          <w:bCs/>
          <w:color w:val="auto"/>
          <w:sz w:val="24"/>
          <w:szCs w:val="24"/>
          <w:highlight w:val="none"/>
          <w:lang w:val="en-US" w:eastAsia="zh-CN"/>
        </w:rPr>
        <w:t>纸质版投标</w:t>
      </w:r>
      <w:r>
        <w:rPr>
          <w:rFonts w:hint="eastAsia" w:asciiTheme="majorEastAsia" w:hAnsiTheme="majorEastAsia" w:eastAsiaTheme="majorEastAsia" w:cstheme="majorEastAsia"/>
          <w:b/>
          <w:bCs/>
          <w:color w:val="auto"/>
          <w:sz w:val="24"/>
          <w:szCs w:val="24"/>
          <w:highlight w:val="none"/>
        </w:rPr>
        <w:t>文件</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电子文件（1份光盘，1份U盘）分别密封包装</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递交，包装封面上应注明“</w:t>
      </w:r>
      <w:r>
        <w:rPr>
          <w:rFonts w:hint="eastAsia" w:asciiTheme="majorEastAsia" w:hAnsiTheme="majorEastAsia" w:eastAsiaTheme="majorEastAsia" w:cstheme="majorEastAsia"/>
          <w:b/>
          <w:bCs/>
          <w:color w:val="auto"/>
          <w:sz w:val="24"/>
          <w:szCs w:val="24"/>
          <w:highlight w:val="none"/>
          <w:lang w:val="en-US" w:eastAsia="zh-CN"/>
        </w:rPr>
        <w:t>投标</w:t>
      </w:r>
      <w:r>
        <w:rPr>
          <w:rFonts w:hint="eastAsia" w:asciiTheme="majorEastAsia" w:hAnsiTheme="majorEastAsia" w:eastAsiaTheme="majorEastAsia" w:cstheme="majorEastAsia"/>
          <w:b/>
          <w:bCs/>
          <w:color w:val="auto"/>
          <w:sz w:val="24"/>
          <w:szCs w:val="24"/>
          <w:highlight w:val="none"/>
        </w:rPr>
        <w:t>文件”、“电子文件”及投标人名称、</w:t>
      </w:r>
      <w:r>
        <w:rPr>
          <w:rFonts w:hint="eastAsia" w:asciiTheme="majorEastAsia" w:hAnsiTheme="majorEastAsia" w:eastAsiaTheme="majorEastAsia" w:cstheme="majorEastAsia"/>
          <w:b/>
          <w:bCs/>
          <w:color w:val="auto"/>
          <w:sz w:val="24"/>
          <w:szCs w:val="24"/>
          <w:highlight w:val="none"/>
          <w:lang w:val="en-US" w:eastAsia="zh-CN"/>
        </w:rPr>
        <w:t>项目</w:t>
      </w:r>
      <w:r>
        <w:rPr>
          <w:rFonts w:hint="eastAsia" w:asciiTheme="majorEastAsia" w:hAnsiTheme="majorEastAsia" w:eastAsiaTheme="majorEastAsia" w:cstheme="majorEastAsia"/>
          <w:b/>
          <w:bCs/>
          <w:color w:val="auto"/>
          <w:sz w:val="24"/>
          <w:szCs w:val="24"/>
          <w:highlight w:val="none"/>
        </w:rPr>
        <w:t>名称、</w:t>
      </w:r>
      <w:r>
        <w:rPr>
          <w:rFonts w:hint="eastAsia" w:asciiTheme="majorEastAsia" w:hAnsiTheme="majorEastAsia" w:eastAsiaTheme="majorEastAsia" w:cstheme="majorEastAsia"/>
          <w:b/>
          <w:bCs/>
          <w:color w:val="auto"/>
          <w:sz w:val="24"/>
          <w:szCs w:val="24"/>
          <w:highlight w:val="none"/>
          <w:lang w:val="en-US" w:eastAsia="zh-CN"/>
        </w:rPr>
        <w:t>项目</w:t>
      </w:r>
      <w:r>
        <w:rPr>
          <w:rFonts w:hint="eastAsia" w:asciiTheme="majorEastAsia" w:hAnsiTheme="majorEastAsia" w:eastAsiaTheme="majorEastAsia" w:cstheme="majorEastAsia"/>
          <w:b/>
          <w:bCs/>
          <w:color w:val="auto"/>
          <w:sz w:val="24"/>
          <w:szCs w:val="24"/>
          <w:highlight w:val="none"/>
        </w:rPr>
        <w:t>编号及内容及“开标时启封”字样，并加盖投标人公章。</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本项目不适用</w:t>
      </w:r>
      <w:r>
        <w:rPr>
          <w:rFonts w:hint="eastAsia" w:asciiTheme="majorEastAsia" w:hAnsiTheme="majorEastAsia" w:eastAsiaTheme="majorEastAsia" w:cstheme="majorEastAsia"/>
          <w:color w:val="auto"/>
          <w:sz w:val="24"/>
          <w:szCs w:val="24"/>
          <w:highlight w:val="none"/>
          <w:lang w:eastAsia="zh-CN"/>
        </w:rPr>
        <w:t>）</w:t>
      </w:r>
    </w:p>
    <w:p w14:paraId="3E435519">
      <w:pPr>
        <w:pStyle w:val="199"/>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w:t>
      </w:r>
      <w:r>
        <w:rPr>
          <w:rFonts w:hint="eastAsia" w:asciiTheme="majorEastAsia" w:hAnsiTheme="majorEastAsia" w:eastAsiaTheme="majorEastAsia" w:cstheme="majorEastAsia"/>
          <w:color w:val="auto"/>
          <w:kern w:val="2"/>
          <w:sz w:val="24"/>
          <w:szCs w:val="24"/>
          <w:highlight w:val="none"/>
          <w:lang w:eastAsia="zh-CN"/>
        </w:rPr>
        <w:t>投标文件</w:t>
      </w:r>
      <w:r>
        <w:rPr>
          <w:rFonts w:hint="eastAsia" w:asciiTheme="majorEastAsia" w:hAnsiTheme="majorEastAsia" w:eastAsiaTheme="majorEastAsia" w:cstheme="majorEastAsia"/>
          <w:color w:val="auto"/>
          <w:kern w:val="2"/>
          <w:sz w:val="24"/>
          <w:szCs w:val="24"/>
          <w:highlight w:val="none"/>
          <w:lang w:val="en-US" w:eastAsia="zh-CN"/>
        </w:rPr>
        <w:t>的包装没有按上述规定密封并加写标志，采购人或采购代理机构将拒绝接收</w:t>
      </w:r>
      <w:r>
        <w:rPr>
          <w:rFonts w:hint="eastAsia" w:asciiTheme="majorEastAsia" w:hAnsiTheme="majorEastAsia" w:eastAsiaTheme="majorEastAsia" w:cstheme="majorEastAsia"/>
          <w:color w:val="auto"/>
          <w:kern w:val="2"/>
          <w:sz w:val="24"/>
          <w:szCs w:val="24"/>
          <w:highlight w:val="none"/>
        </w:rPr>
        <w:t>。</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本项目不适用</w:t>
      </w:r>
      <w:r>
        <w:rPr>
          <w:rFonts w:hint="eastAsia" w:asciiTheme="majorEastAsia" w:hAnsiTheme="majorEastAsia" w:eastAsiaTheme="majorEastAsia" w:cstheme="majorEastAsia"/>
          <w:color w:val="auto"/>
          <w:sz w:val="24"/>
          <w:szCs w:val="24"/>
          <w:highlight w:val="none"/>
          <w:lang w:eastAsia="zh-CN"/>
        </w:rPr>
        <w:t>）</w:t>
      </w:r>
    </w:p>
    <w:p w14:paraId="7A8EECEB">
      <w:pPr>
        <w:pStyle w:val="199"/>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14:paraId="25F63E7C">
      <w:pPr>
        <w:pStyle w:val="200"/>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14:paraId="19348663">
      <w:pPr>
        <w:pStyle w:val="199"/>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w:t>
      </w:r>
      <w:r>
        <w:rPr>
          <w:rFonts w:hint="eastAsia" w:asciiTheme="majorEastAsia" w:hAnsiTheme="majorEastAsia" w:eastAsiaTheme="majorEastAsia" w:cstheme="majorEastAsia"/>
          <w:color w:val="auto"/>
          <w:kern w:val="2"/>
          <w:sz w:val="24"/>
          <w:szCs w:val="24"/>
          <w:highlight w:val="none"/>
          <w:lang w:val="en-US" w:eastAsia="zh-CN"/>
        </w:rPr>
        <w:t>发送至指定邮箱</w:t>
      </w:r>
      <w:r>
        <w:rPr>
          <w:rFonts w:hint="eastAsia" w:asciiTheme="majorEastAsia" w:hAnsiTheme="majorEastAsia" w:eastAsiaTheme="majorEastAsia" w:cstheme="majorEastAsia"/>
          <w:color w:val="auto"/>
          <w:kern w:val="2"/>
          <w:sz w:val="24"/>
          <w:szCs w:val="24"/>
          <w:highlight w:val="none"/>
        </w:rPr>
        <w:t>的投标文件；</w:t>
      </w:r>
    </w:p>
    <w:p w14:paraId="67DFCB3B">
      <w:pPr>
        <w:pStyle w:val="5"/>
        <w:rPr>
          <w:color w:val="auto"/>
          <w:highlight w:val="none"/>
        </w:rPr>
      </w:pPr>
      <w:bookmarkStart w:id="93" w:name="_Toc5085"/>
      <w:r>
        <w:rPr>
          <w:rFonts w:hint="eastAsia"/>
          <w:color w:val="auto"/>
          <w:highlight w:val="none"/>
        </w:rPr>
        <w:t>20、投标截止期</w:t>
      </w:r>
      <w:bookmarkEnd w:id="93"/>
    </w:p>
    <w:p w14:paraId="58BD947A">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14:paraId="57BADF77">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14:paraId="4C90D9FB">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14:paraId="391BF035">
      <w:pPr>
        <w:pStyle w:val="5"/>
        <w:rPr>
          <w:color w:val="auto"/>
          <w:highlight w:val="none"/>
        </w:rPr>
      </w:pPr>
      <w:bookmarkStart w:id="94" w:name="_Toc11084"/>
      <w:r>
        <w:rPr>
          <w:rFonts w:hint="eastAsia"/>
          <w:color w:val="auto"/>
          <w:highlight w:val="none"/>
        </w:rPr>
        <w:t>21、投标无效的情形</w:t>
      </w:r>
      <w:bookmarkEnd w:id="94"/>
    </w:p>
    <w:p w14:paraId="40720CF5">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14:paraId="3A9CF70F">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14:paraId="62A30E5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14:paraId="543A193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14:paraId="1CC660A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14:paraId="5EEE2E2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14:paraId="175ED7A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14:paraId="0F6B49B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投标人的报价明显低于其他通过符合性审查投标人的报价（达到符合异常低价认定的情形），有可能影响产品质量或者不能诚信履约的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14:paraId="7634ABE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以赠送方式投标的、提供两个投标方案或两个报价的；</w:t>
      </w:r>
    </w:p>
    <w:p w14:paraId="74026A6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14:paraId="0AB30DB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95" w:name="_Toc19368"/>
      <w:bookmarkStart w:id="96" w:name="_Toc12370"/>
      <w:r>
        <w:rPr>
          <w:rFonts w:hint="eastAsia" w:asciiTheme="majorEastAsia" w:hAnsiTheme="majorEastAsia" w:eastAsiaTheme="majorEastAsia" w:cstheme="majorEastAsia"/>
          <w:color w:val="auto"/>
          <w:sz w:val="24"/>
          <w:szCs w:val="24"/>
          <w:highlight w:val="none"/>
        </w:rPr>
        <w:t>21.9 投标报价超出最高限价的；</w:t>
      </w:r>
    </w:p>
    <w:p w14:paraId="3E7C1E7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14:paraId="352A80A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14:paraId="5153484E">
      <w:pPr>
        <w:pStyle w:val="4"/>
        <w:rPr>
          <w:color w:val="auto"/>
          <w:highlight w:val="none"/>
        </w:rPr>
      </w:pPr>
      <w:r>
        <w:rPr>
          <w:rFonts w:hint="eastAsia"/>
          <w:color w:val="auto"/>
          <w:highlight w:val="none"/>
        </w:rPr>
        <w:t>四、开标</w:t>
      </w:r>
      <w:bookmarkEnd w:id="95"/>
      <w:bookmarkEnd w:id="96"/>
    </w:p>
    <w:p w14:paraId="6A2FE28D">
      <w:pPr>
        <w:pStyle w:val="5"/>
        <w:rPr>
          <w:color w:val="auto"/>
          <w:highlight w:val="none"/>
        </w:rPr>
      </w:pPr>
      <w:bookmarkStart w:id="97" w:name="_Toc9510638"/>
      <w:bookmarkStart w:id="98" w:name="_Toc21515"/>
      <w:r>
        <w:rPr>
          <w:rFonts w:hint="eastAsia"/>
          <w:color w:val="auto"/>
          <w:highlight w:val="none"/>
        </w:rPr>
        <w:t>22、开</w:t>
      </w:r>
      <w:bookmarkEnd w:id="97"/>
      <w:r>
        <w:rPr>
          <w:rFonts w:hint="eastAsia"/>
          <w:color w:val="auto"/>
          <w:highlight w:val="none"/>
        </w:rPr>
        <w:t>标准备</w:t>
      </w:r>
      <w:bookmarkEnd w:id="98"/>
    </w:p>
    <w:p w14:paraId="3FC4ADD1">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rPr>
        <w:t xml:space="preserve">22.1 </w:t>
      </w:r>
      <w:r>
        <w:rPr>
          <w:rFonts w:hint="eastAsia" w:asciiTheme="majorEastAsia" w:hAnsiTheme="majorEastAsia" w:eastAsiaTheme="majorEastAsia" w:cstheme="majorEastAsia"/>
          <w:bCs/>
          <w:color w:val="auto"/>
          <w:sz w:val="24"/>
          <w:szCs w:val="24"/>
          <w:highlight w:val="none"/>
          <w:lang w:val="en-US" w:eastAsia="zh-CN"/>
        </w:rPr>
        <w:t>现场开标</w:t>
      </w:r>
    </w:p>
    <w:p w14:paraId="7D9F748A">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14:paraId="23E3F45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14:paraId="79BF424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22.2电子递交投标文件</w:t>
      </w:r>
    </w:p>
    <w:p w14:paraId="7952B1BA">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（1）使用电子递交投标文件的，投标人应当在规定的时间将电子版投标文件发送至指定邮箱，并在规定时间内提供解密密码。</w:t>
      </w:r>
    </w:p>
    <w:p w14:paraId="7B7CA4E9">
      <w:pPr>
        <w:pStyle w:val="5"/>
        <w:rPr>
          <w:color w:val="auto"/>
          <w:highlight w:val="none"/>
        </w:rPr>
      </w:pPr>
      <w:bookmarkStart w:id="99" w:name="_Toc26159"/>
      <w:r>
        <w:rPr>
          <w:rFonts w:hint="eastAsia"/>
          <w:color w:val="auto"/>
          <w:highlight w:val="none"/>
        </w:rPr>
        <w:t>23、开标程序</w:t>
      </w:r>
      <w:bookmarkEnd w:id="99"/>
    </w:p>
    <w:p w14:paraId="24A1547C">
      <w:pPr>
        <w:adjustRightInd w:val="0"/>
        <w:snapToGrid w:val="0"/>
        <w:spacing w:line="500" w:lineRule="exact"/>
        <w:ind w:firstLine="523" w:firstLineChars="218"/>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23.1现场开标</w:t>
      </w:r>
    </w:p>
    <w:p w14:paraId="24F31F9A">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rPr>
        <w:t xml:space="preserve"> 开标会由采购代理机构主持，主持人宣布开标会议开始；</w:t>
      </w:r>
    </w:p>
    <w:p w14:paraId="5FE804A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2 主持人介绍参加开标会的投标人名单；</w:t>
      </w:r>
    </w:p>
    <w:p w14:paraId="10096B4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100" w:name="_Toc14026"/>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14:paraId="78589497">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14:paraId="49F38500">
      <w:pPr>
        <w:pStyle w:val="200"/>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w:t>
      </w:r>
      <w:r>
        <w:rPr>
          <w:rFonts w:hint="eastAsia" w:asciiTheme="majorEastAsia" w:hAnsiTheme="majorEastAsia" w:eastAsiaTheme="majorEastAsia" w:cstheme="majorEastAsia"/>
          <w:bCs/>
          <w:color w:val="auto"/>
          <w:szCs w:val="24"/>
          <w:highlight w:val="none"/>
          <w:lang w:val="en-US" w:eastAsia="zh-CN"/>
        </w:rPr>
        <w:t>1.</w:t>
      </w:r>
      <w:r>
        <w:rPr>
          <w:rFonts w:hint="eastAsia" w:asciiTheme="majorEastAsia" w:hAnsiTheme="majorEastAsia" w:eastAsiaTheme="majorEastAsia" w:cstheme="majorEastAsia"/>
          <w:bCs/>
          <w:color w:val="auto"/>
          <w:szCs w:val="24"/>
          <w:highlight w:val="none"/>
        </w:rPr>
        <w:t>5开标后投标人代表当场对开标结果进行签字确认，投标人代表未在开标记录上签字的，均视为对开标结果予以默认；</w:t>
      </w:r>
    </w:p>
    <w:p w14:paraId="05A41133">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14:paraId="143386D9">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23.2电子递交投标文件</w:t>
      </w:r>
    </w:p>
    <w:p w14:paraId="404B744B">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rPr>
        <w:t xml:space="preserve"> 开标会由采购代理机构主持，主持人宣布开标会议开始；</w:t>
      </w:r>
    </w:p>
    <w:p w14:paraId="2E93638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2 主持人</w:t>
      </w:r>
      <w:r>
        <w:rPr>
          <w:rFonts w:hint="eastAsia" w:asciiTheme="majorEastAsia" w:hAnsiTheme="majorEastAsia" w:eastAsiaTheme="majorEastAsia" w:cstheme="majorEastAsia"/>
          <w:bCs/>
          <w:color w:val="auto"/>
          <w:sz w:val="24"/>
          <w:szCs w:val="24"/>
          <w:highlight w:val="none"/>
          <w:lang w:val="en-US" w:eastAsia="zh-CN"/>
        </w:rPr>
        <w:t>在“标前会议确认表”中</w:t>
      </w:r>
      <w:r>
        <w:rPr>
          <w:rFonts w:hint="eastAsia" w:asciiTheme="majorEastAsia" w:hAnsiTheme="majorEastAsia" w:eastAsiaTheme="majorEastAsia" w:cstheme="majorEastAsia"/>
          <w:bCs/>
          <w:color w:val="auto"/>
          <w:sz w:val="24"/>
          <w:szCs w:val="24"/>
          <w:highlight w:val="none"/>
        </w:rPr>
        <w:t>介绍参加开标会的投标人名单</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评标委员会的组成，评标程序等内容</w:t>
      </w:r>
      <w:r>
        <w:rPr>
          <w:rFonts w:hint="eastAsia" w:asciiTheme="majorEastAsia" w:hAnsiTheme="majorEastAsia" w:eastAsiaTheme="majorEastAsia" w:cstheme="majorEastAsia"/>
          <w:bCs/>
          <w:color w:val="auto"/>
          <w:sz w:val="24"/>
          <w:szCs w:val="24"/>
          <w:highlight w:val="none"/>
        </w:rPr>
        <w:t>；</w:t>
      </w:r>
    </w:p>
    <w:p w14:paraId="5DAF85FF">
      <w:pPr>
        <w:adjustRightInd w:val="0"/>
        <w:snapToGrid w:val="0"/>
        <w:spacing w:line="500" w:lineRule="exact"/>
        <w:ind w:firstLine="523" w:firstLineChars="218"/>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3主持人</w:t>
      </w:r>
      <w:r>
        <w:rPr>
          <w:rFonts w:hint="eastAsia" w:asciiTheme="majorEastAsia" w:hAnsiTheme="majorEastAsia" w:eastAsiaTheme="majorEastAsia" w:cstheme="majorEastAsia"/>
          <w:bCs/>
          <w:color w:val="auto"/>
          <w:sz w:val="24"/>
          <w:szCs w:val="24"/>
          <w:highlight w:val="none"/>
          <w:lang w:val="en-US" w:eastAsia="zh-CN"/>
        </w:rPr>
        <w:t>制作“开标记录表”，记录投标人名称、商务报价、项目负责人等重要内容；</w:t>
      </w:r>
    </w:p>
    <w:p w14:paraId="0A093CF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4</w:t>
      </w:r>
      <w:r>
        <w:rPr>
          <w:rFonts w:hint="eastAsia" w:asciiTheme="majorEastAsia" w:hAnsiTheme="majorEastAsia" w:eastAsiaTheme="majorEastAsia" w:cstheme="majorEastAsia"/>
          <w:bCs/>
          <w:color w:val="auto"/>
          <w:sz w:val="24"/>
          <w:szCs w:val="24"/>
          <w:highlight w:val="none"/>
          <w:lang w:val="en-US" w:eastAsia="zh-CN"/>
        </w:rPr>
        <w:t>主持人将“标前会议确认表”、“开标记录表”发送至各投标人邮箱，由投标人代表进行签字确认，投标人代表未在“标前会议确认表”、“开标记录表”上签字的，均视为对开标结果予以默认；</w:t>
      </w:r>
    </w:p>
    <w:p w14:paraId="5B37B3D5">
      <w:pPr>
        <w:pStyle w:val="200"/>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w:t>
      </w:r>
      <w:r>
        <w:rPr>
          <w:rFonts w:hint="eastAsia" w:asciiTheme="majorEastAsia" w:hAnsiTheme="majorEastAsia" w:eastAsiaTheme="majorEastAsia" w:cstheme="majorEastAsia"/>
          <w:bCs/>
          <w:color w:val="auto"/>
          <w:szCs w:val="24"/>
          <w:highlight w:val="none"/>
          <w:lang w:val="en-US" w:eastAsia="zh-CN"/>
        </w:rPr>
        <w:t>1.</w:t>
      </w:r>
      <w:r>
        <w:rPr>
          <w:rFonts w:hint="eastAsia" w:asciiTheme="majorEastAsia" w:hAnsiTheme="majorEastAsia" w:eastAsiaTheme="majorEastAsia" w:cstheme="majorEastAsia"/>
          <w:bCs/>
          <w:color w:val="auto"/>
          <w:szCs w:val="24"/>
          <w:highlight w:val="none"/>
        </w:rPr>
        <w:t>5</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w:t>
      </w:r>
      <w:r>
        <w:rPr>
          <w:rFonts w:hint="eastAsia" w:asciiTheme="majorEastAsia" w:hAnsiTheme="majorEastAsia" w:eastAsiaTheme="majorEastAsia" w:cstheme="majorEastAsia"/>
          <w:bCs/>
          <w:color w:val="auto"/>
          <w:sz w:val="24"/>
          <w:szCs w:val="24"/>
          <w:highlight w:val="none"/>
          <w:lang w:val="en-US" w:eastAsia="zh-CN"/>
        </w:rPr>
        <w:t>在</w:t>
      </w:r>
      <w:r>
        <w:rPr>
          <w:rFonts w:hint="eastAsia" w:asciiTheme="majorEastAsia" w:hAnsiTheme="majorEastAsia" w:eastAsiaTheme="majorEastAsia" w:cstheme="majorEastAsia"/>
          <w:b/>
          <w:bCs w:val="0"/>
          <w:color w:val="auto"/>
          <w:sz w:val="24"/>
          <w:szCs w:val="24"/>
          <w:highlight w:val="none"/>
          <w:lang w:val="en-US" w:eastAsia="zh-CN"/>
        </w:rPr>
        <w:t>收到表格起10分钟内</w:t>
      </w:r>
      <w:r>
        <w:rPr>
          <w:rFonts w:hint="eastAsia" w:asciiTheme="majorEastAsia" w:hAnsiTheme="majorEastAsia" w:eastAsiaTheme="majorEastAsia" w:cstheme="majorEastAsia"/>
          <w:b/>
          <w:bCs w:val="0"/>
          <w:color w:val="auto"/>
          <w:sz w:val="24"/>
          <w:szCs w:val="24"/>
          <w:highlight w:val="none"/>
          <w:lang w:eastAsia="zh-CN"/>
        </w:rPr>
        <w:t>提出询问或者回避申请</w:t>
      </w:r>
      <w:r>
        <w:rPr>
          <w:rFonts w:hint="eastAsia" w:asciiTheme="majorEastAsia" w:hAnsiTheme="majorEastAsia" w:eastAsiaTheme="majorEastAsia" w:cstheme="majorEastAsia"/>
          <w:bCs/>
          <w:color w:val="auto"/>
          <w:sz w:val="24"/>
          <w:szCs w:val="24"/>
          <w:highlight w:val="none"/>
          <w:lang w:eastAsia="zh-CN"/>
        </w:rPr>
        <w:t>，采购人、采购代理机构将对投标人代表提出的询问或者回避申请及时处理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14:paraId="049CB9B7">
      <w:pPr>
        <w:pStyle w:val="5"/>
        <w:rPr>
          <w:rFonts w:hint="eastAsia" w:eastAsia="宋体"/>
          <w:color w:val="auto"/>
          <w:highlight w:val="none"/>
          <w:lang w:eastAsia="zh-CN"/>
        </w:rPr>
      </w:pPr>
      <w:r>
        <w:rPr>
          <w:rFonts w:hint="eastAsia"/>
          <w:color w:val="auto"/>
          <w:highlight w:val="none"/>
        </w:rPr>
        <w:t>24、资格审查</w:t>
      </w:r>
      <w:bookmarkEnd w:id="100"/>
    </w:p>
    <w:p w14:paraId="7D9E011A">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rPr>
      </w:pPr>
      <w:bookmarkStart w:id="101" w:name="_Toc21778"/>
      <w:bookmarkStart w:id="102"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14:paraId="7D0D2A3D">
      <w:pPr>
        <w:pStyle w:val="32"/>
        <w:rPr>
          <w:rFonts w:hint="eastAsia"/>
          <w:color w:val="auto"/>
          <w:highlight w:val="none"/>
        </w:rPr>
      </w:pPr>
    </w:p>
    <w:tbl>
      <w:tblPr>
        <w:tblStyle w:val="41"/>
        <w:tblpPr w:leftFromText="180" w:rightFromText="180" w:vertAnchor="text" w:horzAnchor="page" w:tblpX="1274" w:tblpY="80"/>
        <w:tblOverlap w:val="never"/>
        <w:tblW w:w="10113"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790"/>
        <w:gridCol w:w="9323"/>
      </w:tblGrid>
      <w:tr w14:paraId="571D6A5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349" w:hRule="atLeast"/>
        </w:trPr>
        <w:tc>
          <w:tcPr>
            <w:tcW w:w="79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4CF9324F">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9323" w:type="dxa"/>
            <w:tcBorders>
              <w:top w:val="single" w:color="auto" w:sz="8" w:space="0"/>
              <w:left w:val="nil"/>
              <w:bottom w:val="single" w:color="auto" w:sz="8" w:space="0"/>
              <w:right w:val="single" w:color="auto" w:sz="8" w:space="0"/>
            </w:tcBorders>
            <w:tcMar>
              <w:left w:w="108" w:type="dxa"/>
              <w:right w:w="108" w:type="dxa"/>
            </w:tcMar>
            <w:vAlign w:val="center"/>
          </w:tcPr>
          <w:p w14:paraId="7E637A52">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56313F6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86"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57546488">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9323" w:type="dxa"/>
            <w:tcBorders>
              <w:top w:val="nil"/>
              <w:left w:val="nil"/>
              <w:bottom w:val="single" w:color="auto" w:sz="8" w:space="0"/>
              <w:right w:val="single" w:color="auto" w:sz="8" w:space="0"/>
            </w:tcBorders>
            <w:tcMar>
              <w:left w:w="108" w:type="dxa"/>
              <w:right w:w="108" w:type="dxa"/>
            </w:tcMar>
            <w:vAlign w:val="center"/>
          </w:tcPr>
          <w:p w14:paraId="5F7ACD5C">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14:paraId="593DE1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80" w:hRule="atLeast"/>
        </w:trPr>
        <w:tc>
          <w:tcPr>
            <w:tcW w:w="790" w:type="dxa"/>
            <w:tcBorders>
              <w:top w:val="nil"/>
              <w:left w:val="single" w:color="auto" w:sz="8" w:space="0"/>
              <w:right w:val="single" w:color="auto" w:sz="8" w:space="0"/>
            </w:tcBorders>
            <w:tcMar>
              <w:left w:w="108" w:type="dxa"/>
              <w:right w:w="108" w:type="dxa"/>
            </w:tcMar>
            <w:vAlign w:val="center"/>
          </w:tcPr>
          <w:p w14:paraId="1D031A40">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w:t>
            </w:r>
          </w:p>
        </w:tc>
        <w:tc>
          <w:tcPr>
            <w:tcW w:w="9323" w:type="dxa"/>
            <w:tcBorders>
              <w:top w:val="nil"/>
              <w:left w:val="nil"/>
              <w:bottom w:val="single" w:color="auto" w:sz="8" w:space="0"/>
              <w:right w:val="single" w:color="auto" w:sz="8" w:space="0"/>
            </w:tcBorders>
            <w:tcMar>
              <w:left w:w="108" w:type="dxa"/>
              <w:right w:w="108" w:type="dxa"/>
            </w:tcMar>
            <w:vAlign w:val="center"/>
          </w:tcPr>
          <w:p w14:paraId="3C7E957C">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与招标人存在利害关系可能影响招标公正性的法人、其他组织或者个人，不得参加同一标段投标或者未划分标段的同一招标不得参加投标</w:t>
            </w:r>
            <w:r>
              <w:rPr>
                <w:rFonts w:hint="eastAsia" w:ascii="宋体" w:hAnsi="宋体" w:cs="宋体"/>
                <w:color w:val="auto"/>
                <w:kern w:val="2"/>
                <w:sz w:val="24"/>
                <w:szCs w:val="24"/>
                <w:highlight w:val="none"/>
                <w:lang w:val="en-US" w:eastAsia="zh-CN" w:bidi="ar-SA"/>
              </w:rPr>
              <w:t>。</w:t>
            </w:r>
          </w:p>
        </w:tc>
      </w:tr>
      <w:tr w14:paraId="197EDB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5" w:hRule="atLeast"/>
        </w:trPr>
        <w:tc>
          <w:tcPr>
            <w:tcW w:w="790" w:type="dxa"/>
            <w:tcBorders>
              <w:left w:val="single" w:color="auto" w:sz="8" w:space="0"/>
              <w:right w:val="single" w:color="auto" w:sz="8" w:space="0"/>
            </w:tcBorders>
            <w:tcMar>
              <w:left w:w="108" w:type="dxa"/>
              <w:right w:w="108" w:type="dxa"/>
            </w:tcMar>
            <w:vAlign w:val="center"/>
          </w:tcPr>
          <w:p w14:paraId="62E618E9">
            <w:pPr>
              <w:snapToGrid w:val="0"/>
              <w:spacing w:line="40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c>
          <w:tcPr>
            <w:tcW w:w="9323" w:type="dxa"/>
            <w:tcBorders>
              <w:top w:val="nil"/>
              <w:left w:val="nil"/>
              <w:bottom w:val="single" w:color="auto" w:sz="8" w:space="0"/>
              <w:right w:val="single" w:color="auto" w:sz="8" w:space="0"/>
            </w:tcBorders>
            <w:tcMar>
              <w:left w:w="108" w:type="dxa"/>
              <w:right w:w="108" w:type="dxa"/>
            </w:tcMar>
            <w:vAlign w:val="center"/>
          </w:tcPr>
          <w:p w14:paraId="29A40126">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投标单位负责人为同一人或者存在直接控股、管理关系的不同投标人不得参加同一合同项下的采购活动。</w:t>
            </w:r>
          </w:p>
        </w:tc>
      </w:tr>
      <w:tr w14:paraId="73B3E63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421" w:hRule="atLeast"/>
        </w:trPr>
        <w:tc>
          <w:tcPr>
            <w:tcW w:w="790" w:type="dxa"/>
            <w:tcBorders>
              <w:left w:val="single" w:color="auto" w:sz="8" w:space="0"/>
              <w:bottom w:val="single" w:color="auto" w:sz="8" w:space="0"/>
              <w:right w:val="single" w:color="auto" w:sz="8" w:space="0"/>
            </w:tcBorders>
            <w:tcMar>
              <w:left w:w="108" w:type="dxa"/>
              <w:right w:w="108" w:type="dxa"/>
            </w:tcMar>
            <w:vAlign w:val="center"/>
          </w:tcPr>
          <w:p w14:paraId="74BBD5ED">
            <w:pPr>
              <w:snapToGrid w:val="0"/>
              <w:spacing w:line="40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9323" w:type="dxa"/>
            <w:tcBorders>
              <w:top w:val="nil"/>
              <w:left w:val="nil"/>
              <w:bottom w:val="single" w:color="auto" w:sz="8" w:space="0"/>
              <w:right w:val="single" w:color="auto" w:sz="8" w:space="0"/>
            </w:tcBorders>
            <w:tcMar>
              <w:left w:w="108" w:type="dxa"/>
              <w:right w:w="108" w:type="dxa"/>
            </w:tcMar>
            <w:vAlign w:val="center"/>
          </w:tcPr>
          <w:p w14:paraId="4B1E3A4C">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投标单位未被列入失信被执行人、重大税收违法失信主体、政府采购严重违法失信行为记录名单。</w:t>
            </w:r>
          </w:p>
          <w:p w14:paraId="7F3066A2">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注：开标当天采购代理机构将通过“信用中国”网站（www.creditchina.gov.cn）和中国政府采购网（www.ccgp.gov.cn）对投标人的信用信息进行查询，查询截止时间点即投标截止时间。</w:t>
            </w:r>
          </w:p>
        </w:tc>
      </w:tr>
      <w:tr w14:paraId="4C128D6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0D028BFF">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9323" w:type="dxa"/>
            <w:tcBorders>
              <w:top w:val="nil"/>
              <w:left w:val="nil"/>
              <w:bottom w:val="single" w:color="auto" w:sz="8" w:space="0"/>
              <w:right w:val="single" w:color="auto" w:sz="8" w:space="0"/>
            </w:tcBorders>
            <w:tcMar>
              <w:left w:w="108" w:type="dxa"/>
              <w:right w:w="108" w:type="dxa"/>
            </w:tcMar>
            <w:vAlign w:val="center"/>
          </w:tcPr>
          <w:p w14:paraId="475E5190">
            <w:pPr>
              <w:snapToGrid w:val="0"/>
              <w:spacing w:line="400" w:lineRule="exact"/>
              <w:rPr>
                <w:rFonts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本项目专门面向中小企业采购，供应商需按照采购文件的要求提供相应的《中小企业声明函》</w:t>
            </w:r>
            <w:r>
              <w:rPr>
                <w:rFonts w:hint="eastAsia" w:ascii="宋体" w:hAnsi="宋体" w:cs="宋体"/>
                <w:color w:val="auto"/>
                <w:sz w:val="24"/>
                <w:szCs w:val="24"/>
                <w:highlight w:val="none"/>
              </w:rPr>
              <w:t>。</w:t>
            </w:r>
          </w:p>
        </w:tc>
      </w:tr>
      <w:tr w14:paraId="32EEE96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0A74DA08">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w:t>
            </w:r>
          </w:p>
        </w:tc>
        <w:tc>
          <w:tcPr>
            <w:tcW w:w="9323" w:type="dxa"/>
            <w:tcBorders>
              <w:top w:val="nil"/>
              <w:left w:val="nil"/>
              <w:bottom w:val="single" w:color="auto" w:sz="8" w:space="0"/>
              <w:right w:val="single" w:color="auto" w:sz="8" w:space="0"/>
            </w:tcBorders>
            <w:tcMar>
              <w:left w:w="108" w:type="dxa"/>
              <w:right w:w="108" w:type="dxa"/>
            </w:tcMar>
            <w:vAlign w:val="center"/>
          </w:tcPr>
          <w:p w14:paraId="6845DB6F">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本项目不接受联合体投标。</w:t>
            </w:r>
          </w:p>
        </w:tc>
      </w:tr>
      <w:tr w14:paraId="57FFDCA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909" w:hRule="atLeast"/>
        </w:trPr>
        <w:tc>
          <w:tcPr>
            <w:tcW w:w="10113" w:type="dxa"/>
            <w:gridSpan w:val="2"/>
            <w:tcBorders>
              <w:top w:val="nil"/>
              <w:left w:val="single" w:color="auto" w:sz="8" w:space="0"/>
              <w:bottom w:val="single" w:color="auto" w:sz="8" w:space="0"/>
              <w:right w:val="single" w:color="auto" w:sz="8" w:space="0"/>
            </w:tcBorders>
            <w:tcMar>
              <w:left w:w="108" w:type="dxa"/>
              <w:right w:w="108" w:type="dxa"/>
            </w:tcMar>
            <w:vAlign w:val="center"/>
          </w:tcPr>
          <w:p w14:paraId="41DAE938">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14:paraId="7FE7410F">
            <w:pPr>
              <w:adjustRightInd w:val="0"/>
              <w:snapToGrid w:val="0"/>
              <w:spacing w:line="400" w:lineRule="exact"/>
              <w:ind w:firstLine="751" w:firstLineChars="31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14:paraId="0E609007">
      <w:pPr>
        <w:pStyle w:val="4"/>
        <w:rPr>
          <w:color w:val="auto"/>
          <w:highlight w:val="none"/>
        </w:rPr>
      </w:pPr>
      <w:r>
        <w:rPr>
          <w:rFonts w:hint="eastAsia"/>
          <w:color w:val="auto"/>
          <w:highlight w:val="none"/>
        </w:rPr>
        <w:t>五、评标</w:t>
      </w:r>
      <w:bookmarkEnd w:id="101"/>
      <w:bookmarkEnd w:id="102"/>
    </w:p>
    <w:p w14:paraId="74096205">
      <w:pPr>
        <w:pStyle w:val="5"/>
        <w:rPr>
          <w:color w:val="auto"/>
          <w:highlight w:val="none"/>
        </w:rPr>
      </w:pPr>
      <w:bookmarkStart w:id="103" w:name="_Toc9510639"/>
      <w:bookmarkStart w:id="104" w:name="_Toc6750"/>
      <w:r>
        <w:rPr>
          <w:rFonts w:hint="eastAsia"/>
          <w:color w:val="auto"/>
          <w:highlight w:val="none"/>
        </w:rPr>
        <w:t>25、组</w:t>
      </w:r>
      <w:bookmarkEnd w:id="103"/>
      <w:r>
        <w:rPr>
          <w:rFonts w:hint="eastAsia"/>
          <w:color w:val="auto"/>
          <w:highlight w:val="none"/>
        </w:rPr>
        <w:t>建评标委员会</w:t>
      </w:r>
      <w:bookmarkEnd w:id="104"/>
    </w:p>
    <w:p w14:paraId="46FC16F2">
      <w:pPr>
        <w:adjustRightInd w:val="0"/>
        <w:snapToGrid w:val="0"/>
        <w:spacing w:line="360" w:lineRule="auto"/>
        <w:ind w:firstLine="480" w:firstLineChars="200"/>
        <w:rPr>
          <w:rFonts w:ascii="宋体" w:hAnsi="宋体" w:cs="宋体"/>
          <w:color w:val="auto"/>
          <w:sz w:val="24"/>
          <w:szCs w:val="24"/>
          <w:highlight w:val="none"/>
        </w:rPr>
      </w:pPr>
      <w:bookmarkStart w:id="105" w:name="_Toc14527"/>
      <w:r>
        <w:rPr>
          <w:rFonts w:hint="eastAsia" w:asciiTheme="majorEastAsia" w:hAnsiTheme="majorEastAsia" w:eastAsiaTheme="majorEastAsia" w:cstheme="majorEastAsia"/>
          <w:color w:val="auto"/>
          <w:sz w:val="24"/>
          <w:szCs w:val="24"/>
          <w:highlight w:val="none"/>
        </w:rPr>
        <w:t>按《中华人民共和国政府采购法》相关要求，</w:t>
      </w:r>
      <w:r>
        <w:rPr>
          <w:rFonts w:hint="eastAsia" w:asciiTheme="majorEastAsia" w:hAnsiTheme="majorEastAsia" w:eastAsiaTheme="majorEastAsia" w:cstheme="majorEastAsia"/>
          <w:color w:val="auto"/>
          <w:sz w:val="24"/>
          <w:szCs w:val="24"/>
          <w:highlight w:val="none"/>
          <w:lang w:eastAsia="zh-CN"/>
        </w:rPr>
        <w:t>本项目评审专家从专家库中</w:t>
      </w:r>
      <w:r>
        <w:rPr>
          <w:rFonts w:hint="eastAsia" w:asciiTheme="majorEastAsia" w:hAnsiTheme="majorEastAsia" w:eastAsiaTheme="majorEastAsia" w:cstheme="majorEastAsia"/>
          <w:color w:val="auto"/>
          <w:sz w:val="24"/>
          <w:szCs w:val="24"/>
          <w:highlight w:val="none"/>
        </w:rPr>
        <w:t>随机抽取</w:t>
      </w:r>
      <w:r>
        <w:rPr>
          <w:rFonts w:hint="eastAsia" w:asciiTheme="majorEastAsia" w:hAnsiTheme="majorEastAsia" w:eastAsiaTheme="majorEastAsia" w:cstheme="majorEastAsia"/>
          <w:color w:val="auto"/>
          <w:sz w:val="24"/>
          <w:szCs w:val="24"/>
          <w:highlight w:val="none"/>
          <w:lang w:eastAsia="zh-CN"/>
        </w:rPr>
        <w:t>的</w:t>
      </w:r>
      <w:r>
        <w:rPr>
          <w:rFonts w:hint="eastAsia" w:asciiTheme="majorEastAsia" w:hAnsiTheme="majorEastAsia" w:eastAsiaTheme="majorEastAsia" w:cstheme="majorEastAsia"/>
          <w:color w:val="auto"/>
          <w:sz w:val="24"/>
          <w:szCs w:val="24"/>
          <w:highlight w:val="none"/>
          <w:lang w:val="en-US" w:eastAsia="zh-CN"/>
        </w:rPr>
        <w:t>4名评审</w:t>
      </w:r>
      <w:r>
        <w:rPr>
          <w:rFonts w:hint="eastAsia" w:asciiTheme="majorEastAsia" w:hAnsiTheme="majorEastAsia" w:eastAsiaTheme="majorEastAsia" w:cstheme="majorEastAsia"/>
          <w:color w:val="auto"/>
          <w:sz w:val="24"/>
          <w:szCs w:val="24"/>
          <w:highlight w:val="none"/>
        </w:rPr>
        <w:t>专家和</w:t>
      </w:r>
      <w:r>
        <w:rPr>
          <w:rFonts w:hint="eastAsia" w:asciiTheme="majorEastAsia" w:hAnsiTheme="majorEastAsia" w:eastAsiaTheme="majorEastAsia" w:cstheme="majorEastAsia"/>
          <w:color w:val="auto"/>
          <w:sz w:val="24"/>
          <w:szCs w:val="24"/>
          <w:highlight w:val="none"/>
          <w:lang w:val="en-US" w:eastAsia="zh-CN"/>
        </w:rPr>
        <w:t>1名采购人代表，共5人</w:t>
      </w:r>
      <w:r>
        <w:rPr>
          <w:rFonts w:hint="eastAsia" w:asciiTheme="majorEastAsia" w:hAnsiTheme="majorEastAsia" w:eastAsiaTheme="majorEastAsia" w:cstheme="majorEastAsia"/>
          <w:color w:val="auto"/>
          <w:sz w:val="24"/>
          <w:szCs w:val="24"/>
          <w:highlight w:val="none"/>
        </w:rPr>
        <w:t>组成。</w:t>
      </w:r>
    </w:p>
    <w:p w14:paraId="1CC8D475">
      <w:pPr>
        <w:pStyle w:val="5"/>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105"/>
    </w:p>
    <w:p w14:paraId="309967D7">
      <w:pPr>
        <w:adjustRightInd w:val="0"/>
        <w:snapToGrid w:val="0"/>
        <w:spacing w:line="400" w:lineRule="exact"/>
        <w:ind w:firstLine="472" w:firstLineChars="196"/>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14:paraId="496D726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14:paraId="34A91646">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41"/>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14:paraId="0614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14:paraId="0F88BD64">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14:paraId="5CB079FC">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6796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7958D0A">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14:paraId="4B06155A">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14:paraId="134D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F445CEA">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14:paraId="2F7D8EB5">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14:paraId="170F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exact"/>
          <w:jc w:val="center"/>
        </w:trPr>
        <w:tc>
          <w:tcPr>
            <w:tcW w:w="850" w:type="dxa"/>
            <w:vAlign w:val="center"/>
          </w:tcPr>
          <w:p w14:paraId="35E9D512">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14:paraId="7B082587">
            <w:pPr>
              <w:adjustRightInd w:val="0"/>
              <w:snapToGrid w:val="0"/>
              <w:spacing w:line="400" w:lineRule="exact"/>
              <w:ind w:firstLine="33" w:firstLineChars="14"/>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投标报价出现应当启动异常低价投标（响应）审查程序的情形。若有时，</w:t>
            </w:r>
            <w:r>
              <w:rPr>
                <w:rFonts w:hint="default" w:ascii="宋体" w:hAnsi="宋体" w:cs="宋体"/>
                <w:color w:val="auto"/>
                <w:sz w:val="24"/>
                <w:szCs w:val="24"/>
                <w:highlight w:val="none"/>
                <w:lang w:val="en-US" w:eastAsia="zh-CN"/>
              </w:rPr>
              <w:t>评审委员会启动异常低价投标（响应）审查后，属于</w:t>
            </w:r>
            <w:r>
              <w:rPr>
                <w:rFonts w:hint="eastAsia" w:ascii="宋体" w:hAnsi="宋体" w:cs="宋体"/>
                <w:color w:val="auto"/>
                <w:sz w:val="24"/>
                <w:szCs w:val="24"/>
                <w:highlight w:val="none"/>
                <w:lang w:val="en-US" w:eastAsia="zh-CN"/>
              </w:rPr>
              <w:t>“须知前附表第26条”</w:t>
            </w:r>
            <w:r>
              <w:rPr>
                <w:rFonts w:hint="default" w:ascii="宋体" w:hAnsi="宋体" w:cs="宋体"/>
                <w:color w:val="auto"/>
                <w:sz w:val="24"/>
                <w:szCs w:val="24"/>
                <w:highlight w:val="none"/>
                <w:lang w:val="en-US" w:eastAsia="zh-CN"/>
              </w:rPr>
              <w:t>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2BE0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exact"/>
          <w:jc w:val="center"/>
        </w:trPr>
        <w:tc>
          <w:tcPr>
            <w:tcW w:w="850" w:type="dxa"/>
            <w:vAlign w:val="center"/>
          </w:tcPr>
          <w:p w14:paraId="43CBA19D">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14:paraId="7F509288">
            <w:pPr>
              <w:adjustRightInd w:val="0"/>
              <w:snapToGrid w:val="0"/>
              <w:spacing w:line="400" w:lineRule="exact"/>
              <w:ind w:firstLine="33" w:firstLineChars="14"/>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14:paraId="0F2B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exact"/>
          <w:jc w:val="center"/>
        </w:trPr>
        <w:tc>
          <w:tcPr>
            <w:tcW w:w="850" w:type="dxa"/>
            <w:vAlign w:val="center"/>
          </w:tcPr>
          <w:p w14:paraId="3C22FD8E">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14:paraId="098AABDE">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14:paraId="22B9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50" w:type="dxa"/>
            <w:vAlign w:val="center"/>
          </w:tcPr>
          <w:p w14:paraId="421911A9">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6</w:t>
            </w:r>
          </w:p>
        </w:tc>
        <w:tc>
          <w:tcPr>
            <w:tcW w:w="7832" w:type="dxa"/>
            <w:shd w:val="clear" w:color="auto" w:fill="auto"/>
            <w:vAlign w:val="center"/>
          </w:tcPr>
          <w:p w14:paraId="5BB20E1E">
            <w:pPr>
              <w:adjustRightInd w:val="0"/>
              <w:snapToGrid w:val="0"/>
              <w:spacing w:line="400" w:lineRule="exact"/>
              <w:ind w:firstLine="33" w:firstLineChars="14"/>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投标文件必须注明“正本”或“副本”字样。</w:t>
            </w:r>
          </w:p>
        </w:tc>
      </w:tr>
      <w:tr w14:paraId="2DE2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50" w:type="dxa"/>
            <w:vAlign w:val="center"/>
          </w:tcPr>
          <w:p w14:paraId="6DA38DB9">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shd w:val="clear" w:color="auto" w:fill="auto"/>
            <w:vAlign w:val="center"/>
          </w:tcPr>
          <w:p w14:paraId="5F68469E">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投标报价没有超过最高限价。</w:t>
            </w:r>
          </w:p>
        </w:tc>
      </w:tr>
      <w:tr w14:paraId="5939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50" w:type="dxa"/>
            <w:vAlign w:val="center"/>
          </w:tcPr>
          <w:p w14:paraId="486CF46F">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shd w:val="clear" w:color="auto" w:fill="auto"/>
            <w:vAlign w:val="center"/>
          </w:tcPr>
          <w:p w14:paraId="43EA81C0">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14:paraId="238B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50" w:type="dxa"/>
            <w:vAlign w:val="center"/>
          </w:tcPr>
          <w:p w14:paraId="70D36BBD">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shd w:val="clear" w:color="auto" w:fill="auto"/>
            <w:vAlign w:val="center"/>
          </w:tcPr>
          <w:p w14:paraId="33CF3AFC">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投标文件与招标文件没有重大偏离的。</w:t>
            </w:r>
          </w:p>
        </w:tc>
      </w:tr>
      <w:tr w14:paraId="411D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50" w:type="dxa"/>
            <w:vAlign w:val="center"/>
          </w:tcPr>
          <w:p w14:paraId="5513FB85">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vAlign w:val="center"/>
          </w:tcPr>
          <w:p w14:paraId="17F57719">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14:paraId="09B7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14:paraId="52D28785">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14:paraId="5F5BE3D5">
      <w:pPr>
        <w:rPr>
          <w:rFonts w:hint="eastAsia" w:asciiTheme="majorEastAsia" w:hAnsiTheme="majorEastAsia" w:eastAsiaTheme="majorEastAsia" w:cstheme="majorEastAsia"/>
          <w:b w:val="0"/>
          <w:bCs/>
          <w:color w:val="auto"/>
          <w:kern w:val="2"/>
          <w:sz w:val="24"/>
          <w:szCs w:val="24"/>
          <w:highlight w:val="none"/>
          <w:lang w:val="en-US" w:eastAsia="zh-CN" w:bidi="ar-SA"/>
        </w:rPr>
      </w:pPr>
      <w:r>
        <w:rPr>
          <w:rFonts w:hint="eastAsia" w:asciiTheme="majorEastAsia" w:hAnsiTheme="majorEastAsia" w:eastAsiaTheme="majorEastAsia" w:cstheme="majorEastAsia"/>
          <w:b w:val="0"/>
          <w:bCs/>
          <w:color w:val="auto"/>
          <w:kern w:val="2"/>
          <w:sz w:val="24"/>
          <w:szCs w:val="24"/>
          <w:highlight w:val="none"/>
          <w:lang w:val="en-US" w:eastAsia="zh-CN" w:bidi="ar-SA"/>
        </w:rPr>
        <w:br w:type="page"/>
      </w:r>
    </w:p>
    <w:p w14:paraId="2E8A0FF1">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14:paraId="002CF37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.1评标委员会审查投标文件的实质性内容是否符合招标文件的实质性要求。</w:t>
      </w:r>
    </w:p>
    <w:p w14:paraId="4996AAE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.2评标委员会将根据投标人的投标文件进行审查、核对,如有疑问,将对投标人进行询标,投标人要向评标委员会澄清有关问题,并最终以书面形式进行答复。</w:t>
      </w:r>
    </w:p>
    <w:p w14:paraId="5C28430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.3各投标人的技术得分为所有评委的有效评分的算术平均数，由指定专人进行计算复核。</w:t>
      </w:r>
    </w:p>
    <w:p w14:paraId="37D601EF">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.4采购代理机构工作人员协助评标委员会根据本项目的评分标准计算各投标人的商务报价得分。</w:t>
      </w:r>
    </w:p>
    <w:p w14:paraId="638AD8A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.5评标委员会完成评标后,评委对各部分得分汇总,计算出本项目最终得分等。评标委员会按评标原则推荐中标候选人，同时起草评标报告。</w:t>
      </w:r>
    </w:p>
    <w:p w14:paraId="30B01A19">
      <w:pPr>
        <w:pStyle w:val="5"/>
        <w:rPr>
          <w:color w:val="auto"/>
          <w:highlight w:val="none"/>
        </w:rPr>
      </w:pPr>
      <w:bookmarkStart w:id="106" w:name="_Toc26304"/>
      <w:r>
        <w:rPr>
          <w:rFonts w:hint="eastAsia"/>
          <w:color w:val="auto"/>
          <w:highlight w:val="none"/>
        </w:rPr>
        <w:t>27、澄清问题的形式</w:t>
      </w:r>
      <w:bookmarkEnd w:id="106"/>
    </w:p>
    <w:p w14:paraId="09EBBA7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521CE717">
      <w:pPr>
        <w:pStyle w:val="5"/>
        <w:rPr>
          <w:color w:val="auto"/>
          <w:highlight w:val="none"/>
        </w:rPr>
      </w:pPr>
      <w:bookmarkStart w:id="107" w:name="_Toc1409"/>
      <w:r>
        <w:rPr>
          <w:rFonts w:hint="eastAsia"/>
          <w:color w:val="auto"/>
          <w:highlight w:val="none"/>
        </w:rPr>
        <w:t>28、错误修正</w:t>
      </w:r>
      <w:bookmarkEnd w:id="107"/>
    </w:p>
    <w:p w14:paraId="307707C2">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14:paraId="41AB002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14:paraId="27F890B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14:paraId="7685307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14:paraId="1FF8DBF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14:paraId="3D212710">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14:paraId="3B03E323">
      <w:pPr>
        <w:pStyle w:val="5"/>
        <w:rPr>
          <w:color w:val="auto"/>
          <w:highlight w:val="none"/>
        </w:rPr>
      </w:pPr>
      <w:bookmarkStart w:id="108" w:name="_Toc8797"/>
      <w:r>
        <w:rPr>
          <w:rFonts w:hint="eastAsia"/>
          <w:color w:val="auto"/>
          <w:highlight w:val="none"/>
        </w:rPr>
        <w:t>29、评标原则和评标办法</w:t>
      </w:r>
      <w:bookmarkEnd w:id="108"/>
    </w:p>
    <w:p w14:paraId="5EA47E6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885508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14:paraId="3E31E999">
      <w:pPr>
        <w:pStyle w:val="20"/>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14:paraId="76E2C11C">
      <w:pPr>
        <w:pStyle w:val="20"/>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在采购中，出现下列情形之一的，本项目应予废标：</w:t>
      </w:r>
    </w:p>
    <w:p w14:paraId="3DB76D59">
      <w:pPr>
        <w:pStyle w:val="20"/>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14:paraId="5AF64E0E">
      <w:pPr>
        <w:pStyle w:val="20"/>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14:paraId="3284CD3F">
      <w:pPr>
        <w:pStyle w:val="20"/>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14:paraId="6DD730BB">
      <w:pPr>
        <w:pStyle w:val="4"/>
        <w:rPr>
          <w:color w:val="auto"/>
          <w:highlight w:val="none"/>
        </w:rPr>
      </w:pPr>
      <w:bookmarkStart w:id="109" w:name="_Toc5562"/>
      <w:bookmarkStart w:id="110" w:name="_Toc17951"/>
      <w:r>
        <w:rPr>
          <w:rFonts w:hint="eastAsia"/>
          <w:color w:val="auto"/>
          <w:highlight w:val="none"/>
        </w:rPr>
        <w:t>六、定标及</w:t>
      </w:r>
      <w:bookmarkStart w:id="111" w:name="_Toc9510640"/>
      <w:r>
        <w:rPr>
          <w:rFonts w:hint="eastAsia"/>
          <w:color w:val="auto"/>
          <w:highlight w:val="none"/>
        </w:rPr>
        <w:t>合同授予</w:t>
      </w:r>
      <w:bookmarkEnd w:id="109"/>
      <w:bookmarkEnd w:id="110"/>
    </w:p>
    <w:p w14:paraId="14B7B03D">
      <w:pPr>
        <w:pStyle w:val="5"/>
        <w:rPr>
          <w:color w:val="auto"/>
          <w:highlight w:val="none"/>
        </w:rPr>
      </w:pPr>
      <w:bookmarkStart w:id="112" w:name="_Toc31428"/>
      <w:r>
        <w:rPr>
          <w:rFonts w:hint="eastAsia"/>
          <w:color w:val="auto"/>
          <w:highlight w:val="none"/>
        </w:rPr>
        <w:t>30、确</w:t>
      </w:r>
      <w:bookmarkEnd w:id="111"/>
      <w:r>
        <w:rPr>
          <w:rFonts w:hint="eastAsia"/>
          <w:color w:val="auto"/>
          <w:highlight w:val="none"/>
        </w:rPr>
        <w:t>定中标人</w:t>
      </w:r>
      <w:bookmarkEnd w:id="112"/>
    </w:p>
    <w:p w14:paraId="4160C4C2">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14:paraId="22B12F86">
      <w:pPr>
        <w:adjustRightInd w:val="0"/>
        <w:snapToGrid w:val="0"/>
        <w:spacing w:line="360" w:lineRule="auto"/>
        <w:ind w:firstLine="480" w:firstLineChars="200"/>
        <w:rPr>
          <w:rFonts w:hint="default" w:asciiTheme="majorEastAsia" w:hAnsiTheme="majorEastAsia" w:eastAsiaTheme="majorEastAsia" w:cstheme="majorEastAsia"/>
          <w:b w:val="0"/>
          <w:color w:val="auto"/>
          <w:kern w:val="2"/>
          <w:sz w:val="24"/>
          <w:szCs w:val="24"/>
          <w:highlight w:val="none"/>
          <w:lang w:val="en-US" w:eastAsia="zh-CN" w:bidi="ar-SA"/>
        </w:rPr>
      </w:pPr>
      <w:r>
        <w:rPr>
          <w:rFonts w:hint="default" w:asciiTheme="majorEastAsia" w:hAnsiTheme="majorEastAsia" w:eastAsiaTheme="majorEastAsia" w:cstheme="majorEastAsia"/>
          <w:b w:val="0"/>
          <w:color w:val="auto"/>
          <w:kern w:val="2"/>
          <w:sz w:val="24"/>
          <w:szCs w:val="24"/>
          <w:highlight w:val="none"/>
          <w:lang w:val="en-US" w:eastAsia="zh-CN" w:bidi="ar-SA"/>
        </w:rPr>
        <w:t>30.1本项目由评标委员会推荐中标候选人，采购代理机构应当自评审结束之日起2个工作日内将评审报告送交采购人。采购人应当自收到评审报告之日起5个工作日内在评审报告推荐的中标或者成交候选人中按顺序确定中标或者成交供应商。</w:t>
      </w:r>
    </w:p>
    <w:p w14:paraId="5B8D4EFA">
      <w:pPr>
        <w:adjustRightInd w:val="0"/>
        <w:snapToGrid w:val="0"/>
        <w:spacing w:line="360" w:lineRule="auto"/>
        <w:ind w:firstLine="480" w:firstLineChars="200"/>
        <w:rPr>
          <w:rFonts w:hint="default" w:asciiTheme="majorEastAsia" w:hAnsiTheme="majorEastAsia" w:eastAsiaTheme="majorEastAsia" w:cstheme="majorEastAsia"/>
          <w:b w:val="0"/>
          <w:color w:val="auto"/>
          <w:kern w:val="2"/>
          <w:sz w:val="24"/>
          <w:szCs w:val="24"/>
          <w:highlight w:val="none"/>
          <w:lang w:val="en-US" w:eastAsia="zh-CN" w:bidi="ar-SA"/>
        </w:rPr>
      </w:pPr>
      <w:r>
        <w:rPr>
          <w:rFonts w:hint="default" w:asciiTheme="majorEastAsia" w:hAnsiTheme="majorEastAsia" w:eastAsiaTheme="majorEastAsia" w:cstheme="majorEastAsia"/>
          <w:b w:val="0"/>
          <w:color w:val="auto"/>
          <w:kern w:val="2"/>
          <w:sz w:val="24"/>
          <w:szCs w:val="24"/>
          <w:highlight w:val="none"/>
          <w:lang w:val="en-US" w:eastAsia="zh-CN" w:bidi="ar-SA"/>
        </w:rPr>
        <w:t>30.2采购人或者采购代理机构应当自中标、成交供应商确定之日起2个工作日内，发出中标、成交通知书，并在省级以上人民政府财政部门指定的媒体上公告中标、成交结果。投标人如对评审结果有质疑的，按照《中华人民共和国政府采购法》、《中华人民共和国政府采购法实施条例》等有关程序办理。</w:t>
      </w:r>
    </w:p>
    <w:p w14:paraId="112475CE">
      <w:pPr>
        <w:pStyle w:val="5"/>
        <w:rPr>
          <w:color w:val="auto"/>
          <w:highlight w:val="none"/>
        </w:rPr>
      </w:pPr>
      <w:bookmarkStart w:id="113" w:name="_Toc4164"/>
      <w:r>
        <w:rPr>
          <w:rFonts w:hint="eastAsia"/>
          <w:color w:val="auto"/>
          <w:highlight w:val="none"/>
        </w:rPr>
        <w:t>31、签订合同</w:t>
      </w:r>
      <w:bookmarkEnd w:id="113"/>
    </w:p>
    <w:p w14:paraId="09452AB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14:paraId="72C1D8C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14:paraId="5B7EA12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14:paraId="7CB63BA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w:t>
      </w:r>
      <w:r>
        <w:rPr>
          <w:rFonts w:hint="eastAsia" w:asciiTheme="majorEastAsia" w:hAnsiTheme="majorEastAsia" w:eastAsiaTheme="majorEastAsia" w:cstheme="majorEastAsia"/>
          <w:color w:val="auto"/>
          <w:sz w:val="24"/>
          <w:szCs w:val="24"/>
          <w:highlight w:val="none"/>
          <w:lang w:val="en-US" w:eastAsia="zh-CN"/>
        </w:rPr>
        <w:t>中国政府采购网（www.ccgp.gov.cn）</w:t>
      </w:r>
      <w:r>
        <w:rPr>
          <w:rFonts w:hint="eastAsia" w:asciiTheme="majorEastAsia" w:hAnsiTheme="majorEastAsia" w:eastAsiaTheme="majorEastAsia" w:cstheme="majorEastAsia"/>
          <w:color w:val="auto"/>
          <w:sz w:val="24"/>
          <w:szCs w:val="24"/>
          <w:highlight w:val="none"/>
        </w:rPr>
        <w:t>公告，但政府采购合同中涉及国家秘密、商业秘密的内容除外。</w:t>
      </w:r>
    </w:p>
    <w:p w14:paraId="7E28C06F">
      <w:pPr>
        <w:pStyle w:val="5"/>
        <w:rPr>
          <w:color w:val="auto"/>
          <w:highlight w:val="none"/>
        </w:rPr>
      </w:pPr>
      <w:bookmarkStart w:id="114" w:name="_Toc15336"/>
      <w:r>
        <w:rPr>
          <w:rFonts w:hint="eastAsia"/>
          <w:color w:val="auto"/>
          <w:highlight w:val="none"/>
        </w:rPr>
        <w:t>32、其他说明</w:t>
      </w:r>
      <w:bookmarkEnd w:id="114"/>
    </w:p>
    <w:p w14:paraId="4CDD6EDC">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14:paraId="3832AA84">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14:paraId="3BD6F1A5">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38F66377">
      <w:pPr>
        <w:pStyle w:val="2"/>
        <w:rPr>
          <w:color w:val="auto"/>
          <w:highlight w:val="none"/>
        </w:rPr>
      </w:pPr>
      <w:bookmarkStart w:id="115" w:name="_Toc23127"/>
      <w:bookmarkStart w:id="116" w:name="_Toc8515"/>
      <w:bookmarkStart w:id="117" w:name="_Toc30905"/>
      <w:r>
        <w:rPr>
          <w:rFonts w:hint="eastAsia"/>
          <w:color w:val="auto"/>
          <w:highlight w:val="none"/>
        </w:rPr>
        <w:t>第三章 评分</w:t>
      </w:r>
      <w:bookmarkEnd w:id="115"/>
      <w:bookmarkEnd w:id="116"/>
      <w:r>
        <w:rPr>
          <w:rFonts w:hint="eastAsia"/>
          <w:color w:val="auto"/>
          <w:highlight w:val="none"/>
        </w:rPr>
        <w:t>办法及评分标准</w:t>
      </w:r>
      <w:bookmarkEnd w:id="117"/>
    </w:p>
    <w:p w14:paraId="458DEC2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14:paraId="5F9A89CC">
      <w:pPr>
        <w:pStyle w:val="4"/>
        <w:rPr>
          <w:color w:val="auto"/>
          <w:highlight w:val="none"/>
        </w:rPr>
      </w:pPr>
      <w:bookmarkStart w:id="118" w:name="_Toc32479"/>
      <w:bookmarkStart w:id="119" w:name="_Toc29264"/>
      <w:r>
        <w:rPr>
          <w:rFonts w:hint="eastAsia"/>
          <w:color w:val="auto"/>
          <w:highlight w:val="none"/>
        </w:rPr>
        <w:t>一、评标组织</w:t>
      </w:r>
      <w:bookmarkEnd w:id="118"/>
      <w:bookmarkEnd w:id="119"/>
    </w:p>
    <w:p w14:paraId="41BC7217">
      <w:pPr>
        <w:spacing w:line="500" w:lineRule="exact"/>
        <w:ind w:firstLine="480" w:firstLineChars="200"/>
        <w:rPr>
          <w:rFonts w:asciiTheme="minorEastAsia" w:hAnsiTheme="minorEastAsia" w:eastAsiaTheme="minorEastAsia" w:cstheme="minorEastAsia"/>
          <w:color w:val="auto"/>
          <w:sz w:val="24"/>
          <w:szCs w:val="24"/>
          <w:highlight w:val="none"/>
        </w:rPr>
      </w:pPr>
      <w:bookmarkStart w:id="120" w:name="_Toc249760792"/>
      <w:bookmarkStart w:id="121" w:name="_Toc251566663"/>
      <w:bookmarkStart w:id="122" w:name="_Toc405213814"/>
      <w:r>
        <w:rPr>
          <w:rFonts w:hint="eastAsia" w:asciiTheme="minorEastAsia" w:hAnsiTheme="minorEastAsia" w:eastAsiaTheme="minorEastAsia" w:cstheme="minorEastAsia"/>
          <w:color w:val="auto"/>
          <w:sz w:val="24"/>
          <w:szCs w:val="24"/>
          <w:highlight w:val="none"/>
        </w:rPr>
        <w:t>评标工作</w:t>
      </w:r>
      <w:bookmarkEnd w:id="120"/>
      <w:bookmarkEnd w:id="121"/>
      <w:bookmarkEnd w:id="122"/>
      <w:r>
        <w:rPr>
          <w:rFonts w:hint="eastAsia" w:asciiTheme="minorEastAsia" w:hAnsiTheme="minorEastAsia" w:eastAsiaTheme="minorEastAsia" w:cstheme="minorEastAsia"/>
          <w:color w:val="auto"/>
          <w:sz w:val="24"/>
          <w:szCs w:val="24"/>
          <w:highlight w:val="none"/>
        </w:rPr>
        <w:t>由</w:t>
      </w:r>
      <w:bookmarkStart w:id="123" w:name="_Toc249760793"/>
      <w:bookmarkStart w:id="124" w:name="_Toc251566664"/>
      <w:bookmarkStart w:id="125" w:name="_Toc405213815"/>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14:paraId="186FB03F">
      <w:pPr>
        <w:pStyle w:val="4"/>
        <w:rPr>
          <w:color w:val="auto"/>
          <w:highlight w:val="none"/>
        </w:rPr>
      </w:pPr>
      <w:bookmarkStart w:id="126" w:name="_Toc24221"/>
      <w:bookmarkStart w:id="127" w:name="_Toc3581"/>
      <w:r>
        <w:rPr>
          <w:rFonts w:hint="eastAsia"/>
          <w:color w:val="auto"/>
          <w:highlight w:val="none"/>
        </w:rPr>
        <w:t>二、评标纪律</w:t>
      </w:r>
      <w:bookmarkEnd w:id="126"/>
      <w:bookmarkEnd w:id="127"/>
    </w:p>
    <w:p w14:paraId="7CFE3511">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123"/>
      <w:bookmarkEnd w:id="124"/>
      <w:bookmarkEnd w:id="12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14:paraId="2CBF007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14:paraId="119ED98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14:paraId="6A72CD7F">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14:paraId="02936F33">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14:paraId="7CA264A6">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14:paraId="2F8D6274">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14:paraId="3677535C">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14:paraId="21F9DA23">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2108A21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77A2A29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14:paraId="1C03F39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14:paraId="1C1BF27C">
      <w:pPr>
        <w:pStyle w:val="4"/>
        <w:rPr>
          <w:color w:val="auto"/>
          <w:highlight w:val="none"/>
        </w:rPr>
      </w:pPr>
      <w:bookmarkStart w:id="128" w:name="_Toc6124"/>
      <w:bookmarkStart w:id="129" w:name="_Toc10772"/>
      <w:r>
        <w:rPr>
          <w:rFonts w:hint="eastAsia"/>
          <w:color w:val="auto"/>
          <w:highlight w:val="none"/>
        </w:rPr>
        <w:t>三、评分标准和细则</w:t>
      </w:r>
      <w:bookmarkEnd w:id="128"/>
      <w:bookmarkEnd w:id="129"/>
    </w:p>
    <w:p w14:paraId="6158C26B">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14:paraId="1A4C849E">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1.评标委员会各成员独立根据招标文件对各投标文件技术内容充分审核、评议后评标委员会成员独立按评分细则，进行评审；</w:t>
      </w:r>
      <w:r>
        <w:rPr>
          <w:rFonts w:ascii="宋体" w:hAnsi="宋体" w:cs="宋体"/>
          <w:color w:val="auto"/>
          <w:sz w:val="24"/>
          <w:szCs w:val="24"/>
          <w:highlight w:val="none"/>
        </w:rPr>
        <w:t>各投标人技术</w:t>
      </w:r>
      <w:r>
        <w:rPr>
          <w:rFonts w:hint="eastAsia" w:ascii="宋体" w:hAnsi="宋体" w:cs="宋体"/>
          <w:color w:val="auto"/>
          <w:sz w:val="24"/>
          <w:szCs w:val="24"/>
          <w:highlight w:val="none"/>
          <w:lang w:eastAsia="zh-CN"/>
        </w:rPr>
        <w:t>商务</w:t>
      </w:r>
      <w:r>
        <w:rPr>
          <w:rFonts w:ascii="宋体" w:hAnsi="宋体" w:cs="宋体"/>
          <w:color w:val="auto"/>
          <w:sz w:val="24"/>
          <w:szCs w:val="24"/>
          <w:highlight w:val="none"/>
        </w:rPr>
        <w:t>的最终分值为评标委员会成员的有效评分的算术平均值</w:t>
      </w:r>
      <w:r>
        <w:rPr>
          <w:rFonts w:hint="eastAsia" w:asciiTheme="minorEastAsia" w:hAnsiTheme="minorEastAsia" w:eastAsiaTheme="minorEastAsia" w:cstheme="minorEastAsia"/>
          <w:color w:val="auto"/>
          <w:sz w:val="24"/>
          <w:szCs w:val="24"/>
          <w:highlight w:val="none"/>
        </w:rPr>
        <w:t>。</w:t>
      </w:r>
    </w:p>
    <w:p w14:paraId="0C9D1D3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2.评标委员会成员独立按评分细则对各投标人的</w:t>
      </w:r>
      <w:r>
        <w:rPr>
          <w:rFonts w:hint="eastAsia" w:asciiTheme="minorEastAsia" w:hAnsiTheme="minorEastAsia" w:eastAsiaTheme="minorEastAsia" w:cstheme="minorEastAsia"/>
          <w:color w:val="auto"/>
          <w:sz w:val="24"/>
          <w:szCs w:val="24"/>
          <w:highlight w:val="none"/>
          <w:lang w:eastAsia="zh-CN"/>
        </w:rPr>
        <w:t>投标报价</w:t>
      </w:r>
      <w:r>
        <w:rPr>
          <w:rFonts w:hint="eastAsia" w:asciiTheme="minorEastAsia" w:hAnsiTheme="minorEastAsia" w:eastAsiaTheme="minorEastAsia" w:cstheme="minorEastAsia"/>
          <w:color w:val="auto"/>
          <w:sz w:val="24"/>
          <w:szCs w:val="24"/>
          <w:highlight w:val="none"/>
        </w:rPr>
        <w:t>进行统一计算评分，集体统一判定评分。</w:t>
      </w:r>
    </w:p>
    <w:p w14:paraId="644E6C8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14:paraId="082553DD">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14:paraId="13122E33">
      <w:pPr>
        <w:rPr>
          <w:rFonts w:hint="eastAsia"/>
          <w:color w:val="auto"/>
          <w:highlight w:val="none"/>
        </w:rPr>
      </w:pPr>
    </w:p>
    <w:tbl>
      <w:tblPr>
        <w:tblStyle w:val="41"/>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6134"/>
        <w:gridCol w:w="828"/>
      </w:tblGrid>
      <w:tr w14:paraId="1E979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3F4595E1">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14:paraId="27199111">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6134" w:type="dxa"/>
            <w:tcMar>
              <w:top w:w="15" w:type="dxa"/>
              <w:left w:w="15" w:type="dxa"/>
              <w:right w:w="15" w:type="dxa"/>
            </w:tcMar>
            <w:vAlign w:val="center"/>
          </w:tcPr>
          <w:p w14:paraId="39A1E1CB">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828" w:type="dxa"/>
            <w:tcMar>
              <w:top w:w="15" w:type="dxa"/>
              <w:left w:w="15" w:type="dxa"/>
              <w:right w:w="15" w:type="dxa"/>
            </w:tcMar>
            <w:vAlign w:val="center"/>
          </w:tcPr>
          <w:p w14:paraId="2CC1E13F">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14:paraId="70E33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5" w:hRule="atLeast"/>
          <w:jc w:val="center"/>
        </w:trPr>
        <w:tc>
          <w:tcPr>
            <w:tcW w:w="1097" w:type="dxa"/>
            <w:tcMar>
              <w:top w:w="15" w:type="dxa"/>
              <w:left w:w="15" w:type="dxa"/>
              <w:right w:w="15" w:type="dxa"/>
            </w:tcMar>
            <w:vAlign w:val="center"/>
          </w:tcPr>
          <w:p w14:paraId="3EB7D895">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14:paraId="35E19549">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14:paraId="178ADC9C">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6134" w:type="dxa"/>
            <w:tcMar>
              <w:top w:w="15" w:type="dxa"/>
              <w:left w:w="15" w:type="dxa"/>
              <w:right w:w="15" w:type="dxa"/>
            </w:tcMar>
            <w:vAlign w:val="center"/>
          </w:tcPr>
          <w:p w14:paraId="1CF860DE">
            <w:pPr>
              <w:widowControl/>
              <w:spacing w:line="400" w:lineRule="exact"/>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828" w:type="dxa"/>
            <w:tcMar>
              <w:top w:w="15" w:type="dxa"/>
              <w:left w:w="15" w:type="dxa"/>
              <w:right w:w="15" w:type="dxa"/>
            </w:tcMar>
            <w:vAlign w:val="center"/>
          </w:tcPr>
          <w:p w14:paraId="63C1401B">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14:paraId="5AFB1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28901CA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876F322">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0EB3D46A">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6146575">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85F4CA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4EA47A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2275CE2">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9D95709">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683D3395">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0DD20297">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A2A5179">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64179ED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E5497CC">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C68BEA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1685A54">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14:paraId="2705E14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14:paraId="00937693">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响应评价</w:t>
            </w:r>
            <w:r>
              <w:rPr>
                <w:rFonts w:hint="eastAsia" w:asciiTheme="minorEastAsia" w:hAnsiTheme="minorEastAsia" w:eastAsiaTheme="minorEastAsia" w:cstheme="minorEastAsia"/>
                <w:color w:val="auto"/>
                <w:kern w:val="0"/>
                <w:sz w:val="24"/>
                <w:szCs w:val="24"/>
                <w:highlight w:val="none"/>
                <w:lang w:val="en-US" w:eastAsia="zh-CN"/>
              </w:rPr>
              <w:t xml:space="preserve"> </w:t>
            </w:r>
          </w:p>
        </w:tc>
        <w:tc>
          <w:tcPr>
            <w:tcW w:w="6134" w:type="dxa"/>
            <w:tcMar>
              <w:top w:w="15" w:type="dxa"/>
              <w:left w:w="15" w:type="dxa"/>
              <w:right w:w="15" w:type="dxa"/>
            </w:tcMar>
            <w:vAlign w:val="center"/>
          </w:tcPr>
          <w:p w14:paraId="006AD4EB">
            <w:pPr>
              <w:widowControl/>
              <w:spacing w:line="400" w:lineRule="exact"/>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对照“项目需求”技术参数（每条技术参数前标注“★”</w:t>
            </w:r>
          </w:p>
          <w:p w14:paraId="1CD8CC54">
            <w:pPr>
              <w:widowControl/>
              <w:spacing w:line="400" w:lineRule="exact"/>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的为核心技术参数，未标注的为一般参数），根据投标人</w:t>
            </w:r>
          </w:p>
          <w:p w14:paraId="0AC5F258">
            <w:pPr>
              <w:widowControl/>
              <w:spacing w:line="400" w:lineRule="exact"/>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技术要求提供的产品配置及技术性能指标的响应情况进行评审。</w:t>
            </w:r>
          </w:p>
          <w:p w14:paraId="4243F6D1">
            <w:pPr>
              <w:widowControl/>
              <w:spacing w:line="400" w:lineRule="exact"/>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1.投标人所投产品技术参数完全响应招标文件要求的，得</w:t>
            </w:r>
            <w:r>
              <w:rPr>
                <w:rFonts w:hint="eastAsia" w:asciiTheme="minorEastAsia" w:hAnsiTheme="minorEastAsia" w:eastAsiaTheme="minorEastAsia" w:cstheme="minorEastAsia"/>
                <w:color w:val="auto"/>
                <w:kern w:val="0"/>
                <w:sz w:val="24"/>
                <w:szCs w:val="24"/>
                <w:highlight w:val="none"/>
                <w:lang w:val="en-US" w:eastAsia="zh-CN"/>
              </w:rPr>
              <w:t>30</w:t>
            </w:r>
            <w:r>
              <w:rPr>
                <w:rFonts w:hint="eastAsia" w:asciiTheme="minorEastAsia" w:hAnsiTheme="minorEastAsia" w:eastAsiaTheme="minorEastAsia" w:cstheme="minorEastAsia"/>
                <w:color w:val="auto"/>
                <w:kern w:val="0"/>
                <w:sz w:val="24"/>
                <w:szCs w:val="24"/>
                <w:highlight w:val="none"/>
                <w:lang w:eastAsia="zh-CN"/>
              </w:rPr>
              <w:t>分；</w:t>
            </w:r>
          </w:p>
          <w:p w14:paraId="5CB1E476">
            <w:pPr>
              <w:widowControl/>
              <w:spacing w:line="400" w:lineRule="exact"/>
              <w:textAlignment w:val="cente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2.核心技术参数存在负偏离的（此项共</w:t>
            </w:r>
            <w:r>
              <w:rPr>
                <w:rFonts w:hint="eastAsia" w:asciiTheme="minorEastAsia" w:hAnsiTheme="minorEastAsia" w:eastAsiaTheme="minorEastAsia" w:cstheme="minorEastAsia"/>
                <w:color w:val="auto"/>
                <w:kern w:val="0"/>
                <w:sz w:val="24"/>
                <w:szCs w:val="24"/>
                <w:highlight w:val="none"/>
                <w:lang w:val="en-US" w:eastAsia="zh-CN"/>
              </w:rPr>
              <w:t>5</w:t>
            </w:r>
            <w:r>
              <w:rPr>
                <w:rFonts w:hint="eastAsia" w:asciiTheme="minorEastAsia" w:hAnsiTheme="minorEastAsia" w:eastAsiaTheme="minorEastAsia" w:cstheme="minorEastAsia"/>
                <w:color w:val="auto"/>
                <w:kern w:val="0"/>
                <w:sz w:val="24"/>
                <w:szCs w:val="24"/>
                <w:highlight w:val="none"/>
                <w:lang w:eastAsia="zh-CN"/>
              </w:rPr>
              <w:t>条），每一条扣</w:t>
            </w:r>
            <w:r>
              <w:rPr>
                <w:rFonts w:hint="eastAsia" w:asciiTheme="minorEastAsia" w:hAnsiTheme="minorEastAsia" w:eastAsiaTheme="minorEastAsia" w:cstheme="minorEastAsia"/>
                <w:color w:val="auto"/>
                <w:kern w:val="0"/>
                <w:sz w:val="24"/>
                <w:szCs w:val="24"/>
                <w:highlight w:val="none"/>
                <w:lang w:val="en-US" w:eastAsia="zh-CN"/>
              </w:rPr>
              <w:t>4</w:t>
            </w:r>
            <w:r>
              <w:rPr>
                <w:rFonts w:hint="eastAsia" w:asciiTheme="minorEastAsia" w:hAnsiTheme="minorEastAsia" w:eastAsiaTheme="minorEastAsia" w:cstheme="minorEastAsia"/>
                <w:color w:val="auto"/>
                <w:kern w:val="0"/>
                <w:sz w:val="24"/>
                <w:szCs w:val="24"/>
                <w:highlight w:val="none"/>
                <w:lang w:eastAsia="zh-CN"/>
              </w:rPr>
              <w:t>分，最多扣</w:t>
            </w:r>
            <w:r>
              <w:rPr>
                <w:rFonts w:hint="eastAsia" w:asciiTheme="minorEastAsia" w:hAnsiTheme="minorEastAsia" w:eastAsiaTheme="minorEastAsia" w:cstheme="minorEastAsia"/>
                <w:color w:val="auto"/>
                <w:kern w:val="0"/>
                <w:sz w:val="24"/>
                <w:szCs w:val="24"/>
                <w:highlight w:val="none"/>
                <w:lang w:val="en-US" w:eastAsia="zh-CN"/>
              </w:rPr>
              <w:t>20</w:t>
            </w:r>
            <w:r>
              <w:rPr>
                <w:rFonts w:hint="eastAsia" w:asciiTheme="minorEastAsia" w:hAnsiTheme="minorEastAsia" w:eastAsiaTheme="minorEastAsia" w:cstheme="minorEastAsia"/>
                <w:color w:val="auto"/>
                <w:kern w:val="0"/>
                <w:sz w:val="24"/>
                <w:szCs w:val="24"/>
                <w:highlight w:val="none"/>
                <w:lang w:eastAsia="zh-CN"/>
              </w:rPr>
              <w:t>分。</w:t>
            </w:r>
          </w:p>
          <w:p w14:paraId="184C6DD1">
            <w:pPr>
              <w:widowControl/>
              <w:spacing w:line="400" w:lineRule="exact"/>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3.一般技术参数存在负偏离的（此项共</w:t>
            </w:r>
            <w:r>
              <w:rPr>
                <w:rFonts w:hint="eastAsia" w:asciiTheme="minorEastAsia" w:hAnsiTheme="minorEastAsia" w:eastAsiaTheme="minorEastAsia" w:cstheme="minorEastAsia"/>
                <w:color w:val="auto"/>
                <w:kern w:val="0"/>
                <w:sz w:val="24"/>
                <w:szCs w:val="24"/>
                <w:highlight w:val="none"/>
                <w:lang w:val="en-US" w:eastAsia="zh-CN"/>
              </w:rPr>
              <w:t>10</w:t>
            </w:r>
            <w:r>
              <w:rPr>
                <w:rFonts w:hint="eastAsia" w:asciiTheme="minorEastAsia" w:hAnsiTheme="minorEastAsia" w:eastAsiaTheme="minorEastAsia" w:cstheme="minorEastAsia"/>
                <w:color w:val="auto"/>
                <w:kern w:val="0"/>
                <w:sz w:val="24"/>
                <w:szCs w:val="24"/>
                <w:highlight w:val="none"/>
                <w:lang w:eastAsia="zh-CN"/>
              </w:rPr>
              <w:t>条），每一条扣</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lang w:eastAsia="zh-CN"/>
              </w:rPr>
              <w:t>分，最多扣</w:t>
            </w:r>
            <w:r>
              <w:rPr>
                <w:rFonts w:hint="eastAsia" w:asciiTheme="minorEastAsia" w:hAnsiTheme="minorEastAsia" w:eastAsiaTheme="minorEastAsia" w:cstheme="minorEastAsia"/>
                <w:color w:val="auto"/>
                <w:kern w:val="0"/>
                <w:sz w:val="24"/>
                <w:szCs w:val="24"/>
                <w:highlight w:val="none"/>
                <w:lang w:val="en-US" w:eastAsia="zh-CN"/>
              </w:rPr>
              <w:t>10</w:t>
            </w:r>
            <w:r>
              <w:rPr>
                <w:rFonts w:hint="eastAsia" w:asciiTheme="minorEastAsia" w:hAnsiTheme="minorEastAsia" w:eastAsiaTheme="minorEastAsia" w:cstheme="minorEastAsia"/>
                <w:color w:val="auto"/>
                <w:kern w:val="0"/>
                <w:sz w:val="24"/>
                <w:szCs w:val="24"/>
                <w:highlight w:val="none"/>
                <w:lang w:eastAsia="zh-CN"/>
              </w:rPr>
              <w:t>分。</w:t>
            </w:r>
          </w:p>
          <w:p w14:paraId="007B91D6">
            <w:pPr>
              <w:widowControl/>
              <w:spacing w:line="400" w:lineRule="exact"/>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w:t>
            </w:r>
            <w:bookmarkStart w:id="154" w:name="_GoBack"/>
            <w:bookmarkEnd w:id="154"/>
            <w:r>
              <w:rPr>
                <w:rFonts w:hint="default" w:ascii="Times New Roman" w:hAnsi="Times New Roman" w:eastAsia="宋体" w:cs="Times New Roman"/>
                <w:b/>
                <w:bCs/>
                <w:color w:val="auto"/>
                <w:sz w:val="24"/>
                <w:szCs w:val="24"/>
                <w:highlight w:val="none"/>
                <w:lang w:eastAsia="zh-CN"/>
              </w:rPr>
              <w:t>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828" w:type="dxa"/>
            <w:tcMar>
              <w:top w:w="15" w:type="dxa"/>
              <w:left w:w="15" w:type="dxa"/>
              <w:right w:w="15" w:type="dxa"/>
            </w:tcMar>
            <w:vAlign w:val="center"/>
          </w:tcPr>
          <w:p w14:paraId="2CE9FA54">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30</w:t>
            </w:r>
          </w:p>
        </w:tc>
      </w:tr>
      <w:tr w14:paraId="74096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1097" w:type="dxa"/>
            <w:vMerge w:val="continue"/>
            <w:tcMar>
              <w:top w:w="15" w:type="dxa"/>
              <w:left w:w="15" w:type="dxa"/>
              <w:right w:w="15" w:type="dxa"/>
            </w:tcMar>
            <w:vAlign w:val="center"/>
          </w:tcPr>
          <w:p w14:paraId="07061BC4">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316777F1">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6134" w:type="dxa"/>
            <w:tcMar>
              <w:top w:w="15" w:type="dxa"/>
              <w:left w:w="15" w:type="dxa"/>
              <w:right w:w="15" w:type="dxa"/>
            </w:tcMar>
            <w:vAlign w:val="center"/>
          </w:tcPr>
          <w:p w14:paraId="0D2DE3DB">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供应商或生产商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2023</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eastAsia="zh-CN"/>
              </w:rPr>
              <w:t>分。</w:t>
            </w:r>
          </w:p>
          <w:p w14:paraId="481A9964">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828" w:type="dxa"/>
            <w:tcMar>
              <w:top w:w="15" w:type="dxa"/>
              <w:left w:w="15" w:type="dxa"/>
              <w:right w:w="15" w:type="dxa"/>
            </w:tcMar>
            <w:vAlign w:val="center"/>
          </w:tcPr>
          <w:p w14:paraId="0A037EDE">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6</w:t>
            </w:r>
          </w:p>
        </w:tc>
      </w:tr>
      <w:tr w14:paraId="7D5B2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0078D8A3">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4F5C93A3">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14:paraId="3038C88E">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6134" w:type="dxa"/>
            <w:tcMar>
              <w:top w:w="15" w:type="dxa"/>
              <w:left w:w="15" w:type="dxa"/>
              <w:right w:w="15" w:type="dxa"/>
            </w:tcMar>
            <w:vAlign w:val="center"/>
          </w:tcPr>
          <w:p w14:paraId="59F47AE1">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w:t>
            </w:r>
            <w:r>
              <w:rPr>
                <w:rFonts w:hint="eastAsia" w:asciiTheme="minorEastAsia" w:hAnsiTheme="minorEastAsia" w:eastAsiaTheme="minorEastAsia" w:cstheme="minorEastAsia"/>
                <w:color w:val="auto"/>
                <w:sz w:val="24"/>
                <w:szCs w:val="24"/>
                <w:highlight w:val="none"/>
              </w:rPr>
              <w:t>组织</w:t>
            </w:r>
            <w:r>
              <w:rPr>
                <w:rFonts w:hint="eastAsia" w:ascii="Times New Roman" w:hAnsi="Times New Roman" w:eastAsia="宋体" w:cs="Times New Roman"/>
                <w:color w:val="auto"/>
                <w:sz w:val="24"/>
                <w:szCs w:val="24"/>
                <w:highlight w:val="none"/>
                <w:lang w:eastAsia="zh-CN"/>
              </w:rPr>
              <w:t>方案进行评分：</w:t>
            </w:r>
          </w:p>
          <w:p w14:paraId="7B8B98D5">
            <w:pPr>
              <w:widowControl/>
              <w:spacing w:line="400" w:lineRule="exact"/>
              <w:rPr>
                <w:rFonts w:hint="eastAsia"/>
                <w:b w:val="0"/>
                <w:bCs w:val="0"/>
                <w:color w:val="auto"/>
                <w:sz w:val="24"/>
                <w:szCs w:val="24"/>
                <w:highlight w:val="none"/>
              </w:rPr>
            </w:pPr>
            <w:r>
              <w:rPr>
                <w:rFonts w:hint="eastAsia"/>
                <w:b w:val="0"/>
                <w:bCs w:val="0"/>
                <w:color w:val="auto"/>
                <w:sz w:val="24"/>
                <w:szCs w:val="24"/>
                <w:highlight w:val="none"/>
              </w:rPr>
              <w:t>项目</w:t>
            </w:r>
            <w:r>
              <w:rPr>
                <w:rFonts w:hint="eastAsia" w:asciiTheme="minorEastAsia" w:hAnsiTheme="minorEastAsia" w:eastAsiaTheme="minorEastAsia" w:cstheme="minorEastAsia"/>
                <w:color w:val="auto"/>
                <w:sz w:val="24"/>
                <w:szCs w:val="24"/>
                <w:highlight w:val="none"/>
              </w:rPr>
              <w:t>组织</w:t>
            </w:r>
            <w:r>
              <w:rPr>
                <w:rFonts w:hint="eastAsia"/>
                <w:b w:val="0"/>
                <w:bCs w:val="0"/>
                <w:color w:val="auto"/>
                <w:sz w:val="24"/>
                <w:szCs w:val="24"/>
                <w:highlight w:val="none"/>
              </w:rPr>
              <w:t>方案包括但不限于：</w:t>
            </w:r>
          </w:p>
          <w:p w14:paraId="55BF5FFF">
            <w:pPr>
              <w:widowControl/>
              <w:spacing w:line="400" w:lineRule="exact"/>
              <w:rPr>
                <w:rFonts w:hint="eastAsia" w:asciiTheme="majorEastAsia" w:hAnsiTheme="majorEastAsia" w:eastAsiaTheme="majorEastAsia" w:cstheme="majorEastAsia"/>
                <w:b w:val="0"/>
                <w:bCs w:val="0"/>
                <w:color w:val="auto"/>
                <w:sz w:val="24"/>
                <w:szCs w:val="24"/>
                <w:highlight w:val="none"/>
                <w:lang w:eastAsia="zh-CN"/>
              </w:rPr>
            </w:pP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p>
          <w:p w14:paraId="341AB0B2">
            <w:pPr>
              <w:widowControl/>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w:t>
            </w:r>
          </w:p>
          <w:p w14:paraId="423000F7">
            <w:pPr>
              <w:widowControl/>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p>
          <w:p w14:paraId="204B46A5">
            <w:pPr>
              <w:widowControl/>
              <w:spacing w:line="400" w:lineRule="exact"/>
              <w:rPr>
                <w:rFonts w:hint="eastAsia" w:ascii="Times New Roman" w:hAnsi="Times New Roman" w:eastAsia="宋体" w:cs="Times New Roman"/>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rFonts w:hint="eastAsia" w:eastAsiaTheme="majorEastAsia"/>
                <w:b w:val="0"/>
                <w:bCs w:val="0"/>
                <w:color w:val="auto"/>
                <w:sz w:val="24"/>
                <w:szCs w:val="24"/>
                <w:highlight w:val="none"/>
                <w:lang w:val="en-US" w:eastAsia="zh-CN"/>
              </w:rPr>
              <w:t>等4项内容，方案内容完整齐全，符合项目实际（第六章“项目需求”）的，得14分；每缺少一项方案内容，或一项内容存在缺陷的，每一项扣3.5分，扣完为止，未提供项目组织方案的，此项不得分。</w:t>
            </w:r>
          </w:p>
          <w:p w14:paraId="0186E5DE">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787C9A7D">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14</w:t>
            </w:r>
          </w:p>
        </w:tc>
      </w:tr>
      <w:tr w14:paraId="6833C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1097" w:type="dxa"/>
            <w:vMerge w:val="continue"/>
            <w:tcMar>
              <w:top w:w="15" w:type="dxa"/>
              <w:left w:w="15" w:type="dxa"/>
              <w:right w:w="15" w:type="dxa"/>
            </w:tcMar>
            <w:vAlign w:val="center"/>
          </w:tcPr>
          <w:p w14:paraId="2C9BA245">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14:paraId="715D6620">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14:paraId="7E9B9F08">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0D6C849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14:paraId="646C3D9A">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eastAsia" w:cs="Times New Roman"/>
                <w:color w:val="auto"/>
                <w:sz w:val="24"/>
                <w:szCs w:val="24"/>
                <w:highlight w:val="none"/>
                <w:lang w:eastAsia="zh-CN"/>
              </w:rPr>
              <w:t>培训目标、</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w:t>
            </w:r>
            <w:r>
              <w:rPr>
                <w:rFonts w:hint="eastAsia" w:asciiTheme="minorEastAsia" w:hAnsiTheme="minorEastAsia" w:eastAsiaTheme="minorEastAsia" w:cstheme="minorEastAsia"/>
                <w:color w:val="auto"/>
                <w:kern w:val="0"/>
                <w:sz w:val="24"/>
                <w:szCs w:val="24"/>
                <w:highlight w:val="none"/>
              </w:rPr>
              <w:t>技术培训</w:t>
            </w:r>
            <w:r>
              <w:rPr>
                <w:rFonts w:hint="eastAsia" w:ascii="Times New Roman" w:hAnsi="Times New Roman" w:eastAsia="宋体" w:cs="Times New Roman"/>
                <w:color w:val="auto"/>
                <w:sz w:val="24"/>
                <w:szCs w:val="24"/>
                <w:highlight w:val="none"/>
                <w:lang w:val="en-US" w:eastAsia="zh-CN"/>
              </w:rPr>
              <w:t>方案的，此项不得分。</w:t>
            </w:r>
          </w:p>
          <w:p w14:paraId="10E8FA72">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5DFB994A">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14:paraId="0EFBB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7" w:hRule="atLeast"/>
          <w:jc w:val="center"/>
        </w:trPr>
        <w:tc>
          <w:tcPr>
            <w:tcW w:w="1097" w:type="dxa"/>
            <w:vMerge w:val="continue"/>
            <w:tcMar>
              <w:top w:w="15" w:type="dxa"/>
              <w:left w:w="15" w:type="dxa"/>
              <w:right w:w="15" w:type="dxa"/>
            </w:tcMar>
            <w:vAlign w:val="center"/>
          </w:tcPr>
          <w:p w14:paraId="05359827">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2FC7E0F0">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14:paraId="7B5ED9E9">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7452975C">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14:paraId="146D03A3">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（含备件清单及价格）、</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10分</w:t>
            </w:r>
            <w:r>
              <w:rPr>
                <w:rFonts w:hint="eastAsia" w:ascii="Times New Roman" w:hAnsi="Times New Roman" w:eastAsia="宋体" w:cs="Times New Roman"/>
                <w:color w:val="auto"/>
                <w:sz w:val="24"/>
                <w:szCs w:val="24"/>
                <w:highlight w:val="none"/>
                <w:lang w:val="en-US" w:eastAsia="zh-CN"/>
              </w:rPr>
              <w:t>；每缺少一项方案内容，或一项内容存在缺陷的，每一项扣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w:t>
            </w:r>
            <w:r>
              <w:rPr>
                <w:rFonts w:hint="eastAsia" w:asciiTheme="minorEastAsia" w:hAnsiTheme="minorEastAsia" w:eastAsiaTheme="minorEastAsia" w:cstheme="minorEastAsia"/>
                <w:color w:val="auto"/>
                <w:kern w:val="0"/>
                <w:sz w:val="24"/>
                <w:szCs w:val="24"/>
                <w:highlight w:val="none"/>
              </w:rPr>
              <w:t>售后服务</w:t>
            </w:r>
            <w:r>
              <w:rPr>
                <w:rFonts w:hint="eastAsia" w:ascii="Times New Roman" w:hAnsi="Times New Roman" w:eastAsia="宋体" w:cs="Times New Roman"/>
                <w:color w:val="auto"/>
                <w:sz w:val="24"/>
                <w:szCs w:val="24"/>
                <w:highlight w:val="none"/>
                <w:lang w:val="en-US" w:eastAsia="zh-CN"/>
              </w:rPr>
              <w:t>方案的，此项不得分。</w:t>
            </w:r>
          </w:p>
          <w:p w14:paraId="21D74798">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69BAAB20">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14:paraId="7BDCD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430" w:type="dxa"/>
            <w:gridSpan w:val="4"/>
            <w:tcMar>
              <w:top w:w="15" w:type="dxa"/>
              <w:left w:w="15" w:type="dxa"/>
              <w:right w:w="15" w:type="dxa"/>
            </w:tcMar>
            <w:vAlign w:val="center"/>
          </w:tcPr>
          <w:p w14:paraId="7A8672B0">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14:paraId="2FF19DBB">
      <w:pPr>
        <w:rPr>
          <w:rFonts w:hint="default"/>
          <w:color w:val="auto"/>
          <w:highlight w:val="none"/>
          <w:lang w:val="en-US" w:eastAsia="zh-CN"/>
        </w:rPr>
      </w:pPr>
      <w:r>
        <w:rPr>
          <w:rFonts w:hint="default"/>
          <w:color w:val="auto"/>
          <w:highlight w:val="none"/>
          <w:lang w:val="en-US" w:eastAsia="zh-CN"/>
        </w:rPr>
        <w:br w:type="page"/>
      </w:r>
    </w:p>
    <w:p w14:paraId="122C5F50">
      <w:pPr>
        <w:pStyle w:val="3"/>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5"/>
    <w:bookmarkEnd w:id="16"/>
    <w:bookmarkEnd w:id="17"/>
    <w:bookmarkEnd w:id="18"/>
    <w:bookmarkEnd w:id="19"/>
    <w:bookmarkEnd w:id="20"/>
    <w:bookmarkEnd w:id="64"/>
    <w:p w14:paraId="636D8174">
      <w:pPr>
        <w:spacing w:line="400" w:lineRule="exact"/>
        <w:ind w:firstLine="480" w:firstLineChars="200"/>
        <w:rPr>
          <w:rFonts w:asciiTheme="minorEastAsia" w:hAnsiTheme="minorEastAsia" w:eastAsiaTheme="minorEastAsia" w:cstheme="minorEastAsia"/>
          <w:color w:val="auto"/>
          <w:sz w:val="24"/>
          <w:szCs w:val="24"/>
          <w:highlight w:val="none"/>
        </w:rPr>
      </w:pPr>
      <w:bookmarkStart w:id="130" w:name="_Toc26728"/>
      <w:bookmarkStart w:id="131" w:name="_Toc12223"/>
      <w:bookmarkStart w:id="132" w:name="_Toc15450"/>
      <w:bookmarkStart w:id="133" w:name="_Toc462564139"/>
      <w:bookmarkStart w:id="134" w:name="_Toc120614244"/>
      <w:bookmarkStart w:id="135" w:name="_Toc16938590"/>
      <w:bookmarkStart w:id="136" w:name="_Toc20823346"/>
      <w:bookmarkStart w:id="137" w:name="_Toc479757211"/>
      <w:bookmarkStart w:id="138" w:name="_Hlt16619350"/>
      <w:bookmarkStart w:id="139" w:name="_Toc17639"/>
      <w:bookmarkStart w:id="140" w:name="_Toc31151"/>
      <w:bookmarkStart w:id="141" w:name="_Toc9411"/>
      <w:r>
        <w:rPr>
          <w:rFonts w:hint="eastAsia" w:asciiTheme="minorEastAsia" w:hAnsiTheme="minorEastAsia" w:eastAsiaTheme="minorEastAsia" w:cstheme="minorEastAsia"/>
          <w:color w:val="auto"/>
          <w:sz w:val="24"/>
          <w:szCs w:val="24"/>
          <w:highlight w:val="none"/>
        </w:rPr>
        <w:t>1.小微型企业价格扣除</w:t>
      </w:r>
    </w:p>
    <w:p w14:paraId="282A2687">
      <w:pPr>
        <w:spacing w:line="40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）本项目</w:t>
      </w:r>
      <w:r>
        <w:rPr>
          <w:rFonts w:hint="eastAsia" w:asciiTheme="minorEastAsia" w:hAnsiTheme="minorEastAsia" w:eastAsiaTheme="minorEastAsia" w:cstheme="minorEastAsia"/>
          <w:color w:val="auto"/>
          <w:sz w:val="24"/>
          <w:szCs w:val="24"/>
          <w:highlight w:val="none"/>
          <w:lang w:val="en-US" w:eastAsia="zh-CN"/>
        </w:rPr>
        <w:t>供应商所提供货物的制造商为中型、小型、微型企业。</w:t>
      </w:r>
    </w:p>
    <w:p w14:paraId="760FF6BD">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14:paraId="4A4F63AA">
      <w:pPr>
        <w:spacing w:line="400" w:lineRule="exact"/>
        <w:ind w:firstLine="480" w:firstLineChars="200"/>
        <w:rPr>
          <w:rFonts w:hint="eastAsia"/>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14:paraId="007059F4">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14:paraId="461FC66B">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（1）本项目对残疾人福利性单位视同小型、微型企业，给予10%的价格扣除，用扣除后的价格参与评审。</w:t>
      </w:r>
    </w:p>
    <w:p w14:paraId="5E3B480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14:paraId="11F9257D">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14:paraId="052A4A2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14:paraId="041312E4">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（1）本项目监狱和戒毒企业（简称监狱企业）视同小型、微型企业，给予10%的价格扣除，用扣除后的价格参与评审。</w:t>
      </w:r>
    </w:p>
    <w:p w14:paraId="109FA15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BDE5C6">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14:paraId="504F358C">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14:paraId="7C55CB09">
      <w:pPr>
        <w:rPr>
          <w:rFonts w:hint="eastAsia"/>
          <w:color w:val="auto"/>
          <w:highlight w:val="none"/>
        </w:rPr>
      </w:pPr>
      <w:r>
        <w:rPr>
          <w:rFonts w:hint="eastAsia"/>
          <w:color w:val="auto"/>
          <w:highlight w:val="none"/>
        </w:rPr>
        <w:br w:type="page"/>
      </w:r>
    </w:p>
    <w:p w14:paraId="690B434C">
      <w:pPr>
        <w:pStyle w:val="2"/>
        <w:rPr>
          <w:rFonts w:hint="eastAsia"/>
          <w:color w:val="auto"/>
          <w:highlight w:val="none"/>
        </w:rPr>
      </w:pPr>
      <w:r>
        <w:rPr>
          <w:rFonts w:hint="eastAsia"/>
          <w:color w:val="auto"/>
          <w:highlight w:val="none"/>
        </w:rPr>
        <w:t>第四章</w:t>
      </w:r>
      <w:r>
        <w:rPr>
          <w:rFonts w:hint="eastAsia"/>
          <w:color w:val="auto"/>
          <w:highlight w:val="none"/>
          <w:lang w:val="en-US" w:eastAsia="zh-CN"/>
        </w:rPr>
        <w:t xml:space="preserve">  </w:t>
      </w:r>
      <w:r>
        <w:rPr>
          <w:rFonts w:hint="eastAsia"/>
          <w:color w:val="auto"/>
          <w:highlight w:val="none"/>
        </w:rPr>
        <w:t>拟订立的合同样本</w:t>
      </w:r>
      <w:bookmarkEnd w:id="130"/>
      <w:bookmarkEnd w:id="131"/>
      <w:bookmarkEnd w:id="132"/>
    </w:p>
    <w:p w14:paraId="63A0B1FE">
      <w:pPr>
        <w:pStyle w:val="32"/>
        <w:jc w:val="center"/>
        <w:rPr>
          <w:rFonts w:hint="eastAsia"/>
          <w:color w:val="auto"/>
          <w:highlight w:val="none"/>
        </w:rPr>
      </w:pPr>
      <w:r>
        <w:rPr>
          <w:rFonts w:hint="eastAsia"/>
          <w:color w:val="auto"/>
          <w:highlight w:val="none"/>
        </w:rPr>
        <w:t>（此合同为格式范本，最终合同以双方协商为准）</w:t>
      </w:r>
    </w:p>
    <w:bookmarkEnd w:id="133"/>
    <w:bookmarkEnd w:id="134"/>
    <w:bookmarkEnd w:id="135"/>
    <w:bookmarkEnd w:id="136"/>
    <w:bookmarkEnd w:id="137"/>
    <w:bookmarkEnd w:id="138"/>
    <w:p w14:paraId="7523895B">
      <w:pPr>
        <w:rPr>
          <w:b/>
          <w:color w:val="auto"/>
          <w:highlight w:val="none"/>
        </w:rPr>
      </w:pPr>
      <w:bookmarkStart w:id="142" w:name="_Toc20313"/>
    </w:p>
    <w:p w14:paraId="7320CDBD">
      <w:pPr>
        <w:rPr>
          <w:b/>
          <w:color w:val="auto"/>
          <w:highlight w:val="none"/>
        </w:rPr>
      </w:pPr>
    </w:p>
    <w:p w14:paraId="348F2AD8">
      <w:pPr>
        <w:rPr>
          <w:b/>
          <w:color w:val="auto"/>
          <w:highlight w:val="none"/>
        </w:rPr>
      </w:pPr>
    </w:p>
    <w:p w14:paraId="6263A422">
      <w:pPr>
        <w:rPr>
          <w:b/>
          <w:color w:val="auto"/>
          <w:highlight w:val="none"/>
        </w:rPr>
      </w:pPr>
    </w:p>
    <w:p w14:paraId="76147536">
      <w:pPr>
        <w:rPr>
          <w:b/>
          <w:color w:val="auto"/>
          <w:highlight w:val="none"/>
        </w:rPr>
      </w:pPr>
    </w:p>
    <w:p w14:paraId="2CED2768">
      <w:pPr>
        <w:rPr>
          <w:b/>
          <w:color w:val="auto"/>
          <w:highlight w:val="none"/>
        </w:rPr>
      </w:pPr>
    </w:p>
    <w:p w14:paraId="659AFDA3">
      <w:pPr>
        <w:rPr>
          <w:rFonts w:ascii="仿宋" w:hAnsi="仿宋" w:eastAsia="仿宋" w:cs="Arial"/>
          <w:b/>
          <w:color w:val="auto"/>
          <w:sz w:val="48"/>
          <w:szCs w:val="48"/>
          <w:highlight w:val="none"/>
        </w:rPr>
      </w:pPr>
      <w:r>
        <w:rPr>
          <w:rFonts w:hint="eastAsia" w:ascii="仿宋" w:hAnsi="仿宋" w:eastAsia="仿宋" w:cs="Arial"/>
          <w:b/>
          <w:color w:val="auto"/>
          <w:sz w:val="48"/>
          <w:szCs w:val="48"/>
          <w:highlight w:val="none"/>
        </w:rPr>
        <w:t>中国石油大学（北京）</w:t>
      </w:r>
    </w:p>
    <w:p w14:paraId="2914B0F8">
      <w:pPr>
        <w:rPr>
          <w:rFonts w:ascii="仿宋" w:hAnsi="仿宋" w:eastAsia="仿宋" w:cs="Arial"/>
          <w:b/>
          <w:color w:val="auto"/>
          <w:sz w:val="48"/>
          <w:szCs w:val="48"/>
          <w:highlight w:val="none"/>
        </w:rPr>
      </w:pPr>
    </w:p>
    <w:p w14:paraId="54F9D119">
      <w:pPr>
        <w:rPr>
          <w:rFonts w:ascii="仿宋" w:hAnsi="仿宋" w:eastAsia="仿宋" w:cs="Arial"/>
          <w:b/>
          <w:color w:val="auto"/>
          <w:sz w:val="48"/>
          <w:szCs w:val="48"/>
          <w:highlight w:val="none"/>
        </w:rPr>
      </w:pPr>
      <w:r>
        <w:rPr>
          <w:rFonts w:ascii="仿宋" w:hAnsi="仿宋" w:eastAsia="仿宋" w:cs="Arial"/>
          <w:b/>
          <w:color w:val="auto"/>
          <w:sz w:val="48"/>
          <w:szCs w:val="48"/>
          <w:highlight w:val="none"/>
          <w:u w:val="single"/>
        </w:rPr>
        <w:t xml:space="preserve">                            </w:t>
      </w:r>
      <w:r>
        <w:rPr>
          <w:rFonts w:hint="eastAsia" w:ascii="仿宋" w:hAnsi="仿宋" w:eastAsia="仿宋" w:cs="Arial"/>
          <w:b/>
          <w:color w:val="auto"/>
          <w:sz w:val="48"/>
          <w:szCs w:val="48"/>
          <w:highlight w:val="none"/>
        </w:rPr>
        <w:t>合同</w:t>
      </w:r>
    </w:p>
    <w:p w14:paraId="4ED16CC5">
      <w:pPr>
        <w:rPr>
          <w:rFonts w:ascii="仿宋" w:hAnsi="仿宋" w:eastAsia="仿宋" w:cs="Arial"/>
          <w:b/>
          <w:color w:val="auto"/>
          <w:sz w:val="48"/>
          <w:szCs w:val="48"/>
          <w:highlight w:val="none"/>
        </w:rPr>
      </w:pPr>
      <w:r>
        <w:rPr>
          <w:rFonts w:ascii="仿宋" w:hAnsi="仿宋" w:eastAsia="仿宋" w:cs="Arial"/>
          <w:b/>
          <w:color w:val="auto"/>
          <w:sz w:val="48"/>
          <w:szCs w:val="48"/>
          <w:highlight w:val="none"/>
        </w:rPr>
        <w:t xml:space="preserve">               </w:t>
      </w:r>
    </w:p>
    <w:p w14:paraId="5CDE92A4">
      <w:pPr>
        <w:jc w:val="center"/>
        <w:rPr>
          <w:rFonts w:ascii="仿宋" w:hAnsi="仿宋" w:eastAsia="仿宋" w:cs="Arial"/>
          <w:b/>
          <w:color w:val="auto"/>
          <w:sz w:val="48"/>
          <w:szCs w:val="48"/>
          <w:highlight w:val="none"/>
        </w:rPr>
      </w:pPr>
    </w:p>
    <w:p w14:paraId="0E25A2FC">
      <w:pPr>
        <w:jc w:val="center"/>
        <w:rPr>
          <w:rFonts w:ascii="仿宋" w:hAnsi="仿宋" w:eastAsia="仿宋" w:cs="Arial"/>
          <w:b/>
          <w:color w:val="auto"/>
          <w:sz w:val="48"/>
          <w:szCs w:val="48"/>
          <w:highlight w:val="none"/>
        </w:rPr>
      </w:pPr>
    </w:p>
    <w:p w14:paraId="2598413D">
      <w:pPr>
        <w:jc w:val="center"/>
        <w:rPr>
          <w:rFonts w:ascii="仿宋" w:hAnsi="仿宋" w:eastAsia="仿宋" w:cs="Arial"/>
          <w:b/>
          <w:color w:val="auto"/>
          <w:sz w:val="48"/>
          <w:szCs w:val="48"/>
          <w:highlight w:val="none"/>
        </w:rPr>
      </w:pPr>
    </w:p>
    <w:p w14:paraId="2B7BF2E6">
      <w:pPr>
        <w:jc w:val="center"/>
        <w:rPr>
          <w:rFonts w:ascii="仿宋" w:hAnsi="仿宋" w:eastAsia="仿宋" w:cs="Arial"/>
          <w:b/>
          <w:color w:val="auto"/>
          <w:sz w:val="48"/>
          <w:szCs w:val="48"/>
          <w:highlight w:val="none"/>
        </w:rPr>
      </w:pPr>
    </w:p>
    <w:p w14:paraId="4A73EDA8">
      <w:pPr>
        <w:jc w:val="center"/>
        <w:rPr>
          <w:rFonts w:ascii="仿宋" w:hAnsi="仿宋" w:eastAsia="仿宋" w:cs="Arial"/>
          <w:b/>
          <w:color w:val="auto"/>
          <w:sz w:val="48"/>
          <w:szCs w:val="48"/>
          <w:highlight w:val="none"/>
        </w:rPr>
      </w:pPr>
    </w:p>
    <w:p w14:paraId="2D7A39CB">
      <w:pPr>
        <w:jc w:val="center"/>
        <w:rPr>
          <w:rFonts w:ascii="仿宋" w:hAnsi="仿宋" w:eastAsia="仿宋" w:cs="Arial"/>
          <w:b/>
          <w:color w:val="auto"/>
          <w:sz w:val="48"/>
          <w:szCs w:val="48"/>
          <w:highlight w:val="none"/>
        </w:rPr>
      </w:pPr>
    </w:p>
    <w:p w14:paraId="36C3789C">
      <w:pPr>
        <w:jc w:val="center"/>
        <w:rPr>
          <w:rFonts w:ascii="仿宋" w:hAnsi="仿宋" w:eastAsia="仿宋" w:cs="Arial"/>
          <w:b/>
          <w:color w:val="auto"/>
          <w:sz w:val="48"/>
          <w:szCs w:val="48"/>
          <w:highlight w:val="none"/>
        </w:rPr>
      </w:pPr>
    </w:p>
    <w:p w14:paraId="2A6A1D9D">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甲</w:t>
      </w:r>
      <w:r>
        <w:rPr>
          <w:rFonts w:ascii="仿宋" w:hAnsi="仿宋" w:eastAsia="仿宋" w:cs="Arial"/>
          <w:b/>
          <w:color w:val="auto"/>
          <w:sz w:val="36"/>
          <w:szCs w:val="36"/>
          <w:highlight w:val="none"/>
        </w:rPr>
        <w:t>方：</w:t>
      </w:r>
      <w:r>
        <w:rPr>
          <w:rFonts w:hint="eastAsia" w:ascii="仿宋" w:hAnsi="仿宋" w:eastAsia="仿宋" w:cs="Arial"/>
          <w:b/>
          <w:color w:val="auto"/>
          <w:sz w:val="36"/>
          <w:szCs w:val="36"/>
          <w:highlight w:val="none"/>
        </w:rPr>
        <w:t>中国石油大学（北京）</w:t>
      </w:r>
    </w:p>
    <w:p w14:paraId="60949765">
      <w:pPr>
        <w:jc w:val="center"/>
        <w:rPr>
          <w:rFonts w:ascii="仿宋" w:hAnsi="仿宋" w:eastAsia="仿宋" w:cs="Arial"/>
          <w:b/>
          <w:color w:val="auto"/>
          <w:sz w:val="36"/>
          <w:szCs w:val="36"/>
          <w:highlight w:val="none"/>
        </w:rPr>
      </w:pPr>
    </w:p>
    <w:p w14:paraId="7197427E">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乙</w:t>
      </w:r>
      <w:r>
        <w:rPr>
          <w:rFonts w:ascii="仿宋" w:hAnsi="仿宋" w:eastAsia="仿宋" w:cs="Arial"/>
          <w:b/>
          <w:color w:val="auto"/>
          <w:sz w:val="36"/>
          <w:szCs w:val="36"/>
          <w:highlight w:val="none"/>
        </w:rPr>
        <w:t>方：</w:t>
      </w:r>
      <w:r>
        <w:rPr>
          <w:rFonts w:hint="eastAsia" w:ascii="仿宋" w:hAnsi="仿宋" w:eastAsia="仿宋" w:cs="Arial"/>
          <w:b/>
          <w:color w:val="auto"/>
          <w:sz w:val="36"/>
          <w:highlight w:val="none"/>
          <w:u w:val="single"/>
        </w:rPr>
        <w:t xml:space="preserve"> </w:t>
      </w:r>
      <w:r>
        <w:rPr>
          <w:rFonts w:ascii="仿宋" w:hAnsi="仿宋" w:eastAsia="仿宋" w:cs="Arial"/>
          <w:b/>
          <w:color w:val="auto"/>
          <w:sz w:val="36"/>
          <w:highlight w:val="none"/>
          <w:u w:val="single"/>
        </w:rPr>
        <w:t xml:space="preserve">                               </w:t>
      </w:r>
      <w:r>
        <w:rPr>
          <w:rFonts w:hint="eastAsia" w:ascii="仿宋" w:hAnsi="仿宋" w:eastAsia="仿宋" w:cs="Arial"/>
          <w:b/>
          <w:color w:val="auto"/>
          <w:sz w:val="36"/>
          <w:szCs w:val="36"/>
          <w:highlight w:val="none"/>
        </w:rPr>
        <w:t xml:space="preserve">  </w:t>
      </w:r>
      <w:r>
        <w:rPr>
          <w:rFonts w:ascii="仿宋" w:hAnsi="仿宋" w:eastAsia="仿宋" w:cs="Arial"/>
          <w:b/>
          <w:color w:val="auto"/>
          <w:sz w:val="36"/>
          <w:szCs w:val="36"/>
          <w:highlight w:val="none"/>
        </w:rPr>
        <w:t xml:space="preserve">                              </w:t>
      </w:r>
    </w:p>
    <w:p w14:paraId="581BF8CF">
      <w:pPr>
        <w:jc w:val="center"/>
        <w:rPr>
          <w:rFonts w:ascii="仿宋" w:hAnsi="仿宋" w:eastAsia="仿宋" w:cs="Arial"/>
          <w:b/>
          <w:color w:val="auto"/>
          <w:sz w:val="36"/>
          <w:szCs w:val="36"/>
          <w:highlight w:val="none"/>
        </w:rPr>
      </w:pPr>
    </w:p>
    <w:p w14:paraId="381B14B5">
      <w:pPr>
        <w:jc w:val="center"/>
        <w:rPr>
          <w:rFonts w:ascii="仿宋" w:hAnsi="仿宋" w:eastAsia="仿宋" w:cs="Arial"/>
          <w:b/>
          <w:color w:val="auto"/>
          <w:sz w:val="36"/>
          <w:szCs w:val="36"/>
          <w:highlight w:val="none"/>
        </w:rPr>
      </w:pPr>
      <w:r>
        <w:rPr>
          <w:rFonts w:ascii="仿宋" w:hAnsi="仿宋" w:eastAsia="仿宋" w:cs="Arial"/>
          <w:b/>
          <w:color w:val="auto"/>
          <w:sz w:val="36"/>
          <w:szCs w:val="36"/>
          <w:highlight w:val="none"/>
        </w:rPr>
        <w:t>二零</w:t>
      </w:r>
      <w:r>
        <w:rPr>
          <w:rFonts w:hint="eastAsia" w:ascii="仿宋" w:hAnsi="仿宋" w:eastAsia="仿宋" w:cs="Arial"/>
          <w:b/>
          <w:color w:val="auto"/>
          <w:sz w:val="36"/>
          <w:szCs w:val="36"/>
          <w:highlight w:val="none"/>
        </w:rPr>
        <w:t xml:space="preserve"> </w:t>
      </w:r>
      <w:r>
        <w:rPr>
          <w:rFonts w:ascii="仿宋" w:hAnsi="仿宋" w:eastAsia="仿宋" w:cs="Arial"/>
          <w:b/>
          <w:color w:val="auto"/>
          <w:sz w:val="36"/>
          <w:szCs w:val="36"/>
          <w:highlight w:val="none"/>
        </w:rPr>
        <w:t xml:space="preserve">   年    月</w:t>
      </w:r>
    </w:p>
    <w:p w14:paraId="1882F25B">
      <w:pPr>
        <w:jc w:val="center"/>
        <w:rPr>
          <w:rFonts w:ascii="宋体" w:hAnsi="宋体"/>
          <w:b/>
          <w:color w:val="auto"/>
          <w:sz w:val="32"/>
          <w:szCs w:val="32"/>
          <w:highlight w:val="none"/>
        </w:rPr>
      </w:pPr>
      <w:r>
        <w:rPr>
          <w:rFonts w:ascii="仿宋" w:hAnsi="仿宋" w:eastAsia="仿宋" w:cs="Arial"/>
          <w:b/>
          <w:color w:val="auto"/>
          <w:sz w:val="36"/>
          <w:szCs w:val="36"/>
          <w:highlight w:val="none"/>
        </w:rPr>
        <w:br w:type="page"/>
      </w:r>
      <w:r>
        <w:rPr>
          <w:rFonts w:hint="eastAsia" w:ascii="宋体" w:hAnsi="宋体"/>
          <w:b/>
          <w:color w:val="auto"/>
          <w:sz w:val="32"/>
          <w:szCs w:val="32"/>
          <w:highlight w:val="none"/>
        </w:rPr>
        <w:t>中国石油大学（北京）采购合同</w:t>
      </w:r>
    </w:p>
    <w:p w14:paraId="7FD4CC3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需方(甲方)</w:t>
      </w:r>
      <w:r>
        <w:rPr>
          <w:rFonts w:hint="eastAsia" w:ascii="宋体" w:hAnsi="宋体"/>
          <w:color w:val="auto"/>
          <w:sz w:val="24"/>
          <w:highlight w:val="none"/>
          <w:u w:val="single"/>
        </w:rPr>
        <w:t>中国石油大学（北京）</w:t>
      </w:r>
      <w:r>
        <w:rPr>
          <w:rFonts w:hint="eastAsia" w:ascii="宋体" w:hAnsi="宋体"/>
          <w:color w:val="auto"/>
          <w:sz w:val="24"/>
          <w:highlight w:val="none"/>
        </w:rPr>
        <w:t xml:space="preserve">    </w:t>
      </w:r>
    </w:p>
    <w:p w14:paraId="4559532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供方(乙方)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AC1913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合同编号：</w:t>
      </w:r>
    </w:p>
    <w:p w14:paraId="5B1F7BD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签订地点：克拉玛依</w:t>
      </w:r>
    </w:p>
    <w:p w14:paraId="39AF2A1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合同履行期限：   年    月    日----</w:t>
      </w:r>
      <w:r>
        <w:rPr>
          <w:rFonts w:ascii="宋体" w:hAnsi="宋体"/>
          <w:color w:val="auto"/>
          <w:sz w:val="24"/>
          <w:highlight w:val="none"/>
        </w:rPr>
        <w:t xml:space="preserve">    </w:t>
      </w:r>
      <w:r>
        <w:rPr>
          <w:rFonts w:hint="eastAsia" w:ascii="宋体" w:hAnsi="宋体"/>
          <w:color w:val="auto"/>
          <w:sz w:val="24"/>
          <w:highlight w:val="none"/>
        </w:rPr>
        <w:t xml:space="preserve">年    月    日 </w:t>
      </w:r>
    </w:p>
    <w:p w14:paraId="787BF1C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甲方XXXX项目，根据XXXXX方式确定乙方为本项目最终供货商。依据《中华人民共和国民法典》，现甲乙双方协商一致，签订如下合同条款，双方承诺遵照执行：</w:t>
      </w:r>
    </w:p>
    <w:p w14:paraId="588984D2">
      <w:pPr>
        <w:numPr>
          <w:ilvl w:val="0"/>
          <w:numId w:val="7"/>
        </w:numPr>
        <w:spacing w:line="620" w:lineRule="exact"/>
        <w:rPr>
          <w:rFonts w:ascii="宋体" w:hAnsi="宋体"/>
          <w:color w:val="auto"/>
          <w:sz w:val="24"/>
          <w:highlight w:val="none"/>
        </w:rPr>
      </w:pPr>
      <w:r>
        <w:rPr>
          <w:rFonts w:hint="eastAsia" w:ascii="宋体" w:hAnsi="宋体"/>
          <w:b/>
          <w:color w:val="auto"/>
          <w:sz w:val="24"/>
          <w:highlight w:val="none"/>
        </w:rPr>
        <w:t>产品名称（型号）、制造商名称、数量及价格</w:t>
      </w:r>
      <w:r>
        <w:rPr>
          <w:rFonts w:hint="eastAsia" w:ascii="宋体" w:hAnsi="宋体"/>
          <w:color w:val="auto"/>
          <w:sz w:val="24"/>
          <w:highlight w:val="none"/>
        </w:rPr>
        <w:t>：</w:t>
      </w:r>
    </w:p>
    <w:p w14:paraId="52D504EC">
      <w:pPr>
        <w:spacing w:line="620" w:lineRule="exact"/>
        <w:rPr>
          <w:rFonts w:ascii="宋体" w:hAnsi="宋体"/>
          <w:color w:val="auto"/>
          <w:sz w:val="24"/>
          <w:highlight w:val="none"/>
        </w:rPr>
      </w:pPr>
      <w:r>
        <w:rPr>
          <w:rFonts w:hint="eastAsia" w:ascii="宋体" w:hAnsi="宋体"/>
          <w:b/>
          <w:color w:val="auto"/>
          <w:sz w:val="24"/>
          <w:highlight w:val="none"/>
        </w:rPr>
        <w:t xml:space="preserve">总价：         </w:t>
      </w:r>
      <w:r>
        <w:rPr>
          <w:rFonts w:ascii="宋体" w:hAnsi="宋体"/>
          <w:b/>
          <w:color w:val="auto"/>
          <w:sz w:val="24"/>
          <w:highlight w:val="none"/>
        </w:rPr>
        <w:t xml:space="preserve">                                         </w:t>
      </w:r>
      <w:r>
        <w:rPr>
          <w:rFonts w:hint="eastAsia" w:ascii="宋体" w:hAnsi="宋体"/>
          <w:b/>
          <w:color w:val="auto"/>
          <w:sz w:val="24"/>
          <w:highlight w:val="none"/>
        </w:rPr>
        <w:t>货币单位：元</w:t>
      </w:r>
    </w:p>
    <w:tbl>
      <w:tblPr>
        <w:tblStyle w:val="41"/>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4"/>
        <w:gridCol w:w="707"/>
        <w:gridCol w:w="1548"/>
        <w:gridCol w:w="1552"/>
        <w:gridCol w:w="1548"/>
        <w:gridCol w:w="1220"/>
      </w:tblGrid>
      <w:tr w14:paraId="2168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noWrap w:val="0"/>
            <w:vAlign w:val="center"/>
          </w:tcPr>
          <w:p w14:paraId="62303B77">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 xml:space="preserve">产品名称 </w:t>
            </w:r>
            <w:r>
              <w:rPr>
                <w:rFonts w:ascii="宋体" w:hAnsi="宋体"/>
                <w:b/>
                <w:color w:val="auto"/>
                <w:sz w:val="24"/>
                <w:highlight w:val="none"/>
              </w:rPr>
              <w:t xml:space="preserve">  </w:t>
            </w:r>
          </w:p>
        </w:tc>
        <w:tc>
          <w:tcPr>
            <w:tcW w:w="707" w:type="dxa"/>
            <w:noWrap w:val="0"/>
            <w:vAlign w:val="top"/>
          </w:tcPr>
          <w:p w14:paraId="4D98F567">
            <w:pPr>
              <w:spacing w:line="620" w:lineRule="exact"/>
              <w:rPr>
                <w:rFonts w:ascii="宋体" w:hAnsi="宋体"/>
                <w:b/>
                <w:color w:val="auto"/>
                <w:sz w:val="24"/>
                <w:highlight w:val="none"/>
              </w:rPr>
            </w:pPr>
            <w:r>
              <w:rPr>
                <w:rFonts w:hint="eastAsia" w:ascii="宋体" w:hAnsi="宋体"/>
                <w:b/>
                <w:color w:val="auto"/>
                <w:sz w:val="24"/>
                <w:highlight w:val="none"/>
              </w:rPr>
              <w:t>型号</w:t>
            </w:r>
          </w:p>
        </w:tc>
        <w:tc>
          <w:tcPr>
            <w:tcW w:w="1548" w:type="dxa"/>
            <w:noWrap w:val="0"/>
            <w:vAlign w:val="center"/>
          </w:tcPr>
          <w:p w14:paraId="4E213EEF">
            <w:pPr>
              <w:spacing w:line="620" w:lineRule="exact"/>
              <w:rPr>
                <w:rFonts w:ascii="宋体" w:hAnsi="宋体"/>
                <w:b/>
                <w:color w:val="auto"/>
                <w:sz w:val="24"/>
                <w:highlight w:val="none"/>
              </w:rPr>
            </w:pPr>
            <w:r>
              <w:rPr>
                <w:rFonts w:hint="eastAsia" w:ascii="宋体" w:hAnsi="宋体"/>
                <w:b/>
                <w:color w:val="auto"/>
                <w:sz w:val="24"/>
                <w:highlight w:val="none"/>
              </w:rPr>
              <w:t>制造商名称</w:t>
            </w:r>
          </w:p>
        </w:tc>
        <w:tc>
          <w:tcPr>
            <w:tcW w:w="1552" w:type="dxa"/>
            <w:noWrap w:val="0"/>
            <w:vAlign w:val="center"/>
          </w:tcPr>
          <w:p w14:paraId="472DA2CD">
            <w:pPr>
              <w:spacing w:line="620" w:lineRule="exact"/>
              <w:rPr>
                <w:rFonts w:ascii="宋体" w:hAnsi="宋体"/>
                <w:b/>
                <w:color w:val="auto"/>
                <w:sz w:val="24"/>
                <w:highlight w:val="none"/>
              </w:rPr>
            </w:pPr>
            <w:r>
              <w:rPr>
                <w:rFonts w:hint="eastAsia" w:ascii="宋体" w:hAnsi="宋体"/>
                <w:b/>
                <w:color w:val="auto"/>
                <w:sz w:val="24"/>
                <w:highlight w:val="none"/>
              </w:rPr>
              <w:t>数量/单位</w:t>
            </w:r>
          </w:p>
        </w:tc>
        <w:tc>
          <w:tcPr>
            <w:tcW w:w="1548" w:type="dxa"/>
            <w:noWrap w:val="0"/>
            <w:vAlign w:val="center"/>
          </w:tcPr>
          <w:p w14:paraId="1BD1D013">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单价</w:t>
            </w:r>
          </w:p>
        </w:tc>
        <w:tc>
          <w:tcPr>
            <w:tcW w:w="1220" w:type="dxa"/>
            <w:noWrap w:val="0"/>
            <w:vAlign w:val="center"/>
          </w:tcPr>
          <w:p w14:paraId="5A5E2C0B">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合计</w:t>
            </w:r>
          </w:p>
        </w:tc>
      </w:tr>
      <w:tr w14:paraId="5D02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noWrap w:val="0"/>
            <w:vAlign w:val="center"/>
          </w:tcPr>
          <w:p w14:paraId="6CDA8AFF">
            <w:pPr>
              <w:spacing w:line="620" w:lineRule="exact"/>
              <w:ind w:firstLine="480" w:firstLineChars="200"/>
              <w:rPr>
                <w:rFonts w:ascii="宋体" w:hAnsi="宋体"/>
                <w:color w:val="auto"/>
                <w:sz w:val="24"/>
                <w:highlight w:val="none"/>
              </w:rPr>
            </w:pPr>
          </w:p>
        </w:tc>
        <w:tc>
          <w:tcPr>
            <w:tcW w:w="707" w:type="dxa"/>
            <w:noWrap w:val="0"/>
            <w:vAlign w:val="top"/>
          </w:tcPr>
          <w:p w14:paraId="1B67C1C3">
            <w:pPr>
              <w:spacing w:line="620" w:lineRule="exact"/>
              <w:ind w:firstLine="480" w:firstLineChars="200"/>
              <w:rPr>
                <w:rFonts w:ascii="宋体" w:hAnsi="宋体"/>
                <w:color w:val="auto"/>
                <w:sz w:val="24"/>
                <w:highlight w:val="none"/>
              </w:rPr>
            </w:pPr>
          </w:p>
        </w:tc>
        <w:tc>
          <w:tcPr>
            <w:tcW w:w="1548" w:type="dxa"/>
            <w:noWrap w:val="0"/>
            <w:vAlign w:val="center"/>
          </w:tcPr>
          <w:p w14:paraId="3BF6EEAA">
            <w:pPr>
              <w:spacing w:line="620" w:lineRule="exact"/>
              <w:ind w:firstLine="480" w:firstLineChars="200"/>
              <w:rPr>
                <w:rFonts w:ascii="宋体" w:hAnsi="宋体"/>
                <w:color w:val="auto"/>
                <w:sz w:val="24"/>
                <w:highlight w:val="none"/>
              </w:rPr>
            </w:pPr>
          </w:p>
        </w:tc>
        <w:tc>
          <w:tcPr>
            <w:tcW w:w="1552" w:type="dxa"/>
            <w:noWrap w:val="0"/>
            <w:vAlign w:val="center"/>
          </w:tcPr>
          <w:p w14:paraId="50C863C8">
            <w:pPr>
              <w:spacing w:line="620" w:lineRule="exact"/>
              <w:ind w:firstLine="480" w:firstLineChars="200"/>
              <w:rPr>
                <w:rFonts w:ascii="宋体" w:hAnsi="宋体"/>
                <w:color w:val="auto"/>
                <w:sz w:val="24"/>
                <w:highlight w:val="none"/>
              </w:rPr>
            </w:pPr>
          </w:p>
        </w:tc>
        <w:tc>
          <w:tcPr>
            <w:tcW w:w="1548" w:type="dxa"/>
            <w:noWrap w:val="0"/>
            <w:vAlign w:val="center"/>
          </w:tcPr>
          <w:p w14:paraId="291987C4">
            <w:pPr>
              <w:spacing w:line="620" w:lineRule="exact"/>
              <w:ind w:firstLine="480" w:firstLineChars="200"/>
              <w:rPr>
                <w:rFonts w:ascii="宋体" w:hAnsi="宋体"/>
                <w:color w:val="auto"/>
                <w:sz w:val="24"/>
                <w:highlight w:val="none"/>
              </w:rPr>
            </w:pPr>
          </w:p>
        </w:tc>
        <w:tc>
          <w:tcPr>
            <w:tcW w:w="1220" w:type="dxa"/>
            <w:noWrap w:val="0"/>
            <w:vAlign w:val="center"/>
          </w:tcPr>
          <w:p w14:paraId="32AB0F97">
            <w:pPr>
              <w:spacing w:line="620" w:lineRule="exact"/>
              <w:ind w:firstLine="480" w:firstLineChars="200"/>
              <w:rPr>
                <w:rFonts w:ascii="宋体" w:hAnsi="宋体"/>
                <w:color w:val="auto"/>
                <w:sz w:val="24"/>
                <w:highlight w:val="none"/>
              </w:rPr>
            </w:pPr>
          </w:p>
        </w:tc>
      </w:tr>
      <w:tr w14:paraId="10890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noWrap w:val="0"/>
            <w:vAlign w:val="bottom"/>
          </w:tcPr>
          <w:p w14:paraId="460045DA">
            <w:pPr>
              <w:spacing w:line="620" w:lineRule="exact"/>
              <w:rPr>
                <w:rFonts w:ascii="宋体" w:hAnsi="宋体"/>
                <w:color w:val="auto"/>
                <w:sz w:val="24"/>
                <w:highlight w:val="none"/>
              </w:rPr>
            </w:pPr>
            <w:r>
              <w:rPr>
                <w:rFonts w:hint="eastAsia" w:ascii="宋体" w:hAnsi="宋体"/>
                <w:b/>
                <w:color w:val="auto"/>
                <w:highlight w:val="none"/>
              </w:rPr>
              <w:t>合同总价（含税）</w:t>
            </w:r>
            <w:r>
              <w:rPr>
                <w:rFonts w:hint="eastAsia" w:ascii="宋体" w:hAnsi="宋体"/>
                <w:b/>
                <w:color w:val="auto"/>
                <w:kern w:val="0"/>
                <w:highlight w:val="none"/>
              </w:rPr>
              <w:t>（包含进出口环节的一切费用）</w:t>
            </w:r>
            <w:r>
              <w:rPr>
                <w:rFonts w:hint="eastAsia" w:ascii="宋体" w:hAnsi="宋体"/>
                <w:b/>
                <w:color w:val="auto"/>
                <w:sz w:val="24"/>
                <w:highlight w:val="none"/>
              </w:rPr>
              <w:t xml:space="preserve">                      </w:t>
            </w:r>
          </w:p>
        </w:tc>
        <w:tc>
          <w:tcPr>
            <w:tcW w:w="3807" w:type="dxa"/>
            <w:gridSpan w:val="3"/>
            <w:noWrap w:val="0"/>
            <w:vAlign w:val="bottom"/>
          </w:tcPr>
          <w:p w14:paraId="6DD80490">
            <w:pPr>
              <w:spacing w:line="620" w:lineRule="exact"/>
              <w:jc w:val="left"/>
              <w:rPr>
                <w:rFonts w:ascii="宋体" w:hAnsi="宋体"/>
                <w:color w:val="auto"/>
                <w:sz w:val="24"/>
                <w:highlight w:val="none"/>
              </w:rPr>
            </w:pPr>
            <w:r>
              <w:rPr>
                <w:rFonts w:hint="eastAsia" w:ascii="宋体" w:hAnsi="宋体"/>
                <w:b/>
                <w:color w:val="auto"/>
                <w:sz w:val="24"/>
                <w:highlight w:val="none"/>
              </w:rPr>
              <w:t>（大写）：</w:t>
            </w:r>
          </w:p>
        </w:tc>
        <w:tc>
          <w:tcPr>
            <w:tcW w:w="2768" w:type="dxa"/>
            <w:gridSpan w:val="2"/>
            <w:noWrap w:val="0"/>
            <w:vAlign w:val="bottom"/>
          </w:tcPr>
          <w:p w14:paraId="0653C389">
            <w:pPr>
              <w:spacing w:line="620" w:lineRule="exact"/>
              <w:rPr>
                <w:rFonts w:ascii="宋体" w:hAnsi="宋体"/>
                <w:color w:val="auto"/>
                <w:sz w:val="24"/>
                <w:highlight w:val="none"/>
              </w:rPr>
            </w:pPr>
            <w:r>
              <w:rPr>
                <w:rFonts w:hint="eastAsia" w:ascii="宋体" w:hAnsi="宋体"/>
                <w:b/>
                <w:color w:val="auto"/>
                <w:sz w:val="24"/>
                <w:highlight w:val="none"/>
              </w:rPr>
              <w:t>（小写）：</w:t>
            </w:r>
          </w:p>
        </w:tc>
      </w:tr>
    </w:tbl>
    <w:p w14:paraId="063C0B7F">
      <w:pPr>
        <w:spacing w:line="360" w:lineRule="auto"/>
        <w:rPr>
          <w:rFonts w:ascii="宋体" w:hAnsi="宋体"/>
          <w:b/>
          <w:color w:val="auto"/>
          <w:sz w:val="24"/>
          <w:highlight w:val="none"/>
        </w:rPr>
      </w:pPr>
      <w:r>
        <w:rPr>
          <w:rFonts w:hint="eastAsia" w:ascii="宋体" w:hAnsi="宋体"/>
          <w:b/>
          <w:color w:val="auto"/>
          <w:sz w:val="24"/>
          <w:highlight w:val="none"/>
        </w:rPr>
        <w:t>分项报价：                                               货币单位：元</w:t>
      </w:r>
    </w:p>
    <w:tbl>
      <w:tblPr>
        <w:tblStyle w:val="41"/>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3"/>
        <w:gridCol w:w="1596"/>
        <w:gridCol w:w="2079"/>
        <w:gridCol w:w="6"/>
        <w:gridCol w:w="944"/>
        <w:gridCol w:w="1542"/>
      </w:tblGrid>
      <w:tr w14:paraId="1E2E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20005118">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产品名称 （型号）</w:t>
            </w:r>
          </w:p>
        </w:tc>
        <w:tc>
          <w:tcPr>
            <w:tcW w:w="1596" w:type="dxa"/>
            <w:tcBorders>
              <w:top w:val="single" w:color="auto" w:sz="4" w:space="0"/>
              <w:left w:val="single" w:color="auto" w:sz="4" w:space="0"/>
              <w:bottom w:val="single" w:color="auto" w:sz="4" w:space="0"/>
              <w:right w:val="single" w:color="auto" w:sz="4" w:space="0"/>
            </w:tcBorders>
            <w:noWrap w:val="0"/>
            <w:vAlign w:val="center"/>
          </w:tcPr>
          <w:p w14:paraId="236FF0F0">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产地和</w:t>
            </w:r>
          </w:p>
          <w:p w14:paraId="43E82FC8">
            <w:pPr>
              <w:spacing w:line="360" w:lineRule="auto"/>
              <w:jc w:val="center"/>
              <w:rPr>
                <w:rFonts w:hint="eastAsia" w:ascii="宋体" w:hAnsi="宋体"/>
                <w:b/>
                <w:color w:val="auto"/>
                <w:sz w:val="24"/>
                <w:highlight w:val="none"/>
              </w:rPr>
            </w:pPr>
            <w:r>
              <w:rPr>
                <w:rFonts w:hint="eastAsia" w:ascii="宋体" w:hAnsi="宋体"/>
                <w:b/>
                <w:color w:val="auto"/>
                <w:sz w:val="24"/>
                <w:highlight w:val="none"/>
              </w:rPr>
              <w:t>制造商名称</w:t>
            </w: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155A31B2">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数量/单位</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1003BE36">
            <w:pPr>
              <w:spacing w:line="360" w:lineRule="auto"/>
              <w:jc w:val="center"/>
              <w:rPr>
                <w:rFonts w:hint="eastAsia" w:ascii="宋体" w:hAnsi="宋体"/>
                <w:b/>
                <w:color w:val="auto"/>
                <w:sz w:val="24"/>
                <w:highlight w:val="none"/>
              </w:rPr>
            </w:pPr>
            <w:r>
              <w:rPr>
                <w:rFonts w:hint="eastAsia" w:ascii="宋体" w:hAnsi="宋体"/>
                <w:b/>
                <w:color w:val="auto"/>
                <w:sz w:val="24"/>
                <w:highlight w:val="none"/>
              </w:rPr>
              <w:t>单价</w:t>
            </w:r>
          </w:p>
        </w:tc>
        <w:tc>
          <w:tcPr>
            <w:tcW w:w="1542" w:type="dxa"/>
            <w:tcBorders>
              <w:top w:val="single" w:color="auto" w:sz="4" w:space="0"/>
              <w:left w:val="single" w:color="auto" w:sz="4" w:space="0"/>
              <w:bottom w:val="single" w:color="auto" w:sz="4" w:space="0"/>
              <w:right w:val="single" w:color="auto" w:sz="4" w:space="0"/>
            </w:tcBorders>
            <w:noWrap w:val="0"/>
            <w:vAlign w:val="center"/>
          </w:tcPr>
          <w:p w14:paraId="6312F583">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总价</w:t>
            </w:r>
          </w:p>
        </w:tc>
      </w:tr>
      <w:tr w14:paraId="0AC0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37153CA9">
            <w:pPr>
              <w:spacing w:line="360" w:lineRule="auto"/>
              <w:jc w:val="center"/>
              <w:rPr>
                <w:rFonts w:hint="eastAsia"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noWrap w:val="0"/>
            <w:vAlign w:val="center"/>
          </w:tcPr>
          <w:p w14:paraId="3FF49060">
            <w:pPr>
              <w:spacing w:line="360" w:lineRule="auto"/>
              <w:jc w:val="center"/>
              <w:rPr>
                <w:rFonts w:hint="eastAsia"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240C2D90">
            <w:pPr>
              <w:spacing w:line="360" w:lineRule="auto"/>
              <w:jc w:val="center"/>
              <w:rPr>
                <w:rFonts w:hint="eastAsia"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1C47104">
            <w:pPr>
              <w:spacing w:line="360" w:lineRule="auto"/>
              <w:jc w:val="center"/>
              <w:rPr>
                <w:rFonts w:hint="eastAsia"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5BD5A959">
            <w:pPr>
              <w:spacing w:line="360" w:lineRule="auto"/>
              <w:jc w:val="center"/>
              <w:rPr>
                <w:rFonts w:hint="eastAsia" w:ascii="宋体" w:hAnsi="宋体"/>
                <w:color w:val="auto"/>
                <w:sz w:val="24"/>
                <w:highlight w:val="none"/>
              </w:rPr>
            </w:pPr>
          </w:p>
        </w:tc>
      </w:tr>
      <w:tr w14:paraId="12C5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7CEADB72">
            <w:pPr>
              <w:spacing w:line="360" w:lineRule="auto"/>
              <w:jc w:val="center"/>
              <w:rPr>
                <w:rFonts w:hint="eastAsia"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noWrap w:val="0"/>
            <w:vAlign w:val="center"/>
          </w:tcPr>
          <w:p w14:paraId="2FBA2EE6">
            <w:pPr>
              <w:spacing w:line="360" w:lineRule="auto"/>
              <w:jc w:val="center"/>
              <w:rPr>
                <w:rFonts w:hint="eastAsia"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31026588">
            <w:pPr>
              <w:spacing w:line="360" w:lineRule="auto"/>
              <w:jc w:val="center"/>
              <w:rPr>
                <w:rFonts w:hint="eastAsia"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6F14074F">
            <w:pPr>
              <w:spacing w:line="360" w:lineRule="auto"/>
              <w:jc w:val="center"/>
              <w:rPr>
                <w:rFonts w:hint="eastAsia"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06EC696E">
            <w:pPr>
              <w:spacing w:line="360" w:lineRule="auto"/>
              <w:jc w:val="center"/>
              <w:rPr>
                <w:rFonts w:hint="eastAsia" w:ascii="宋体" w:hAnsi="宋体"/>
                <w:color w:val="auto"/>
                <w:sz w:val="24"/>
                <w:highlight w:val="none"/>
              </w:rPr>
            </w:pPr>
          </w:p>
        </w:tc>
      </w:tr>
      <w:tr w14:paraId="2DFB8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0689F03B">
            <w:pPr>
              <w:spacing w:line="360" w:lineRule="auto"/>
              <w:jc w:val="center"/>
              <w:rPr>
                <w:rFonts w:hint="eastAsia"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noWrap w:val="0"/>
            <w:vAlign w:val="center"/>
          </w:tcPr>
          <w:p w14:paraId="0CAF9BE3">
            <w:pPr>
              <w:spacing w:line="360" w:lineRule="auto"/>
              <w:jc w:val="center"/>
              <w:rPr>
                <w:rFonts w:hint="eastAsia"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66F19546">
            <w:pPr>
              <w:spacing w:line="360" w:lineRule="auto"/>
              <w:jc w:val="center"/>
              <w:rPr>
                <w:rFonts w:hint="eastAsia"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5628F48">
            <w:pPr>
              <w:spacing w:line="360" w:lineRule="auto"/>
              <w:jc w:val="center"/>
              <w:rPr>
                <w:rFonts w:hint="eastAsia"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5DF04B60">
            <w:pPr>
              <w:spacing w:line="360" w:lineRule="auto"/>
              <w:jc w:val="center"/>
              <w:rPr>
                <w:rFonts w:hint="eastAsia" w:ascii="宋体" w:hAnsi="宋体"/>
                <w:color w:val="auto"/>
                <w:sz w:val="24"/>
                <w:highlight w:val="none"/>
              </w:rPr>
            </w:pPr>
          </w:p>
        </w:tc>
      </w:tr>
      <w:tr w14:paraId="54C5B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7C62CDB8">
            <w:pPr>
              <w:spacing w:line="360" w:lineRule="auto"/>
              <w:rPr>
                <w:rFonts w:hint="eastAsia" w:ascii="宋体" w:hAnsi="宋体"/>
                <w:b/>
                <w:color w:val="auto"/>
                <w:sz w:val="24"/>
                <w:highlight w:val="none"/>
              </w:rPr>
            </w:pPr>
            <w:r>
              <w:rPr>
                <w:rFonts w:hint="eastAsia" w:ascii="宋体" w:hAnsi="宋体"/>
                <w:b/>
                <w:color w:val="auto"/>
                <w:sz w:val="24"/>
                <w:highlight w:val="none"/>
              </w:rPr>
              <w:t>合同总价（含税）</w:t>
            </w:r>
          </w:p>
        </w:tc>
        <w:tc>
          <w:tcPr>
            <w:tcW w:w="3675" w:type="dxa"/>
            <w:gridSpan w:val="2"/>
            <w:tcBorders>
              <w:top w:val="single" w:color="auto" w:sz="4" w:space="0"/>
              <w:left w:val="single" w:color="auto" w:sz="4" w:space="0"/>
              <w:bottom w:val="single" w:color="auto" w:sz="4" w:space="0"/>
              <w:right w:val="single" w:color="auto" w:sz="4" w:space="0"/>
            </w:tcBorders>
            <w:noWrap w:val="0"/>
            <w:vAlign w:val="center"/>
          </w:tcPr>
          <w:p w14:paraId="3C73612B">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（大写）：               </w:t>
            </w:r>
          </w:p>
        </w:tc>
        <w:tc>
          <w:tcPr>
            <w:tcW w:w="2492" w:type="dxa"/>
            <w:gridSpan w:val="3"/>
            <w:tcBorders>
              <w:top w:val="single" w:color="auto" w:sz="4" w:space="0"/>
              <w:left w:val="single" w:color="auto" w:sz="4" w:space="0"/>
              <w:bottom w:val="single" w:color="auto" w:sz="4" w:space="0"/>
              <w:right w:val="single" w:color="auto" w:sz="4" w:space="0"/>
            </w:tcBorders>
            <w:noWrap w:val="0"/>
            <w:vAlign w:val="center"/>
          </w:tcPr>
          <w:p w14:paraId="41D4A3E7">
            <w:pPr>
              <w:spacing w:line="360" w:lineRule="auto"/>
              <w:rPr>
                <w:rFonts w:hint="eastAsia" w:ascii="宋体" w:hAnsi="宋体"/>
                <w:b/>
                <w:color w:val="auto"/>
                <w:sz w:val="24"/>
                <w:highlight w:val="none"/>
              </w:rPr>
            </w:pPr>
            <w:r>
              <w:rPr>
                <w:rFonts w:hint="eastAsia" w:ascii="宋体" w:hAnsi="宋体"/>
                <w:b/>
                <w:color w:val="auto"/>
                <w:sz w:val="24"/>
                <w:highlight w:val="none"/>
              </w:rPr>
              <w:t>（小写）：</w:t>
            </w:r>
          </w:p>
        </w:tc>
      </w:tr>
    </w:tbl>
    <w:p w14:paraId="138B71C5">
      <w:pPr>
        <w:spacing w:line="620" w:lineRule="exact"/>
        <w:rPr>
          <w:rFonts w:ascii="宋体" w:hAnsi="宋体"/>
          <w:b/>
          <w:color w:val="auto"/>
          <w:sz w:val="24"/>
          <w:highlight w:val="none"/>
        </w:rPr>
      </w:pPr>
      <w:r>
        <w:rPr>
          <w:rFonts w:hint="eastAsia" w:ascii="宋体" w:hAnsi="宋体"/>
          <w:b/>
          <w:color w:val="auto"/>
          <w:sz w:val="24"/>
          <w:highlight w:val="none"/>
        </w:rPr>
        <w:t>2.第三方权利</w:t>
      </w:r>
    </w:p>
    <w:p w14:paraId="34E8224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方保证,甲方(包括产品实际使用人)使用本合同产品或其任何一部分，不会侵犯任何第三方的合法权利，包括但不限于：专利权、商标权、或其他工业产权。如有第三方向甲方或实际使用人主张上述权利，乙方应当负责妥善解决，承担全部成本与费用，造成损失的，乙方负责赔偿。</w:t>
      </w:r>
    </w:p>
    <w:p w14:paraId="5B949AF0">
      <w:pPr>
        <w:spacing w:line="620" w:lineRule="exact"/>
        <w:rPr>
          <w:rFonts w:ascii="宋体" w:hAnsi="宋体"/>
          <w:color w:val="auto"/>
          <w:sz w:val="24"/>
          <w:highlight w:val="none"/>
        </w:rPr>
      </w:pPr>
      <w:r>
        <w:rPr>
          <w:rFonts w:hint="eastAsia" w:ascii="宋体" w:hAnsi="宋体"/>
          <w:b/>
          <w:color w:val="auto"/>
          <w:sz w:val="24"/>
          <w:highlight w:val="none"/>
        </w:rPr>
        <w:t>3.质量保证</w:t>
      </w:r>
    </w:p>
    <w:p w14:paraId="0286786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3.1 乙方应保证所供产品为全新且未使用过的，产品是由原厂近期内生产的，产品质量应完全符合国家相关行业标准。</w:t>
      </w:r>
    </w:p>
    <w:p w14:paraId="5DC288B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3.2应保证其产品在正确安装、正常使用和保养条件下，在其使用寿命期内应具有符合质量要求和产品说明书的性能。</w:t>
      </w:r>
    </w:p>
    <w:p w14:paraId="6185AB5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3.3交付产品的技术规格应与招标文件或询价报价单、本合同规定的技术要求以及技术配置表（附件一）相一致。交付产品时，乙方还应当提供生产厂产品出厂合格证明。</w:t>
      </w:r>
    </w:p>
    <w:p w14:paraId="0DF67276">
      <w:pPr>
        <w:spacing w:line="620" w:lineRule="exact"/>
        <w:rPr>
          <w:rFonts w:ascii="宋体" w:hAnsi="宋体"/>
          <w:color w:val="auto"/>
          <w:sz w:val="24"/>
          <w:highlight w:val="none"/>
        </w:rPr>
      </w:pPr>
      <w:r>
        <w:rPr>
          <w:rFonts w:hint="eastAsia" w:ascii="宋体" w:hAnsi="宋体"/>
          <w:b/>
          <w:color w:val="auto"/>
          <w:sz w:val="24"/>
          <w:highlight w:val="none"/>
        </w:rPr>
        <w:t>4.交货中的产品保护</w:t>
      </w:r>
    </w:p>
    <w:p w14:paraId="06F5F92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4.1 乙方应合理选择运输工具、运输路线，按时送达甲方指定地点，承担运输过程中的安全、质量等风险责任及相关费用。</w:t>
      </w:r>
    </w:p>
    <w:p w14:paraId="06DB49E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4.2 乙方将产品运至合同规定的最终目的地并经甲方按行业验收标准验收合格后方可办理交接入库。入库前的产品所有权归乙方所有、产品的全部风险由乙方承担。入库后的产品所有权归甲方所有、产品的全部风险由甲方承担。</w:t>
      </w:r>
    </w:p>
    <w:p w14:paraId="10407221">
      <w:pPr>
        <w:spacing w:line="620" w:lineRule="exact"/>
        <w:rPr>
          <w:rFonts w:ascii="宋体" w:hAnsi="宋体"/>
          <w:b/>
          <w:color w:val="auto"/>
          <w:sz w:val="24"/>
          <w:highlight w:val="none"/>
        </w:rPr>
      </w:pPr>
      <w:r>
        <w:rPr>
          <w:rFonts w:hint="eastAsia" w:ascii="宋体" w:hAnsi="宋体"/>
          <w:b/>
          <w:color w:val="auto"/>
          <w:sz w:val="24"/>
          <w:highlight w:val="none"/>
        </w:rPr>
        <w:t>5.运费、保险费及相关税费</w:t>
      </w:r>
    </w:p>
    <w:p w14:paraId="43C5BC8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5.1 国产产品与服务：现场交货人民币价。卖方应承担制造、装配和发运货物所使用的材料、部件及货物本身已支付或将支付的产品税、销售税和其它税费。中国石油大学（北京）不再支付项目报价外的任何费用。</w:t>
      </w:r>
    </w:p>
    <w:p w14:paraId="6F4C6DD6">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5.2进口货物及服务：卖方应承担进口设备免税CIP或CIF到货港口价格、进口产品的外贸代理费、银行费、报关、商检、海关监管等进口环节所有相关费用, 运至采购人指定地点的内陆运输、保险及其伴随服务等费用。采购方不再额外支付任何与进口环节有关的一切费用。进口代理服务费和银行费的标准为合同金额的1.3%。</w:t>
      </w:r>
    </w:p>
    <w:p w14:paraId="2594329E">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5.3 合同价中包含一切运输费、安装费、调试费和培训费等，中国石油大学（北京）不再支付本项目报价外的任何费用。</w:t>
      </w:r>
    </w:p>
    <w:p w14:paraId="46700B2C">
      <w:pPr>
        <w:spacing w:line="620" w:lineRule="exact"/>
        <w:rPr>
          <w:rFonts w:ascii="宋体" w:hAnsi="宋体"/>
          <w:b/>
          <w:color w:val="auto"/>
          <w:sz w:val="24"/>
          <w:highlight w:val="none"/>
        </w:rPr>
      </w:pPr>
      <w:r>
        <w:rPr>
          <w:rFonts w:hint="eastAsia" w:ascii="宋体" w:hAnsi="宋体"/>
          <w:b/>
          <w:color w:val="auto"/>
          <w:sz w:val="24"/>
          <w:highlight w:val="none"/>
        </w:rPr>
        <w:t>6.交货时间、地点</w:t>
      </w:r>
    </w:p>
    <w:p w14:paraId="3C0AC1A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6.1 交货时间：乙方于接到甲方发货通知之日起</w:t>
      </w:r>
      <w:r>
        <w:rPr>
          <w:rFonts w:hint="eastAsia" w:ascii="宋体" w:hAnsi="宋体"/>
          <w:color w:val="auto"/>
          <w:sz w:val="24"/>
          <w:highlight w:val="none"/>
          <w:u w:val="single"/>
        </w:rPr>
        <w:t xml:space="preserve">      </w:t>
      </w:r>
      <w:r>
        <w:rPr>
          <w:rFonts w:hint="eastAsia" w:ascii="宋体" w:hAnsi="宋体"/>
          <w:color w:val="auto"/>
          <w:sz w:val="24"/>
          <w:highlight w:val="none"/>
        </w:rPr>
        <w:t>日内发货，将产品送至甲方指定交货地点，运输费由乙方承担。</w:t>
      </w:r>
    </w:p>
    <w:p w14:paraId="6B6F5A6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6.2 交货地点：乙方应免费将产品发往采购人指定的交货地点__________________。产品到货后两周内到甲方处免费安装、调试、培训，直至验收合格且甲方的技术人员能独立工作。货物到达甲方指定的地点，乙方负责卸车。卸货时必须使用专用工具的，由乙方提供，因乙方提供专用工具本身的原因造成货物损坏及其他责任由乙方承担。危险化学品需专业人员操作的，由乙方组织人员操作，因乙方人员造成的货物损坏及其他责任由乙方承担。所有设备仪器安装完毕后要保持安装区域的干净整洁及校区原设施的完好，如若损害乙方负责恢复原状或按原价赔偿。</w:t>
      </w:r>
    </w:p>
    <w:p w14:paraId="2D5528C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6.3  乙方应在产品交付时一并向甲方指定的收货人交付相关资料及技术文档、图纸，包括但不限于产品使用说明书、质保单（质量保证书）、供货清单、合格证、出厂检验报告及技术协议中要求的其他资料；随机备件及工具由厂家免费提供，规格及数量详见双方约定或技术协议。危险化学品需提供安全技术说明书。若以上附件发生迟延交付，均视为产品延迟交付。</w:t>
      </w:r>
    </w:p>
    <w:p w14:paraId="1F5B1BE4">
      <w:pPr>
        <w:spacing w:line="620" w:lineRule="exact"/>
        <w:rPr>
          <w:rFonts w:ascii="宋体" w:hAnsi="宋体"/>
          <w:color w:val="auto"/>
          <w:sz w:val="24"/>
          <w:highlight w:val="none"/>
        </w:rPr>
      </w:pPr>
      <w:r>
        <w:rPr>
          <w:rFonts w:ascii="宋体" w:hAnsi="宋体"/>
          <w:b/>
          <w:color w:val="auto"/>
          <w:sz w:val="24"/>
          <w:highlight w:val="none"/>
        </w:rPr>
        <w:t>7.</w:t>
      </w:r>
      <w:r>
        <w:rPr>
          <w:rFonts w:hint="eastAsia" w:ascii="宋体" w:hAnsi="宋体"/>
          <w:b/>
          <w:color w:val="auto"/>
          <w:sz w:val="24"/>
          <w:highlight w:val="none"/>
        </w:rPr>
        <w:t>付款条件</w:t>
      </w:r>
    </w:p>
    <w:p w14:paraId="4A5F24EA">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7.1国外进口：</w:t>
      </w:r>
      <w:r>
        <w:rPr>
          <w:rFonts w:ascii="宋体" w:hAnsi="宋体"/>
          <w:color w:val="auto"/>
          <w:sz w:val="24"/>
          <w:highlight w:val="none"/>
        </w:rPr>
        <w:t>100％信用证付款，货到验收合格</w:t>
      </w:r>
      <w:r>
        <w:rPr>
          <w:rFonts w:hint="eastAsia" w:ascii="宋体" w:hAnsi="宋体"/>
          <w:color w:val="auto"/>
          <w:sz w:val="24"/>
          <w:highlight w:val="none"/>
        </w:rPr>
        <w:t>安装调试运转正常</w:t>
      </w:r>
      <w:r>
        <w:rPr>
          <w:rFonts w:ascii="宋体" w:hAnsi="宋体"/>
          <w:color w:val="auto"/>
          <w:sz w:val="24"/>
          <w:highlight w:val="none"/>
        </w:rPr>
        <w:t>后</w:t>
      </w:r>
      <w:r>
        <w:rPr>
          <w:rFonts w:hint="eastAsia" w:ascii="宋体" w:hAnsi="宋体"/>
          <w:color w:val="auto"/>
          <w:sz w:val="24"/>
          <w:highlight w:val="none"/>
        </w:rPr>
        <w:t>90</w:t>
      </w:r>
      <w:r>
        <w:rPr>
          <w:rFonts w:ascii="宋体" w:hAnsi="宋体"/>
          <w:color w:val="auto"/>
          <w:sz w:val="24"/>
          <w:highlight w:val="none"/>
        </w:rPr>
        <w:t>％解付，</w:t>
      </w:r>
      <w:r>
        <w:rPr>
          <w:rFonts w:hint="eastAsia" w:ascii="宋体" w:hAnsi="宋体"/>
          <w:color w:val="auto"/>
          <w:sz w:val="24"/>
          <w:highlight w:val="none"/>
        </w:rPr>
        <w:t>验收合格一年后，10</w:t>
      </w:r>
      <w:r>
        <w:rPr>
          <w:rFonts w:ascii="宋体" w:hAnsi="宋体"/>
          <w:color w:val="auto"/>
          <w:sz w:val="24"/>
          <w:highlight w:val="none"/>
        </w:rPr>
        <w:t>%解付</w:t>
      </w:r>
      <w:r>
        <w:rPr>
          <w:rFonts w:hint="eastAsia" w:ascii="宋体" w:hAnsi="宋体"/>
          <w:color w:val="auto"/>
          <w:sz w:val="24"/>
          <w:highlight w:val="none"/>
        </w:rPr>
        <w:t>。</w:t>
      </w:r>
    </w:p>
    <w:p w14:paraId="3F17F901">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7.2国内订货：</w:t>
      </w:r>
    </w:p>
    <w:p w14:paraId="3D448F12">
      <w:pPr>
        <w:spacing w:line="62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rPr>
        <w:t>签订合同后首付</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经校方测试运行验收合格后，付款</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w:t>
      </w:r>
    </w:p>
    <w:p w14:paraId="0631F71C">
      <w:pPr>
        <w:spacing w:line="620" w:lineRule="exact"/>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b/>
          <w:color w:val="auto"/>
          <w:sz w:val="24"/>
          <w:highlight w:val="none"/>
        </w:rPr>
        <w:t>8.验收</w:t>
      </w:r>
    </w:p>
    <w:p w14:paraId="6E11BC3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8.1甲乙双方共同对产品进行验收并对产品品质进行逐项检查，乙方向甲方移交产品合格证、购买发票等材料，并提供开箱清单、安装调试报告、培训记录、测试运行记录。验收合格后甲乙双方签署第一次（出厂）验收报告。如甲方发现所提供的产品品质和技术规范不符合合同要求时，或有明显损坏，乙方应承担相应责任并负责赔偿全部损失，并承担由此给甲方带来延期使用等方面造成的损失。</w:t>
      </w:r>
    </w:p>
    <w:p w14:paraId="1331751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8.2如因乙方原因使产品不能正常使用，乙方应承担全部责任。</w:t>
      </w:r>
    </w:p>
    <w:p w14:paraId="3E9DE3C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8.3乙方需要配合甲方完成学校组织技术专家在场的现场验收，并出具验收报告。最终验收以学校验收为准。</w:t>
      </w:r>
    </w:p>
    <w:p w14:paraId="0E3984A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8.4如双方对产品的质量有争议的，应立即封存产品或提取产品样品，由共同确认的检验机构对封存的样品进行检验，并以该检验机构的检验结果作为确认产品质量的依据。如检验结果不符合合同约定的质量标准，检验费由乙方承担；符合质量标准的，检验费由甲方承担。</w:t>
      </w:r>
    </w:p>
    <w:p w14:paraId="1D1D926C">
      <w:pPr>
        <w:spacing w:line="620" w:lineRule="exact"/>
        <w:rPr>
          <w:rFonts w:ascii="宋体" w:hAnsi="宋体"/>
          <w:b/>
          <w:color w:val="auto"/>
          <w:sz w:val="24"/>
          <w:highlight w:val="none"/>
        </w:rPr>
      </w:pPr>
      <w:r>
        <w:rPr>
          <w:rFonts w:hint="eastAsia" w:ascii="宋体" w:hAnsi="宋体"/>
          <w:b/>
          <w:color w:val="auto"/>
          <w:sz w:val="24"/>
          <w:highlight w:val="none"/>
        </w:rPr>
        <w:t>9.乙方售后服务承诺及质量标准</w:t>
      </w:r>
    </w:p>
    <w:p w14:paraId="60DDCCB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9.1所有产品整体质量保证期不少于</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rPr>
        <w:t>年，自双方交接验收合格签署验收报告之日起计算（售后服务承诺详见附件二）。</w:t>
      </w:r>
    </w:p>
    <w:p w14:paraId="0188BB6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9.2质量标准应包括国家标准、行业标准、企业标准、封存样品质量标准及其他标准等，注明标准代号、编号、标准名称。若采用乙方的企业标准，须将其标准作为（本）合同附件；采用双方技术协议的，技术协议作为本合同附件。</w:t>
      </w:r>
    </w:p>
    <w:p w14:paraId="4A471B46">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9.3乙方须确保在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0D5DD77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9.4乙方技术员在校服务期间要有安全防范意识，具备应对安全事件的技能，遵守国家法律法规，并对自身人身、财产安全负全部法律责任及经济责任。</w:t>
      </w:r>
    </w:p>
    <w:p w14:paraId="61D3AA26">
      <w:pPr>
        <w:spacing w:line="620" w:lineRule="exact"/>
        <w:rPr>
          <w:rFonts w:ascii="宋体" w:hAnsi="宋体"/>
          <w:b/>
          <w:color w:val="auto"/>
          <w:sz w:val="24"/>
          <w:highlight w:val="none"/>
        </w:rPr>
      </w:pPr>
      <w:r>
        <w:rPr>
          <w:rFonts w:hint="eastAsia" w:ascii="宋体" w:hAnsi="宋体"/>
          <w:b/>
          <w:color w:val="auto"/>
          <w:sz w:val="24"/>
          <w:highlight w:val="none"/>
        </w:rPr>
        <w:t>10.廉洁条款</w:t>
      </w:r>
    </w:p>
    <w:p w14:paraId="4BEE8CF6">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10.1 甲乙双方共同责任</w:t>
      </w:r>
    </w:p>
    <w:p w14:paraId="2DD5B61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10.1.1严格遵守国家有关法律法规以及廉洁从业的有关规定；严格遵守商业道德和市场规则，共同营造公平公正的交易环境。</w:t>
      </w:r>
    </w:p>
    <w:p w14:paraId="7D052F7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10.1.2加强相关人员的管理和廉洁从业教育，自觉抵制不廉洁行为；在交易过程中发现对方及其工作人员存在违规违纪违法问题，应及时向监察部门或司法机关举报。</w:t>
      </w:r>
    </w:p>
    <w:p w14:paraId="446E7363">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10.2 甲方及其人员的责任</w:t>
      </w:r>
    </w:p>
    <w:p w14:paraId="511BD9F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10.2.1不得索要或接受乙方及其相关单位、人员提供的折扣费、中介费、佣金、礼金、有价证券、支付凭证、贵重物品等。</w:t>
      </w:r>
    </w:p>
    <w:p w14:paraId="4416405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10.2.2不得在乙方及其相关单位报销任何应由甲方或个人支付的费用。</w:t>
      </w:r>
    </w:p>
    <w:p w14:paraId="4D3C84F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10.2.3不得违反规定在乙方及其相关单位投资入股、合伙经营，不得向乙方单位及人员借款或委托买卖股票、债券等。</w:t>
      </w:r>
    </w:p>
    <w:p w14:paraId="46D9A00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10.2.4不得要求、暗示和接受乙方及其相关单位和个人为其购买或装修住房、婚丧嫁娶、配偶和子女的工作安排或上学以及出国（境）、旅游等提供方便。</w:t>
      </w:r>
    </w:p>
    <w:p w14:paraId="5BF8859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10.2.5不得参加乙方及其相关单位、个人安排的可能影响公平交易的宴请、健身、娱乐等活动。</w:t>
      </w:r>
    </w:p>
    <w:p w14:paraId="25E9F23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10.2.6不得接受、占用或以明显低于市场价格购买、租用乙方及其相关单位和个人提供的通讯工具、交通工具和高档办公用品。</w:t>
      </w:r>
    </w:p>
    <w:p w14:paraId="1295CDD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10.2.7不得通过乙方及其相关单位为其配偶、子女及其他特定关系人谋取不正当利益。</w:t>
      </w:r>
    </w:p>
    <w:p w14:paraId="05A9008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10.2.8不得违反规定在乙方或乙方相关单位兼职和领取兼职工资及报酬；不得利用甲方的商业秘密谋取个人私利，或将其提供泄漏给乙方及其它企业和个人。</w:t>
      </w:r>
    </w:p>
    <w:p w14:paraId="1A73C25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10.2.9不得利用职权和工作之便向乙方提出与交易无关的事项或要求。</w:t>
      </w:r>
    </w:p>
    <w:p w14:paraId="43E3B8AA">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10.3乙方及其人员的责任</w:t>
      </w:r>
    </w:p>
    <w:p w14:paraId="43E82E2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10.3.1不得向甲方及其人员提供折扣费、中介费、佣金、礼金、有价证券、支付凭证、贵重物品等。</w:t>
      </w:r>
    </w:p>
    <w:p w14:paraId="611402B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10.3.2不得为甲方及其人员报销应由甲方或个人支付的费用。</w:t>
      </w:r>
    </w:p>
    <w:p w14:paraId="55B1A24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10.3.3不得为甲方人员投资入股、个人借款或买卖股票、债券等提供方便。</w:t>
      </w:r>
    </w:p>
    <w:p w14:paraId="0ECDA86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10.3.4不得为甲方人员购买或装修住房、婚丧嫁娶、配偶子女上学或工作安排以及出国（境）、旅游等提供方便。</w:t>
      </w:r>
    </w:p>
    <w:p w14:paraId="7642DA6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10.3.5不得为甲方人员安排有可能影响公平交易的宴请、健身、娱乐等活动。</w:t>
      </w:r>
    </w:p>
    <w:p w14:paraId="576D06C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10.3.6不得为甲方及其人员购置或以明显低于市场价值提供通讯工具、交通工具和高档办公用品。</w:t>
      </w:r>
    </w:p>
    <w:p w14:paraId="09CFA9C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10.3.7不得为甲方工作人员的配偶、子女及其他特定关系人谋取不正当利益提供方便。</w:t>
      </w:r>
    </w:p>
    <w:p w14:paraId="3FADA95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10.3.8不得违反规定安排甲方人员在乙方或乙方相关企业兼职和领取兼职工资及报酬；不得向甲方人员打探涉及甲方的商业秘密。</w:t>
      </w:r>
    </w:p>
    <w:p w14:paraId="61B7D8E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10.3.9甲方对涉嫌不廉洁的商业行为进行调查时，乙方有配合甲方提供证据、作证的义务。</w:t>
      </w:r>
    </w:p>
    <w:p w14:paraId="49FB558C">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10.3.10乙方须确保在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3493F6A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10.3.11乙方技术员在校服务期间要有安全防范意识，具备应对安全事件的技能，遵守国家法律法规，并对自身人身、财产安全负全部法律责任及经济责任。</w:t>
      </w:r>
    </w:p>
    <w:p w14:paraId="541A431F">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11.违约责任</w:t>
      </w:r>
    </w:p>
    <w:p w14:paraId="05914BC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11.1如果乙方所供的产品数量、质量或规格与合同规定不符，或不履行售后服务承诺的，或证实产品是有缺陷的，包括潜在的缺陷或使用不符合要求的材料、零部件等，甲方有权向乙方提出索赔，要求乙方无条件退货或修复，并负责赔偿甲方的一切损失。</w:t>
      </w:r>
    </w:p>
    <w:p w14:paraId="3DB23CB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11.2在合同第9条规定的质量保证期内，如果乙方对质量差异负有责任，乙方应按照甲方同意的下列一种或多种方式进行补救：</w:t>
      </w:r>
    </w:p>
    <w:p w14:paraId="4BAC7E6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1）乙方负责同意退货并用合同规定的货币将货款退还给甲方，并承担由此发生的一切损失和费用，包括利息、银行手续费、运费、保险费、检验费、仓储费、装卸费以及为保护退回产品所需的其他必要费用。</w:t>
      </w:r>
    </w:p>
    <w:p w14:paraId="3E9496E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2）在满足基本技术性能需求的前提上，根据产品的损坏程度以及甲方所遭受损失的金额，经甲乙双方商定降低产品的价格。</w:t>
      </w:r>
    </w:p>
    <w:p w14:paraId="09BCF89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用符合合同规定的规格、质量和性能要求的新零件、部件和/或设备来更换有缺陷的部分和/或修补缺陷部分，乙方应承担一切费用和风险并负担甲方蒙受的全部直接损失费用。同时，乙方应按合同规定，相应延长修补和/或更换件的质量保证期。</w:t>
      </w:r>
    </w:p>
    <w:p w14:paraId="3587755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11.3如果在甲方发出书面通知后（三十）天内，乙方未作书面答复，上述违约责任应视为已被乙方接受。如乙方未能在甲方发出通知后（三十）天内或甲方同意的延长期内，按照本条规定的任何一种方法解决质量差异并征得甲方同意，甲方将从已付货款中扣回索赔金额（索赔金额不高于合同价的5％）。</w:t>
      </w:r>
    </w:p>
    <w:p w14:paraId="5E09243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11.4按本条第二款处理质量差异后，甲方保留向乙方追索赔偿的权利（赔偿金额不高于合同价的5％）。</w:t>
      </w:r>
    </w:p>
    <w:p w14:paraId="07DCDE8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11.5甲方及其人员有违反10.1、10.2条规定的，按照管理权限，依据有关法律法规和规定给予有关人员纪律处分或组织处理；涉嫌犯罪的，移交司法机关追究其刑事责任。</w:t>
      </w:r>
    </w:p>
    <w:p w14:paraId="4FE87B7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11.6乙方及其人员有10.1、10.2规定的，根据情节和后果，甲方除有权要求乙方赔偿由此造成的甲方损失外，还将在中国石油大学（北京）分别给予通报、限制或禁止与其交易的处理；涉嫌犯罪的，报请司法机关追究其刑事责任。</w:t>
      </w:r>
    </w:p>
    <w:p w14:paraId="7C021EE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11.7乙方技术人员若违反11条规定，按照管理权限，涉嫌犯罪的，移交司法机关追究其刑事责任。</w:t>
      </w:r>
    </w:p>
    <w:p w14:paraId="64B7F0ED">
      <w:pPr>
        <w:spacing w:line="620" w:lineRule="exact"/>
        <w:rPr>
          <w:rFonts w:ascii="宋体" w:hAnsi="宋体"/>
          <w:b/>
          <w:color w:val="auto"/>
          <w:sz w:val="24"/>
          <w:highlight w:val="none"/>
        </w:rPr>
      </w:pPr>
      <w:r>
        <w:rPr>
          <w:rFonts w:hint="eastAsia" w:ascii="宋体" w:hAnsi="宋体"/>
          <w:b/>
          <w:color w:val="auto"/>
          <w:sz w:val="24"/>
          <w:highlight w:val="none"/>
        </w:rPr>
        <w:t>12.误期索赔</w:t>
      </w:r>
    </w:p>
    <w:p w14:paraId="47F3363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12.1如果乙方没有按照合同规定的时间交货，乙方应向甲方支付违约金，违约金按每周迟交货款的0.5％计收，直至交货为止，但违约金的最高限额不超过合同价的5％。一周按七天计算，不足七天按一周计算。一旦达到违约金的最高限额，甲方有权终止合同，因乙方原因造成本合同解除的，乙方除应退还已收的货款，赔偿甲方的全部损失外，还应当向甲方双倍返还首付款。</w:t>
      </w:r>
    </w:p>
    <w:p w14:paraId="2CEE89D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12.2如果甲方没有按照合同规定的时间付款（除政府集中支付环节造成时间延误外），甲方应向乙方支付违约金，违约金按每周迟交款的0.5％计收，但违约金的最高限额不超过合同价的5％。</w:t>
      </w:r>
    </w:p>
    <w:p w14:paraId="2401BDE6">
      <w:pPr>
        <w:spacing w:line="620" w:lineRule="exact"/>
        <w:rPr>
          <w:rFonts w:ascii="宋体" w:hAnsi="宋体"/>
          <w:b/>
          <w:color w:val="auto"/>
          <w:sz w:val="24"/>
          <w:highlight w:val="none"/>
        </w:rPr>
      </w:pPr>
      <w:r>
        <w:rPr>
          <w:rFonts w:hint="eastAsia" w:ascii="宋体" w:hAnsi="宋体"/>
          <w:b/>
          <w:color w:val="auto"/>
          <w:sz w:val="24"/>
          <w:highlight w:val="none"/>
        </w:rPr>
        <w:t>13.破产合同的终止</w:t>
      </w:r>
    </w:p>
    <w:p w14:paraId="754D1BC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如果乙方破产或无赔偿能力，甲方可在任何时候以书面形式通知乙方终止合同而不给乙方任何补偿。该终止合同将不损害或影响甲方已经采取或将要采取的任何形式或补救措施的权利。</w:t>
      </w:r>
    </w:p>
    <w:p w14:paraId="16BEA850">
      <w:pPr>
        <w:spacing w:line="620" w:lineRule="exact"/>
        <w:rPr>
          <w:rFonts w:ascii="宋体" w:hAnsi="宋体"/>
          <w:b/>
          <w:color w:val="auto"/>
          <w:sz w:val="24"/>
          <w:highlight w:val="none"/>
        </w:rPr>
      </w:pPr>
      <w:r>
        <w:rPr>
          <w:rFonts w:hint="eastAsia" w:ascii="宋体" w:hAnsi="宋体"/>
          <w:b/>
          <w:color w:val="auto"/>
          <w:sz w:val="24"/>
          <w:highlight w:val="none"/>
        </w:rPr>
        <w:t>14.不可抗力</w:t>
      </w:r>
    </w:p>
    <w:p w14:paraId="3A80B99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14.1本条所述的“不可抗力”系指那些不能预见，不能避免，并不能克服的客观情况。但不包括乙方的违约或疏忽。仅限于：战争、严重火灾、洪水、台风、地震以及其它双方商定的事件。</w:t>
      </w:r>
    </w:p>
    <w:p w14:paraId="75CB84A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14.2不可抗力事件影响持续超过30天，双方应通过协商解决进一步履行合同事宜。在不可抗力事件发生后，双方应尽快以书面形式将不可抗力的情况和原因通知对方,并在合理期限内提供证明。</w:t>
      </w:r>
    </w:p>
    <w:p w14:paraId="54BDDC14">
      <w:pPr>
        <w:spacing w:line="620" w:lineRule="exact"/>
        <w:rPr>
          <w:rFonts w:ascii="宋体" w:hAnsi="宋体"/>
          <w:b/>
          <w:color w:val="auto"/>
          <w:sz w:val="24"/>
          <w:highlight w:val="none"/>
        </w:rPr>
      </w:pPr>
      <w:r>
        <w:rPr>
          <w:rFonts w:hint="eastAsia" w:ascii="宋体" w:hAnsi="宋体"/>
          <w:b/>
          <w:color w:val="auto"/>
          <w:sz w:val="24"/>
          <w:highlight w:val="none"/>
        </w:rPr>
        <w:t>15.适用法律</w:t>
      </w:r>
    </w:p>
    <w:p w14:paraId="4904E30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本合同应按中华人民共和国现行法律进行解释。</w:t>
      </w:r>
    </w:p>
    <w:p w14:paraId="200444C2">
      <w:pPr>
        <w:spacing w:line="620" w:lineRule="exact"/>
        <w:rPr>
          <w:rFonts w:ascii="宋体" w:hAnsi="宋体"/>
          <w:b/>
          <w:color w:val="auto"/>
          <w:sz w:val="24"/>
          <w:highlight w:val="none"/>
        </w:rPr>
      </w:pPr>
      <w:r>
        <w:rPr>
          <w:rFonts w:hint="eastAsia" w:ascii="宋体" w:hAnsi="宋体"/>
          <w:b/>
          <w:color w:val="auto"/>
          <w:sz w:val="24"/>
          <w:highlight w:val="none"/>
        </w:rPr>
        <w:t>16.争端的解决</w:t>
      </w:r>
    </w:p>
    <w:p w14:paraId="5D284A9C">
      <w:pPr>
        <w:spacing w:line="620" w:lineRule="exact"/>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本合同履行过程中发生的或与本合同有关的一切争议，由双方友好协商解决，协商不成的，可依法通过以下第</w:t>
      </w:r>
      <w:r>
        <w:rPr>
          <w:rFonts w:ascii="宋体" w:hAnsi="宋体" w:cs="宋体"/>
          <w:color w:val="auto"/>
          <w:sz w:val="24"/>
          <w:highlight w:val="none"/>
        </w:rPr>
        <w:t xml:space="preserve">   </w:t>
      </w:r>
      <w:r>
        <w:rPr>
          <w:rFonts w:hint="eastAsia" w:ascii="宋体" w:hAnsi="宋体" w:cs="宋体"/>
          <w:color w:val="auto"/>
          <w:sz w:val="24"/>
          <w:highlight w:val="none"/>
        </w:rPr>
        <w:t>种方式解决：</w:t>
      </w:r>
    </w:p>
    <w:p w14:paraId="67C3668F">
      <w:pPr>
        <w:spacing w:line="620" w:lineRule="exact"/>
        <w:ind w:firstLine="480" w:firstLineChars="20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6</w:t>
      </w:r>
      <w:r>
        <w:rPr>
          <w:rFonts w:ascii="宋体" w:hAnsi="宋体" w:cs="宋体"/>
          <w:color w:val="auto"/>
          <w:sz w:val="24"/>
          <w:highlight w:val="none"/>
        </w:rPr>
        <w:t>.1</w:t>
      </w:r>
      <w:r>
        <w:rPr>
          <w:rFonts w:hint="eastAsia" w:ascii="宋体" w:hAnsi="宋体" w:cs="宋体"/>
          <w:color w:val="auto"/>
          <w:sz w:val="24"/>
          <w:highlight w:val="none"/>
        </w:rPr>
        <w:t>提交</w:t>
      </w:r>
      <w:r>
        <w:rPr>
          <w:rFonts w:ascii="宋体" w:hAnsi="宋体" w:cs="宋体"/>
          <w:color w:val="auto"/>
          <w:sz w:val="24"/>
          <w:highlight w:val="none"/>
          <w:u w:val="single"/>
        </w:rPr>
        <w:t xml:space="preserve">   </w:t>
      </w:r>
      <w:r>
        <w:rPr>
          <w:rFonts w:hint="eastAsia" w:ascii="宋体" w:hAnsi="宋体" w:cs="宋体"/>
          <w:color w:val="auto"/>
          <w:sz w:val="24"/>
          <w:highlight w:val="none"/>
        </w:rPr>
        <w:t>仲裁委员会进行仲裁。仲裁地点在</w:t>
      </w:r>
      <w:r>
        <w:rPr>
          <w:rFonts w:ascii="宋体" w:hAnsi="宋体" w:cs="宋体"/>
          <w:color w:val="auto"/>
          <w:sz w:val="24"/>
          <w:highlight w:val="none"/>
          <w:u w:val="single"/>
        </w:rPr>
        <w:t xml:space="preserve">   </w:t>
      </w:r>
      <w:r>
        <w:rPr>
          <w:rFonts w:hint="eastAsia" w:ascii="宋体" w:hAnsi="宋体" w:cs="宋体"/>
          <w:color w:val="auto"/>
          <w:sz w:val="24"/>
          <w:highlight w:val="none"/>
        </w:rPr>
        <w:t>。仲裁裁决是终局的，对双方均有约束力。（可根据实际情况选择仲裁机构）</w:t>
      </w:r>
    </w:p>
    <w:p w14:paraId="6F877E6C">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.2.</w:t>
      </w:r>
      <w:r>
        <w:rPr>
          <w:rFonts w:hint="eastAsia" w:ascii="宋体" w:hAnsi="宋体" w:cs="宋体"/>
          <w:color w:val="auto"/>
          <w:sz w:val="24"/>
          <w:highlight w:val="none"/>
        </w:rPr>
        <w:t>向甲方所在地法院提起诉讼。</w:t>
      </w:r>
    </w:p>
    <w:p w14:paraId="69A43C00">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.3</w:t>
      </w:r>
      <w:r>
        <w:rPr>
          <w:rFonts w:hint="eastAsia" w:ascii="宋体" w:hAnsi="宋体" w:cs="宋体"/>
          <w:color w:val="auto"/>
          <w:sz w:val="24"/>
          <w:highlight w:val="none"/>
        </w:rPr>
        <w:t>争议解决期间，除争议事项外，双方应继续履行本合同。</w:t>
      </w:r>
    </w:p>
    <w:p w14:paraId="6E96572F">
      <w:pPr>
        <w:spacing w:line="620" w:lineRule="exact"/>
        <w:rPr>
          <w:rFonts w:ascii="宋体" w:hAnsi="宋体"/>
          <w:b/>
          <w:color w:val="auto"/>
          <w:sz w:val="24"/>
          <w:highlight w:val="none"/>
        </w:rPr>
      </w:pPr>
      <w:r>
        <w:rPr>
          <w:rFonts w:hint="eastAsia" w:ascii="宋体" w:hAnsi="宋体"/>
          <w:b/>
          <w:color w:val="auto"/>
          <w:sz w:val="24"/>
          <w:highlight w:val="none"/>
        </w:rPr>
        <w:t>17.其他</w:t>
      </w:r>
    </w:p>
    <w:p w14:paraId="760BADC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本合同一式</w:t>
      </w:r>
      <w:r>
        <w:rPr>
          <w:rFonts w:hint="eastAsia" w:ascii="宋体" w:hAnsi="宋体"/>
          <w:color w:val="auto"/>
          <w:sz w:val="24"/>
          <w:highlight w:val="none"/>
        </w:rPr>
        <w:t>__</w:t>
      </w:r>
      <w:r>
        <w:rPr>
          <w:rFonts w:ascii="宋体" w:hAnsi="宋体"/>
          <w:color w:val="auto"/>
          <w:sz w:val="24"/>
          <w:highlight w:val="none"/>
        </w:rPr>
        <w:t>份，甲</w:t>
      </w:r>
      <w:r>
        <w:rPr>
          <w:rFonts w:hint="eastAsia" w:ascii="宋体" w:hAnsi="宋体"/>
          <w:color w:val="auto"/>
          <w:sz w:val="24"/>
          <w:highlight w:val="none"/>
        </w:rPr>
        <w:t>方执__份，乙方执__</w:t>
      </w:r>
      <w:r>
        <w:rPr>
          <w:rFonts w:ascii="宋体" w:hAnsi="宋体"/>
          <w:color w:val="auto"/>
          <w:sz w:val="24"/>
          <w:highlight w:val="none"/>
        </w:rPr>
        <w:t>份，具有同等法律效力</w:t>
      </w:r>
      <w:r>
        <w:rPr>
          <w:rFonts w:hint="eastAsia" w:ascii="宋体" w:hAnsi="宋体"/>
          <w:color w:val="auto"/>
          <w:sz w:val="24"/>
          <w:highlight w:val="none"/>
        </w:rPr>
        <w:t>。</w:t>
      </w:r>
    </w:p>
    <w:p w14:paraId="0D7DE55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17.2本合同</w:t>
      </w:r>
      <w:r>
        <w:rPr>
          <w:rFonts w:ascii="宋体" w:hAnsi="宋体"/>
          <w:color w:val="auto"/>
          <w:sz w:val="24"/>
          <w:highlight w:val="none"/>
        </w:rPr>
        <w:t>自双方签字盖章</w:t>
      </w:r>
      <w:r>
        <w:rPr>
          <w:rFonts w:hint="eastAsia" w:ascii="宋体" w:hAnsi="宋体"/>
          <w:color w:val="auto"/>
          <w:sz w:val="24"/>
          <w:highlight w:val="none"/>
        </w:rPr>
        <w:t>（合同专用章）</w:t>
      </w:r>
      <w:r>
        <w:rPr>
          <w:rFonts w:ascii="宋体" w:hAnsi="宋体"/>
          <w:color w:val="auto"/>
          <w:sz w:val="24"/>
          <w:highlight w:val="none"/>
        </w:rPr>
        <w:t>之日起生效。</w:t>
      </w:r>
    </w:p>
    <w:p w14:paraId="40C4E76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17.3 本合同未尽事宜，由双方协商并签订补充合同。补充合同（协议）与主合同具有同等法律效力。</w:t>
      </w:r>
    </w:p>
    <w:p w14:paraId="1F7222C6">
      <w:pPr>
        <w:spacing w:line="620" w:lineRule="exact"/>
        <w:ind w:firstLine="480" w:firstLineChars="200"/>
        <w:rPr>
          <w:rFonts w:ascii="宋体" w:hAnsi="宋体"/>
          <w:color w:val="auto"/>
          <w:sz w:val="24"/>
          <w:highlight w:val="none"/>
        </w:rPr>
      </w:pPr>
    </w:p>
    <w:p w14:paraId="13B30E5A">
      <w:pPr>
        <w:spacing w:line="620" w:lineRule="exact"/>
        <w:ind w:firstLine="480" w:firstLineChars="200"/>
        <w:rPr>
          <w:rFonts w:hint="eastAsia" w:ascii="宋体" w:hAnsi="宋体"/>
          <w:color w:val="auto"/>
          <w:sz w:val="24"/>
          <w:highlight w:val="none"/>
        </w:rPr>
      </w:pPr>
    </w:p>
    <w:p w14:paraId="22539AAA">
      <w:pPr>
        <w:spacing w:line="620" w:lineRule="exact"/>
        <w:rPr>
          <w:rFonts w:ascii="宋体" w:hAnsi="宋体"/>
          <w:b/>
          <w:color w:val="auto"/>
          <w:sz w:val="24"/>
          <w:highlight w:val="none"/>
        </w:rPr>
      </w:pPr>
      <w:r>
        <w:rPr>
          <w:rFonts w:hint="eastAsia" w:ascii="宋体" w:hAnsi="宋体"/>
          <w:b/>
          <w:color w:val="auto"/>
          <w:sz w:val="24"/>
          <w:highlight w:val="none"/>
        </w:rPr>
        <w:t>18.本合同附件包括：</w:t>
      </w:r>
    </w:p>
    <w:p w14:paraId="6BC3AF6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附件一：产品主要技术配置</w:t>
      </w:r>
    </w:p>
    <w:p w14:paraId="70B2A9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附件二：售后服务承诺</w:t>
      </w:r>
    </w:p>
    <w:p w14:paraId="0EDF991F">
      <w:pPr>
        <w:spacing w:line="620" w:lineRule="exact"/>
        <w:ind w:firstLine="480" w:firstLineChars="200"/>
        <w:rPr>
          <w:rFonts w:ascii="宋体" w:hAnsi="宋体"/>
          <w:color w:val="auto"/>
          <w:sz w:val="24"/>
          <w:highlight w:val="none"/>
        </w:rPr>
      </w:pPr>
    </w:p>
    <w:p w14:paraId="08F5C448">
      <w:pPr>
        <w:spacing w:line="620" w:lineRule="exact"/>
        <w:ind w:firstLine="480" w:firstLineChars="200"/>
        <w:rPr>
          <w:rFonts w:ascii="宋体" w:hAnsi="宋体"/>
          <w:color w:val="auto"/>
          <w:sz w:val="24"/>
          <w:highlight w:val="none"/>
        </w:rPr>
      </w:pPr>
    </w:p>
    <w:p w14:paraId="343F387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（以下无正文）</w:t>
      </w:r>
    </w:p>
    <w:p w14:paraId="3ACF1A95">
      <w:pPr>
        <w:spacing w:line="620" w:lineRule="exact"/>
        <w:ind w:firstLine="480" w:firstLineChars="200"/>
        <w:rPr>
          <w:rFonts w:ascii="宋体" w:hAnsi="宋体"/>
          <w:color w:val="auto"/>
          <w:sz w:val="24"/>
          <w:highlight w:val="none"/>
        </w:rPr>
      </w:pPr>
    </w:p>
    <w:p w14:paraId="4FD5C3F8">
      <w:pPr>
        <w:spacing w:line="620" w:lineRule="exact"/>
        <w:ind w:firstLine="480" w:firstLineChars="200"/>
        <w:rPr>
          <w:rFonts w:ascii="宋体" w:hAnsi="宋体"/>
          <w:color w:val="auto"/>
          <w:sz w:val="24"/>
          <w:highlight w:val="none"/>
        </w:rPr>
      </w:pPr>
    </w:p>
    <w:p w14:paraId="3FCD48C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甲    方：中国石油大学（北京）            </w:t>
      </w:r>
    </w:p>
    <w:p w14:paraId="4EC6989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 新疆克拉玛依市安定路355号</w:t>
      </w:r>
    </w:p>
    <w:p w14:paraId="4E150D24">
      <w:pPr>
        <w:spacing w:line="62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rPr>
        <w:t>法定代表人：</w:t>
      </w:r>
      <w:r>
        <w:rPr>
          <w:rFonts w:hint="eastAsia" w:ascii="宋体" w:hAnsi="宋体"/>
          <w:color w:val="auto"/>
          <w:sz w:val="24"/>
          <w:highlight w:val="none"/>
          <w:lang w:val="en-US" w:eastAsia="zh-CN"/>
        </w:rPr>
        <w:t xml:space="preserve"> </w:t>
      </w:r>
    </w:p>
    <w:p w14:paraId="05AF65A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委托代理人：                                    </w:t>
      </w:r>
    </w:p>
    <w:p w14:paraId="7D0777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电    话：                  </w:t>
      </w:r>
    </w:p>
    <w:p w14:paraId="304D316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电子邮箱： </w:t>
      </w:r>
    </w:p>
    <w:p w14:paraId="771A21D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开 户 行：                 </w:t>
      </w:r>
    </w:p>
    <w:p w14:paraId="1196B0D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开户名称：      </w:t>
      </w:r>
    </w:p>
    <w:p w14:paraId="0BFEC1F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银行帐号：                </w:t>
      </w:r>
    </w:p>
    <w:p w14:paraId="17F9A757">
      <w:pPr>
        <w:spacing w:line="620" w:lineRule="exact"/>
        <w:ind w:firstLine="480" w:firstLineChars="20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年   月　 日      </w:t>
      </w:r>
      <w:r>
        <w:rPr>
          <w:rFonts w:ascii="宋体" w:hAnsi="宋体"/>
          <w:color w:val="auto"/>
          <w:sz w:val="24"/>
          <w:highlight w:val="none"/>
        </w:rPr>
        <w:t xml:space="preserve">                        </w:t>
      </w:r>
    </w:p>
    <w:p w14:paraId="4544D209">
      <w:pPr>
        <w:spacing w:line="620" w:lineRule="exact"/>
        <w:ind w:firstLine="480" w:firstLineChars="200"/>
        <w:rPr>
          <w:rFonts w:ascii="宋体" w:hAnsi="宋体"/>
          <w:color w:val="auto"/>
          <w:sz w:val="24"/>
          <w:highlight w:val="none"/>
        </w:rPr>
      </w:pPr>
    </w:p>
    <w:p w14:paraId="7E89C9D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    方：</w:t>
      </w:r>
    </w:p>
    <w:p w14:paraId="0FAF638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w:t>
      </w:r>
    </w:p>
    <w:p w14:paraId="659D7E7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法定代表人：</w:t>
      </w:r>
    </w:p>
    <w:p w14:paraId="1696743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委托代理人：</w:t>
      </w:r>
    </w:p>
    <w:p w14:paraId="1C5D9EE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    话：</w:t>
      </w:r>
    </w:p>
    <w:p w14:paraId="4EDE537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电子邮箱：</w:t>
      </w:r>
    </w:p>
    <w:p w14:paraId="1E0DC4C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 户 行：</w:t>
      </w:r>
    </w:p>
    <w:p w14:paraId="66C1F8D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开户名称：</w:t>
      </w:r>
    </w:p>
    <w:p w14:paraId="0D3F7B5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银行帐号：</w:t>
      </w:r>
    </w:p>
    <w:p w14:paraId="2FD49F0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年　 月　 日</w:t>
      </w:r>
    </w:p>
    <w:p w14:paraId="357820BE">
      <w:pPr>
        <w:spacing w:line="620" w:lineRule="exact"/>
        <w:ind w:firstLine="480" w:firstLineChars="200"/>
        <w:rPr>
          <w:rFonts w:hint="eastAsia" w:ascii="宋体" w:hAnsi="宋体"/>
          <w:color w:val="auto"/>
          <w:sz w:val="24"/>
          <w:highlight w:val="none"/>
        </w:rPr>
      </w:pPr>
    </w:p>
    <w:bookmarkEnd w:id="142"/>
    <w:p w14:paraId="2DAD7617">
      <w:pPr>
        <w:adjustRightInd w:val="0"/>
        <w:snapToGrid w:val="0"/>
        <w:jc w:val="both"/>
        <w:rPr>
          <w:color w:val="auto"/>
          <w:highlight w:val="none"/>
        </w:rPr>
      </w:pPr>
    </w:p>
    <w:p w14:paraId="4B3CED53">
      <w:pPr>
        <w:rPr>
          <w:rFonts w:hint="eastAsia" w:ascii="楷体_GB2312" w:hAnsi="楷体_GB2312" w:eastAsia="宋体" w:cs="Times New Roman"/>
          <w:b/>
          <w:color w:val="auto"/>
          <w:kern w:val="2"/>
          <w:sz w:val="32"/>
          <w:szCs w:val="32"/>
          <w:highlight w:val="none"/>
          <w:lang w:val="en-US" w:eastAsia="zh-CN" w:bidi="ar-SA"/>
        </w:rPr>
      </w:pPr>
      <w:r>
        <w:rPr>
          <w:rFonts w:hint="eastAsia"/>
          <w:color w:val="auto"/>
          <w:highlight w:val="none"/>
        </w:rPr>
        <w:br w:type="page"/>
      </w:r>
      <w:r>
        <w:rPr>
          <w:rFonts w:hint="eastAsia" w:ascii="楷体_GB2312" w:hAnsi="楷体_GB2312" w:eastAsia="宋体" w:cs="Times New Roman"/>
          <w:b/>
          <w:color w:val="auto"/>
          <w:kern w:val="2"/>
          <w:sz w:val="32"/>
          <w:szCs w:val="32"/>
          <w:highlight w:val="none"/>
          <w:lang w:val="en-US" w:eastAsia="zh-CN" w:bidi="ar-SA"/>
        </w:rPr>
        <w:t>第</w:t>
      </w:r>
      <w:bookmarkStart w:id="143" w:name="_Toc9510643"/>
      <w:r>
        <w:rPr>
          <w:rFonts w:hint="eastAsia" w:ascii="楷体_GB2312" w:hAnsi="楷体_GB2312" w:eastAsia="宋体" w:cs="Times New Roman"/>
          <w:b/>
          <w:color w:val="auto"/>
          <w:kern w:val="2"/>
          <w:sz w:val="32"/>
          <w:szCs w:val="32"/>
          <w:highlight w:val="none"/>
          <w:lang w:val="en-US" w:eastAsia="zh-CN" w:bidi="ar-SA"/>
        </w:rPr>
        <w:t>五章 投标文件格式</w:t>
      </w:r>
      <w:bookmarkEnd w:id="139"/>
      <w:bookmarkEnd w:id="140"/>
      <w:bookmarkEnd w:id="141"/>
    </w:p>
    <w:p w14:paraId="76590EBA">
      <w:pPr>
        <w:adjustRightInd w:val="0"/>
        <w:snapToGrid w:val="0"/>
        <w:spacing w:line="360" w:lineRule="auto"/>
        <w:rPr>
          <w:rFonts w:ascii="宋体" w:hAnsi="宋体" w:cs="宋体"/>
          <w:color w:val="auto"/>
          <w:szCs w:val="24"/>
          <w:highlight w:val="none"/>
        </w:rPr>
      </w:pPr>
    </w:p>
    <w:p w14:paraId="49E4A675">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43"/>
      <w:r>
        <w:rPr>
          <w:rFonts w:hint="eastAsia" w:ascii="宋体" w:hAnsi="宋体" w:cs="宋体"/>
          <w:color w:val="auto"/>
          <w:sz w:val="24"/>
          <w:szCs w:val="24"/>
          <w:highlight w:val="none"/>
        </w:rPr>
        <w:t>标人提交投标文件须知：</w:t>
      </w:r>
    </w:p>
    <w:p w14:paraId="206E2C89">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14:paraId="1E8174F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14:paraId="4FB48C3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14:paraId="6EEB276A">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14:paraId="3C17F0B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14:paraId="25FCB2F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14:paraId="1304727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14:paraId="0265FA85">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14:paraId="1317041C">
      <w:pPr>
        <w:adjustRightInd w:val="0"/>
        <w:snapToGrid w:val="0"/>
        <w:spacing w:before="50" w:after="50" w:line="360" w:lineRule="auto"/>
        <w:rPr>
          <w:rFonts w:ascii="宋体" w:hAnsi="宋体" w:cs="宋体"/>
          <w:color w:val="auto"/>
          <w:sz w:val="32"/>
          <w:highlight w:val="none"/>
        </w:rPr>
      </w:pPr>
    </w:p>
    <w:p w14:paraId="2559EF09">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14:paraId="7139560D">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14DB5288">
      <w:pPr>
        <w:snapToGrid w:val="0"/>
        <w:spacing w:line="360" w:lineRule="auto"/>
        <w:jc w:val="center"/>
        <w:rPr>
          <w:rFonts w:ascii="宋体" w:hAnsi="宋体" w:cs="宋体"/>
          <w:color w:val="auto"/>
          <w:sz w:val="56"/>
          <w:szCs w:val="20"/>
          <w:highlight w:val="none"/>
        </w:rPr>
      </w:pPr>
    </w:p>
    <w:p w14:paraId="27F449A0">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14:paraId="2718D720">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lang w:val="en-US" w:eastAsia="zh-CN"/>
        </w:rPr>
        <w:t>项目</w:t>
      </w:r>
      <w:r>
        <w:rPr>
          <w:rFonts w:hint="eastAsia" w:ascii="宋体" w:hAnsi="宋体" w:cs="宋体"/>
          <w:color w:val="auto"/>
          <w:sz w:val="28"/>
          <w:szCs w:val="20"/>
          <w:highlight w:val="none"/>
        </w:rPr>
        <w:t>编号：</w:t>
      </w:r>
    </w:p>
    <w:p w14:paraId="3A0E2953">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14:paraId="7F8168B2">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14:paraId="150C7A44">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14:paraId="7B68FA12">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14:paraId="36B93B64">
      <w:pPr>
        <w:snapToGrid w:val="0"/>
        <w:spacing w:line="360" w:lineRule="auto"/>
        <w:rPr>
          <w:rFonts w:ascii="宋体" w:hAnsi="宋体" w:cs="宋体"/>
          <w:color w:val="auto"/>
          <w:sz w:val="28"/>
          <w:szCs w:val="20"/>
          <w:highlight w:val="none"/>
        </w:rPr>
      </w:pPr>
    </w:p>
    <w:p w14:paraId="6F58DD16">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7171EE48">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4690F053">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14:paraId="64B7FCD3">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14:paraId="083CFB7B">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28CED8B9">
      <w:pPr>
        <w:snapToGrid w:val="0"/>
        <w:spacing w:line="360" w:lineRule="auto"/>
        <w:rPr>
          <w:rFonts w:ascii="宋体" w:hAnsi="宋体" w:cs="宋体"/>
          <w:color w:val="auto"/>
          <w:sz w:val="20"/>
          <w:szCs w:val="20"/>
          <w:highlight w:val="none"/>
        </w:rPr>
      </w:pPr>
    </w:p>
    <w:p w14:paraId="40B7C33E">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711FBA6E">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08561AFD">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19CB2D61">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14:paraId="19EA9439">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2、开标一览表…………………</w:t>
      </w:r>
      <w:r>
        <w:rPr>
          <w:rFonts w:hint="eastAsia" w:ascii="宋体" w:hAnsi="宋体" w:eastAsia="宋体" w:cs="宋体"/>
          <w:color w:val="auto"/>
          <w:sz w:val="24"/>
          <w:szCs w:val="24"/>
          <w:highlight w:val="none"/>
        </w:rPr>
        <w:t>…………………………………………（页码）</w:t>
      </w:r>
    </w:p>
    <w:p w14:paraId="387FBC2C">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3、投标报价明细表</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…………………………………………（页码）</w:t>
      </w:r>
    </w:p>
    <w:p w14:paraId="38BA5B65">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备件</w:t>
      </w:r>
      <w:r>
        <w:rPr>
          <w:rFonts w:hint="eastAsia" w:ascii="宋体" w:hAnsi="宋体" w:cs="宋体"/>
          <w:color w:val="auto"/>
          <w:sz w:val="24"/>
          <w:szCs w:val="24"/>
          <w:highlight w:val="none"/>
          <w:lang w:val="en-US" w:eastAsia="zh-CN"/>
        </w:rPr>
        <w:t>（及易耗品）</w:t>
      </w:r>
      <w:r>
        <w:rPr>
          <w:rFonts w:hint="eastAsia" w:ascii="宋体" w:hAnsi="宋体" w:eastAsia="宋体" w:cs="宋体"/>
          <w:color w:val="auto"/>
          <w:sz w:val="24"/>
          <w:szCs w:val="24"/>
          <w:highlight w:val="none"/>
          <w:lang w:val="en-US" w:eastAsia="zh-CN"/>
        </w:rPr>
        <w:t>清单</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…………………………………………（页码）</w:t>
      </w:r>
    </w:p>
    <w:p w14:paraId="562F8ADC">
      <w:pPr>
        <w:adjustRightInd w:val="0"/>
        <w:snapToGrid w:val="0"/>
        <w:spacing w:line="40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rPr>
        <w:t>投标保证金缴纳凭证复印件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………………………………（页码）</w:t>
      </w:r>
    </w:p>
    <w:p w14:paraId="3EAE2B88">
      <w:pPr>
        <w:adjustRightInd w:val="0"/>
        <w:snapToGrid w:val="0"/>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投标人针对报价需要说明</w:t>
      </w:r>
      <w:r>
        <w:rPr>
          <w:rFonts w:hint="eastAsia" w:ascii="宋体" w:hAnsi="宋体" w:cs="宋体"/>
          <w:color w:val="auto"/>
          <w:sz w:val="24"/>
          <w:szCs w:val="24"/>
          <w:highlight w:val="none"/>
        </w:rPr>
        <w:t>的其他文件和资料………………………（页码）</w:t>
      </w:r>
    </w:p>
    <w:p w14:paraId="2CE06F70">
      <w:pPr>
        <w:adjustRightInd w:val="0"/>
        <w:snapToGrid w:val="0"/>
        <w:spacing w:line="400" w:lineRule="exact"/>
        <w:rPr>
          <w:rFonts w:ascii="宋体" w:hAnsi="宋体" w:cs="宋体"/>
          <w:color w:val="auto"/>
          <w:sz w:val="24"/>
          <w:szCs w:val="24"/>
          <w:highlight w:val="none"/>
        </w:rPr>
      </w:pPr>
    </w:p>
    <w:p w14:paraId="1AA97401">
      <w:pPr>
        <w:widowControl/>
        <w:jc w:val="left"/>
        <w:rPr>
          <w:rFonts w:ascii="宋体" w:hAnsi="宋体"/>
          <w:b/>
          <w:bCs/>
          <w:color w:val="auto"/>
          <w:sz w:val="32"/>
          <w:szCs w:val="32"/>
          <w:highlight w:val="none"/>
        </w:rPr>
      </w:pPr>
      <w:r>
        <w:rPr>
          <w:color w:val="auto"/>
          <w:highlight w:val="none"/>
        </w:rPr>
        <w:br w:type="page"/>
      </w:r>
    </w:p>
    <w:p w14:paraId="5B9AE96F">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14:paraId="246111BA">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14:paraId="0600475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5C1DD5C5">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lang w:val="en-US" w:eastAsia="zh-CN"/>
        </w:rPr>
        <w:t>项目</w:t>
      </w:r>
      <w:r>
        <w:rPr>
          <w:rFonts w:hint="eastAsia" w:ascii="宋体" w:hAnsi="宋体" w:cs="宋体"/>
          <w:color w:val="auto"/>
          <w:sz w:val="24"/>
          <w:szCs w:val="24"/>
          <w:highlight w:val="none"/>
          <w:u w:val="single"/>
        </w:rPr>
        <w:t>编号及内容</w:t>
      </w:r>
      <w:r>
        <w:rPr>
          <w:rFonts w:hint="eastAsia" w:ascii="宋体" w:hAnsi="宋体" w:cs="宋体"/>
          <w:color w:val="auto"/>
          <w:sz w:val="24"/>
          <w:szCs w:val="24"/>
          <w:highlight w:val="none"/>
        </w:rPr>
        <w:t>投标文件电子文件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一</w:t>
      </w:r>
      <w:r>
        <w:rPr>
          <w:rFonts w:hint="eastAsia" w:ascii="宋体" w:hAnsi="宋体" w:cs="宋体"/>
          <w:color w:val="auto"/>
          <w:sz w:val="24"/>
          <w:szCs w:val="24"/>
          <w:highlight w:val="none"/>
        </w:rPr>
        <w:t>份。</w:t>
      </w:r>
    </w:p>
    <w:p w14:paraId="0C4E7B5B">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14:paraId="7AD0B648">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14:paraId="42A91A31">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14:paraId="57B1A3D2">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14:paraId="3985E1E6">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14:paraId="34501FE8">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14:paraId="179BCC36">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14:paraId="562F41F9">
      <w:pPr>
        <w:adjustRightInd w:val="0"/>
        <w:snapToGrid w:val="0"/>
        <w:spacing w:line="400" w:lineRule="exact"/>
        <w:ind w:firstLine="480" w:firstLineChars="200"/>
        <w:rPr>
          <w:rFonts w:ascii="宋体" w:hAnsi="宋体" w:cs="宋体"/>
          <w:color w:val="auto"/>
          <w:sz w:val="24"/>
          <w:szCs w:val="24"/>
          <w:highlight w:val="none"/>
        </w:rPr>
      </w:pPr>
    </w:p>
    <w:p w14:paraId="0BBA5EC9">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14:paraId="3FE9035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14:paraId="1BB2C9E2">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2E4C4795">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14:paraId="61C31BB2">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14:paraId="420BBC8F">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14:paraId="57709629">
      <w:pPr>
        <w:adjustRightInd w:val="0"/>
        <w:snapToGrid w:val="0"/>
        <w:spacing w:line="400" w:lineRule="exact"/>
        <w:rPr>
          <w:rFonts w:ascii="宋体" w:hAnsi="宋体" w:cs="宋体"/>
          <w:color w:val="auto"/>
          <w:sz w:val="24"/>
          <w:szCs w:val="24"/>
          <w:highlight w:val="none"/>
        </w:rPr>
      </w:pPr>
    </w:p>
    <w:p w14:paraId="2C5ABAD9">
      <w:pPr>
        <w:adjustRightInd w:val="0"/>
        <w:snapToGrid w:val="0"/>
        <w:spacing w:line="400" w:lineRule="exact"/>
        <w:rPr>
          <w:color w:val="auto"/>
          <w:highlight w:val="none"/>
        </w:rPr>
      </w:pPr>
    </w:p>
    <w:p w14:paraId="6FD035CA">
      <w:pPr>
        <w:adjustRightInd w:val="0"/>
        <w:snapToGrid w:val="0"/>
        <w:spacing w:line="400" w:lineRule="exact"/>
        <w:rPr>
          <w:color w:val="auto"/>
          <w:highlight w:val="none"/>
        </w:rPr>
      </w:pPr>
    </w:p>
    <w:p w14:paraId="734E7824">
      <w:pPr>
        <w:adjustRightInd w:val="0"/>
        <w:snapToGrid w:val="0"/>
        <w:spacing w:line="400" w:lineRule="exact"/>
        <w:rPr>
          <w:color w:val="auto"/>
          <w:highlight w:val="none"/>
        </w:rPr>
      </w:pPr>
    </w:p>
    <w:p w14:paraId="21DE2614">
      <w:pPr>
        <w:adjustRightInd w:val="0"/>
        <w:snapToGrid w:val="0"/>
        <w:spacing w:line="400" w:lineRule="exact"/>
        <w:rPr>
          <w:color w:val="auto"/>
          <w:highlight w:val="none"/>
        </w:rPr>
      </w:pPr>
    </w:p>
    <w:p w14:paraId="7BAD6D3A">
      <w:pPr>
        <w:adjustRightInd w:val="0"/>
        <w:snapToGrid w:val="0"/>
        <w:spacing w:line="400" w:lineRule="exact"/>
        <w:rPr>
          <w:color w:val="auto"/>
          <w:highlight w:val="none"/>
        </w:rPr>
      </w:pPr>
    </w:p>
    <w:p w14:paraId="12FB34BC">
      <w:pPr>
        <w:adjustRightInd w:val="0"/>
        <w:snapToGrid w:val="0"/>
        <w:spacing w:line="400" w:lineRule="exact"/>
        <w:rPr>
          <w:color w:val="auto"/>
          <w:highlight w:val="none"/>
        </w:rPr>
      </w:pPr>
    </w:p>
    <w:p w14:paraId="3D7FECD0">
      <w:pPr>
        <w:adjustRightInd w:val="0"/>
        <w:snapToGrid w:val="0"/>
        <w:spacing w:line="400" w:lineRule="exact"/>
        <w:rPr>
          <w:color w:val="auto"/>
          <w:highlight w:val="none"/>
        </w:rPr>
      </w:pPr>
    </w:p>
    <w:p w14:paraId="54722677">
      <w:pPr>
        <w:adjustRightInd w:val="0"/>
        <w:snapToGrid w:val="0"/>
        <w:spacing w:line="400" w:lineRule="exact"/>
        <w:rPr>
          <w:color w:val="auto"/>
          <w:highlight w:val="none"/>
        </w:rPr>
      </w:pPr>
    </w:p>
    <w:p w14:paraId="56BF02F1">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14:paraId="6CC7CA17">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14:paraId="6E64813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14:paraId="516DDD0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 xml:space="preserve">编号及内容：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p>
    <w:tbl>
      <w:tblPr>
        <w:tblStyle w:val="4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886"/>
        <w:gridCol w:w="820"/>
        <w:gridCol w:w="1282"/>
        <w:gridCol w:w="898"/>
        <w:gridCol w:w="1153"/>
        <w:gridCol w:w="860"/>
        <w:gridCol w:w="1191"/>
      </w:tblGrid>
      <w:tr w14:paraId="3301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14:paraId="12AE3537">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14:paraId="16D8BDBF">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标的</w:t>
            </w:r>
            <w:r>
              <w:rPr>
                <w:rFonts w:hint="eastAsia" w:ascii="宋体" w:hAnsi="宋体" w:cs="宋体"/>
                <w:color w:val="auto"/>
                <w:sz w:val="24"/>
                <w:szCs w:val="24"/>
                <w:highlight w:val="none"/>
              </w:rPr>
              <w:t>名称</w:t>
            </w:r>
          </w:p>
        </w:tc>
        <w:tc>
          <w:tcPr>
            <w:tcW w:w="886" w:type="dxa"/>
            <w:vAlign w:val="center"/>
          </w:tcPr>
          <w:p w14:paraId="2FCAC547">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820" w:type="dxa"/>
            <w:vAlign w:val="center"/>
          </w:tcPr>
          <w:p w14:paraId="36ED8E26">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14:paraId="4952A95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14:paraId="711980CD">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数量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套</w:t>
            </w:r>
            <w:r>
              <w:rPr>
                <w:rFonts w:hint="eastAsia" w:ascii="宋体" w:hAnsi="宋体" w:cs="宋体"/>
                <w:color w:val="auto"/>
                <w:sz w:val="24"/>
                <w:szCs w:val="24"/>
                <w:highlight w:val="none"/>
                <w:lang w:eastAsia="zh-CN"/>
              </w:rPr>
              <w:t>）</w:t>
            </w:r>
          </w:p>
        </w:tc>
        <w:tc>
          <w:tcPr>
            <w:tcW w:w="1153" w:type="dxa"/>
            <w:vAlign w:val="center"/>
          </w:tcPr>
          <w:p w14:paraId="7066F60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860" w:type="dxa"/>
            <w:vAlign w:val="center"/>
          </w:tcPr>
          <w:p w14:paraId="74148EA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1191" w:type="dxa"/>
            <w:vAlign w:val="center"/>
          </w:tcPr>
          <w:p w14:paraId="6BD4ABE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7876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476" w:type="dxa"/>
            <w:vAlign w:val="center"/>
          </w:tcPr>
          <w:p w14:paraId="583AB6C4">
            <w:pPr>
              <w:snapToGri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250" w:type="dxa"/>
            <w:vAlign w:val="center"/>
          </w:tcPr>
          <w:p w14:paraId="64F8153A">
            <w:pPr>
              <w:snapToGrid w:val="0"/>
              <w:spacing w:line="40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超临界萃取综合平台</w:t>
            </w:r>
          </w:p>
        </w:tc>
        <w:tc>
          <w:tcPr>
            <w:tcW w:w="886" w:type="dxa"/>
            <w:vAlign w:val="center"/>
          </w:tcPr>
          <w:p w14:paraId="65F8A179">
            <w:pPr>
              <w:snapToGrid w:val="0"/>
              <w:spacing w:line="400" w:lineRule="exact"/>
              <w:jc w:val="center"/>
              <w:rPr>
                <w:rFonts w:ascii="宋体" w:hAnsi="宋体" w:cs="宋体"/>
                <w:color w:val="auto"/>
                <w:sz w:val="24"/>
                <w:szCs w:val="24"/>
                <w:highlight w:val="none"/>
              </w:rPr>
            </w:pPr>
          </w:p>
        </w:tc>
        <w:tc>
          <w:tcPr>
            <w:tcW w:w="820" w:type="dxa"/>
            <w:vAlign w:val="center"/>
          </w:tcPr>
          <w:p w14:paraId="21F888B6">
            <w:pPr>
              <w:snapToGrid w:val="0"/>
              <w:spacing w:line="400" w:lineRule="exact"/>
              <w:jc w:val="center"/>
              <w:rPr>
                <w:rFonts w:ascii="宋体" w:hAnsi="宋体" w:cs="宋体"/>
                <w:color w:val="auto"/>
                <w:sz w:val="24"/>
                <w:szCs w:val="24"/>
                <w:highlight w:val="none"/>
              </w:rPr>
            </w:pPr>
          </w:p>
        </w:tc>
        <w:tc>
          <w:tcPr>
            <w:tcW w:w="1282" w:type="dxa"/>
            <w:vAlign w:val="center"/>
          </w:tcPr>
          <w:p w14:paraId="2132E679">
            <w:pPr>
              <w:snapToGrid w:val="0"/>
              <w:spacing w:line="400" w:lineRule="exact"/>
              <w:jc w:val="center"/>
              <w:rPr>
                <w:rFonts w:ascii="宋体" w:hAnsi="宋体" w:cs="宋体"/>
                <w:color w:val="auto"/>
                <w:sz w:val="24"/>
                <w:szCs w:val="24"/>
                <w:highlight w:val="none"/>
              </w:rPr>
            </w:pPr>
          </w:p>
        </w:tc>
        <w:tc>
          <w:tcPr>
            <w:tcW w:w="898" w:type="dxa"/>
            <w:vAlign w:val="center"/>
          </w:tcPr>
          <w:p w14:paraId="27E71885">
            <w:pPr>
              <w:snapToGri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153" w:type="dxa"/>
            <w:vAlign w:val="center"/>
          </w:tcPr>
          <w:p w14:paraId="56ACA178">
            <w:pPr>
              <w:snapToGrid w:val="0"/>
              <w:spacing w:line="400" w:lineRule="exact"/>
              <w:jc w:val="left"/>
              <w:rPr>
                <w:rFonts w:ascii="宋体" w:hAnsi="宋体" w:cs="宋体"/>
                <w:color w:val="auto"/>
                <w:sz w:val="24"/>
                <w:szCs w:val="24"/>
                <w:highlight w:val="none"/>
              </w:rPr>
            </w:pPr>
          </w:p>
        </w:tc>
        <w:tc>
          <w:tcPr>
            <w:tcW w:w="860" w:type="dxa"/>
            <w:vAlign w:val="center"/>
          </w:tcPr>
          <w:p w14:paraId="135830BB">
            <w:pPr>
              <w:snapToGrid w:val="0"/>
              <w:spacing w:line="400" w:lineRule="exact"/>
              <w:jc w:val="center"/>
              <w:rPr>
                <w:rFonts w:ascii="宋体" w:hAnsi="宋体" w:cs="宋体"/>
                <w:color w:val="auto"/>
                <w:sz w:val="24"/>
                <w:szCs w:val="24"/>
                <w:highlight w:val="none"/>
              </w:rPr>
            </w:pPr>
          </w:p>
        </w:tc>
        <w:tc>
          <w:tcPr>
            <w:tcW w:w="1191" w:type="dxa"/>
            <w:vAlign w:val="center"/>
          </w:tcPr>
          <w:p w14:paraId="3FB89EA9">
            <w:pPr>
              <w:snapToGrid w:val="0"/>
              <w:spacing w:line="400" w:lineRule="exact"/>
              <w:jc w:val="center"/>
              <w:rPr>
                <w:rFonts w:ascii="宋体" w:hAnsi="宋体" w:cs="宋体"/>
                <w:color w:val="auto"/>
                <w:sz w:val="24"/>
                <w:szCs w:val="24"/>
                <w:highlight w:val="none"/>
              </w:rPr>
            </w:pPr>
          </w:p>
        </w:tc>
      </w:tr>
      <w:tr w14:paraId="23F5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28EBFFBD">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14:paraId="6630609D">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14:paraId="7DFC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3499611F">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交货时间</w:t>
            </w:r>
          </w:p>
        </w:tc>
        <w:tc>
          <w:tcPr>
            <w:tcW w:w="7090" w:type="dxa"/>
            <w:gridSpan w:val="7"/>
            <w:vAlign w:val="center"/>
          </w:tcPr>
          <w:p w14:paraId="1399DEC5">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14:paraId="3190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14:paraId="5FB1DB2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14:paraId="07D285D1">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14:paraId="0FB2031E">
      <w:pPr>
        <w:adjustRightInd w:val="0"/>
        <w:snapToGrid w:val="0"/>
        <w:spacing w:line="400" w:lineRule="exact"/>
        <w:rPr>
          <w:rFonts w:ascii="宋体" w:hAnsi="宋体" w:cs="宋体"/>
          <w:color w:val="auto"/>
          <w:sz w:val="24"/>
          <w:szCs w:val="24"/>
          <w:highlight w:val="none"/>
        </w:rPr>
      </w:pPr>
    </w:p>
    <w:p w14:paraId="59EFF0FD">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14:paraId="5ADD2886">
      <w:pPr>
        <w:pStyle w:val="3"/>
        <w:rPr>
          <w:color w:val="auto"/>
          <w:highlight w:val="none"/>
        </w:rPr>
      </w:pPr>
    </w:p>
    <w:p w14:paraId="23CE6CB3">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387C999E">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0DB1AEDB">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56A533B">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14:paraId="6112777B">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14:paraId="22FD115E">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14:paraId="3DD797B6">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5521799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编号及内容：                               金额单位：人民币（元）</w:t>
      </w:r>
    </w:p>
    <w:tbl>
      <w:tblPr>
        <w:tblStyle w:val="41"/>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14:paraId="6A9C7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C4A527B">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14:paraId="6DF812FA">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14:paraId="0BD165E0">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14:paraId="17E28D1E">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14:paraId="0836C744">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14:paraId="5439F2B2">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14:paraId="16682CAE">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14:paraId="08D3B429">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14:paraId="7B95D8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8A6817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51ADE6A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68E4092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6B16EC2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102C3B8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438DB6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1B5EF09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8417233">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2285ED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8E4C6B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2CCBF37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35EF4A6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AB4277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220C262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3196A8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2BC3040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310FF178">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FC2B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2C5D4AE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2E9ADF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0194D40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6E8ED34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051B2CC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A69EDD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8D5CC3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7FB4C0F">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2531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2562F91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1DED915">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14:paraId="59A987F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E4F15C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5FFFBA1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495A69F">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332A6A6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E189220">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BFD0E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14:paraId="1A28338F">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14:paraId="1E759577">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14:paraId="0C9C7BDF">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F070C07">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14:paraId="5BC932A6">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3796082F">
      <w:pPr>
        <w:adjustRightInd w:val="0"/>
        <w:snapToGrid w:val="0"/>
        <w:spacing w:line="400" w:lineRule="exact"/>
        <w:rPr>
          <w:rFonts w:ascii="宋体" w:hAnsi="宋体" w:cs="宋体"/>
          <w:color w:val="auto"/>
          <w:spacing w:val="20"/>
          <w:sz w:val="24"/>
          <w:szCs w:val="24"/>
          <w:highlight w:val="none"/>
        </w:rPr>
      </w:pPr>
    </w:p>
    <w:p w14:paraId="3AC9FD91">
      <w:pPr>
        <w:rPr>
          <w:rFonts w:hint="eastAsia" w:ascii="宋体" w:hAnsi="宋体" w:cs="宋体"/>
          <w:b/>
          <w:color w:val="auto"/>
          <w:sz w:val="24"/>
          <w:szCs w:val="24"/>
          <w:highlight w:val="none"/>
          <w:lang w:val="en-US" w:eastAsia="zh-CN"/>
        </w:rPr>
      </w:pPr>
      <w:r>
        <w:rPr>
          <w:rFonts w:hint="eastAsia" w:ascii="宋体" w:hAnsi="宋体" w:cs="宋体"/>
          <w:color w:val="auto"/>
          <w:sz w:val="24"/>
          <w:szCs w:val="24"/>
          <w:highlight w:val="none"/>
        </w:rPr>
        <w:t>日期：    年   月   日</w:t>
      </w:r>
      <w:r>
        <w:rPr>
          <w:rFonts w:hint="eastAsia" w:ascii="宋体" w:hAnsi="宋体" w:cs="宋体"/>
          <w:b/>
          <w:color w:val="auto"/>
          <w:sz w:val="24"/>
          <w:szCs w:val="24"/>
          <w:highlight w:val="none"/>
          <w:lang w:val="en-US" w:eastAsia="zh-CN"/>
        </w:rPr>
        <w:br w:type="page"/>
      </w:r>
    </w:p>
    <w:p w14:paraId="64461D11">
      <w:pPr>
        <w:adjustRightInd w:val="0"/>
        <w:snapToGrid w:val="0"/>
        <w:spacing w:before="50" w:after="50" w:line="400" w:lineRule="exact"/>
        <w:rPr>
          <w:rFonts w:hint="eastAsia" w:ascii="宋体" w:hAnsi="宋体" w:eastAsia="宋体" w:cs="宋体"/>
          <w:b/>
          <w:bCs/>
          <w:color w:val="auto"/>
          <w:sz w:val="24"/>
          <w:szCs w:val="24"/>
          <w:highlight w:val="none"/>
          <w:u w:val="none"/>
          <w:lang w:eastAsia="zh-CN"/>
        </w:rPr>
      </w:pPr>
      <w:r>
        <w:rPr>
          <w:rFonts w:hint="eastAsia" w:ascii="宋体" w:hAnsi="宋体" w:cs="宋体"/>
          <w:b/>
          <w:bCs/>
          <w:color w:val="auto"/>
          <w:sz w:val="24"/>
          <w:szCs w:val="24"/>
          <w:highlight w:val="none"/>
          <w:u w:val="none"/>
          <w:lang w:val="en-US" w:eastAsia="zh-CN"/>
        </w:rPr>
        <w:t>4、</w:t>
      </w:r>
      <w:r>
        <w:rPr>
          <w:rFonts w:hint="eastAsia" w:ascii="宋体" w:hAnsi="宋体" w:cs="宋体"/>
          <w:b/>
          <w:bCs/>
          <w:color w:val="auto"/>
          <w:sz w:val="24"/>
          <w:szCs w:val="24"/>
          <w:highlight w:val="none"/>
          <w:u w:val="none"/>
        </w:rPr>
        <w:t>投标保证金缴纳凭证复印件</w:t>
      </w:r>
      <w:r>
        <w:rPr>
          <w:rFonts w:hint="eastAsia" w:ascii="宋体" w:hAnsi="宋体" w:cs="宋体"/>
          <w:b/>
          <w:bCs/>
          <w:color w:val="auto"/>
          <w:sz w:val="24"/>
          <w:szCs w:val="24"/>
          <w:highlight w:val="none"/>
          <w:u w:val="none"/>
          <w:lang w:eastAsia="zh-CN"/>
        </w:rPr>
        <w:t>（</w:t>
      </w:r>
      <w:r>
        <w:rPr>
          <w:rFonts w:hint="eastAsia" w:ascii="宋体" w:hAnsi="宋体" w:cs="宋体"/>
          <w:b/>
          <w:bCs/>
          <w:color w:val="auto"/>
          <w:sz w:val="24"/>
          <w:szCs w:val="24"/>
          <w:highlight w:val="none"/>
          <w:u w:val="none"/>
          <w:lang w:val="en-US" w:eastAsia="zh-CN"/>
        </w:rPr>
        <w:t>如有</w:t>
      </w:r>
      <w:r>
        <w:rPr>
          <w:rFonts w:hint="eastAsia" w:ascii="宋体" w:hAnsi="宋体" w:cs="宋体"/>
          <w:b/>
          <w:bCs/>
          <w:color w:val="auto"/>
          <w:sz w:val="24"/>
          <w:szCs w:val="24"/>
          <w:highlight w:val="none"/>
          <w:u w:val="none"/>
          <w:lang w:eastAsia="zh-CN"/>
        </w:rPr>
        <w:t>）</w:t>
      </w:r>
    </w:p>
    <w:p w14:paraId="5510FE63">
      <w:pPr>
        <w:adjustRightInd w:val="0"/>
        <w:snapToGrid w:val="0"/>
        <w:spacing w:before="50" w:after="50" w:line="400" w:lineRule="exact"/>
        <w:rPr>
          <w:rFonts w:hint="eastAsia" w:ascii="宋体" w:hAnsi="宋体" w:cs="宋体"/>
          <w:b/>
          <w:color w:val="auto"/>
          <w:sz w:val="24"/>
          <w:szCs w:val="24"/>
          <w:highlight w:val="none"/>
          <w:lang w:val="en-US" w:eastAsia="zh-CN"/>
        </w:rPr>
      </w:pPr>
    </w:p>
    <w:p w14:paraId="4A8F6973">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投标人针对报价需要说明的其他文件和资料（如有）</w:t>
      </w:r>
    </w:p>
    <w:p w14:paraId="040DF328">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14:paraId="177F6037">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1D2A80E0">
      <w:pPr>
        <w:spacing w:line="360" w:lineRule="auto"/>
        <w:jc w:val="center"/>
        <w:rPr>
          <w:rFonts w:ascii="宋体" w:hAnsi="宋体" w:cs="宋体"/>
          <w:color w:val="auto"/>
          <w:sz w:val="56"/>
          <w:szCs w:val="20"/>
          <w:highlight w:val="none"/>
        </w:rPr>
      </w:pPr>
    </w:p>
    <w:p w14:paraId="3468B3DB">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14:paraId="536F3F40">
      <w:pPr>
        <w:spacing w:line="360" w:lineRule="auto"/>
        <w:jc w:val="center"/>
        <w:rPr>
          <w:rFonts w:ascii="宋体" w:hAnsi="宋体" w:cs="宋体"/>
          <w:color w:val="auto"/>
          <w:sz w:val="28"/>
          <w:szCs w:val="20"/>
          <w:highlight w:val="none"/>
        </w:rPr>
      </w:pPr>
    </w:p>
    <w:p w14:paraId="5001655F">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lang w:val="en-US" w:eastAsia="zh-CN"/>
        </w:rPr>
        <w:t>项目</w:t>
      </w:r>
      <w:r>
        <w:rPr>
          <w:rFonts w:hint="eastAsia" w:ascii="宋体" w:hAnsi="宋体" w:cs="宋体"/>
          <w:color w:val="auto"/>
          <w:sz w:val="28"/>
          <w:szCs w:val="20"/>
          <w:highlight w:val="none"/>
        </w:rPr>
        <w:t>编号：</w:t>
      </w:r>
    </w:p>
    <w:p w14:paraId="6F4EC3BC">
      <w:pPr>
        <w:spacing w:line="360" w:lineRule="auto"/>
        <w:jc w:val="center"/>
        <w:rPr>
          <w:rFonts w:ascii="宋体" w:hAnsi="宋体" w:cs="宋体"/>
          <w:color w:val="auto"/>
          <w:sz w:val="28"/>
          <w:szCs w:val="20"/>
          <w:highlight w:val="none"/>
        </w:rPr>
      </w:pPr>
    </w:p>
    <w:p w14:paraId="65C08B99">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14:paraId="42378B2C">
      <w:pPr>
        <w:spacing w:line="360" w:lineRule="auto"/>
        <w:jc w:val="center"/>
        <w:rPr>
          <w:rFonts w:ascii="宋体" w:hAnsi="宋体" w:cs="宋体"/>
          <w:color w:val="auto"/>
          <w:sz w:val="56"/>
          <w:szCs w:val="20"/>
          <w:highlight w:val="none"/>
        </w:rPr>
      </w:pPr>
    </w:p>
    <w:p w14:paraId="30228C0B">
      <w:pPr>
        <w:spacing w:line="360" w:lineRule="auto"/>
        <w:jc w:val="center"/>
        <w:rPr>
          <w:rFonts w:ascii="宋体" w:hAnsi="宋体" w:cs="宋体"/>
          <w:color w:val="auto"/>
          <w:sz w:val="56"/>
          <w:szCs w:val="20"/>
          <w:highlight w:val="none"/>
        </w:rPr>
      </w:pPr>
    </w:p>
    <w:p w14:paraId="7A861DD1">
      <w:pPr>
        <w:spacing w:line="360" w:lineRule="auto"/>
        <w:jc w:val="center"/>
        <w:rPr>
          <w:rFonts w:ascii="宋体" w:hAnsi="宋体" w:cs="宋体"/>
          <w:color w:val="auto"/>
          <w:sz w:val="56"/>
          <w:szCs w:val="20"/>
          <w:highlight w:val="none"/>
        </w:rPr>
      </w:pPr>
    </w:p>
    <w:p w14:paraId="0FA04FB7">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7E910DD4">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304FF299">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14:paraId="4A6C96A6">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14:paraId="50BFB595">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11E19950">
      <w:pPr>
        <w:spacing w:line="360" w:lineRule="auto"/>
        <w:rPr>
          <w:rFonts w:ascii="宋体" w:hAnsi="宋体" w:cs="宋体"/>
          <w:color w:val="auto"/>
          <w:sz w:val="20"/>
          <w:szCs w:val="20"/>
          <w:highlight w:val="none"/>
        </w:rPr>
      </w:pPr>
    </w:p>
    <w:p w14:paraId="4F0198CD">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14:paraId="5FC44C25">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5335118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14:paraId="2B27F7E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14:paraId="21C7BF7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法定代表人（负责人、自然人）授权书</w:t>
      </w:r>
      <w:r>
        <w:rPr>
          <w:rFonts w:hint="eastAsia" w:ascii="宋体" w:hAnsi="宋体" w:cs="宋体"/>
          <w:color w:val="auto"/>
          <w:sz w:val="24"/>
          <w:highlight w:val="none"/>
        </w:rPr>
        <w:t>……………………………（页码）</w:t>
      </w:r>
    </w:p>
    <w:p w14:paraId="6426557D">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14:paraId="38BD45EF">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35E494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14:paraId="7A0C3D87">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14:paraId="49217403">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14:paraId="380BC0E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14:paraId="68401F2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14:paraId="0F6C8C7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14:paraId="42FA00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类似成功业绩…………………………………………………………（页码）</w:t>
      </w:r>
    </w:p>
    <w:p w14:paraId="4B2690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政府采购政策扶持证明材料…………………………………………（页码）</w:t>
      </w:r>
    </w:p>
    <w:p w14:paraId="4BD2116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13.关于符合本国产品标准的声明函</w:t>
      </w:r>
      <w:r>
        <w:rPr>
          <w:rFonts w:hint="eastAsia" w:ascii="宋体" w:hAnsi="宋体" w:eastAsia="宋体" w:cs="宋体"/>
          <w:color w:val="auto"/>
          <w:sz w:val="24"/>
          <w:szCs w:val="24"/>
          <w:highlight w:val="none"/>
        </w:rPr>
        <w:t>……………………………………（页码）</w:t>
      </w:r>
    </w:p>
    <w:p w14:paraId="3BE0EE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认为应提交的商务文件……………………（页码）</w:t>
      </w:r>
    </w:p>
    <w:p w14:paraId="5D382794">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41AE5E5">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14:paraId="545E9D9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14:paraId="72E9B72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1BAB4A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14:paraId="486BF4E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14:paraId="4629110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14:paraId="0B01DCB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14:paraId="0DD29A0E">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14:paraId="59BE5AA4">
      <w:pPr>
        <w:spacing w:line="360" w:lineRule="auto"/>
        <w:ind w:left="719" w:leftChars="228" w:hanging="240" w:hangingChars="100"/>
        <w:rPr>
          <w:rFonts w:ascii="宋体" w:hAnsi="宋体" w:cs="宋体"/>
          <w:color w:val="auto"/>
          <w:sz w:val="24"/>
          <w:szCs w:val="24"/>
          <w:highlight w:val="none"/>
        </w:rPr>
      </w:pPr>
    </w:p>
    <w:p w14:paraId="0FBA27D9">
      <w:pPr>
        <w:rPr>
          <w:color w:val="auto"/>
          <w:highlight w:val="none"/>
        </w:rPr>
      </w:pPr>
    </w:p>
    <w:p w14:paraId="02C18296">
      <w:pPr>
        <w:rPr>
          <w:color w:val="auto"/>
          <w:highlight w:val="none"/>
        </w:rPr>
      </w:pPr>
    </w:p>
    <w:p w14:paraId="0C07C47D">
      <w:pPr>
        <w:rPr>
          <w:color w:val="auto"/>
          <w:highlight w:val="none"/>
        </w:rPr>
      </w:pPr>
    </w:p>
    <w:p w14:paraId="79254D65">
      <w:pPr>
        <w:rPr>
          <w:color w:val="auto"/>
          <w:highlight w:val="none"/>
        </w:rPr>
      </w:pPr>
    </w:p>
    <w:p w14:paraId="4596AE27">
      <w:pPr>
        <w:rPr>
          <w:color w:val="auto"/>
          <w:highlight w:val="none"/>
        </w:rPr>
      </w:pPr>
    </w:p>
    <w:p w14:paraId="54A5976F">
      <w:pPr>
        <w:rPr>
          <w:color w:val="auto"/>
          <w:highlight w:val="none"/>
        </w:rPr>
      </w:pPr>
    </w:p>
    <w:p w14:paraId="55820294">
      <w:pPr>
        <w:rPr>
          <w:color w:val="auto"/>
          <w:highlight w:val="none"/>
        </w:rPr>
      </w:pPr>
    </w:p>
    <w:p w14:paraId="4C3EEE69">
      <w:pPr>
        <w:adjustRightInd w:val="0"/>
        <w:snapToGrid w:val="0"/>
        <w:rPr>
          <w:rFonts w:ascii="宋体" w:hAnsi="宋体" w:cs="宋体"/>
          <w:b/>
          <w:color w:val="auto"/>
          <w:sz w:val="28"/>
          <w:szCs w:val="28"/>
          <w:highlight w:val="none"/>
        </w:rPr>
      </w:pPr>
    </w:p>
    <w:tbl>
      <w:tblPr>
        <w:tblStyle w:val="41"/>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14:paraId="144E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14:paraId="462A1CC5">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14:paraId="01D7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DCE1083">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14:paraId="2181C2F0">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14:paraId="525264ED">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14:paraId="3FCC1972">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0160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9EECCE5">
            <w:pPr>
              <w:adjustRightInd w:val="0"/>
              <w:snapToGrid w:val="0"/>
              <w:rPr>
                <w:rFonts w:ascii="宋体" w:hAnsi="宋体" w:cs="宋体"/>
                <w:b/>
                <w:color w:val="auto"/>
                <w:sz w:val="24"/>
                <w:szCs w:val="24"/>
                <w:highlight w:val="none"/>
              </w:rPr>
            </w:pPr>
          </w:p>
        </w:tc>
        <w:tc>
          <w:tcPr>
            <w:tcW w:w="2000" w:type="dxa"/>
          </w:tcPr>
          <w:p w14:paraId="52E4FC1C">
            <w:pPr>
              <w:adjustRightInd w:val="0"/>
              <w:snapToGrid w:val="0"/>
              <w:rPr>
                <w:rFonts w:ascii="宋体" w:hAnsi="宋体" w:cs="宋体"/>
                <w:b/>
                <w:color w:val="auto"/>
                <w:sz w:val="24"/>
                <w:szCs w:val="24"/>
                <w:highlight w:val="none"/>
              </w:rPr>
            </w:pPr>
          </w:p>
        </w:tc>
        <w:tc>
          <w:tcPr>
            <w:tcW w:w="2783" w:type="dxa"/>
          </w:tcPr>
          <w:p w14:paraId="2922730A">
            <w:pPr>
              <w:adjustRightInd w:val="0"/>
              <w:snapToGrid w:val="0"/>
              <w:rPr>
                <w:rFonts w:ascii="宋体" w:hAnsi="宋体" w:cs="宋体"/>
                <w:b/>
                <w:color w:val="auto"/>
                <w:sz w:val="24"/>
                <w:szCs w:val="24"/>
                <w:highlight w:val="none"/>
              </w:rPr>
            </w:pPr>
          </w:p>
        </w:tc>
        <w:tc>
          <w:tcPr>
            <w:tcW w:w="2584" w:type="dxa"/>
          </w:tcPr>
          <w:p w14:paraId="76AAA32A">
            <w:pPr>
              <w:adjustRightInd w:val="0"/>
              <w:snapToGrid w:val="0"/>
              <w:rPr>
                <w:rFonts w:ascii="宋体" w:hAnsi="宋体" w:cs="宋体"/>
                <w:b/>
                <w:color w:val="auto"/>
                <w:sz w:val="24"/>
                <w:szCs w:val="24"/>
                <w:highlight w:val="none"/>
              </w:rPr>
            </w:pPr>
          </w:p>
        </w:tc>
      </w:tr>
      <w:tr w14:paraId="40D6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7496893">
            <w:pPr>
              <w:adjustRightInd w:val="0"/>
              <w:snapToGrid w:val="0"/>
              <w:rPr>
                <w:rFonts w:ascii="宋体" w:hAnsi="宋体" w:cs="宋体"/>
                <w:b/>
                <w:color w:val="auto"/>
                <w:sz w:val="24"/>
                <w:szCs w:val="24"/>
                <w:highlight w:val="none"/>
              </w:rPr>
            </w:pPr>
          </w:p>
        </w:tc>
        <w:tc>
          <w:tcPr>
            <w:tcW w:w="2000" w:type="dxa"/>
          </w:tcPr>
          <w:p w14:paraId="2990DFB7">
            <w:pPr>
              <w:adjustRightInd w:val="0"/>
              <w:snapToGrid w:val="0"/>
              <w:rPr>
                <w:rFonts w:ascii="宋体" w:hAnsi="宋体" w:cs="宋体"/>
                <w:b/>
                <w:color w:val="auto"/>
                <w:sz w:val="24"/>
                <w:szCs w:val="24"/>
                <w:highlight w:val="none"/>
              </w:rPr>
            </w:pPr>
          </w:p>
        </w:tc>
        <w:tc>
          <w:tcPr>
            <w:tcW w:w="2783" w:type="dxa"/>
          </w:tcPr>
          <w:p w14:paraId="3224CF57">
            <w:pPr>
              <w:adjustRightInd w:val="0"/>
              <w:snapToGrid w:val="0"/>
              <w:rPr>
                <w:rFonts w:ascii="宋体" w:hAnsi="宋体" w:cs="宋体"/>
                <w:b/>
                <w:color w:val="auto"/>
                <w:sz w:val="24"/>
                <w:szCs w:val="24"/>
                <w:highlight w:val="none"/>
              </w:rPr>
            </w:pPr>
          </w:p>
        </w:tc>
        <w:tc>
          <w:tcPr>
            <w:tcW w:w="2584" w:type="dxa"/>
          </w:tcPr>
          <w:p w14:paraId="35B531B7">
            <w:pPr>
              <w:adjustRightInd w:val="0"/>
              <w:snapToGrid w:val="0"/>
              <w:rPr>
                <w:rFonts w:ascii="宋体" w:hAnsi="宋体" w:cs="宋体"/>
                <w:b/>
                <w:color w:val="auto"/>
                <w:sz w:val="24"/>
                <w:szCs w:val="24"/>
                <w:highlight w:val="none"/>
              </w:rPr>
            </w:pPr>
          </w:p>
        </w:tc>
      </w:tr>
      <w:tr w14:paraId="152E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16C28DD">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14:paraId="31E085E2">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14:paraId="7F245F4F">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14:paraId="1A8DD06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14:paraId="3EF98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24EBA806">
            <w:pPr>
              <w:adjustRightInd w:val="0"/>
              <w:snapToGrid w:val="0"/>
              <w:rPr>
                <w:rFonts w:ascii="宋体" w:hAnsi="宋体" w:cs="宋体"/>
                <w:b/>
                <w:color w:val="auto"/>
                <w:sz w:val="24"/>
                <w:szCs w:val="24"/>
                <w:highlight w:val="none"/>
              </w:rPr>
            </w:pPr>
          </w:p>
        </w:tc>
        <w:tc>
          <w:tcPr>
            <w:tcW w:w="2000" w:type="dxa"/>
          </w:tcPr>
          <w:p w14:paraId="65D426C1">
            <w:pPr>
              <w:adjustRightInd w:val="0"/>
              <w:snapToGrid w:val="0"/>
              <w:rPr>
                <w:rFonts w:ascii="宋体" w:hAnsi="宋体" w:cs="宋体"/>
                <w:b/>
                <w:color w:val="auto"/>
                <w:sz w:val="24"/>
                <w:szCs w:val="24"/>
                <w:highlight w:val="none"/>
              </w:rPr>
            </w:pPr>
          </w:p>
        </w:tc>
        <w:tc>
          <w:tcPr>
            <w:tcW w:w="2783" w:type="dxa"/>
          </w:tcPr>
          <w:p w14:paraId="5D2D97A6">
            <w:pPr>
              <w:adjustRightInd w:val="0"/>
              <w:snapToGrid w:val="0"/>
              <w:rPr>
                <w:rFonts w:ascii="宋体" w:hAnsi="宋体" w:cs="宋体"/>
                <w:b/>
                <w:color w:val="auto"/>
                <w:sz w:val="24"/>
                <w:szCs w:val="24"/>
                <w:highlight w:val="none"/>
              </w:rPr>
            </w:pPr>
          </w:p>
        </w:tc>
        <w:tc>
          <w:tcPr>
            <w:tcW w:w="2584" w:type="dxa"/>
          </w:tcPr>
          <w:p w14:paraId="4122C973">
            <w:pPr>
              <w:adjustRightInd w:val="0"/>
              <w:snapToGrid w:val="0"/>
              <w:rPr>
                <w:rFonts w:ascii="宋体" w:hAnsi="宋体" w:cs="宋体"/>
                <w:b/>
                <w:color w:val="auto"/>
                <w:sz w:val="24"/>
                <w:szCs w:val="24"/>
                <w:highlight w:val="none"/>
              </w:rPr>
            </w:pPr>
          </w:p>
        </w:tc>
      </w:tr>
      <w:tr w14:paraId="3A18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BE0D2AA">
            <w:pPr>
              <w:adjustRightInd w:val="0"/>
              <w:snapToGrid w:val="0"/>
              <w:rPr>
                <w:rFonts w:ascii="宋体" w:hAnsi="宋体" w:cs="宋体"/>
                <w:b/>
                <w:color w:val="auto"/>
                <w:sz w:val="24"/>
                <w:szCs w:val="24"/>
                <w:highlight w:val="none"/>
              </w:rPr>
            </w:pPr>
          </w:p>
        </w:tc>
        <w:tc>
          <w:tcPr>
            <w:tcW w:w="2000" w:type="dxa"/>
          </w:tcPr>
          <w:p w14:paraId="04C2A127">
            <w:pPr>
              <w:adjustRightInd w:val="0"/>
              <w:snapToGrid w:val="0"/>
              <w:rPr>
                <w:rFonts w:ascii="宋体" w:hAnsi="宋体" w:cs="宋体"/>
                <w:b/>
                <w:color w:val="auto"/>
                <w:sz w:val="24"/>
                <w:szCs w:val="24"/>
                <w:highlight w:val="none"/>
              </w:rPr>
            </w:pPr>
          </w:p>
        </w:tc>
        <w:tc>
          <w:tcPr>
            <w:tcW w:w="2783" w:type="dxa"/>
          </w:tcPr>
          <w:p w14:paraId="7CD298B1">
            <w:pPr>
              <w:adjustRightInd w:val="0"/>
              <w:snapToGrid w:val="0"/>
              <w:rPr>
                <w:rFonts w:ascii="宋体" w:hAnsi="宋体" w:cs="宋体"/>
                <w:b/>
                <w:color w:val="auto"/>
                <w:sz w:val="24"/>
                <w:szCs w:val="24"/>
                <w:highlight w:val="none"/>
              </w:rPr>
            </w:pPr>
          </w:p>
        </w:tc>
        <w:tc>
          <w:tcPr>
            <w:tcW w:w="2584" w:type="dxa"/>
          </w:tcPr>
          <w:p w14:paraId="667BE37A">
            <w:pPr>
              <w:adjustRightInd w:val="0"/>
              <w:snapToGrid w:val="0"/>
              <w:rPr>
                <w:rFonts w:ascii="宋体" w:hAnsi="宋体" w:cs="宋体"/>
                <w:b/>
                <w:color w:val="auto"/>
                <w:sz w:val="24"/>
                <w:szCs w:val="24"/>
                <w:highlight w:val="none"/>
              </w:rPr>
            </w:pPr>
          </w:p>
        </w:tc>
      </w:tr>
      <w:tr w14:paraId="13D8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4C7F8713">
            <w:pPr>
              <w:adjustRightInd w:val="0"/>
              <w:snapToGrid w:val="0"/>
              <w:rPr>
                <w:rFonts w:ascii="宋体" w:hAnsi="宋体" w:cs="宋体"/>
                <w:b/>
                <w:color w:val="auto"/>
                <w:sz w:val="24"/>
                <w:szCs w:val="24"/>
                <w:highlight w:val="none"/>
              </w:rPr>
            </w:pPr>
          </w:p>
        </w:tc>
        <w:tc>
          <w:tcPr>
            <w:tcW w:w="2000" w:type="dxa"/>
          </w:tcPr>
          <w:p w14:paraId="6B607E9D">
            <w:pPr>
              <w:adjustRightInd w:val="0"/>
              <w:snapToGrid w:val="0"/>
              <w:rPr>
                <w:rFonts w:ascii="宋体" w:hAnsi="宋体" w:cs="宋体"/>
                <w:b/>
                <w:color w:val="auto"/>
                <w:sz w:val="24"/>
                <w:szCs w:val="24"/>
                <w:highlight w:val="none"/>
              </w:rPr>
            </w:pPr>
          </w:p>
        </w:tc>
        <w:tc>
          <w:tcPr>
            <w:tcW w:w="2783" w:type="dxa"/>
          </w:tcPr>
          <w:p w14:paraId="6BECF277">
            <w:pPr>
              <w:adjustRightInd w:val="0"/>
              <w:snapToGrid w:val="0"/>
              <w:rPr>
                <w:rFonts w:ascii="宋体" w:hAnsi="宋体" w:cs="宋体"/>
                <w:b/>
                <w:color w:val="auto"/>
                <w:sz w:val="24"/>
                <w:szCs w:val="24"/>
                <w:highlight w:val="none"/>
              </w:rPr>
            </w:pPr>
          </w:p>
        </w:tc>
        <w:tc>
          <w:tcPr>
            <w:tcW w:w="2584" w:type="dxa"/>
          </w:tcPr>
          <w:p w14:paraId="1386EA71">
            <w:pPr>
              <w:adjustRightInd w:val="0"/>
              <w:snapToGrid w:val="0"/>
              <w:rPr>
                <w:rFonts w:ascii="宋体" w:hAnsi="宋体" w:cs="宋体"/>
                <w:b/>
                <w:color w:val="auto"/>
                <w:sz w:val="24"/>
                <w:szCs w:val="24"/>
                <w:highlight w:val="none"/>
              </w:rPr>
            </w:pPr>
          </w:p>
        </w:tc>
      </w:tr>
      <w:tr w14:paraId="3E8F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69FC99B">
            <w:pPr>
              <w:adjustRightInd w:val="0"/>
              <w:snapToGrid w:val="0"/>
              <w:rPr>
                <w:rFonts w:ascii="宋体" w:hAnsi="宋体" w:cs="宋体"/>
                <w:b/>
                <w:color w:val="auto"/>
                <w:sz w:val="24"/>
                <w:szCs w:val="24"/>
                <w:highlight w:val="none"/>
              </w:rPr>
            </w:pPr>
          </w:p>
        </w:tc>
        <w:tc>
          <w:tcPr>
            <w:tcW w:w="2000" w:type="dxa"/>
          </w:tcPr>
          <w:p w14:paraId="2438D2A6">
            <w:pPr>
              <w:adjustRightInd w:val="0"/>
              <w:snapToGrid w:val="0"/>
              <w:rPr>
                <w:rFonts w:ascii="宋体" w:hAnsi="宋体" w:cs="宋体"/>
                <w:b/>
                <w:color w:val="auto"/>
                <w:sz w:val="24"/>
                <w:szCs w:val="24"/>
                <w:highlight w:val="none"/>
              </w:rPr>
            </w:pPr>
          </w:p>
        </w:tc>
        <w:tc>
          <w:tcPr>
            <w:tcW w:w="2783" w:type="dxa"/>
          </w:tcPr>
          <w:p w14:paraId="7535273B">
            <w:pPr>
              <w:adjustRightInd w:val="0"/>
              <w:snapToGrid w:val="0"/>
              <w:rPr>
                <w:rFonts w:ascii="宋体" w:hAnsi="宋体" w:cs="宋体"/>
                <w:b/>
                <w:color w:val="auto"/>
                <w:sz w:val="24"/>
                <w:szCs w:val="24"/>
                <w:highlight w:val="none"/>
              </w:rPr>
            </w:pPr>
          </w:p>
        </w:tc>
        <w:tc>
          <w:tcPr>
            <w:tcW w:w="2584" w:type="dxa"/>
          </w:tcPr>
          <w:p w14:paraId="24BC1DE4">
            <w:pPr>
              <w:adjustRightInd w:val="0"/>
              <w:snapToGrid w:val="0"/>
              <w:rPr>
                <w:rFonts w:ascii="宋体" w:hAnsi="宋体" w:cs="宋体"/>
                <w:b/>
                <w:color w:val="auto"/>
                <w:sz w:val="24"/>
                <w:szCs w:val="24"/>
                <w:highlight w:val="none"/>
              </w:rPr>
            </w:pPr>
          </w:p>
        </w:tc>
      </w:tr>
      <w:tr w14:paraId="2A33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B555271">
            <w:pPr>
              <w:adjustRightInd w:val="0"/>
              <w:snapToGrid w:val="0"/>
              <w:rPr>
                <w:rFonts w:ascii="宋体" w:hAnsi="宋体" w:cs="宋体"/>
                <w:b/>
                <w:color w:val="auto"/>
                <w:sz w:val="24"/>
                <w:szCs w:val="24"/>
                <w:highlight w:val="none"/>
              </w:rPr>
            </w:pPr>
          </w:p>
        </w:tc>
        <w:tc>
          <w:tcPr>
            <w:tcW w:w="2000" w:type="dxa"/>
          </w:tcPr>
          <w:p w14:paraId="31002332">
            <w:pPr>
              <w:adjustRightInd w:val="0"/>
              <w:snapToGrid w:val="0"/>
              <w:rPr>
                <w:rFonts w:ascii="宋体" w:hAnsi="宋体" w:cs="宋体"/>
                <w:b/>
                <w:color w:val="auto"/>
                <w:sz w:val="24"/>
                <w:szCs w:val="24"/>
                <w:highlight w:val="none"/>
              </w:rPr>
            </w:pPr>
          </w:p>
        </w:tc>
        <w:tc>
          <w:tcPr>
            <w:tcW w:w="2783" w:type="dxa"/>
          </w:tcPr>
          <w:p w14:paraId="610A2684">
            <w:pPr>
              <w:adjustRightInd w:val="0"/>
              <w:snapToGrid w:val="0"/>
              <w:rPr>
                <w:rFonts w:ascii="宋体" w:hAnsi="宋体" w:cs="宋体"/>
                <w:b/>
                <w:color w:val="auto"/>
                <w:sz w:val="24"/>
                <w:szCs w:val="24"/>
                <w:highlight w:val="none"/>
              </w:rPr>
            </w:pPr>
          </w:p>
        </w:tc>
        <w:tc>
          <w:tcPr>
            <w:tcW w:w="2584" w:type="dxa"/>
          </w:tcPr>
          <w:p w14:paraId="64B880F8">
            <w:pPr>
              <w:adjustRightInd w:val="0"/>
              <w:snapToGrid w:val="0"/>
              <w:rPr>
                <w:rFonts w:ascii="宋体" w:hAnsi="宋体" w:cs="宋体"/>
                <w:b/>
                <w:color w:val="auto"/>
                <w:sz w:val="24"/>
                <w:szCs w:val="24"/>
                <w:highlight w:val="none"/>
              </w:rPr>
            </w:pPr>
          </w:p>
        </w:tc>
      </w:tr>
      <w:tr w14:paraId="3FA8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EEB6648">
            <w:pPr>
              <w:adjustRightInd w:val="0"/>
              <w:snapToGrid w:val="0"/>
              <w:rPr>
                <w:rFonts w:ascii="宋体" w:hAnsi="宋体" w:cs="宋体"/>
                <w:b/>
                <w:color w:val="auto"/>
                <w:sz w:val="24"/>
                <w:szCs w:val="24"/>
                <w:highlight w:val="none"/>
              </w:rPr>
            </w:pPr>
          </w:p>
        </w:tc>
        <w:tc>
          <w:tcPr>
            <w:tcW w:w="2000" w:type="dxa"/>
          </w:tcPr>
          <w:p w14:paraId="6317C41B">
            <w:pPr>
              <w:adjustRightInd w:val="0"/>
              <w:snapToGrid w:val="0"/>
              <w:rPr>
                <w:rFonts w:ascii="宋体" w:hAnsi="宋体" w:cs="宋体"/>
                <w:b/>
                <w:color w:val="auto"/>
                <w:sz w:val="24"/>
                <w:szCs w:val="24"/>
                <w:highlight w:val="none"/>
              </w:rPr>
            </w:pPr>
          </w:p>
        </w:tc>
        <w:tc>
          <w:tcPr>
            <w:tcW w:w="2783" w:type="dxa"/>
          </w:tcPr>
          <w:p w14:paraId="693D4B98">
            <w:pPr>
              <w:adjustRightInd w:val="0"/>
              <w:snapToGrid w:val="0"/>
              <w:rPr>
                <w:rFonts w:ascii="宋体" w:hAnsi="宋体" w:cs="宋体"/>
                <w:b/>
                <w:color w:val="auto"/>
                <w:sz w:val="24"/>
                <w:szCs w:val="24"/>
                <w:highlight w:val="none"/>
              </w:rPr>
            </w:pPr>
          </w:p>
        </w:tc>
        <w:tc>
          <w:tcPr>
            <w:tcW w:w="2584" w:type="dxa"/>
          </w:tcPr>
          <w:p w14:paraId="77AFAC37">
            <w:pPr>
              <w:adjustRightInd w:val="0"/>
              <w:snapToGrid w:val="0"/>
              <w:rPr>
                <w:rFonts w:ascii="宋体" w:hAnsi="宋体" w:cs="宋体"/>
                <w:b/>
                <w:color w:val="auto"/>
                <w:sz w:val="24"/>
                <w:szCs w:val="24"/>
                <w:highlight w:val="none"/>
              </w:rPr>
            </w:pPr>
          </w:p>
        </w:tc>
      </w:tr>
    </w:tbl>
    <w:p w14:paraId="2712A728">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B74D057">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14:paraId="23FECCD8">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14:paraId="42B90C7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1D59925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u w:val="single"/>
        </w:rPr>
        <w:t>（投标人名称）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系中华人民共和国合法企业（其他组织），经营地址</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5B9CA87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的法定代表人（负责人），我方愿意参加贵方组织的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的投标，为便于贵方公正、择优地确定中标人及其投标产品和服务，我方就本次投标有关事项郑重声明如下：</w:t>
      </w:r>
    </w:p>
    <w:p w14:paraId="7E4E64AE">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14:paraId="48214F38">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14:paraId="14CD6B66">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14:paraId="6C7595E4">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14:paraId="0EF016A8">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14:paraId="175524EF">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14:paraId="55C931A9">
      <w:pPr>
        <w:adjustRightInd w:val="0"/>
        <w:snapToGrid w:val="0"/>
        <w:spacing w:line="400" w:lineRule="exact"/>
        <w:ind w:left="-4" w:leftChars="-2" w:right="-817" w:rightChars="-389" w:firstLine="2"/>
        <w:rPr>
          <w:rFonts w:ascii="宋体" w:hAnsi="宋体" w:cs="宋体"/>
          <w:color w:val="auto"/>
          <w:sz w:val="24"/>
          <w:szCs w:val="24"/>
          <w:highlight w:val="none"/>
        </w:rPr>
      </w:pPr>
    </w:p>
    <w:p w14:paraId="274B0BFA">
      <w:pPr>
        <w:adjustRightInd w:val="0"/>
        <w:snapToGrid w:val="0"/>
        <w:spacing w:line="400" w:lineRule="exact"/>
        <w:ind w:left="-4" w:leftChars="-2" w:right="-817" w:rightChars="-389" w:firstLine="2"/>
        <w:rPr>
          <w:rFonts w:ascii="宋体" w:hAnsi="宋体" w:cs="宋体"/>
          <w:color w:val="auto"/>
          <w:sz w:val="24"/>
          <w:szCs w:val="24"/>
          <w:highlight w:val="none"/>
        </w:rPr>
      </w:pPr>
    </w:p>
    <w:p w14:paraId="3D143658">
      <w:pPr>
        <w:adjustRightInd w:val="0"/>
        <w:snapToGrid w:val="0"/>
        <w:spacing w:line="400" w:lineRule="exact"/>
        <w:ind w:left="-4" w:leftChars="-2" w:right="-817" w:rightChars="-389" w:firstLine="2"/>
        <w:rPr>
          <w:rFonts w:ascii="宋体" w:hAnsi="宋体" w:cs="宋体"/>
          <w:color w:val="auto"/>
          <w:sz w:val="24"/>
          <w:szCs w:val="24"/>
          <w:highlight w:val="none"/>
        </w:rPr>
      </w:pPr>
    </w:p>
    <w:p w14:paraId="04B05CF2">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230D96B">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06D66CE9">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65579689">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14:paraId="6A4377BF">
      <w:pPr>
        <w:adjustRightInd w:val="0"/>
        <w:snapToGrid w:val="0"/>
        <w:spacing w:line="360" w:lineRule="auto"/>
        <w:jc w:val="center"/>
        <w:rPr>
          <w:rFonts w:ascii="宋体" w:hAnsi="宋体" w:cs="宋体"/>
          <w:color w:val="auto"/>
          <w:sz w:val="24"/>
          <w:szCs w:val="24"/>
          <w:highlight w:val="none"/>
        </w:rPr>
      </w:pPr>
    </w:p>
    <w:p w14:paraId="314886C8">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14:paraId="1C266FBB">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u w:val="single"/>
        </w:rPr>
        <w:t xml:space="preserve">（采购代理机构名称）       </w:t>
      </w:r>
      <w:r>
        <w:rPr>
          <w:rFonts w:hint="eastAsia" w:ascii="宋体" w:hAnsi="宋体" w:cs="宋体"/>
          <w:color w:val="auto"/>
          <w:sz w:val="24"/>
          <w:szCs w:val="24"/>
          <w:highlight w:val="none"/>
        </w:rPr>
        <w:t>：</w:t>
      </w:r>
    </w:p>
    <w:p w14:paraId="525B60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w:t>
      </w:r>
      <w:r>
        <w:rPr>
          <w:rFonts w:hint="eastAsia" w:ascii="宋体" w:hAnsi="宋体" w:cs="宋体"/>
          <w:color w:val="auto"/>
          <w:sz w:val="24"/>
          <w:szCs w:val="24"/>
          <w:highlight w:val="none"/>
          <w:u w:val="single"/>
        </w:rPr>
        <w:t>（负责人、自然人）</w:t>
      </w:r>
      <w:r>
        <w:rPr>
          <w:rFonts w:hint="eastAsia" w:ascii="宋体" w:hAnsi="宋体" w:cs="宋体"/>
          <w:color w:val="auto"/>
          <w:sz w:val="24"/>
          <w:szCs w:val="24"/>
          <w:highlight w:val="none"/>
        </w:rPr>
        <w:t>，现授权委托</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以我方的名义参加</w:t>
      </w:r>
      <w:r>
        <w:rPr>
          <w:rFonts w:hint="eastAsia" w:ascii="宋体" w:hAnsi="宋体" w:cs="宋体"/>
          <w:color w:val="auto"/>
          <w:sz w:val="24"/>
          <w:szCs w:val="24"/>
          <w:highlight w:val="none"/>
          <w:u w:val="single"/>
        </w:rPr>
        <w:t xml:space="preserve">     项目（项目编号：        ）</w:t>
      </w:r>
      <w:r>
        <w:rPr>
          <w:rFonts w:hint="eastAsia" w:ascii="宋体" w:hAnsi="宋体" w:cs="宋体"/>
          <w:color w:val="auto"/>
          <w:sz w:val="24"/>
          <w:szCs w:val="24"/>
          <w:highlight w:val="none"/>
        </w:rPr>
        <w:t>的投标活动，并代表我方全权办理针对上述项目的投标、开标、评标、签约等具体事务和签署相关文件。</w:t>
      </w:r>
    </w:p>
    <w:p w14:paraId="6D55EC7A">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14:paraId="43C8F5C5">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14:paraId="768A9F99">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14:paraId="04C5FAE5">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14:paraId="7F887955">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14:paraId="227539EE">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14:paraId="09622C29">
      <w:pPr>
        <w:adjustRightInd w:val="0"/>
        <w:snapToGrid w:val="0"/>
        <w:spacing w:line="360" w:lineRule="auto"/>
        <w:rPr>
          <w:rFonts w:ascii="宋体" w:hAnsi="宋体" w:cs="宋体"/>
          <w:color w:val="auto"/>
          <w:sz w:val="24"/>
          <w:szCs w:val="24"/>
          <w:highlight w:val="none"/>
        </w:rPr>
      </w:pPr>
    </w:p>
    <w:tbl>
      <w:tblPr>
        <w:tblStyle w:val="41"/>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14:paraId="7AFA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14:paraId="31EAEF9D">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14:paraId="67C72808">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14:paraId="61C1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14:paraId="5B0E74F7">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14:paraId="3F436D5D">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14:paraId="564191A2">
      <w:pPr>
        <w:adjustRightInd w:val="0"/>
        <w:snapToGrid w:val="0"/>
        <w:spacing w:line="360" w:lineRule="auto"/>
        <w:ind w:right="480"/>
        <w:jc w:val="center"/>
        <w:rPr>
          <w:rFonts w:ascii="宋体" w:hAnsi="宋体" w:cs="宋体"/>
          <w:color w:val="auto"/>
          <w:sz w:val="24"/>
          <w:szCs w:val="24"/>
          <w:highlight w:val="none"/>
        </w:rPr>
      </w:pPr>
    </w:p>
    <w:p w14:paraId="6E5E0F1A">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14:paraId="6E13855F">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0B9E73A">
      <w:pPr>
        <w:adjustRightInd w:val="0"/>
        <w:snapToGrid w:val="0"/>
        <w:spacing w:line="360" w:lineRule="auto"/>
        <w:rPr>
          <w:rFonts w:ascii="宋体" w:hAnsi="宋体" w:cs="宋体"/>
          <w:b/>
          <w:color w:val="auto"/>
          <w:sz w:val="24"/>
          <w:szCs w:val="24"/>
          <w:highlight w:val="none"/>
        </w:rPr>
      </w:pPr>
    </w:p>
    <w:p w14:paraId="05164C9C">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14:paraId="38667742">
      <w:pPr>
        <w:adjustRightInd w:val="0"/>
        <w:snapToGrid w:val="0"/>
        <w:spacing w:line="400" w:lineRule="exact"/>
        <w:jc w:val="left"/>
        <w:rPr>
          <w:rFonts w:ascii="宋体" w:hAnsi="宋体" w:cs="宋体"/>
          <w:b/>
          <w:color w:val="auto"/>
          <w:sz w:val="24"/>
          <w:szCs w:val="24"/>
          <w:highlight w:val="none"/>
        </w:rPr>
      </w:pPr>
    </w:p>
    <w:p w14:paraId="7E2C5A69">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183BAB9B">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14:paraId="46CDED3A">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14:paraId="5D3E39C7">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41"/>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14:paraId="6087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2" w:hRule="atLeast"/>
          <w:jc w:val="center"/>
        </w:trPr>
        <w:tc>
          <w:tcPr>
            <w:tcW w:w="1658" w:type="dxa"/>
            <w:vAlign w:val="center"/>
          </w:tcPr>
          <w:p w14:paraId="3BF8891E">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14:paraId="2ED59E97">
            <w:pPr>
              <w:pStyle w:val="188"/>
              <w:numPr>
                <w:ilvl w:val="0"/>
                <w:numId w:val="9"/>
              </w:numPr>
              <w:spacing w:line="400" w:lineRule="exact"/>
              <w:ind w:firstLineChars="0"/>
              <w:rPr>
                <w:rFonts w:ascii="宋体" w:hAnsi="宋体" w:cs="宋体"/>
                <w:color w:val="auto"/>
                <w:sz w:val="24"/>
                <w:szCs w:val="24"/>
                <w:highlight w:val="none"/>
              </w:rPr>
            </w:pPr>
          </w:p>
        </w:tc>
      </w:tr>
      <w:tr w14:paraId="444E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6054DF4">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14:paraId="431B5012">
            <w:pPr>
              <w:pStyle w:val="188"/>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15BE40CC">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14:paraId="7DDB28CC">
            <w:pPr>
              <w:pStyle w:val="188"/>
              <w:numPr>
                <w:ilvl w:val="0"/>
                <w:numId w:val="9"/>
              </w:numPr>
              <w:spacing w:line="400" w:lineRule="exact"/>
              <w:ind w:firstLineChars="0"/>
              <w:rPr>
                <w:rFonts w:ascii="宋体" w:hAnsi="宋体" w:cs="宋体"/>
                <w:color w:val="auto"/>
                <w:sz w:val="24"/>
                <w:szCs w:val="24"/>
                <w:highlight w:val="none"/>
              </w:rPr>
            </w:pPr>
          </w:p>
        </w:tc>
      </w:tr>
      <w:tr w14:paraId="6667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14:paraId="06EF1726">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14:paraId="7DE8D7D4">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14:paraId="40AE785D">
            <w:pPr>
              <w:pStyle w:val="188"/>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5D03807E">
            <w:pPr>
              <w:pStyle w:val="188"/>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14:paraId="79942FC0">
            <w:pPr>
              <w:pStyle w:val="188"/>
              <w:numPr>
                <w:ilvl w:val="0"/>
                <w:numId w:val="9"/>
              </w:numPr>
              <w:spacing w:line="400" w:lineRule="exact"/>
              <w:ind w:firstLineChars="0"/>
              <w:rPr>
                <w:rFonts w:ascii="宋体" w:hAnsi="宋体" w:cs="宋体"/>
                <w:color w:val="auto"/>
                <w:sz w:val="24"/>
                <w:szCs w:val="24"/>
                <w:highlight w:val="none"/>
              </w:rPr>
            </w:pPr>
          </w:p>
        </w:tc>
      </w:tr>
      <w:tr w14:paraId="29F9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14:paraId="100FE463">
            <w:pPr>
              <w:pStyle w:val="188"/>
              <w:numPr>
                <w:ilvl w:val="0"/>
                <w:numId w:val="9"/>
              </w:numPr>
              <w:spacing w:line="400" w:lineRule="exact"/>
              <w:ind w:firstLineChars="0"/>
              <w:rPr>
                <w:rFonts w:ascii="宋体" w:hAnsi="宋体" w:cs="宋体"/>
                <w:color w:val="auto"/>
                <w:sz w:val="24"/>
                <w:szCs w:val="24"/>
                <w:highlight w:val="none"/>
              </w:rPr>
            </w:pPr>
          </w:p>
        </w:tc>
        <w:tc>
          <w:tcPr>
            <w:tcW w:w="1053" w:type="dxa"/>
            <w:vAlign w:val="center"/>
          </w:tcPr>
          <w:p w14:paraId="4EBAB7BC">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14:paraId="48008E92">
            <w:pPr>
              <w:pStyle w:val="188"/>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76A1A56A">
            <w:pPr>
              <w:pStyle w:val="188"/>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14:paraId="7091769B">
            <w:pPr>
              <w:pStyle w:val="188"/>
              <w:numPr>
                <w:ilvl w:val="0"/>
                <w:numId w:val="9"/>
              </w:numPr>
              <w:spacing w:line="400" w:lineRule="exact"/>
              <w:ind w:firstLineChars="0"/>
              <w:rPr>
                <w:rFonts w:ascii="宋体" w:hAnsi="宋体" w:cs="宋体"/>
                <w:color w:val="auto"/>
                <w:sz w:val="24"/>
                <w:szCs w:val="24"/>
                <w:highlight w:val="none"/>
              </w:rPr>
            </w:pPr>
          </w:p>
        </w:tc>
      </w:tr>
      <w:tr w14:paraId="57E4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1E4EC9E">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14:paraId="310237EA">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3D74B4D3">
            <w:pPr>
              <w:pStyle w:val="188"/>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78D27B66">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6F985570">
            <w:pPr>
              <w:pStyle w:val="188"/>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5C3E5146">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1C4954B1">
            <w:pPr>
              <w:pStyle w:val="188"/>
              <w:numPr>
                <w:ilvl w:val="0"/>
                <w:numId w:val="9"/>
              </w:numPr>
              <w:spacing w:line="400" w:lineRule="exact"/>
              <w:ind w:firstLineChars="0"/>
              <w:rPr>
                <w:rFonts w:ascii="宋体" w:hAnsi="宋体" w:cs="宋体"/>
                <w:color w:val="auto"/>
                <w:sz w:val="24"/>
                <w:szCs w:val="24"/>
                <w:highlight w:val="none"/>
              </w:rPr>
            </w:pPr>
          </w:p>
        </w:tc>
      </w:tr>
      <w:tr w14:paraId="020C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0409E857">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14:paraId="30A16F2F">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6CF5B209">
            <w:pPr>
              <w:pStyle w:val="188"/>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1857328F">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6091CFC3">
            <w:pPr>
              <w:pStyle w:val="188"/>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4C0F9F4C">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0FC94C16">
            <w:pPr>
              <w:pStyle w:val="188"/>
              <w:numPr>
                <w:ilvl w:val="0"/>
                <w:numId w:val="9"/>
              </w:numPr>
              <w:spacing w:line="400" w:lineRule="exact"/>
              <w:ind w:firstLineChars="0"/>
              <w:rPr>
                <w:rFonts w:ascii="宋体" w:hAnsi="宋体" w:cs="宋体"/>
                <w:color w:val="auto"/>
                <w:sz w:val="24"/>
                <w:szCs w:val="24"/>
                <w:highlight w:val="none"/>
              </w:rPr>
            </w:pPr>
          </w:p>
        </w:tc>
      </w:tr>
      <w:tr w14:paraId="6F2D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37B9BC4">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14:paraId="4EF24662">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4D794B71">
            <w:pPr>
              <w:pStyle w:val="188"/>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487F4823">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420D78C3">
            <w:pPr>
              <w:pStyle w:val="188"/>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33FE2E72">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37AFDAE0">
            <w:pPr>
              <w:pStyle w:val="188"/>
              <w:numPr>
                <w:ilvl w:val="0"/>
                <w:numId w:val="9"/>
              </w:numPr>
              <w:spacing w:line="400" w:lineRule="exact"/>
              <w:ind w:firstLineChars="0"/>
              <w:rPr>
                <w:rFonts w:ascii="宋体" w:hAnsi="宋体" w:cs="宋体"/>
                <w:color w:val="auto"/>
                <w:sz w:val="24"/>
                <w:szCs w:val="24"/>
                <w:highlight w:val="none"/>
              </w:rPr>
            </w:pPr>
          </w:p>
        </w:tc>
      </w:tr>
      <w:tr w14:paraId="5EBF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65D8E4A9">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14:paraId="4EBAAF31">
            <w:pPr>
              <w:pStyle w:val="188"/>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33F6479F">
            <w:pPr>
              <w:pStyle w:val="188"/>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14:paraId="619CFDB3">
            <w:pPr>
              <w:pStyle w:val="188"/>
              <w:numPr>
                <w:ilvl w:val="0"/>
                <w:numId w:val="9"/>
              </w:numPr>
              <w:spacing w:line="400" w:lineRule="exact"/>
              <w:ind w:firstLineChars="0"/>
              <w:rPr>
                <w:rFonts w:ascii="宋体" w:hAnsi="宋体" w:cs="宋体"/>
                <w:color w:val="auto"/>
                <w:sz w:val="24"/>
                <w:szCs w:val="24"/>
                <w:highlight w:val="none"/>
              </w:rPr>
            </w:pPr>
          </w:p>
        </w:tc>
      </w:tr>
      <w:tr w14:paraId="323C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14:paraId="789989DD">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14:paraId="5D49A321">
            <w:pPr>
              <w:pStyle w:val="188"/>
              <w:numPr>
                <w:ilvl w:val="0"/>
                <w:numId w:val="9"/>
              </w:numPr>
              <w:spacing w:line="400" w:lineRule="exact"/>
              <w:ind w:firstLineChars="0"/>
              <w:rPr>
                <w:rFonts w:ascii="宋体" w:hAnsi="宋体" w:cs="宋体"/>
                <w:color w:val="auto"/>
                <w:sz w:val="24"/>
                <w:szCs w:val="24"/>
                <w:highlight w:val="none"/>
              </w:rPr>
            </w:pPr>
          </w:p>
        </w:tc>
      </w:tr>
      <w:tr w14:paraId="6CB4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14:paraId="0F219581">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14:paraId="425AB18C">
            <w:pPr>
              <w:pStyle w:val="188"/>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78F58A5E">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14:paraId="2884A294">
            <w:pPr>
              <w:pStyle w:val="188"/>
              <w:numPr>
                <w:ilvl w:val="0"/>
                <w:numId w:val="9"/>
              </w:numPr>
              <w:spacing w:line="400" w:lineRule="exact"/>
              <w:ind w:firstLineChars="0"/>
              <w:rPr>
                <w:rFonts w:ascii="宋体" w:hAnsi="宋体" w:cs="宋体"/>
                <w:color w:val="auto"/>
                <w:sz w:val="24"/>
                <w:szCs w:val="24"/>
                <w:highlight w:val="none"/>
              </w:rPr>
            </w:pPr>
          </w:p>
        </w:tc>
      </w:tr>
      <w:tr w14:paraId="632FD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106B59C3">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14:paraId="005810D3">
            <w:pPr>
              <w:pStyle w:val="188"/>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0C964722">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14:paraId="63129ECF">
            <w:pPr>
              <w:pStyle w:val="188"/>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232E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29684973">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14:paraId="62E9696D">
            <w:pPr>
              <w:pStyle w:val="188"/>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4D7E011B">
            <w:pPr>
              <w:pStyle w:val="188"/>
              <w:numPr>
                <w:ilvl w:val="0"/>
                <w:numId w:val="9"/>
              </w:numPr>
              <w:spacing w:line="400" w:lineRule="exact"/>
              <w:ind w:firstLineChars="0"/>
              <w:rPr>
                <w:rFonts w:ascii="宋体" w:hAnsi="宋体" w:cs="宋体"/>
                <w:color w:val="auto"/>
                <w:sz w:val="24"/>
                <w:szCs w:val="24"/>
                <w:highlight w:val="none"/>
              </w:rPr>
            </w:pPr>
          </w:p>
        </w:tc>
        <w:tc>
          <w:tcPr>
            <w:tcW w:w="2165" w:type="dxa"/>
            <w:gridSpan w:val="2"/>
            <w:vAlign w:val="center"/>
          </w:tcPr>
          <w:p w14:paraId="57D3F104">
            <w:pPr>
              <w:pStyle w:val="188"/>
              <w:numPr>
                <w:ilvl w:val="0"/>
                <w:numId w:val="9"/>
              </w:numPr>
              <w:spacing w:line="400" w:lineRule="exact"/>
              <w:ind w:firstLineChars="0"/>
              <w:rPr>
                <w:rFonts w:ascii="宋体" w:hAnsi="宋体" w:cs="宋体"/>
                <w:color w:val="auto"/>
                <w:sz w:val="24"/>
                <w:szCs w:val="24"/>
                <w:highlight w:val="none"/>
              </w:rPr>
            </w:pPr>
          </w:p>
        </w:tc>
      </w:tr>
      <w:tr w14:paraId="4EED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486EC07D">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14:paraId="1494B3BA">
            <w:pPr>
              <w:pStyle w:val="188"/>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298147ED">
            <w:pPr>
              <w:pStyle w:val="188"/>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14:paraId="320224D6">
            <w:pPr>
              <w:pStyle w:val="188"/>
              <w:numPr>
                <w:ilvl w:val="0"/>
                <w:numId w:val="9"/>
              </w:numPr>
              <w:spacing w:line="400" w:lineRule="exact"/>
              <w:ind w:firstLineChars="0"/>
              <w:rPr>
                <w:rFonts w:ascii="宋体" w:hAnsi="宋体" w:cs="宋体"/>
                <w:color w:val="auto"/>
                <w:sz w:val="24"/>
                <w:szCs w:val="24"/>
                <w:highlight w:val="none"/>
              </w:rPr>
            </w:pPr>
          </w:p>
        </w:tc>
      </w:tr>
      <w:tr w14:paraId="2501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14:paraId="106B5AB2">
            <w:pPr>
              <w:pStyle w:val="188"/>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14:paraId="4D0CE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14:paraId="11B47C0D">
            <w:pPr>
              <w:pStyle w:val="188"/>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14:paraId="6EFBE425">
            <w:pPr>
              <w:pStyle w:val="188"/>
              <w:numPr>
                <w:ilvl w:val="0"/>
                <w:numId w:val="9"/>
              </w:numPr>
              <w:spacing w:line="400" w:lineRule="exact"/>
              <w:ind w:firstLineChars="0"/>
              <w:rPr>
                <w:rFonts w:ascii="宋体" w:hAnsi="宋体" w:cs="宋体"/>
                <w:color w:val="auto"/>
                <w:sz w:val="24"/>
                <w:szCs w:val="24"/>
                <w:highlight w:val="none"/>
              </w:rPr>
            </w:pPr>
          </w:p>
        </w:tc>
      </w:tr>
      <w:tr w14:paraId="6E136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0B42BCC6">
            <w:pPr>
              <w:pStyle w:val="188"/>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14:paraId="50BB919F">
            <w:pPr>
              <w:pStyle w:val="188"/>
              <w:numPr>
                <w:ilvl w:val="0"/>
                <w:numId w:val="9"/>
              </w:numPr>
              <w:spacing w:line="400" w:lineRule="exact"/>
              <w:ind w:firstLineChars="0"/>
              <w:rPr>
                <w:rFonts w:ascii="宋体" w:hAnsi="宋体" w:cs="宋体"/>
                <w:color w:val="auto"/>
                <w:sz w:val="24"/>
                <w:szCs w:val="24"/>
                <w:highlight w:val="none"/>
              </w:rPr>
            </w:pPr>
          </w:p>
        </w:tc>
      </w:tr>
      <w:tr w14:paraId="7492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6A3B5140">
            <w:pPr>
              <w:pStyle w:val="188"/>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14:paraId="4F20279D">
            <w:pPr>
              <w:pStyle w:val="188"/>
              <w:numPr>
                <w:ilvl w:val="0"/>
                <w:numId w:val="9"/>
              </w:numPr>
              <w:spacing w:line="400" w:lineRule="exact"/>
              <w:ind w:firstLineChars="0"/>
              <w:rPr>
                <w:rFonts w:ascii="宋体" w:hAnsi="宋体" w:cs="宋体"/>
                <w:color w:val="auto"/>
                <w:sz w:val="24"/>
                <w:szCs w:val="24"/>
                <w:highlight w:val="none"/>
              </w:rPr>
            </w:pPr>
          </w:p>
        </w:tc>
      </w:tr>
    </w:tbl>
    <w:p w14:paraId="571234F5">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14:paraId="07F38499">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43565C80">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75923381">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CA394EC">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58A9304">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14:paraId="0D682AE8">
      <w:pPr>
        <w:adjustRightInd w:val="0"/>
        <w:snapToGrid w:val="0"/>
        <w:spacing w:line="4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应提供本单位202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年度经会计师事务所出具的审计报告复印件，（报告中须包括资产负债表、利润表、现金流量表及财务报表附注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如供应商注册不满1年无需提供上述资料；）</w:t>
      </w:r>
    </w:p>
    <w:p w14:paraId="54199F24">
      <w:pPr>
        <w:pStyle w:val="40"/>
        <w:rPr>
          <w:color w:val="auto"/>
          <w:highlight w:val="none"/>
        </w:rPr>
      </w:pPr>
    </w:p>
    <w:p w14:paraId="2AD29176">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1EFD614D">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14:paraId="663F8B18">
      <w:pPr>
        <w:pStyle w:val="201"/>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14:paraId="2A0EF954">
      <w:pPr>
        <w:pStyle w:val="201"/>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14:paraId="6A96134F">
      <w:pPr>
        <w:pStyle w:val="201"/>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14:paraId="453BD667">
      <w:pPr>
        <w:pStyle w:val="201"/>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14:paraId="5FA732AE">
      <w:pPr>
        <w:pStyle w:val="201"/>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14:paraId="0E874086">
      <w:pPr>
        <w:pStyle w:val="201"/>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14:paraId="79FA0B38">
      <w:pPr>
        <w:adjustRightInd w:val="0"/>
        <w:snapToGrid w:val="0"/>
        <w:spacing w:line="400" w:lineRule="exact"/>
        <w:jc w:val="left"/>
        <w:rPr>
          <w:rFonts w:ascii="宋体" w:hAnsi="宋体" w:cs="宋体"/>
          <w:b/>
          <w:color w:val="auto"/>
          <w:sz w:val="24"/>
          <w:szCs w:val="24"/>
          <w:highlight w:val="none"/>
        </w:rPr>
      </w:pPr>
    </w:p>
    <w:p w14:paraId="0A4D55D3">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6133FF59">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14:paraId="2B7288EC">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前6个月内（至少提供1个月）缴纳税收的凭据（完税证、缴款书、印花税票、银行代扣（代缴）转账凭证等均可）； </w:t>
      </w:r>
    </w:p>
    <w:p w14:paraId="502E304A">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14:paraId="0D2EDA24">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为其他组织或自然人的，也需要按此项规定提供缴纳税收的凭据和交纳社会保险的凭据。如</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的社会保险为委托第三方代缴，还需同时提供</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与第三方服务机构签署的服务合同（合同中应明确写明第三方为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代缴其社会保险）。</w:t>
      </w:r>
    </w:p>
    <w:p w14:paraId="025923B5">
      <w:pPr>
        <w:pStyle w:val="32"/>
        <w:rPr>
          <w:color w:val="auto"/>
          <w:highlight w:val="none"/>
        </w:rPr>
      </w:pPr>
    </w:p>
    <w:p w14:paraId="67E39ABC">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6157060C">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14:paraId="69263C2B">
      <w:pPr>
        <w:pStyle w:val="201"/>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14:paraId="3351E176">
      <w:pPr>
        <w:pStyle w:val="201"/>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14:paraId="600CCBC2">
      <w:pPr>
        <w:pStyle w:val="201"/>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14:paraId="2AFFA2A8">
      <w:pPr>
        <w:pStyle w:val="201"/>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14:paraId="1CA22E00">
      <w:pPr>
        <w:pStyle w:val="201"/>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65F586BE">
      <w:pPr>
        <w:pStyle w:val="201"/>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14:paraId="71B5AFE6">
      <w:pPr>
        <w:adjustRightInd w:val="0"/>
        <w:snapToGrid w:val="0"/>
        <w:spacing w:line="400" w:lineRule="exact"/>
        <w:jc w:val="left"/>
        <w:rPr>
          <w:rFonts w:ascii="宋体" w:hAnsi="宋体" w:cs="宋体"/>
          <w:b/>
          <w:color w:val="auto"/>
          <w:sz w:val="24"/>
          <w:szCs w:val="24"/>
          <w:highlight w:val="none"/>
        </w:rPr>
      </w:pPr>
    </w:p>
    <w:p w14:paraId="05FDDD57">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255C2CCE">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w:t>
      </w:r>
      <w:r>
        <w:rPr>
          <w:rFonts w:hint="eastAsia" w:ascii="宋体" w:hAnsi="宋体" w:cs="宋体"/>
          <w:b/>
          <w:color w:val="auto"/>
          <w:sz w:val="24"/>
          <w:szCs w:val="24"/>
          <w:highlight w:val="none"/>
          <w:lang w:eastAsia="zh-CN"/>
        </w:rPr>
        <w:t>重大税收违法失信主体</w:t>
      </w:r>
      <w:r>
        <w:rPr>
          <w:rFonts w:hint="eastAsia" w:ascii="宋体" w:hAnsi="宋体" w:cs="宋体"/>
          <w:b/>
          <w:color w:val="auto"/>
          <w:sz w:val="24"/>
          <w:szCs w:val="24"/>
          <w:highlight w:val="none"/>
        </w:rPr>
        <w:t>、政府采购严重违法失信行为记录名单及及其他不符合规定条件的投标人；投标人未被列入“信用中国”网站(www.creditchina.gov.cn)“记录失信被执行人或重大税收违法案件当事人名单或政府采购严重违法失信行为”记录名单；未处于中国政府采购网(www.ccgp.gov.cn)“政府采购严重违法失信行为信息记录”中的禁止参加政府采购活动 期间（以采购代理机构于开标当天在“信用中国”网站（www.creditchina.gov.cn）及中国政府采购网(www.ccgp.gov.cn)查询结果为准，如相关失信记录已失效，投标人需提供相关证明资料）。</w:t>
      </w:r>
    </w:p>
    <w:p w14:paraId="4190632F">
      <w:pPr>
        <w:adjustRightInd w:val="0"/>
        <w:snapToGrid w:val="0"/>
        <w:spacing w:line="400" w:lineRule="exact"/>
        <w:jc w:val="left"/>
        <w:rPr>
          <w:rFonts w:hint="eastAsia" w:ascii="宋体" w:hAnsi="宋体" w:cs="宋体"/>
          <w:b/>
          <w:color w:val="auto"/>
          <w:sz w:val="24"/>
          <w:szCs w:val="24"/>
          <w:highlight w:val="none"/>
        </w:rPr>
      </w:pPr>
    </w:p>
    <w:p w14:paraId="7C14E566">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04BFBA75">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14:paraId="3B7BC5B6">
      <w:pPr>
        <w:adjustRightInd w:val="0"/>
        <w:snapToGrid w:val="0"/>
        <w:spacing w:line="400" w:lineRule="exact"/>
        <w:jc w:val="left"/>
        <w:rPr>
          <w:rFonts w:ascii="宋体" w:hAnsi="宋体" w:cs="宋体"/>
          <w:b/>
          <w:color w:val="auto"/>
          <w:sz w:val="24"/>
          <w:szCs w:val="24"/>
          <w:highlight w:val="none"/>
        </w:rPr>
      </w:pPr>
    </w:p>
    <w:p w14:paraId="2CC760C5">
      <w:pPr>
        <w:widowControl/>
        <w:snapToGrid w:val="0"/>
        <w:spacing w:line="400" w:lineRule="exact"/>
        <w:jc w:val="left"/>
        <w:rPr>
          <w:rFonts w:ascii="宋体" w:hAnsi="宋体" w:cs="宋体"/>
          <w:b/>
          <w:bCs/>
          <w:color w:val="auto"/>
          <w:sz w:val="24"/>
          <w:szCs w:val="24"/>
          <w:highlight w:val="none"/>
        </w:rPr>
      </w:pPr>
    </w:p>
    <w:p w14:paraId="01D56B6D">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7DBA9725">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2023</w:t>
      </w:r>
      <w:r>
        <w:rPr>
          <w:rFonts w:hint="eastAsia" w:ascii="宋体" w:hAnsi="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业绩</w:t>
      </w:r>
    </w:p>
    <w:p w14:paraId="0B6E260B">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以签订合同时间为准，需提供</w:t>
      </w:r>
      <w:r>
        <w:rPr>
          <w:rFonts w:hint="eastAsia" w:ascii="宋体" w:hAnsi="宋体" w:cs="宋体"/>
          <w:color w:val="auto"/>
          <w:sz w:val="24"/>
          <w:szCs w:val="24"/>
          <w:highlight w:val="none"/>
          <w:lang w:eastAsia="zh-CN"/>
        </w:rPr>
        <w:t>中标（成交）通知书、</w:t>
      </w:r>
      <w:r>
        <w:rPr>
          <w:rFonts w:hint="eastAsia" w:ascii="宋体" w:hAnsi="宋体" w:cs="宋体"/>
          <w:color w:val="auto"/>
          <w:sz w:val="24"/>
          <w:szCs w:val="24"/>
          <w:highlight w:val="none"/>
        </w:rPr>
        <w:t>与最终用户合同复印件，复印件并加盖公章，如出现与事实不符等情况，将根据有关规定以“提供虚假材料谋取中标”予以处罚。</w:t>
      </w:r>
    </w:p>
    <w:p w14:paraId="69223D12">
      <w:pPr>
        <w:pStyle w:val="32"/>
        <w:rPr>
          <w:rFonts w:ascii="宋体" w:hAnsi="宋体" w:cs="宋体"/>
          <w:b/>
          <w:bCs/>
          <w:color w:val="auto"/>
          <w:sz w:val="24"/>
          <w:szCs w:val="24"/>
          <w:highlight w:val="none"/>
        </w:rPr>
      </w:pPr>
    </w:p>
    <w:p w14:paraId="314262E6">
      <w:pPr>
        <w:pStyle w:val="32"/>
        <w:rPr>
          <w:rFonts w:ascii="宋体" w:hAnsi="宋体" w:cs="宋体"/>
          <w:b/>
          <w:bCs/>
          <w:color w:val="auto"/>
          <w:sz w:val="24"/>
          <w:szCs w:val="24"/>
          <w:highlight w:val="none"/>
        </w:rPr>
      </w:pPr>
    </w:p>
    <w:p w14:paraId="64C9A1B1">
      <w:pPr>
        <w:pStyle w:val="32"/>
        <w:rPr>
          <w:rFonts w:ascii="宋体" w:hAnsi="宋体" w:cs="宋体"/>
          <w:b/>
          <w:bCs/>
          <w:color w:val="auto"/>
          <w:sz w:val="24"/>
          <w:szCs w:val="24"/>
          <w:highlight w:val="none"/>
        </w:rPr>
      </w:pPr>
    </w:p>
    <w:p w14:paraId="69F47268">
      <w:pPr>
        <w:pStyle w:val="32"/>
        <w:rPr>
          <w:rFonts w:ascii="宋体" w:hAnsi="宋体" w:cs="宋体"/>
          <w:b/>
          <w:bCs/>
          <w:color w:val="auto"/>
          <w:sz w:val="24"/>
          <w:szCs w:val="24"/>
          <w:highlight w:val="none"/>
        </w:rPr>
      </w:pPr>
    </w:p>
    <w:p w14:paraId="1F592006">
      <w:pPr>
        <w:pStyle w:val="32"/>
        <w:rPr>
          <w:rFonts w:ascii="宋体" w:hAnsi="宋体" w:cs="宋体"/>
          <w:b/>
          <w:bCs/>
          <w:color w:val="auto"/>
          <w:sz w:val="24"/>
          <w:szCs w:val="24"/>
          <w:highlight w:val="none"/>
        </w:rPr>
      </w:pPr>
    </w:p>
    <w:p w14:paraId="5F63D0A1">
      <w:pPr>
        <w:pStyle w:val="32"/>
        <w:rPr>
          <w:rFonts w:ascii="宋体" w:hAnsi="宋体" w:cs="宋体"/>
          <w:b/>
          <w:bCs/>
          <w:color w:val="auto"/>
          <w:sz w:val="24"/>
          <w:szCs w:val="24"/>
          <w:highlight w:val="none"/>
        </w:rPr>
      </w:pPr>
    </w:p>
    <w:p w14:paraId="459785F4">
      <w:pPr>
        <w:pStyle w:val="32"/>
        <w:rPr>
          <w:rFonts w:ascii="宋体" w:hAnsi="宋体" w:cs="宋体"/>
          <w:b/>
          <w:bCs/>
          <w:color w:val="auto"/>
          <w:sz w:val="24"/>
          <w:szCs w:val="24"/>
          <w:highlight w:val="none"/>
        </w:rPr>
      </w:pPr>
    </w:p>
    <w:p w14:paraId="727CDC34">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62172162">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14:paraId="0EB506DE">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14:paraId="3A6D8923">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14:paraId="2B75DCB0">
      <w:pPr>
        <w:widowControl/>
        <w:numPr>
          <w:ilvl w:val="0"/>
          <w:numId w:val="10"/>
        </w:numPr>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超临界萃取综合平台（标的名称）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lang w:val="en-US" w:eastAsia="zh-CN"/>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3B409925">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lang w:val="en-US" w:eastAsia="zh-CN"/>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2FCB1457">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23510C3F">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2A346904">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14:paraId="064624D8">
      <w:pPr>
        <w:widowControl/>
        <w:snapToGrid w:val="0"/>
        <w:spacing w:before="75" w:after="75" w:line="400" w:lineRule="exact"/>
        <w:ind w:firstLine="480" w:firstLineChars="200"/>
        <w:rPr>
          <w:rFonts w:ascii="宋体" w:hAnsi="宋体" w:cs="宋体"/>
          <w:color w:val="auto"/>
          <w:kern w:val="0"/>
          <w:sz w:val="24"/>
          <w:szCs w:val="24"/>
          <w:highlight w:val="none"/>
        </w:rPr>
      </w:pPr>
    </w:p>
    <w:p w14:paraId="1E2ECBAE">
      <w:pPr>
        <w:widowControl/>
        <w:snapToGrid w:val="0"/>
        <w:spacing w:before="75" w:after="75" w:line="400" w:lineRule="exact"/>
        <w:ind w:firstLine="480" w:firstLineChars="200"/>
        <w:rPr>
          <w:rFonts w:ascii="宋体" w:hAnsi="宋体" w:cs="宋体"/>
          <w:color w:val="auto"/>
          <w:kern w:val="0"/>
          <w:sz w:val="24"/>
          <w:szCs w:val="24"/>
          <w:highlight w:val="none"/>
        </w:rPr>
      </w:pPr>
    </w:p>
    <w:p w14:paraId="2D558801">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14:paraId="662353BC">
      <w:pPr>
        <w:pStyle w:val="24"/>
        <w:snapToGrid w:val="0"/>
        <w:spacing w:before="156" w:after="156"/>
        <w:ind w:firstLine="4920" w:firstLineChars="205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日期：</w:t>
      </w:r>
    </w:p>
    <w:p w14:paraId="210D6E68">
      <w:pPr>
        <w:snapToGrid w:val="0"/>
        <w:spacing w:line="400" w:lineRule="exact"/>
        <w:ind w:firstLine="480" w:firstLineChars="200"/>
        <w:rPr>
          <w:rFonts w:hint="eastAsia" w:ascii="宋体" w:hAnsi="宋体" w:cs="宋体"/>
          <w:color w:val="auto"/>
          <w:sz w:val="24"/>
          <w:highlight w:val="none"/>
        </w:rPr>
      </w:pPr>
    </w:p>
    <w:p w14:paraId="5B8CEDA3">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14:paraId="7458173B">
      <w:pPr>
        <w:pStyle w:val="58"/>
        <w:rPr>
          <w:rFonts w:hint="eastAsia" w:ascii="宋体" w:hAnsi="宋体" w:cs="宋体"/>
          <w:color w:val="auto"/>
          <w:sz w:val="24"/>
          <w:highlight w:val="none"/>
        </w:rPr>
      </w:pPr>
    </w:p>
    <w:p w14:paraId="6189F6C7">
      <w:pPr>
        <w:pStyle w:val="58"/>
        <w:rPr>
          <w:rFonts w:hint="eastAsia" w:ascii="宋体" w:hAnsi="宋体" w:cs="宋体"/>
          <w:color w:val="auto"/>
          <w:sz w:val="24"/>
          <w:highlight w:val="none"/>
        </w:rPr>
      </w:pPr>
    </w:p>
    <w:p w14:paraId="7B85F596">
      <w:pPr>
        <w:pStyle w:val="58"/>
        <w:rPr>
          <w:rFonts w:hint="default" w:ascii="宋体" w:hAnsi="宋体" w:eastAsia="宋体" w:cs="宋体"/>
          <w:color w:val="auto"/>
          <w:sz w:val="24"/>
          <w:highlight w:val="none"/>
          <w:lang w:val="en-US" w:eastAsia="zh-CN"/>
        </w:rPr>
      </w:pPr>
    </w:p>
    <w:p w14:paraId="55988E36">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3774C141">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14:paraId="63535BD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14:paraId="6CFDB822">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14:paraId="6E1A93B3">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14:paraId="4A3BA051">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14:paraId="04685DEB">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14:paraId="75D14ED4">
      <w:pPr>
        <w:snapToGrid w:val="0"/>
        <w:spacing w:line="400" w:lineRule="exact"/>
        <w:ind w:firstLine="4860" w:firstLineChars="2025"/>
        <w:rPr>
          <w:rFonts w:ascii="宋体" w:hAnsi="宋体" w:cs="宋体"/>
          <w:color w:val="auto"/>
          <w:sz w:val="24"/>
          <w:highlight w:val="none"/>
        </w:rPr>
      </w:pPr>
    </w:p>
    <w:p w14:paraId="0FEE1246">
      <w:pPr>
        <w:pStyle w:val="24"/>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357B15F4">
      <w:pPr>
        <w:pStyle w:val="24"/>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14:paraId="03EA4250">
      <w:pPr>
        <w:pStyle w:val="24"/>
        <w:snapToGrid w:val="0"/>
        <w:spacing w:before="156" w:after="156"/>
        <w:ind w:firstLine="562" w:firstLineChars="200"/>
        <w:jc w:val="left"/>
        <w:rPr>
          <w:rFonts w:hAnsi="宋体" w:cs="宋体"/>
          <w:b/>
          <w:color w:val="auto"/>
          <w:sz w:val="28"/>
          <w:szCs w:val="28"/>
          <w:highlight w:val="none"/>
          <w:lang w:val="zh-CN"/>
        </w:rPr>
      </w:pPr>
    </w:p>
    <w:p w14:paraId="5E8684A0">
      <w:pPr>
        <w:pStyle w:val="24"/>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14:paraId="6EC79945">
      <w:pPr>
        <w:pStyle w:val="24"/>
        <w:snapToGrid w:val="0"/>
        <w:spacing w:before="156" w:after="156"/>
        <w:ind w:firstLine="422" w:firstLineChars="200"/>
        <w:jc w:val="center"/>
        <w:rPr>
          <w:rFonts w:hAnsi="宋体" w:cs="宋体"/>
          <w:b/>
          <w:color w:val="auto"/>
          <w:highlight w:val="none"/>
          <w:lang w:val="zh-CN"/>
        </w:rPr>
      </w:pPr>
    </w:p>
    <w:p w14:paraId="06B66C29">
      <w:pPr>
        <w:pStyle w:val="24"/>
        <w:snapToGrid w:val="0"/>
        <w:spacing w:before="156" w:after="156"/>
        <w:ind w:firstLine="562" w:firstLineChars="200"/>
        <w:jc w:val="center"/>
        <w:rPr>
          <w:rFonts w:hAnsi="宋体" w:cs="宋体"/>
          <w:b/>
          <w:color w:val="auto"/>
          <w:sz w:val="28"/>
          <w:szCs w:val="28"/>
          <w:highlight w:val="none"/>
          <w:lang w:val="zh-CN"/>
        </w:rPr>
      </w:pPr>
    </w:p>
    <w:p w14:paraId="72D8E910">
      <w:pPr>
        <w:pStyle w:val="24"/>
        <w:snapToGrid w:val="0"/>
        <w:spacing w:before="156" w:after="156"/>
        <w:ind w:firstLine="562" w:firstLineChars="200"/>
        <w:jc w:val="center"/>
        <w:rPr>
          <w:rFonts w:hAnsi="宋体" w:cs="宋体"/>
          <w:b/>
          <w:color w:val="auto"/>
          <w:sz w:val="28"/>
          <w:szCs w:val="28"/>
          <w:highlight w:val="none"/>
          <w:lang w:val="zh-CN"/>
        </w:rPr>
      </w:pPr>
    </w:p>
    <w:p w14:paraId="2434DD7B">
      <w:pPr>
        <w:pStyle w:val="24"/>
        <w:snapToGrid w:val="0"/>
        <w:spacing w:before="156" w:after="156"/>
        <w:ind w:firstLine="562" w:firstLineChars="200"/>
        <w:jc w:val="center"/>
        <w:rPr>
          <w:rFonts w:hAnsi="宋体" w:cs="宋体"/>
          <w:b/>
          <w:color w:val="auto"/>
          <w:sz w:val="28"/>
          <w:szCs w:val="28"/>
          <w:highlight w:val="none"/>
          <w:lang w:val="zh-CN"/>
        </w:rPr>
      </w:pPr>
    </w:p>
    <w:p w14:paraId="7B3865CD">
      <w:pPr>
        <w:pStyle w:val="24"/>
        <w:snapToGrid w:val="0"/>
        <w:spacing w:before="156" w:after="156"/>
        <w:ind w:firstLine="562" w:firstLineChars="200"/>
        <w:jc w:val="center"/>
        <w:rPr>
          <w:rFonts w:hAnsi="宋体" w:cs="宋体"/>
          <w:b/>
          <w:color w:val="auto"/>
          <w:sz w:val="28"/>
          <w:szCs w:val="28"/>
          <w:highlight w:val="none"/>
          <w:lang w:val="zh-CN"/>
        </w:rPr>
      </w:pPr>
    </w:p>
    <w:p w14:paraId="04447C9E">
      <w:pPr>
        <w:pStyle w:val="24"/>
        <w:snapToGrid w:val="0"/>
        <w:spacing w:before="156" w:after="156"/>
        <w:ind w:firstLine="562" w:firstLineChars="200"/>
        <w:jc w:val="center"/>
        <w:rPr>
          <w:rFonts w:hAnsi="宋体" w:cs="宋体"/>
          <w:b/>
          <w:color w:val="auto"/>
          <w:sz w:val="28"/>
          <w:szCs w:val="28"/>
          <w:highlight w:val="none"/>
          <w:lang w:val="zh-CN"/>
        </w:rPr>
      </w:pPr>
    </w:p>
    <w:p w14:paraId="346CE9FA">
      <w:pPr>
        <w:pStyle w:val="24"/>
        <w:snapToGrid w:val="0"/>
        <w:spacing w:before="156" w:after="156"/>
        <w:ind w:firstLine="562" w:firstLineChars="200"/>
        <w:jc w:val="center"/>
        <w:rPr>
          <w:rFonts w:hAnsi="宋体" w:cs="宋体"/>
          <w:b/>
          <w:color w:val="auto"/>
          <w:sz w:val="28"/>
          <w:szCs w:val="28"/>
          <w:highlight w:val="none"/>
          <w:lang w:val="zh-CN"/>
        </w:rPr>
      </w:pPr>
    </w:p>
    <w:p w14:paraId="413E5192">
      <w:pPr>
        <w:pStyle w:val="24"/>
        <w:snapToGrid w:val="0"/>
        <w:spacing w:before="156" w:after="156"/>
        <w:ind w:firstLine="562" w:firstLineChars="200"/>
        <w:jc w:val="center"/>
        <w:rPr>
          <w:rFonts w:hAnsi="宋体" w:cs="宋体"/>
          <w:b/>
          <w:color w:val="auto"/>
          <w:sz w:val="28"/>
          <w:szCs w:val="28"/>
          <w:highlight w:val="none"/>
          <w:lang w:val="zh-CN"/>
        </w:rPr>
      </w:pPr>
    </w:p>
    <w:p w14:paraId="2A13ED4A">
      <w:pPr>
        <w:pStyle w:val="24"/>
        <w:snapToGrid w:val="0"/>
        <w:spacing w:before="156" w:after="156"/>
        <w:ind w:firstLine="562" w:firstLineChars="200"/>
        <w:jc w:val="center"/>
        <w:rPr>
          <w:rFonts w:hAnsi="宋体" w:cs="宋体"/>
          <w:b/>
          <w:color w:val="auto"/>
          <w:sz w:val="28"/>
          <w:szCs w:val="28"/>
          <w:highlight w:val="none"/>
          <w:lang w:val="zh-CN"/>
        </w:rPr>
      </w:pPr>
    </w:p>
    <w:p w14:paraId="10052098">
      <w:pPr>
        <w:pStyle w:val="24"/>
        <w:snapToGrid w:val="0"/>
        <w:spacing w:before="156" w:after="156"/>
        <w:ind w:firstLine="562" w:firstLineChars="200"/>
        <w:jc w:val="center"/>
        <w:rPr>
          <w:rFonts w:hAnsi="宋体" w:cs="宋体"/>
          <w:b/>
          <w:color w:val="auto"/>
          <w:sz w:val="28"/>
          <w:szCs w:val="28"/>
          <w:highlight w:val="none"/>
          <w:lang w:val="zh-CN"/>
        </w:rPr>
      </w:pPr>
    </w:p>
    <w:p w14:paraId="12DD2CF7">
      <w:pPr>
        <w:pStyle w:val="24"/>
        <w:snapToGrid w:val="0"/>
        <w:spacing w:before="156" w:after="156"/>
        <w:ind w:firstLine="562" w:firstLineChars="200"/>
        <w:jc w:val="left"/>
        <w:rPr>
          <w:rFonts w:hAnsi="宋体" w:cs="宋体"/>
          <w:b/>
          <w:color w:val="auto"/>
          <w:sz w:val="28"/>
          <w:szCs w:val="28"/>
          <w:highlight w:val="none"/>
          <w:lang w:val="zh-CN"/>
        </w:rPr>
      </w:pPr>
    </w:p>
    <w:p w14:paraId="31B1CE1D">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44" w:name="OLE_LINK14"/>
      <w:bookmarkStart w:id="145" w:name="OLE_LINK13"/>
      <w:r>
        <w:rPr>
          <w:rFonts w:hint="eastAsia" w:ascii="宋体" w:hAnsi="宋体" w:cs="宋体"/>
          <w:b/>
          <w:color w:val="auto"/>
          <w:sz w:val="24"/>
          <w:szCs w:val="24"/>
          <w:highlight w:val="none"/>
        </w:rPr>
        <w:t>福利性单位声明函</w:t>
      </w:r>
    </w:p>
    <w:p w14:paraId="4F565978">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44"/>
      <w:bookmarkEnd w:id="14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14:paraId="775E162A">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4F77E8">
      <w:pPr>
        <w:pStyle w:val="24"/>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14:paraId="05E79476">
      <w:pPr>
        <w:pStyle w:val="24"/>
        <w:snapToGrid w:val="0"/>
        <w:spacing w:before="156" w:after="156"/>
        <w:ind w:firstLine="444" w:firstLineChars="200"/>
        <w:jc w:val="center"/>
        <w:rPr>
          <w:rFonts w:hAnsi="宋体" w:cs="宋体"/>
          <w:color w:val="auto"/>
          <w:spacing w:val="6"/>
          <w:highlight w:val="none"/>
        </w:rPr>
      </w:pPr>
    </w:p>
    <w:p w14:paraId="0F91636F">
      <w:pPr>
        <w:pStyle w:val="24"/>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69B97D11">
      <w:pPr>
        <w:pStyle w:val="24"/>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51837CCA">
      <w:pPr>
        <w:pStyle w:val="203"/>
        <w:snapToGrid w:val="0"/>
        <w:spacing w:line="400" w:lineRule="exact"/>
        <w:ind w:right="17"/>
        <w:jc w:val="right"/>
        <w:rPr>
          <w:rFonts w:hint="eastAsia" w:hAnsi="宋体" w:cs="宋体"/>
          <w:color w:val="auto"/>
          <w:highlight w:val="none"/>
        </w:rPr>
      </w:pPr>
    </w:p>
    <w:p w14:paraId="1DE44913">
      <w:pPr>
        <w:pStyle w:val="203"/>
        <w:snapToGrid w:val="0"/>
        <w:spacing w:line="400" w:lineRule="exact"/>
        <w:ind w:right="17"/>
        <w:jc w:val="right"/>
        <w:rPr>
          <w:rFonts w:hint="eastAsia" w:hAnsi="宋体" w:cs="宋体"/>
          <w:color w:val="auto"/>
          <w:highlight w:val="none"/>
        </w:rPr>
      </w:pPr>
    </w:p>
    <w:p w14:paraId="4015AAF7">
      <w:pPr>
        <w:pStyle w:val="203"/>
        <w:snapToGrid w:val="0"/>
        <w:spacing w:line="400" w:lineRule="exact"/>
        <w:ind w:right="17"/>
        <w:jc w:val="right"/>
        <w:rPr>
          <w:rFonts w:hint="eastAsia" w:hAnsi="宋体" w:cs="宋体"/>
          <w:color w:val="auto"/>
          <w:highlight w:val="none"/>
        </w:rPr>
      </w:pPr>
    </w:p>
    <w:p w14:paraId="62420DEF">
      <w:pPr>
        <w:pStyle w:val="203"/>
        <w:snapToGrid w:val="0"/>
        <w:spacing w:line="400" w:lineRule="exact"/>
        <w:ind w:right="17"/>
        <w:jc w:val="right"/>
        <w:rPr>
          <w:rFonts w:hint="eastAsia" w:hAnsi="宋体" w:cs="宋体"/>
          <w:color w:val="auto"/>
          <w:highlight w:val="none"/>
        </w:rPr>
      </w:pPr>
    </w:p>
    <w:p w14:paraId="6F09EC7B">
      <w:pPr>
        <w:pStyle w:val="203"/>
        <w:snapToGrid w:val="0"/>
        <w:spacing w:line="400" w:lineRule="exact"/>
        <w:ind w:right="17"/>
        <w:jc w:val="right"/>
        <w:rPr>
          <w:rFonts w:hint="eastAsia" w:hAnsi="宋体" w:cs="宋体"/>
          <w:color w:val="auto"/>
          <w:highlight w:val="none"/>
        </w:rPr>
      </w:pPr>
    </w:p>
    <w:p w14:paraId="75FDD446">
      <w:pPr>
        <w:pStyle w:val="203"/>
        <w:snapToGrid w:val="0"/>
        <w:spacing w:line="400" w:lineRule="exact"/>
        <w:ind w:right="17"/>
        <w:jc w:val="right"/>
        <w:rPr>
          <w:rFonts w:hint="eastAsia" w:hAnsi="宋体" w:cs="宋体"/>
          <w:color w:val="auto"/>
          <w:highlight w:val="none"/>
        </w:rPr>
      </w:pPr>
    </w:p>
    <w:p w14:paraId="3864A7A2">
      <w:pPr>
        <w:pStyle w:val="203"/>
        <w:snapToGrid w:val="0"/>
        <w:spacing w:line="400" w:lineRule="exact"/>
        <w:ind w:right="17"/>
        <w:jc w:val="right"/>
        <w:rPr>
          <w:rFonts w:hint="eastAsia" w:hAnsi="宋体" w:cs="宋体"/>
          <w:color w:val="auto"/>
          <w:highlight w:val="none"/>
        </w:rPr>
      </w:pPr>
    </w:p>
    <w:p w14:paraId="177C1284">
      <w:pPr>
        <w:pStyle w:val="203"/>
        <w:snapToGrid w:val="0"/>
        <w:spacing w:line="400" w:lineRule="exact"/>
        <w:ind w:right="17"/>
        <w:jc w:val="right"/>
        <w:rPr>
          <w:rFonts w:hint="eastAsia" w:hAnsi="宋体" w:cs="宋体"/>
          <w:color w:val="auto"/>
          <w:highlight w:val="none"/>
        </w:rPr>
      </w:pPr>
    </w:p>
    <w:p w14:paraId="7B1B0AD4">
      <w:pPr>
        <w:pStyle w:val="203"/>
        <w:snapToGrid w:val="0"/>
        <w:spacing w:line="400" w:lineRule="exact"/>
        <w:ind w:right="17"/>
        <w:jc w:val="right"/>
        <w:rPr>
          <w:rFonts w:hint="eastAsia" w:hAnsi="宋体" w:cs="宋体"/>
          <w:color w:val="auto"/>
          <w:highlight w:val="none"/>
        </w:rPr>
      </w:pPr>
    </w:p>
    <w:p w14:paraId="0C4CD86E">
      <w:pPr>
        <w:pStyle w:val="203"/>
        <w:snapToGrid w:val="0"/>
        <w:spacing w:line="400" w:lineRule="exact"/>
        <w:ind w:right="17"/>
        <w:jc w:val="right"/>
        <w:rPr>
          <w:rFonts w:hint="eastAsia" w:hAnsi="宋体" w:cs="宋体"/>
          <w:color w:val="auto"/>
          <w:highlight w:val="none"/>
        </w:rPr>
      </w:pPr>
    </w:p>
    <w:p w14:paraId="138DAB10">
      <w:pPr>
        <w:pStyle w:val="203"/>
        <w:snapToGrid w:val="0"/>
        <w:spacing w:line="400" w:lineRule="exact"/>
        <w:ind w:right="17"/>
        <w:jc w:val="right"/>
        <w:rPr>
          <w:rFonts w:hint="eastAsia" w:hAnsi="宋体" w:cs="宋体"/>
          <w:color w:val="auto"/>
          <w:highlight w:val="none"/>
        </w:rPr>
      </w:pPr>
    </w:p>
    <w:p w14:paraId="165643C2">
      <w:pPr>
        <w:pStyle w:val="203"/>
        <w:snapToGrid w:val="0"/>
        <w:spacing w:line="400" w:lineRule="exact"/>
        <w:ind w:right="17"/>
        <w:jc w:val="right"/>
        <w:rPr>
          <w:rFonts w:hint="eastAsia" w:hAnsi="宋体" w:cs="宋体"/>
          <w:color w:val="auto"/>
          <w:highlight w:val="none"/>
        </w:rPr>
      </w:pPr>
    </w:p>
    <w:p w14:paraId="15EB37C8">
      <w:pPr>
        <w:pStyle w:val="203"/>
        <w:snapToGrid w:val="0"/>
        <w:spacing w:line="400" w:lineRule="exact"/>
        <w:ind w:right="17"/>
        <w:jc w:val="right"/>
        <w:rPr>
          <w:rFonts w:hint="eastAsia" w:hAnsi="宋体" w:cs="宋体"/>
          <w:color w:val="auto"/>
          <w:highlight w:val="none"/>
        </w:rPr>
      </w:pPr>
    </w:p>
    <w:p w14:paraId="10D6CC59">
      <w:pPr>
        <w:pStyle w:val="203"/>
        <w:snapToGrid w:val="0"/>
        <w:spacing w:line="400" w:lineRule="exact"/>
        <w:ind w:right="17"/>
        <w:jc w:val="right"/>
        <w:rPr>
          <w:rFonts w:hint="eastAsia" w:hAnsi="宋体" w:cs="宋体"/>
          <w:color w:val="auto"/>
          <w:highlight w:val="none"/>
        </w:rPr>
      </w:pPr>
    </w:p>
    <w:p w14:paraId="42BD36D0">
      <w:pPr>
        <w:pStyle w:val="203"/>
        <w:snapToGrid w:val="0"/>
        <w:spacing w:line="400" w:lineRule="exact"/>
        <w:ind w:right="17"/>
        <w:jc w:val="right"/>
        <w:rPr>
          <w:rFonts w:hint="eastAsia" w:hAnsi="宋体" w:cs="宋体"/>
          <w:color w:val="auto"/>
          <w:highlight w:val="none"/>
        </w:rPr>
      </w:pPr>
    </w:p>
    <w:p w14:paraId="414FD939">
      <w:pPr>
        <w:pStyle w:val="203"/>
        <w:snapToGrid w:val="0"/>
        <w:spacing w:line="400" w:lineRule="exact"/>
        <w:ind w:right="17"/>
        <w:jc w:val="right"/>
        <w:rPr>
          <w:rFonts w:hint="eastAsia" w:hAnsi="宋体" w:cs="宋体"/>
          <w:color w:val="auto"/>
          <w:highlight w:val="none"/>
        </w:rPr>
      </w:pPr>
    </w:p>
    <w:p w14:paraId="6AD5EEAE">
      <w:pPr>
        <w:pStyle w:val="203"/>
        <w:snapToGrid w:val="0"/>
        <w:spacing w:line="400" w:lineRule="exact"/>
        <w:ind w:right="17"/>
        <w:jc w:val="right"/>
        <w:rPr>
          <w:rFonts w:hint="eastAsia" w:hAnsi="宋体" w:cs="宋体"/>
          <w:color w:val="auto"/>
          <w:highlight w:val="none"/>
        </w:rPr>
      </w:pPr>
    </w:p>
    <w:p w14:paraId="564B2EB5">
      <w:pPr>
        <w:pStyle w:val="203"/>
        <w:snapToGrid w:val="0"/>
        <w:spacing w:line="400" w:lineRule="exact"/>
        <w:ind w:right="17"/>
        <w:jc w:val="right"/>
        <w:rPr>
          <w:rFonts w:hint="eastAsia" w:hAnsi="宋体" w:cs="宋体"/>
          <w:color w:val="auto"/>
          <w:highlight w:val="none"/>
        </w:rPr>
      </w:pPr>
    </w:p>
    <w:p w14:paraId="7EDD5879">
      <w:pPr>
        <w:pStyle w:val="203"/>
        <w:snapToGrid w:val="0"/>
        <w:spacing w:line="400" w:lineRule="exact"/>
        <w:ind w:right="17"/>
        <w:jc w:val="right"/>
        <w:rPr>
          <w:rFonts w:hint="eastAsia" w:hAnsi="宋体" w:cs="宋体"/>
          <w:color w:val="auto"/>
          <w:highlight w:val="none"/>
        </w:rPr>
      </w:pPr>
    </w:p>
    <w:p w14:paraId="602C2732">
      <w:pPr>
        <w:pStyle w:val="203"/>
        <w:snapToGrid w:val="0"/>
        <w:spacing w:line="400" w:lineRule="exact"/>
        <w:ind w:right="17"/>
        <w:jc w:val="right"/>
        <w:rPr>
          <w:rFonts w:hint="eastAsia" w:hAnsi="宋体" w:cs="宋体"/>
          <w:color w:val="auto"/>
          <w:highlight w:val="none"/>
        </w:rPr>
      </w:pPr>
    </w:p>
    <w:p w14:paraId="58069EE4">
      <w:pPr>
        <w:pStyle w:val="203"/>
        <w:snapToGrid w:val="0"/>
        <w:spacing w:line="400" w:lineRule="exact"/>
        <w:ind w:right="17"/>
        <w:jc w:val="right"/>
        <w:rPr>
          <w:rFonts w:hint="eastAsia" w:hAnsi="宋体" w:cs="宋体"/>
          <w:color w:val="auto"/>
          <w:highlight w:val="none"/>
        </w:rPr>
      </w:pPr>
    </w:p>
    <w:p w14:paraId="5D8BC827">
      <w:pPr>
        <w:pStyle w:val="203"/>
        <w:snapToGrid w:val="0"/>
        <w:spacing w:line="400" w:lineRule="exact"/>
        <w:ind w:right="17"/>
        <w:jc w:val="right"/>
        <w:rPr>
          <w:rFonts w:hint="eastAsia" w:hAnsi="宋体" w:cs="宋体"/>
          <w:color w:val="auto"/>
          <w:highlight w:val="none"/>
        </w:rPr>
      </w:pPr>
    </w:p>
    <w:p w14:paraId="2313A3A5">
      <w:pPr>
        <w:pStyle w:val="203"/>
        <w:snapToGrid w:val="0"/>
        <w:spacing w:line="400" w:lineRule="exact"/>
        <w:ind w:right="17"/>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书面声明</w:t>
      </w:r>
    </w:p>
    <w:p w14:paraId="7C1A1BDD">
      <w:pPr>
        <w:pStyle w:val="203"/>
        <w:snapToGrid w:val="0"/>
        <w:spacing w:line="400" w:lineRule="exact"/>
        <w:ind w:right="17"/>
        <w:jc w:val="center"/>
        <w:rPr>
          <w:rFonts w:hint="eastAsia" w:hAnsi="宋体" w:cs="宋体"/>
          <w:color w:val="auto"/>
          <w:highlight w:val="none"/>
        </w:rPr>
      </w:pPr>
    </w:p>
    <w:p w14:paraId="6EB9B4E4">
      <w:pPr>
        <w:keepNext w:val="0"/>
        <w:keepLines w:val="0"/>
        <w:widowControl/>
        <w:suppressLineNumbers w:val="0"/>
        <w:spacing w:line="360" w:lineRule="auto"/>
        <w:jc w:val="left"/>
        <w:rPr>
          <w:rFonts w:hint="eastAsia" w:ascii="宋体" w:hAnsi="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本单位郑重声明，我公司</w:t>
      </w:r>
      <w:r>
        <w:rPr>
          <w:rFonts w:hint="eastAsia" w:ascii="宋体" w:hAnsi="宋体" w:cs="宋体"/>
          <w:color w:val="auto"/>
          <w:spacing w:val="6"/>
          <w:sz w:val="24"/>
          <w:szCs w:val="24"/>
          <w:highlight w:val="none"/>
          <w:lang w:val="en-US" w:eastAsia="zh-CN"/>
        </w:rPr>
        <w:t>无以下情形：</w:t>
      </w:r>
    </w:p>
    <w:p w14:paraId="74B6FECB">
      <w:pPr>
        <w:keepNext w:val="0"/>
        <w:keepLines w:val="0"/>
        <w:widowControl/>
        <w:suppressLineNumbers w:val="0"/>
        <w:spacing w:line="360" w:lineRule="auto"/>
        <w:ind w:firstLine="504" w:firstLineChars="200"/>
        <w:jc w:val="left"/>
        <w:rPr>
          <w:color w:val="auto"/>
          <w:highlight w:val="none"/>
        </w:rPr>
      </w:pPr>
      <w:r>
        <w:rPr>
          <w:rFonts w:hint="eastAsia" w:ascii="宋体" w:hAnsi="宋体" w:cs="宋体"/>
          <w:color w:val="auto"/>
          <w:spacing w:val="6"/>
          <w:sz w:val="24"/>
          <w:szCs w:val="24"/>
          <w:highlight w:val="none"/>
          <w:lang w:val="en-US" w:eastAsia="zh-CN"/>
        </w:rPr>
        <w:t>1、</w:t>
      </w:r>
      <w:r>
        <w:rPr>
          <w:rFonts w:ascii="宋体" w:hAnsi="宋体" w:eastAsia="宋体" w:cs="宋体"/>
          <w:color w:val="auto"/>
          <w:kern w:val="0"/>
          <w:sz w:val="24"/>
          <w:szCs w:val="24"/>
          <w:highlight w:val="none"/>
          <w:lang w:val="en-US" w:eastAsia="zh-CN" w:bidi="ar"/>
        </w:rPr>
        <w:t>与招标人存在利害关系可能影响招标公正性的法人、其他组织或者个人，不得参加同一标段投标或者未划分标段的同一招标不得参加投标。</w:t>
      </w:r>
    </w:p>
    <w:p w14:paraId="1258EE5B">
      <w:pPr>
        <w:keepNext w:val="0"/>
        <w:keepLines w:val="0"/>
        <w:widowControl/>
        <w:suppressLineNumbers w:val="0"/>
        <w:spacing w:line="360" w:lineRule="auto"/>
        <w:ind w:firstLine="480" w:firstLineChars="200"/>
        <w:jc w:val="left"/>
        <w:rPr>
          <w:color w:val="auto"/>
          <w:highlight w:val="none"/>
        </w:rPr>
      </w:pPr>
      <w:r>
        <w:rPr>
          <w:rFonts w:hint="eastAsia" w:ascii="宋体" w:hAnsi="宋体" w:eastAsia="宋体" w:cs="宋体"/>
          <w:color w:val="auto"/>
          <w:kern w:val="0"/>
          <w:sz w:val="24"/>
          <w:szCs w:val="24"/>
          <w:highlight w:val="none"/>
          <w:lang w:val="en-US" w:eastAsia="zh-CN" w:bidi="ar"/>
        </w:rPr>
        <w:t>2、</w:t>
      </w:r>
      <w:r>
        <w:rPr>
          <w:rFonts w:ascii="宋体" w:hAnsi="宋体" w:eastAsia="宋体" w:cs="宋体"/>
          <w:color w:val="auto"/>
          <w:kern w:val="0"/>
          <w:sz w:val="24"/>
          <w:szCs w:val="24"/>
          <w:highlight w:val="none"/>
          <w:lang w:val="en-US" w:eastAsia="zh-CN" w:bidi="ar"/>
        </w:rPr>
        <w:t>投标单位负责人为同一人或者存在直接控股、管理关系的不同投标人不得参加同一合同项下的采购活动。</w:t>
      </w:r>
    </w:p>
    <w:p w14:paraId="0A708EF7">
      <w:pPr>
        <w:snapToGrid w:val="0"/>
        <w:spacing w:line="360" w:lineRule="auto"/>
        <w:ind w:firstLine="504" w:firstLineChars="200"/>
        <w:rPr>
          <w:rFonts w:hint="eastAsia" w:ascii="宋体" w:hAnsi="宋体" w:eastAsia="宋体" w:cs="宋体"/>
          <w:color w:val="auto"/>
          <w:spacing w:val="6"/>
          <w:sz w:val="24"/>
          <w:szCs w:val="24"/>
          <w:highlight w:val="none"/>
        </w:rPr>
      </w:pPr>
    </w:p>
    <w:p w14:paraId="7570656E">
      <w:pPr>
        <w:snapToGrid w:val="0"/>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我方对以上声明负全部法律责任。</w:t>
      </w:r>
    </w:p>
    <w:p w14:paraId="30CBFE92">
      <w:pPr>
        <w:snapToGrid w:val="0"/>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特此声明。</w:t>
      </w:r>
    </w:p>
    <w:p w14:paraId="0416B36E">
      <w:pPr>
        <w:pStyle w:val="203"/>
        <w:snapToGrid w:val="0"/>
        <w:spacing w:line="400" w:lineRule="exact"/>
        <w:ind w:right="17"/>
        <w:jc w:val="center"/>
        <w:rPr>
          <w:rFonts w:hint="eastAsia" w:hAnsi="宋体" w:cs="宋体"/>
          <w:color w:val="auto"/>
          <w:highlight w:val="none"/>
        </w:rPr>
      </w:pPr>
    </w:p>
    <w:p w14:paraId="56A6A329">
      <w:pPr>
        <w:pStyle w:val="24"/>
        <w:snapToGrid w:val="0"/>
        <w:spacing w:before="156" w:after="156"/>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供应商名称(公章)：____________</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71C8E4E6">
      <w:pPr>
        <w:pStyle w:val="24"/>
        <w:snapToGrid w:val="0"/>
        <w:spacing w:before="156" w:after="156"/>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日期：________________________</w:t>
      </w:r>
    </w:p>
    <w:p w14:paraId="2ED41E6C">
      <w:pPr>
        <w:pStyle w:val="203"/>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14:paraId="59E4B87B">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13、关于符合本国产品标准的声明函</w:t>
      </w:r>
    </w:p>
    <w:p w14:paraId="16733C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center"/>
        <w:rPr>
          <w:rStyle w:val="44"/>
          <w:rFonts w:hint="default" w:ascii="Helvetica" w:hAnsi="Helvetica" w:eastAsia="Helvetica" w:cs="Helvetica"/>
          <w:b/>
          <w:bCs/>
          <w:i w:val="0"/>
          <w:iCs w:val="0"/>
          <w:caps w:val="0"/>
          <w:color w:val="auto"/>
          <w:spacing w:val="0"/>
          <w:kern w:val="0"/>
          <w:sz w:val="21"/>
          <w:szCs w:val="21"/>
          <w:highlight w:val="none"/>
          <w:lang w:val="en-US" w:eastAsia="zh-CN" w:bidi="ar"/>
        </w:rPr>
      </w:pPr>
    </w:p>
    <w:p w14:paraId="01F8B8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center"/>
        <w:rPr>
          <w:rFonts w:ascii="Helvetica" w:hAnsi="Helvetica" w:eastAsia="Helvetica" w:cs="Helvetica"/>
          <w:i w:val="0"/>
          <w:iCs w:val="0"/>
          <w:caps w:val="0"/>
          <w:color w:val="auto"/>
          <w:spacing w:val="0"/>
          <w:sz w:val="21"/>
          <w:szCs w:val="21"/>
          <w:highlight w:val="none"/>
        </w:rPr>
      </w:pPr>
      <w:r>
        <w:rPr>
          <w:rStyle w:val="44"/>
          <w:rFonts w:hint="default" w:ascii="Helvetica" w:hAnsi="Helvetica" w:eastAsia="Helvetica" w:cs="Helvetica"/>
          <w:b/>
          <w:bCs/>
          <w:i w:val="0"/>
          <w:iCs w:val="0"/>
          <w:caps w:val="0"/>
          <w:color w:val="auto"/>
          <w:spacing w:val="0"/>
          <w:kern w:val="0"/>
          <w:sz w:val="21"/>
          <w:szCs w:val="21"/>
          <w:highlight w:val="none"/>
          <w:lang w:val="en-US" w:eastAsia="zh-CN" w:bidi="ar"/>
        </w:rPr>
        <w:t>关于符合本国产品标准的声明函</w:t>
      </w:r>
    </w:p>
    <w:p w14:paraId="58DDE16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p>
    <w:p w14:paraId="493DCF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3EE97C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1.</w:t>
      </w:r>
      <w:r>
        <w:rPr>
          <w:rFonts w:hint="eastAsia" w:ascii="宋体" w:hAnsi="宋体" w:eastAsia="宋体" w:cs="宋体"/>
          <w:i w:val="0"/>
          <w:iCs w:val="0"/>
          <w:caps w:val="0"/>
          <w:color w:val="auto"/>
          <w:spacing w:val="0"/>
          <w:kern w:val="0"/>
          <w:sz w:val="24"/>
          <w:szCs w:val="24"/>
          <w:highlight w:val="none"/>
          <w:u w:val="single"/>
          <w:lang w:val="en-US" w:eastAsia="zh-CN" w:bidi="ar"/>
        </w:rPr>
        <w:t>（产品名称1）1</w:t>
      </w:r>
      <w:r>
        <w:rPr>
          <w:rFonts w:hint="eastAsia" w:ascii="宋体" w:hAnsi="宋体" w:eastAsia="宋体" w:cs="宋体"/>
          <w:i w:val="0"/>
          <w:iCs w:val="0"/>
          <w:caps w:val="0"/>
          <w:color w:val="auto"/>
          <w:spacing w:val="0"/>
          <w:kern w:val="0"/>
          <w:sz w:val="24"/>
          <w:szCs w:val="24"/>
          <w:highlight w:val="none"/>
          <w:lang w:val="en-US" w:eastAsia="zh-CN" w:bidi="ar"/>
        </w:rPr>
        <w:t>，生产厂为</w:t>
      </w:r>
      <w:r>
        <w:rPr>
          <w:rFonts w:hint="eastAsia" w:ascii="宋体" w:hAnsi="宋体" w:eastAsia="宋体" w:cs="宋体"/>
          <w:i w:val="0"/>
          <w:iCs w:val="0"/>
          <w:caps w:val="0"/>
          <w:color w:val="auto"/>
          <w:spacing w:val="0"/>
          <w:kern w:val="0"/>
          <w:sz w:val="24"/>
          <w:szCs w:val="24"/>
          <w:highlight w:val="none"/>
          <w:u w:val="single"/>
          <w:lang w:val="en-US" w:eastAsia="zh-CN" w:bidi="ar"/>
        </w:rPr>
        <w:t>（厂名）2</w:t>
      </w:r>
      <w:r>
        <w:rPr>
          <w:rFonts w:hint="eastAsia" w:ascii="宋体" w:hAnsi="宋体" w:eastAsia="宋体" w:cs="宋体"/>
          <w:i w:val="0"/>
          <w:iCs w:val="0"/>
          <w:caps w:val="0"/>
          <w:color w:val="auto"/>
          <w:spacing w:val="0"/>
          <w:kern w:val="0"/>
          <w:sz w:val="24"/>
          <w:szCs w:val="24"/>
          <w:highlight w:val="none"/>
          <w:lang w:val="en-US" w:eastAsia="zh-CN" w:bidi="ar"/>
        </w:rPr>
        <w:t>，厂址为</w:t>
      </w:r>
      <w:r>
        <w:rPr>
          <w:rFonts w:hint="eastAsia" w:ascii="宋体" w:hAnsi="宋体" w:eastAsia="宋体" w:cs="宋体"/>
          <w:i w:val="0"/>
          <w:iCs w:val="0"/>
          <w:caps w:val="0"/>
          <w:color w:val="auto"/>
          <w:spacing w:val="0"/>
          <w:kern w:val="0"/>
          <w:sz w:val="24"/>
          <w:szCs w:val="24"/>
          <w:highlight w:val="none"/>
          <w:u w:val="single"/>
          <w:lang w:val="en-US" w:eastAsia="zh-CN" w:bidi="ar"/>
        </w:rPr>
        <w:t>（生产厂址）</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（产品名称1）</w:t>
      </w:r>
      <w:r>
        <w:rPr>
          <w:rFonts w:hint="eastAsia" w:ascii="宋体" w:hAnsi="宋体" w:eastAsia="宋体" w:cs="宋体"/>
          <w:i w:val="0"/>
          <w:iCs w:val="0"/>
          <w:caps w:val="0"/>
          <w:color w:val="auto"/>
          <w:spacing w:val="0"/>
          <w:kern w:val="0"/>
          <w:sz w:val="24"/>
          <w:szCs w:val="24"/>
          <w:highlight w:val="none"/>
          <w:lang w:val="en-US" w:eastAsia="zh-CN" w:bidi="ar"/>
        </w:rPr>
        <w:t>的中国境内生产的组件成本占比≥</w:t>
      </w:r>
      <w:r>
        <w:rPr>
          <w:rFonts w:hint="eastAsia" w:ascii="宋体" w:hAnsi="宋体" w:eastAsia="宋体" w:cs="宋体"/>
          <w:i w:val="0"/>
          <w:iCs w:val="0"/>
          <w:caps w:val="0"/>
          <w:color w:val="auto"/>
          <w:spacing w:val="0"/>
          <w:kern w:val="0"/>
          <w:sz w:val="24"/>
          <w:szCs w:val="24"/>
          <w:highlight w:val="none"/>
          <w:u w:val="single"/>
          <w:lang w:val="en-US" w:eastAsia="zh-CN" w:bidi="ar"/>
        </w:rPr>
        <w:t>（规定比例）3</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（产品名称1）</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（关键组件）4</w:t>
      </w:r>
      <w:r>
        <w:rPr>
          <w:rFonts w:hint="eastAsia" w:ascii="宋体" w:hAnsi="宋体" w:eastAsia="宋体" w:cs="宋体"/>
          <w:i w:val="0"/>
          <w:iCs w:val="0"/>
          <w:caps w:val="0"/>
          <w:color w:val="auto"/>
          <w:spacing w:val="0"/>
          <w:kern w:val="0"/>
          <w:sz w:val="24"/>
          <w:szCs w:val="24"/>
          <w:highlight w:val="none"/>
          <w:lang w:val="en-US" w:eastAsia="zh-CN" w:bidi="ar"/>
        </w:rPr>
        <w:t>在中国境内生产。</w:t>
      </w:r>
      <w:r>
        <w:rPr>
          <w:rFonts w:hint="eastAsia" w:ascii="宋体" w:hAnsi="宋体" w:eastAsia="宋体" w:cs="宋体"/>
          <w:i w:val="0"/>
          <w:iCs w:val="0"/>
          <w:caps w:val="0"/>
          <w:color w:val="auto"/>
          <w:spacing w:val="0"/>
          <w:kern w:val="0"/>
          <w:sz w:val="24"/>
          <w:szCs w:val="24"/>
          <w:highlight w:val="none"/>
          <w:u w:val="single"/>
          <w:lang w:val="en-US" w:eastAsia="zh-CN" w:bidi="ar"/>
        </w:rPr>
        <w:t>（产品名称1）</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（关键工序）5</w:t>
      </w:r>
      <w:r>
        <w:rPr>
          <w:rFonts w:hint="eastAsia" w:ascii="宋体" w:hAnsi="宋体" w:eastAsia="宋体" w:cs="宋体"/>
          <w:i w:val="0"/>
          <w:iCs w:val="0"/>
          <w:caps w:val="0"/>
          <w:color w:val="auto"/>
          <w:spacing w:val="0"/>
          <w:kern w:val="0"/>
          <w:sz w:val="24"/>
          <w:szCs w:val="24"/>
          <w:highlight w:val="none"/>
          <w:lang w:val="en-US" w:eastAsia="zh-CN" w:bidi="ar"/>
        </w:rPr>
        <w:t>在中国境内完成。</w:t>
      </w:r>
    </w:p>
    <w:p w14:paraId="0EC273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2.</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，生产厂为</w:t>
      </w:r>
      <w:r>
        <w:rPr>
          <w:rFonts w:hint="eastAsia" w:ascii="宋体" w:hAnsi="宋体" w:eastAsia="宋体" w:cs="宋体"/>
          <w:i w:val="0"/>
          <w:iCs w:val="0"/>
          <w:caps w:val="0"/>
          <w:color w:val="auto"/>
          <w:spacing w:val="0"/>
          <w:kern w:val="0"/>
          <w:sz w:val="24"/>
          <w:szCs w:val="24"/>
          <w:highlight w:val="none"/>
          <w:u w:val="single"/>
          <w:lang w:val="en-US" w:eastAsia="zh-CN" w:bidi="ar"/>
        </w:rPr>
        <w:t>（厂名）</w:t>
      </w:r>
      <w:r>
        <w:rPr>
          <w:rFonts w:hint="eastAsia" w:ascii="宋体" w:hAnsi="宋体" w:eastAsia="宋体" w:cs="宋体"/>
          <w:i w:val="0"/>
          <w:iCs w:val="0"/>
          <w:caps w:val="0"/>
          <w:color w:val="auto"/>
          <w:spacing w:val="0"/>
          <w:kern w:val="0"/>
          <w:sz w:val="24"/>
          <w:szCs w:val="24"/>
          <w:highlight w:val="none"/>
          <w:lang w:val="en-US" w:eastAsia="zh-CN" w:bidi="ar"/>
        </w:rPr>
        <w:t>，厂址为</w:t>
      </w:r>
      <w:r>
        <w:rPr>
          <w:rFonts w:hint="eastAsia" w:ascii="宋体" w:hAnsi="宋体" w:eastAsia="宋体" w:cs="宋体"/>
          <w:i w:val="0"/>
          <w:iCs w:val="0"/>
          <w:caps w:val="0"/>
          <w:color w:val="auto"/>
          <w:spacing w:val="0"/>
          <w:kern w:val="0"/>
          <w:sz w:val="24"/>
          <w:szCs w:val="24"/>
          <w:highlight w:val="none"/>
          <w:u w:val="single"/>
          <w:lang w:val="en-US" w:eastAsia="zh-CN" w:bidi="ar"/>
        </w:rPr>
        <w:t>（生产厂址）</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的中国境内生产的组件成本占比≥</w:t>
      </w:r>
      <w:r>
        <w:rPr>
          <w:rFonts w:hint="eastAsia" w:ascii="宋体" w:hAnsi="宋体" w:eastAsia="宋体" w:cs="宋体"/>
          <w:i w:val="0"/>
          <w:iCs w:val="0"/>
          <w:caps w:val="0"/>
          <w:color w:val="auto"/>
          <w:spacing w:val="0"/>
          <w:kern w:val="0"/>
          <w:sz w:val="24"/>
          <w:szCs w:val="24"/>
          <w:highlight w:val="none"/>
          <w:u w:val="single"/>
          <w:lang w:val="en-US" w:eastAsia="zh-CN" w:bidi="ar"/>
        </w:rPr>
        <w:t>（规定比例）</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（关键组件）</w:t>
      </w:r>
      <w:r>
        <w:rPr>
          <w:rFonts w:hint="eastAsia" w:ascii="宋体" w:hAnsi="宋体" w:eastAsia="宋体" w:cs="宋体"/>
          <w:i w:val="0"/>
          <w:iCs w:val="0"/>
          <w:caps w:val="0"/>
          <w:color w:val="auto"/>
          <w:spacing w:val="0"/>
          <w:kern w:val="0"/>
          <w:sz w:val="24"/>
          <w:szCs w:val="24"/>
          <w:highlight w:val="none"/>
          <w:lang w:val="en-US" w:eastAsia="zh-CN" w:bidi="ar"/>
        </w:rPr>
        <w:t>在中国境内生产。</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（关键工序）</w:t>
      </w:r>
      <w:r>
        <w:rPr>
          <w:rFonts w:hint="eastAsia" w:ascii="宋体" w:hAnsi="宋体" w:eastAsia="宋体" w:cs="宋体"/>
          <w:i w:val="0"/>
          <w:iCs w:val="0"/>
          <w:caps w:val="0"/>
          <w:color w:val="auto"/>
          <w:spacing w:val="0"/>
          <w:kern w:val="0"/>
          <w:sz w:val="24"/>
          <w:szCs w:val="24"/>
          <w:highlight w:val="none"/>
          <w:lang w:val="en-US" w:eastAsia="zh-CN" w:bidi="ar"/>
        </w:rPr>
        <w:t>在中国境内完成。</w:t>
      </w:r>
    </w:p>
    <w:p w14:paraId="54D311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w:t>
      </w:r>
    </w:p>
    <w:p w14:paraId="57323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本公司（单位）对上述声明内容的真实性负责。如有虚假，愿承担相应法律责任。</w:t>
      </w:r>
    </w:p>
    <w:p w14:paraId="3B3FD4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p>
    <w:p w14:paraId="07BA952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p>
    <w:p w14:paraId="73B2A0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公司（单位）名称（盖章）：　        </w:t>
      </w:r>
    </w:p>
    <w:p w14:paraId="2D65DD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日期：　     年　  月　  日         </w:t>
      </w:r>
    </w:p>
    <w:p w14:paraId="7F57E3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w:t>
      </w:r>
    </w:p>
    <w:p w14:paraId="6326CD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__________________</w:t>
      </w:r>
    </w:p>
    <w:p w14:paraId="76A18E4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1.产品如有型号，请在“产品名称”栏一并填写。</w:t>
      </w:r>
    </w:p>
    <w:p w14:paraId="0F842CF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2.生产厂名与厂址应与生产厂营业执照载明的相关信息保持一致。</w:t>
      </w:r>
    </w:p>
    <w:p w14:paraId="3A18CA1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3.该产品的中国境内生产的组件成本占比相关要求实施前，“规定比例”栏可不填，下同。</w:t>
      </w:r>
    </w:p>
    <w:p w14:paraId="5F9394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4.该产品的关键组件要求实施前，“关键组件”栏可不填，下同。</w:t>
      </w:r>
    </w:p>
    <w:p w14:paraId="30605A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b/>
          <w:color w:val="auto"/>
          <w:sz w:val="24"/>
          <w:szCs w:val="24"/>
          <w:highlight w:val="none"/>
          <w:lang w:val="en-US" w:eastAsia="zh-CN"/>
        </w:rPr>
      </w:pPr>
      <w:r>
        <w:rPr>
          <w:rFonts w:hint="eastAsia" w:ascii="宋体" w:hAnsi="宋体" w:eastAsia="宋体" w:cs="宋体"/>
          <w:i w:val="0"/>
          <w:iCs w:val="0"/>
          <w:caps w:val="0"/>
          <w:color w:val="auto"/>
          <w:spacing w:val="0"/>
          <w:kern w:val="0"/>
          <w:sz w:val="24"/>
          <w:szCs w:val="24"/>
          <w:highlight w:val="none"/>
          <w:lang w:val="en-US" w:eastAsia="zh-CN" w:bidi="ar"/>
        </w:rPr>
        <w:t>  5.该产品的关键工序要求实施前，“关键工序”栏可不填，下同。</w:t>
      </w:r>
    </w:p>
    <w:p w14:paraId="4C84BEF1">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439DB5E2">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14:paraId="1D92BE22">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14:paraId="0529F72E">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14:paraId="7F1BDCF3">
      <w:pPr>
        <w:widowControl/>
        <w:snapToGrid w:val="0"/>
        <w:spacing w:line="400" w:lineRule="exact"/>
        <w:jc w:val="left"/>
        <w:rPr>
          <w:rFonts w:hint="eastAsia" w:ascii="宋体" w:hAnsi="宋体" w:cs="宋体"/>
          <w:b/>
          <w:bCs/>
          <w:color w:val="auto"/>
          <w:sz w:val="24"/>
          <w:szCs w:val="24"/>
          <w:highlight w:val="none"/>
        </w:rPr>
      </w:pPr>
    </w:p>
    <w:p w14:paraId="0427ECDE">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3DC00255">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、技术偏离表格式：</w:t>
      </w:r>
    </w:p>
    <w:p w14:paraId="67E18497">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14:paraId="7FAAD907">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14:paraId="6A9B1A77">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tbl>
      <w:tblPr>
        <w:tblStyle w:val="41"/>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14:paraId="61E0EC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14:paraId="6EE2624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14:paraId="7D68B53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14:paraId="522BEFE5">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14:paraId="51CD8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02B1E964">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14:paraId="0494C8FA">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14:paraId="36F9643D">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14:paraId="4CC3E7E6">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14:paraId="21ED7C9B">
            <w:pPr>
              <w:widowControl/>
              <w:adjustRightInd w:val="0"/>
              <w:snapToGrid w:val="0"/>
              <w:spacing w:line="400" w:lineRule="exact"/>
              <w:jc w:val="center"/>
              <w:rPr>
                <w:rFonts w:ascii="宋体" w:hAnsi="宋体" w:cs="宋体"/>
                <w:color w:val="auto"/>
                <w:sz w:val="24"/>
                <w:szCs w:val="24"/>
                <w:highlight w:val="none"/>
              </w:rPr>
            </w:pPr>
          </w:p>
        </w:tc>
      </w:tr>
      <w:tr w14:paraId="205B7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6E0980D0">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1F8D4230">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70007A33">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055B429E">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722A26B5">
            <w:pPr>
              <w:adjustRightInd w:val="0"/>
              <w:snapToGrid w:val="0"/>
              <w:spacing w:line="400" w:lineRule="exact"/>
              <w:jc w:val="center"/>
              <w:rPr>
                <w:rFonts w:ascii="宋体" w:hAnsi="宋体" w:cs="宋体"/>
                <w:color w:val="auto"/>
                <w:sz w:val="24"/>
                <w:szCs w:val="24"/>
                <w:highlight w:val="none"/>
              </w:rPr>
            </w:pPr>
          </w:p>
        </w:tc>
      </w:tr>
      <w:tr w14:paraId="7C458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039EDDE">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02AC497E">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6D628D42">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48D00008">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33877CD4">
            <w:pPr>
              <w:adjustRightInd w:val="0"/>
              <w:snapToGrid w:val="0"/>
              <w:spacing w:line="400" w:lineRule="exact"/>
              <w:jc w:val="center"/>
              <w:rPr>
                <w:rFonts w:ascii="宋体" w:hAnsi="宋体" w:cs="宋体"/>
                <w:color w:val="auto"/>
                <w:sz w:val="24"/>
                <w:szCs w:val="24"/>
                <w:highlight w:val="none"/>
              </w:rPr>
            </w:pPr>
          </w:p>
        </w:tc>
      </w:tr>
      <w:tr w14:paraId="56736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5C5C5ABE">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C433074">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2463DA3B">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3483F5B9">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6EB1BA90">
            <w:pPr>
              <w:adjustRightInd w:val="0"/>
              <w:snapToGrid w:val="0"/>
              <w:spacing w:line="400" w:lineRule="exact"/>
              <w:jc w:val="center"/>
              <w:rPr>
                <w:rFonts w:ascii="宋体" w:hAnsi="宋体" w:cs="宋体"/>
                <w:color w:val="auto"/>
                <w:sz w:val="24"/>
                <w:szCs w:val="24"/>
                <w:highlight w:val="none"/>
              </w:rPr>
            </w:pPr>
          </w:p>
        </w:tc>
      </w:tr>
      <w:tr w14:paraId="452B2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21920222">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2EFCE36E">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0074C7DC">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2E0A006A">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413367A0">
            <w:pPr>
              <w:adjustRightInd w:val="0"/>
              <w:snapToGrid w:val="0"/>
              <w:spacing w:line="400" w:lineRule="exact"/>
              <w:jc w:val="center"/>
              <w:rPr>
                <w:rFonts w:ascii="宋体" w:hAnsi="宋体" w:cs="宋体"/>
                <w:color w:val="auto"/>
                <w:sz w:val="24"/>
                <w:szCs w:val="24"/>
                <w:highlight w:val="none"/>
              </w:rPr>
            </w:pPr>
          </w:p>
        </w:tc>
      </w:tr>
      <w:tr w14:paraId="08239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89784C1">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3A8E4FE1">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2FD5DBF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4DDF0471">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2C98D0F8">
            <w:pPr>
              <w:adjustRightInd w:val="0"/>
              <w:snapToGrid w:val="0"/>
              <w:spacing w:line="400" w:lineRule="exact"/>
              <w:jc w:val="center"/>
              <w:rPr>
                <w:rFonts w:ascii="宋体" w:hAnsi="宋体" w:cs="宋体"/>
                <w:color w:val="auto"/>
                <w:sz w:val="24"/>
                <w:szCs w:val="24"/>
                <w:highlight w:val="none"/>
              </w:rPr>
            </w:pPr>
          </w:p>
        </w:tc>
      </w:tr>
    </w:tbl>
    <w:p w14:paraId="33291068">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14:paraId="07526CC8">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14:paraId="19E36A9E">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14:paraId="21936414">
      <w:pPr>
        <w:adjustRightInd w:val="0"/>
        <w:snapToGrid w:val="0"/>
        <w:spacing w:line="400" w:lineRule="exact"/>
        <w:ind w:right="-817" w:rightChars="-389"/>
        <w:rPr>
          <w:rFonts w:ascii="宋体" w:hAnsi="宋体" w:cs="宋体"/>
          <w:color w:val="auto"/>
          <w:sz w:val="24"/>
          <w:szCs w:val="24"/>
          <w:highlight w:val="none"/>
        </w:rPr>
      </w:pPr>
    </w:p>
    <w:p w14:paraId="1400E328">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52FBD69A">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5582CCFF">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BF41A2C">
      <w:pPr>
        <w:pStyle w:val="32"/>
        <w:rPr>
          <w:rFonts w:hint="eastAsia"/>
          <w:color w:val="auto"/>
          <w:highlight w:val="none"/>
        </w:rPr>
      </w:pPr>
    </w:p>
    <w:p w14:paraId="318B8BE3">
      <w:pPr>
        <w:pStyle w:val="32"/>
        <w:rPr>
          <w:rFonts w:hint="eastAsia" w:ascii="宋体" w:hAnsi="宋体" w:cs="宋体"/>
          <w:b/>
          <w:bCs/>
          <w:color w:val="auto"/>
          <w:sz w:val="24"/>
          <w:szCs w:val="24"/>
          <w:highlight w:val="none"/>
        </w:rPr>
      </w:pPr>
    </w:p>
    <w:p w14:paraId="56F2EBDB">
      <w:pPr>
        <w:pStyle w:val="32"/>
        <w:rPr>
          <w:rFonts w:hint="eastAsia" w:ascii="宋体" w:hAnsi="宋体" w:cs="宋体"/>
          <w:b/>
          <w:bCs/>
          <w:color w:val="auto"/>
          <w:sz w:val="24"/>
          <w:szCs w:val="24"/>
          <w:highlight w:val="none"/>
        </w:rPr>
      </w:pPr>
    </w:p>
    <w:p w14:paraId="67139A55">
      <w:pPr>
        <w:pStyle w:val="32"/>
        <w:rPr>
          <w:rFonts w:hint="eastAsia" w:ascii="宋体" w:hAnsi="宋体" w:cs="宋体"/>
          <w:b/>
          <w:bCs/>
          <w:color w:val="auto"/>
          <w:sz w:val="24"/>
          <w:szCs w:val="24"/>
          <w:highlight w:val="none"/>
        </w:rPr>
      </w:pPr>
    </w:p>
    <w:p w14:paraId="5A2F9905">
      <w:pPr>
        <w:pStyle w:val="32"/>
        <w:rPr>
          <w:rFonts w:hint="eastAsia" w:ascii="宋体" w:hAnsi="宋体" w:cs="宋体"/>
          <w:b/>
          <w:bCs/>
          <w:color w:val="auto"/>
          <w:sz w:val="24"/>
          <w:szCs w:val="24"/>
          <w:highlight w:val="none"/>
        </w:rPr>
      </w:pPr>
    </w:p>
    <w:p w14:paraId="68F7B5E4">
      <w:pPr>
        <w:pStyle w:val="32"/>
        <w:rPr>
          <w:rFonts w:hint="eastAsia" w:ascii="宋体" w:hAnsi="宋体" w:cs="宋体"/>
          <w:b/>
          <w:bCs/>
          <w:color w:val="auto"/>
          <w:sz w:val="24"/>
          <w:szCs w:val="24"/>
          <w:highlight w:val="none"/>
        </w:rPr>
      </w:pPr>
    </w:p>
    <w:p w14:paraId="36E04BB6">
      <w:pPr>
        <w:pStyle w:val="32"/>
        <w:rPr>
          <w:rFonts w:hint="eastAsia" w:ascii="宋体" w:hAnsi="宋体" w:cs="宋体"/>
          <w:b/>
          <w:bCs/>
          <w:color w:val="auto"/>
          <w:sz w:val="24"/>
          <w:szCs w:val="24"/>
          <w:highlight w:val="none"/>
        </w:rPr>
      </w:pPr>
    </w:p>
    <w:p w14:paraId="02FE007E">
      <w:pPr>
        <w:pStyle w:val="32"/>
        <w:rPr>
          <w:rFonts w:hint="eastAsia" w:ascii="宋体" w:hAnsi="宋体" w:cs="宋体"/>
          <w:b/>
          <w:bCs/>
          <w:color w:val="auto"/>
          <w:sz w:val="24"/>
          <w:szCs w:val="24"/>
          <w:highlight w:val="none"/>
        </w:rPr>
      </w:pPr>
    </w:p>
    <w:p w14:paraId="6F857281">
      <w:pPr>
        <w:pStyle w:val="32"/>
        <w:rPr>
          <w:rFonts w:hint="eastAsia" w:ascii="宋体" w:hAnsi="宋体" w:cs="宋体"/>
          <w:b/>
          <w:bCs/>
          <w:color w:val="auto"/>
          <w:sz w:val="24"/>
          <w:szCs w:val="24"/>
          <w:highlight w:val="none"/>
        </w:rPr>
      </w:pPr>
    </w:p>
    <w:p w14:paraId="7FE323C6">
      <w:pPr>
        <w:pStyle w:val="32"/>
        <w:rPr>
          <w:rFonts w:hint="eastAsia" w:ascii="宋体" w:hAnsi="宋体" w:cs="宋体"/>
          <w:b/>
          <w:bCs/>
          <w:color w:val="auto"/>
          <w:sz w:val="24"/>
          <w:szCs w:val="24"/>
          <w:highlight w:val="none"/>
        </w:rPr>
      </w:pPr>
    </w:p>
    <w:p w14:paraId="051505D6">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A548B70">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14:paraId="123C6AF5">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14:paraId="6C67E20A">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14:paraId="7E7C049A">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14:paraId="517E22C9">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14:paraId="4EB11193">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14:paraId="37BA3987">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14:paraId="52900B7D">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14:paraId="096DB40F">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7A8E21F">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B4B6A81">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如有</w:t>
      </w:r>
      <w:r>
        <w:rPr>
          <w:rFonts w:hint="eastAsia" w:ascii="宋体" w:hAnsi="宋体" w:cs="宋体"/>
          <w:b/>
          <w:color w:val="auto"/>
          <w:sz w:val="24"/>
          <w:szCs w:val="24"/>
          <w:highlight w:val="none"/>
          <w:lang w:eastAsia="zh-CN"/>
        </w:rPr>
        <w:t>）。</w:t>
      </w:r>
    </w:p>
    <w:p w14:paraId="14CB5165">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5CB2390">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194C9EE">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8</w:t>
      </w:r>
      <w:r>
        <w:rPr>
          <w:rFonts w:hint="eastAsia" w:ascii="宋体" w:hAnsi="宋体" w:eastAsia="宋体" w:cs="宋体"/>
          <w:b/>
          <w:color w:val="auto"/>
          <w:sz w:val="24"/>
          <w:szCs w:val="24"/>
          <w:highlight w:val="none"/>
          <w:lang w:val="en-US" w:eastAsia="zh-CN"/>
        </w:rPr>
        <w:t>、针对项目的详细组织实施方案：包括（但不限于）项目人员安排、项目供货方案、质量管控方案、测试（调试）方案等内容（格式自拟）；</w:t>
      </w:r>
    </w:p>
    <w:p w14:paraId="5A5E8AD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14:paraId="501E5381">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1E91B7B">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lang w:val="en-US" w:eastAsia="zh-CN"/>
        </w:rPr>
        <w:t>、针对本项目的详细技术培训方案：包括（但不限于）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14:paraId="4DEBF43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6DE2083">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60091BC">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B529D3E">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DF7128E">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382AF14">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092D64C6">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0C22D2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1024E31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C24EDB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3C261995">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0E3AB11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B2E709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F6CBFFE">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37A85EC">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3F7B1B1F">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27D8DF9C">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20</w:t>
      </w:r>
      <w:r>
        <w:rPr>
          <w:rFonts w:hint="eastAsia" w:ascii="宋体" w:hAnsi="宋体" w:eastAsia="宋体" w:cs="宋体"/>
          <w:b/>
          <w:color w:val="auto"/>
          <w:sz w:val="24"/>
          <w:szCs w:val="24"/>
          <w:highlight w:val="none"/>
          <w:lang w:val="en-US" w:eastAsia="zh-CN"/>
        </w:rPr>
        <w:t>、针对本项目的售后服务方案：包括（但不限于）售后服务承诺、服务响应方案、备件（易耗品）供应方案（含备件清单及价格）、服务人员配备、故障响应措施、质保外服务措施等内容（格式自拟）</w:t>
      </w:r>
    </w:p>
    <w:p w14:paraId="3CE7A03B">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14:paraId="6202005C">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14:paraId="537921F2">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lang w:val="en-US" w:eastAsia="zh-CN"/>
        </w:rPr>
        <w:t>项目</w:t>
      </w:r>
      <w:r>
        <w:rPr>
          <w:rFonts w:hint="eastAsia" w:asciiTheme="minorEastAsia" w:hAnsiTheme="minorEastAsia" w:eastAsiaTheme="minorEastAsia" w:cstheme="minorEastAsia"/>
          <w:color w:val="auto"/>
          <w:spacing w:val="1"/>
          <w:kern w:val="0"/>
          <w:sz w:val="24"/>
          <w:szCs w:val="24"/>
          <w:highlight w:val="none"/>
        </w:rPr>
        <w:t>编号：</w:t>
      </w:r>
    </w:p>
    <w:tbl>
      <w:tblPr>
        <w:tblStyle w:val="41"/>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14:paraId="1762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4C5EA9FD">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14:paraId="50774CC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6C6905ED">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14:paraId="5620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7C3CA1F1">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14:paraId="313CDDB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107F8F4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3A59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14:paraId="33D68562">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14:paraId="79921611">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2BC80A05">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14:paraId="53983095">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00968758">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14:paraId="0E15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7112F10A">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14:paraId="4D9AA1C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A8F4AAA">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14:paraId="200828A8">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546FB374">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61BF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F7B4EE5">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14:paraId="12E8B085">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42F52A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0607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14:paraId="2FD1B28E">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14:paraId="57961E3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14:paraId="0D4BDC4D">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14:paraId="31AF8AA0">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14:paraId="17BD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44504B13">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14:paraId="3AAA0FB8">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0F512AB5">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14:paraId="68FE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AF8655F">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14:paraId="721B1AEF">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5A85483B">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0683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137CC339">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14:paraId="43898C4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0972A26">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14:paraId="46137166">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3C8A7E88">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14:paraId="43F1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14:paraId="13AFB32B">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14:paraId="5D36417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144B06C4">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14:paraId="1304C426">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6FE3A085">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14:paraId="436CA340">
      <w:pPr>
        <w:snapToGrid w:val="0"/>
        <w:spacing w:line="400" w:lineRule="exact"/>
        <w:jc w:val="left"/>
        <w:rPr>
          <w:rFonts w:asciiTheme="minorEastAsia" w:hAnsiTheme="minorEastAsia" w:eastAsiaTheme="minorEastAsia" w:cstheme="minorEastAsia"/>
          <w:color w:val="auto"/>
          <w:kern w:val="0"/>
          <w:sz w:val="24"/>
          <w:szCs w:val="24"/>
          <w:highlight w:val="none"/>
        </w:rPr>
      </w:pPr>
    </w:p>
    <w:p w14:paraId="04A0437F">
      <w:pPr>
        <w:pStyle w:val="201"/>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0A71EA31">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14:paraId="7F893322">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14:paraId="4A9C112D">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017FBAD0">
      <w:pPr>
        <w:pStyle w:val="32"/>
        <w:rPr>
          <w:rFonts w:hint="eastAsia" w:ascii="宋体" w:hAnsi="宋体" w:eastAsia="宋体" w:cs="宋体"/>
          <w:b/>
          <w:color w:val="auto"/>
          <w:sz w:val="24"/>
          <w:szCs w:val="24"/>
          <w:highlight w:val="none"/>
          <w:lang w:val="en-US" w:eastAsia="zh-CN"/>
        </w:rPr>
      </w:pPr>
    </w:p>
    <w:p w14:paraId="73C51BFE">
      <w:pPr>
        <w:pStyle w:val="32"/>
        <w:rPr>
          <w:rFonts w:hint="eastAsia" w:ascii="宋体" w:hAnsi="宋体" w:eastAsia="宋体" w:cs="宋体"/>
          <w:b/>
          <w:color w:val="auto"/>
          <w:sz w:val="24"/>
          <w:szCs w:val="24"/>
          <w:highlight w:val="none"/>
          <w:lang w:val="en-US" w:eastAsia="zh-CN"/>
        </w:rPr>
      </w:pPr>
    </w:p>
    <w:p w14:paraId="4E8EEFE5">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26F870C9">
      <w:pPr>
        <w:numPr>
          <w:ilvl w:val="0"/>
          <w:numId w:val="0"/>
        </w:numPr>
        <w:jc w:val="both"/>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备件（及易耗品）清单</w:t>
      </w:r>
    </w:p>
    <w:p w14:paraId="2590F18D">
      <w:pPr>
        <w:pStyle w:val="24"/>
        <w:rPr>
          <w:rFonts w:hint="eastAsia" w:ascii="仿宋" w:hAnsi="仿宋" w:eastAsia="仿宋" w:cs="仿宋"/>
          <w:color w:val="auto"/>
          <w:sz w:val="24"/>
          <w:szCs w:val="24"/>
          <w:highlight w:val="none"/>
        </w:rPr>
      </w:pPr>
    </w:p>
    <w:tbl>
      <w:tblPr>
        <w:tblStyle w:val="41"/>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515"/>
        <w:gridCol w:w="1742"/>
        <w:gridCol w:w="855"/>
        <w:gridCol w:w="839"/>
        <w:gridCol w:w="1048"/>
        <w:gridCol w:w="1210"/>
        <w:gridCol w:w="1210"/>
      </w:tblGrid>
      <w:tr w14:paraId="2048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66278FA6">
            <w:pPr>
              <w:pStyle w:val="24"/>
              <w:spacing w:line="240" w:lineRule="atLeast"/>
              <w:rPr>
                <w:rFonts w:hint="eastAsia"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序号</w:t>
            </w:r>
          </w:p>
        </w:tc>
        <w:tc>
          <w:tcPr>
            <w:tcW w:w="1515" w:type="dxa"/>
            <w:tcBorders>
              <w:left w:val="single" w:color="auto" w:sz="4" w:space="0"/>
            </w:tcBorders>
            <w:noWrap w:val="0"/>
            <w:vAlign w:val="center"/>
          </w:tcPr>
          <w:p w14:paraId="665B4D01">
            <w:pPr>
              <w:pStyle w:val="24"/>
              <w:spacing w:line="240" w:lineRule="atLeast"/>
              <w:jc w:val="center"/>
              <w:rPr>
                <w:rFonts w:hint="eastAsia" w:asciiTheme="minorEastAsia" w:hAnsiTheme="minorEastAsia" w:eastAsiaTheme="minorEastAsia" w:cstheme="minorEastAsia"/>
                <w:color w:val="auto"/>
                <w:position w:val="-36"/>
                <w:sz w:val="24"/>
                <w:szCs w:val="24"/>
                <w:highlight w:val="none"/>
              </w:rPr>
            </w:pPr>
            <w:r>
              <w:rPr>
                <w:rFonts w:hint="eastAsia" w:asciiTheme="minorEastAsia" w:hAnsiTheme="minorEastAsia" w:eastAsiaTheme="minorEastAsia" w:cstheme="minorEastAsia"/>
                <w:color w:val="auto"/>
                <w:position w:val="-24"/>
                <w:sz w:val="24"/>
                <w:szCs w:val="24"/>
                <w:highlight w:val="none"/>
              </w:rPr>
              <w:t>名称、规格型号、品牌</w:t>
            </w:r>
          </w:p>
        </w:tc>
        <w:tc>
          <w:tcPr>
            <w:tcW w:w="1742" w:type="dxa"/>
            <w:noWrap w:val="0"/>
            <w:vAlign w:val="center"/>
          </w:tcPr>
          <w:p w14:paraId="69D185A7">
            <w:pPr>
              <w:pStyle w:val="24"/>
              <w:spacing w:line="240" w:lineRule="atLeast"/>
              <w:jc w:val="center"/>
              <w:rPr>
                <w:rFonts w:hint="eastAsia"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制造商、原产地、国别</w:t>
            </w:r>
          </w:p>
        </w:tc>
        <w:tc>
          <w:tcPr>
            <w:tcW w:w="855" w:type="dxa"/>
            <w:noWrap w:val="0"/>
            <w:vAlign w:val="center"/>
          </w:tcPr>
          <w:p w14:paraId="0B6D2439">
            <w:pPr>
              <w:pStyle w:val="24"/>
              <w:spacing w:line="240" w:lineRule="atLeast"/>
              <w:jc w:val="center"/>
              <w:rPr>
                <w:rFonts w:hint="eastAsia"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单位</w:t>
            </w:r>
          </w:p>
        </w:tc>
        <w:tc>
          <w:tcPr>
            <w:tcW w:w="839" w:type="dxa"/>
            <w:noWrap w:val="0"/>
            <w:vAlign w:val="center"/>
          </w:tcPr>
          <w:p w14:paraId="3E34CB5E">
            <w:pPr>
              <w:pStyle w:val="24"/>
              <w:spacing w:line="240" w:lineRule="atLeast"/>
              <w:jc w:val="center"/>
              <w:rPr>
                <w:rFonts w:hint="eastAsia" w:asciiTheme="minorEastAsia" w:hAnsiTheme="minorEastAsia" w:eastAsiaTheme="minorEastAsia" w:cstheme="minorEastAsia"/>
                <w:color w:val="auto"/>
                <w:position w:val="-24"/>
                <w:sz w:val="24"/>
                <w:szCs w:val="24"/>
                <w:highlight w:val="none"/>
              </w:rPr>
            </w:pPr>
            <w:r>
              <w:rPr>
                <w:rFonts w:hint="eastAsia" w:asciiTheme="minorEastAsia" w:hAnsiTheme="minorEastAsia" w:eastAsiaTheme="minorEastAsia" w:cstheme="minorEastAsia"/>
                <w:color w:val="auto"/>
                <w:position w:val="-24"/>
                <w:sz w:val="24"/>
                <w:szCs w:val="24"/>
                <w:highlight w:val="none"/>
              </w:rPr>
              <w:t>数量</w:t>
            </w:r>
          </w:p>
        </w:tc>
        <w:tc>
          <w:tcPr>
            <w:tcW w:w="1048" w:type="dxa"/>
            <w:noWrap w:val="0"/>
            <w:vAlign w:val="center"/>
          </w:tcPr>
          <w:p w14:paraId="0A1D0968">
            <w:pPr>
              <w:pStyle w:val="24"/>
              <w:spacing w:line="24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w:t>
            </w:r>
          </w:p>
          <w:p w14:paraId="63D2CE5A">
            <w:pPr>
              <w:pStyle w:val="24"/>
              <w:spacing w:line="240" w:lineRule="atLeast"/>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元</w:t>
            </w:r>
            <w:r>
              <w:rPr>
                <w:rFonts w:hint="eastAsia" w:asciiTheme="minorEastAsia" w:hAnsiTheme="minorEastAsia" w:eastAsiaTheme="minorEastAsia" w:cstheme="minorEastAsia"/>
                <w:color w:val="auto"/>
                <w:sz w:val="24"/>
                <w:szCs w:val="24"/>
                <w:highlight w:val="none"/>
                <w:lang w:eastAsia="zh-CN"/>
              </w:rPr>
              <w:t>）</w:t>
            </w:r>
          </w:p>
        </w:tc>
        <w:tc>
          <w:tcPr>
            <w:tcW w:w="1210" w:type="dxa"/>
            <w:noWrap w:val="0"/>
            <w:vAlign w:val="center"/>
          </w:tcPr>
          <w:p w14:paraId="4EAAD5CA">
            <w:pPr>
              <w:pStyle w:val="24"/>
              <w:spacing w:line="240" w:lineRule="atLeas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合价</w:t>
            </w:r>
          </w:p>
          <w:p w14:paraId="27D376C3">
            <w:pPr>
              <w:pStyle w:val="24"/>
              <w:spacing w:line="240" w:lineRule="atLeas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（万元）</w:t>
            </w:r>
          </w:p>
        </w:tc>
        <w:tc>
          <w:tcPr>
            <w:tcW w:w="1210" w:type="dxa"/>
            <w:noWrap w:val="0"/>
            <w:vAlign w:val="center"/>
          </w:tcPr>
          <w:p w14:paraId="0B47FB1D">
            <w:pPr>
              <w:pStyle w:val="24"/>
              <w:spacing w:line="24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3278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Borders>
              <w:top w:val="single" w:color="auto" w:sz="4" w:space="0"/>
            </w:tcBorders>
            <w:noWrap w:val="0"/>
            <w:vAlign w:val="top"/>
          </w:tcPr>
          <w:p w14:paraId="64943992">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50187A56">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1872384">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30C5B04F">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79F61A56">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4D477864">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DCE4386">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812652E">
            <w:pPr>
              <w:pStyle w:val="24"/>
              <w:rPr>
                <w:rFonts w:hint="eastAsia" w:asciiTheme="minorEastAsia" w:hAnsiTheme="minorEastAsia" w:eastAsiaTheme="minorEastAsia" w:cstheme="minorEastAsia"/>
                <w:color w:val="auto"/>
                <w:sz w:val="24"/>
                <w:szCs w:val="24"/>
                <w:highlight w:val="none"/>
              </w:rPr>
            </w:pPr>
          </w:p>
        </w:tc>
      </w:tr>
      <w:tr w14:paraId="3475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7C34770C">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40D44EB4">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6A115A2">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266AD8AB">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4A12BDC8">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0D408BD3">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20362229">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0EA2C9A5">
            <w:pPr>
              <w:pStyle w:val="24"/>
              <w:rPr>
                <w:rFonts w:hint="eastAsia" w:asciiTheme="minorEastAsia" w:hAnsiTheme="minorEastAsia" w:eastAsiaTheme="minorEastAsia" w:cstheme="minorEastAsia"/>
                <w:color w:val="auto"/>
                <w:sz w:val="24"/>
                <w:szCs w:val="24"/>
                <w:highlight w:val="none"/>
              </w:rPr>
            </w:pPr>
          </w:p>
        </w:tc>
      </w:tr>
      <w:tr w14:paraId="403F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2070639A">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248D42E7">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5446C483">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0A8E217C">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08CFC88">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1687723D">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1CD5A1E3">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738FCC5F">
            <w:pPr>
              <w:pStyle w:val="24"/>
              <w:rPr>
                <w:rFonts w:hint="eastAsia" w:asciiTheme="minorEastAsia" w:hAnsiTheme="minorEastAsia" w:eastAsiaTheme="minorEastAsia" w:cstheme="minorEastAsia"/>
                <w:color w:val="auto"/>
                <w:sz w:val="24"/>
                <w:szCs w:val="24"/>
                <w:highlight w:val="none"/>
              </w:rPr>
            </w:pPr>
          </w:p>
        </w:tc>
      </w:tr>
      <w:tr w14:paraId="437E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214726E2">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777AA9C4">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0FA41362">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48B69C40">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342ABC7D">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365CF3FC">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731E62DF">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55EE5473">
            <w:pPr>
              <w:pStyle w:val="24"/>
              <w:rPr>
                <w:rFonts w:hint="eastAsia" w:asciiTheme="minorEastAsia" w:hAnsiTheme="minorEastAsia" w:eastAsiaTheme="minorEastAsia" w:cstheme="minorEastAsia"/>
                <w:color w:val="auto"/>
                <w:sz w:val="24"/>
                <w:szCs w:val="24"/>
                <w:highlight w:val="none"/>
              </w:rPr>
            </w:pPr>
          </w:p>
        </w:tc>
      </w:tr>
      <w:tr w14:paraId="23A13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40BD35E4">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7D598287">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5FEDDA7">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342891D1">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4602098">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318C22DF">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3175EF5">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4A0D3A61">
            <w:pPr>
              <w:pStyle w:val="24"/>
              <w:rPr>
                <w:rFonts w:hint="eastAsia" w:asciiTheme="minorEastAsia" w:hAnsiTheme="minorEastAsia" w:eastAsiaTheme="minorEastAsia" w:cstheme="minorEastAsia"/>
                <w:color w:val="auto"/>
                <w:sz w:val="24"/>
                <w:szCs w:val="24"/>
                <w:highlight w:val="none"/>
              </w:rPr>
            </w:pPr>
          </w:p>
        </w:tc>
      </w:tr>
      <w:tr w14:paraId="272F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5A198F2C">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5C96A6E4">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5E5B05D5">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705B69C8">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3B7A62C4">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5675F7A3">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0E10CD6">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95A28A6">
            <w:pPr>
              <w:pStyle w:val="24"/>
              <w:rPr>
                <w:rFonts w:hint="eastAsia" w:asciiTheme="minorEastAsia" w:hAnsiTheme="minorEastAsia" w:eastAsiaTheme="minorEastAsia" w:cstheme="minorEastAsia"/>
                <w:color w:val="auto"/>
                <w:sz w:val="24"/>
                <w:szCs w:val="24"/>
                <w:highlight w:val="none"/>
              </w:rPr>
            </w:pPr>
          </w:p>
        </w:tc>
      </w:tr>
      <w:tr w14:paraId="7E50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0E83BA56">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458EC2FE">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2AF7DC3C">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3946F1BD">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3C56DEA0">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7CA7EE88">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C2DAC8A">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448E0205">
            <w:pPr>
              <w:pStyle w:val="24"/>
              <w:rPr>
                <w:rFonts w:hint="eastAsia" w:asciiTheme="minorEastAsia" w:hAnsiTheme="minorEastAsia" w:eastAsiaTheme="minorEastAsia" w:cstheme="minorEastAsia"/>
                <w:color w:val="auto"/>
                <w:sz w:val="24"/>
                <w:szCs w:val="24"/>
                <w:highlight w:val="none"/>
              </w:rPr>
            </w:pPr>
          </w:p>
        </w:tc>
      </w:tr>
      <w:tr w14:paraId="79DC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66FB51BF">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11CA4AC1">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37FA806B">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2F7D9E20">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3DF161B">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2F2D8F91">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EA0EF34">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1378C299">
            <w:pPr>
              <w:pStyle w:val="24"/>
              <w:rPr>
                <w:rFonts w:hint="eastAsia" w:asciiTheme="minorEastAsia" w:hAnsiTheme="minorEastAsia" w:eastAsiaTheme="minorEastAsia" w:cstheme="minorEastAsia"/>
                <w:color w:val="auto"/>
                <w:sz w:val="24"/>
                <w:szCs w:val="24"/>
                <w:highlight w:val="none"/>
              </w:rPr>
            </w:pPr>
          </w:p>
        </w:tc>
      </w:tr>
      <w:tr w14:paraId="2EC9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41AF93AE">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16C72C5B">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D281097">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274B26CF">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1E24C72">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24052E67">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C9ACD53">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0D0ACFE">
            <w:pPr>
              <w:pStyle w:val="24"/>
              <w:rPr>
                <w:rFonts w:hint="eastAsia" w:asciiTheme="minorEastAsia" w:hAnsiTheme="minorEastAsia" w:eastAsiaTheme="minorEastAsia" w:cstheme="minorEastAsia"/>
                <w:color w:val="auto"/>
                <w:sz w:val="24"/>
                <w:szCs w:val="24"/>
                <w:highlight w:val="none"/>
              </w:rPr>
            </w:pPr>
          </w:p>
        </w:tc>
      </w:tr>
      <w:tr w14:paraId="60AE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45222E94">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1F950A71">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44C017F">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0AC1D61E">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17DCB43E">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341B9207">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0B0F7A78">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84349DC">
            <w:pPr>
              <w:pStyle w:val="24"/>
              <w:rPr>
                <w:rFonts w:hint="eastAsia" w:asciiTheme="minorEastAsia" w:hAnsiTheme="minorEastAsia" w:eastAsiaTheme="minorEastAsia" w:cstheme="minorEastAsia"/>
                <w:color w:val="auto"/>
                <w:sz w:val="24"/>
                <w:szCs w:val="24"/>
                <w:highlight w:val="none"/>
              </w:rPr>
            </w:pPr>
          </w:p>
        </w:tc>
      </w:tr>
      <w:tr w14:paraId="6D25B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5BC6E270">
            <w:pPr>
              <w:pStyle w:val="24"/>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72EBEA03">
            <w:pPr>
              <w:pStyle w:val="24"/>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22744868">
            <w:pPr>
              <w:pStyle w:val="24"/>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6395AB26">
            <w:pPr>
              <w:pStyle w:val="24"/>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0673E21E">
            <w:pPr>
              <w:pStyle w:val="24"/>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4DB3058F">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545D069">
            <w:pPr>
              <w:pStyle w:val="24"/>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5B1BE8BD">
            <w:pPr>
              <w:pStyle w:val="24"/>
              <w:rPr>
                <w:rFonts w:hint="eastAsia" w:asciiTheme="minorEastAsia" w:hAnsiTheme="minorEastAsia" w:eastAsiaTheme="minorEastAsia" w:cstheme="minorEastAsia"/>
                <w:color w:val="auto"/>
                <w:sz w:val="24"/>
                <w:szCs w:val="24"/>
                <w:highlight w:val="none"/>
              </w:rPr>
            </w:pPr>
          </w:p>
        </w:tc>
      </w:tr>
    </w:tbl>
    <w:p w14:paraId="6BBD94F0">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26C89CC3">
      <w:pPr>
        <w:spacing w:line="360" w:lineRule="auto"/>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color w:val="auto"/>
          <w:sz w:val="24"/>
          <w:szCs w:val="24"/>
          <w:highlight w:val="none"/>
        </w:rPr>
        <w:t>注：1、提供的备品备件、配件及专用工具必须符合国家标准和本项目要求</w:t>
      </w:r>
      <w:r>
        <w:rPr>
          <w:rFonts w:hint="eastAsia" w:asciiTheme="minorEastAsia" w:hAnsiTheme="minorEastAsia" w:eastAsiaTheme="minorEastAsia" w:cstheme="minorEastAsia"/>
          <w:b w:val="0"/>
          <w:bCs w:val="0"/>
          <w:color w:val="auto"/>
          <w:sz w:val="24"/>
          <w:szCs w:val="24"/>
          <w:highlight w:val="none"/>
          <w:u w:val="none"/>
        </w:rPr>
        <w:t>。</w:t>
      </w:r>
    </w:p>
    <w:p w14:paraId="66AB8C2F">
      <w:pPr>
        <w:pStyle w:val="24"/>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投标人应免费提供质量保修期内必备的备品、备件及专用工具。</w:t>
      </w:r>
    </w:p>
    <w:p w14:paraId="3F78DE4F">
      <w:pPr>
        <w:pStyle w:val="24"/>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3、投标人应根据投标清单中的技术状况列出详细的备品备件及专用工具清单，并附详细的使用说明。如在质量保修期内实际所需的数量超过了中标人在投标时预计和实际提供的数量时，中标人应负责免费供应。</w:t>
      </w:r>
    </w:p>
    <w:p w14:paraId="67CBF2E7">
      <w:pPr>
        <w:pStyle w:val="24"/>
        <w:spacing w:line="360" w:lineRule="auto"/>
        <w:rPr>
          <w:rFonts w:hint="eastAsia" w:asciiTheme="minorEastAsia" w:hAnsiTheme="minorEastAsia" w:eastAsiaTheme="minorEastAsia" w:cstheme="minorEastAsia"/>
          <w:color w:val="auto"/>
          <w:sz w:val="24"/>
          <w:szCs w:val="24"/>
          <w:highlight w:val="none"/>
          <w:lang w:val="en-US" w:eastAsia="zh-CN"/>
        </w:rPr>
      </w:pPr>
    </w:p>
    <w:p w14:paraId="6FFBF591">
      <w:pPr>
        <w:pStyle w:val="24"/>
        <w:spacing w:line="360" w:lineRule="auto"/>
        <w:rPr>
          <w:rFonts w:hint="eastAsia" w:asciiTheme="minorEastAsia" w:hAnsiTheme="minorEastAsia" w:eastAsiaTheme="minorEastAsia" w:cstheme="minorEastAsia"/>
          <w:color w:val="auto"/>
          <w:sz w:val="24"/>
          <w:szCs w:val="24"/>
          <w:highlight w:val="none"/>
          <w:lang w:val="en-US" w:eastAsia="zh-CN"/>
        </w:rPr>
      </w:pPr>
    </w:p>
    <w:p w14:paraId="1F63FE0B">
      <w:pPr>
        <w:pStyle w:val="24"/>
        <w:spacing w:line="360" w:lineRule="auto"/>
        <w:ind w:firstLine="2880" w:firstLineChars="1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：（盖章）</w:t>
      </w:r>
    </w:p>
    <w:p w14:paraId="1188FE5E">
      <w:pPr>
        <w:pStyle w:val="24"/>
        <w:spacing w:line="360" w:lineRule="auto"/>
        <w:ind w:firstLine="2880" w:firstLineChars="1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法定代表人或委托代理人：（签字或盖章）                               </w:t>
      </w:r>
    </w:p>
    <w:p w14:paraId="7C31C690">
      <w:pPr>
        <w:adjustRightInd w:val="0"/>
        <w:snapToGrid w:val="0"/>
        <w:spacing w:before="50" w:after="50" w:line="400" w:lineRule="exact"/>
        <w:ind w:firstLine="2880" w:firstLineChars="1200"/>
        <w:rPr>
          <w:rFonts w:hint="eastAsia" w:ascii="宋体" w:hAnsi="宋体" w:cs="宋体"/>
          <w:b/>
          <w:bCs/>
          <w:color w:val="auto"/>
          <w:sz w:val="24"/>
          <w:szCs w:val="24"/>
          <w:highlight w:val="none"/>
          <w:u w:val="none"/>
        </w:rPr>
      </w:pPr>
      <w:r>
        <w:rPr>
          <w:rFonts w:hint="eastAsia" w:asciiTheme="minorEastAsia" w:hAnsiTheme="minorEastAsia" w:eastAsiaTheme="minorEastAsia" w:cstheme="minorEastAsia"/>
          <w:color w:val="auto"/>
          <w:sz w:val="24"/>
          <w:szCs w:val="24"/>
          <w:highlight w:val="none"/>
          <w:lang w:val="en-US" w:eastAsia="zh-CN"/>
        </w:rPr>
        <w:t>日期：    年    月   日</w:t>
      </w:r>
    </w:p>
    <w:p w14:paraId="0A085006">
      <w:pPr>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br w:type="page"/>
      </w:r>
    </w:p>
    <w:p w14:paraId="406D28EE">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lang w:val="en-US" w:eastAsia="zh-CN"/>
        </w:rPr>
        <w:t>、其他优惠条件（如有）：投标人承诺给予采购人的各种优惠条件，包括备品备件、专用耗材等；</w:t>
      </w:r>
    </w:p>
    <w:p w14:paraId="1B65037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AAC915B">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03318B98">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lang w:val="en-US" w:eastAsia="zh-CN"/>
        </w:rPr>
        <w:t>、投标人需要提供的其他文件或资料（如有）。</w:t>
      </w:r>
    </w:p>
    <w:p w14:paraId="6BA5B63E">
      <w:pPr>
        <w:pStyle w:val="32"/>
        <w:rPr>
          <w:rFonts w:hint="eastAsia" w:ascii="宋体" w:hAnsi="宋体" w:cs="宋体"/>
          <w:b/>
          <w:bCs/>
          <w:color w:val="auto"/>
          <w:sz w:val="24"/>
          <w:szCs w:val="24"/>
          <w:highlight w:val="none"/>
        </w:rPr>
      </w:pPr>
    </w:p>
    <w:p w14:paraId="313E714A">
      <w:pPr>
        <w:pStyle w:val="32"/>
        <w:rPr>
          <w:rFonts w:hint="eastAsia" w:ascii="宋体" w:hAnsi="宋体" w:cs="宋体"/>
          <w:b/>
          <w:bCs/>
          <w:color w:val="auto"/>
          <w:sz w:val="24"/>
          <w:szCs w:val="24"/>
          <w:highlight w:val="none"/>
        </w:rPr>
      </w:pPr>
    </w:p>
    <w:p w14:paraId="5B87D62A">
      <w:pPr>
        <w:pStyle w:val="32"/>
        <w:rPr>
          <w:rFonts w:hint="eastAsia" w:ascii="宋体" w:hAnsi="宋体" w:cs="宋体"/>
          <w:b/>
          <w:bCs/>
          <w:color w:val="auto"/>
          <w:sz w:val="24"/>
          <w:szCs w:val="24"/>
          <w:highlight w:val="none"/>
        </w:rPr>
      </w:pPr>
    </w:p>
    <w:p w14:paraId="75B530AE">
      <w:pPr>
        <w:rPr>
          <w:rFonts w:hint="eastAsia"/>
          <w:color w:val="auto"/>
          <w:sz w:val="24"/>
          <w:szCs w:val="22"/>
          <w:highlight w:val="none"/>
        </w:rPr>
      </w:pPr>
      <w:r>
        <w:rPr>
          <w:rFonts w:hint="eastAsia"/>
          <w:color w:val="auto"/>
          <w:sz w:val="24"/>
          <w:szCs w:val="22"/>
          <w:highlight w:val="none"/>
        </w:rPr>
        <w:br w:type="page"/>
      </w:r>
    </w:p>
    <w:p w14:paraId="0E309A49">
      <w:pPr>
        <w:pStyle w:val="40"/>
        <w:ind w:firstLine="0" w:firstLineChars="0"/>
        <w:rPr>
          <w:color w:val="auto"/>
          <w:sz w:val="24"/>
          <w:szCs w:val="22"/>
          <w:highlight w:val="none"/>
        </w:rPr>
      </w:pPr>
      <w:r>
        <w:rPr>
          <w:rFonts w:hint="eastAsia"/>
          <w:color w:val="auto"/>
          <w:sz w:val="24"/>
          <w:szCs w:val="22"/>
          <w:highlight w:val="none"/>
        </w:rPr>
        <w:t>附：</w:t>
      </w:r>
    </w:p>
    <w:p w14:paraId="26534D3D">
      <w:pPr>
        <w:pStyle w:val="40"/>
        <w:ind w:firstLine="0" w:firstLineChars="0"/>
        <w:jc w:val="center"/>
        <w:rPr>
          <w:color w:val="auto"/>
          <w:sz w:val="24"/>
          <w:szCs w:val="22"/>
          <w:highlight w:val="none"/>
        </w:rPr>
      </w:pPr>
      <w:r>
        <w:rPr>
          <w:rFonts w:hint="eastAsia"/>
          <w:color w:val="auto"/>
          <w:sz w:val="24"/>
          <w:szCs w:val="22"/>
          <w:highlight w:val="none"/>
        </w:rPr>
        <w:t>质疑函范本</w:t>
      </w:r>
    </w:p>
    <w:p w14:paraId="35CEA6DB">
      <w:pPr>
        <w:pStyle w:val="40"/>
        <w:ind w:firstLine="480"/>
        <w:rPr>
          <w:color w:val="auto"/>
          <w:sz w:val="24"/>
          <w:szCs w:val="22"/>
          <w:highlight w:val="none"/>
        </w:rPr>
      </w:pPr>
      <w:r>
        <w:rPr>
          <w:rFonts w:hint="eastAsia"/>
          <w:color w:val="auto"/>
          <w:sz w:val="24"/>
          <w:szCs w:val="22"/>
          <w:highlight w:val="none"/>
        </w:rPr>
        <w:t>一、质疑供应商基本信息</w:t>
      </w:r>
    </w:p>
    <w:p w14:paraId="082B7CDE">
      <w:pPr>
        <w:pStyle w:val="40"/>
        <w:ind w:firstLine="480"/>
        <w:rPr>
          <w:color w:val="auto"/>
          <w:sz w:val="24"/>
          <w:szCs w:val="22"/>
          <w:highlight w:val="none"/>
          <w:u w:val="single"/>
        </w:rPr>
      </w:pPr>
      <w:r>
        <w:rPr>
          <w:rFonts w:hint="eastAsia"/>
          <w:color w:val="auto"/>
          <w:sz w:val="24"/>
          <w:szCs w:val="22"/>
          <w:highlight w:val="none"/>
        </w:rPr>
        <w:t xml:space="preserve">质疑供应商：  </w:t>
      </w:r>
    </w:p>
    <w:p w14:paraId="086CF72E">
      <w:pPr>
        <w:pStyle w:val="40"/>
        <w:ind w:firstLine="480"/>
        <w:rPr>
          <w:color w:val="auto"/>
          <w:sz w:val="24"/>
          <w:szCs w:val="22"/>
          <w:highlight w:val="none"/>
        </w:rPr>
      </w:pPr>
      <w:r>
        <w:rPr>
          <w:rFonts w:hint="eastAsia"/>
          <w:color w:val="auto"/>
          <w:sz w:val="24"/>
          <w:szCs w:val="22"/>
          <w:highlight w:val="none"/>
        </w:rPr>
        <w:t xml:space="preserve">地址：                          邮编：                  </w:t>
      </w:r>
    </w:p>
    <w:p w14:paraId="3689B03A">
      <w:pPr>
        <w:pStyle w:val="40"/>
        <w:ind w:firstLine="480"/>
        <w:rPr>
          <w:color w:val="auto"/>
          <w:sz w:val="24"/>
          <w:szCs w:val="22"/>
          <w:highlight w:val="none"/>
        </w:rPr>
      </w:pPr>
      <w:r>
        <w:rPr>
          <w:rFonts w:hint="eastAsia"/>
          <w:color w:val="auto"/>
          <w:sz w:val="24"/>
          <w:szCs w:val="22"/>
          <w:highlight w:val="none"/>
        </w:rPr>
        <w:t xml:space="preserve">联系人：                      联系电话：                 </w:t>
      </w:r>
    </w:p>
    <w:p w14:paraId="6871924E">
      <w:pPr>
        <w:pStyle w:val="40"/>
        <w:ind w:firstLine="480"/>
        <w:rPr>
          <w:color w:val="auto"/>
          <w:sz w:val="24"/>
          <w:szCs w:val="22"/>
          <w:highlight w:val="none"/>
        </w:rPr>
      </w:pPr>
      <w:r>
        <w:rPr>
          <w:rFonts w:hint="eastAsia"/>
          <w:color w:val="auto"/>
          <w:sz w:val="24"/>
          <w:szCs w:val="22"/>
          <w:highlight w:val="none"/>
        </w:rPr>
        <w:t xml:space="preserve">授权代表：                                          </w:t>
      </w:r>
    </w:p>
    <w:p w14:paraId="50A83D34">
      <w:pPr>
        <w:pStyle w:val="40"/>
        <w:ind w:firstLine="480"/>
        <w:rPr>
          <w:color w:val="auto"/>
          <w:sz w:val="24"/>
          <w:szCs w:val="22"/>
          <w:highlight w:val="none"/>
        </w:rPr>
      </w:pPr>
      <w:r>
        <w:rPr>
          <w:rFonts w:hint="eastAsia"/>
          <w:color w:val="auto"/>
          <w:sz w:val="24"/>
          <w:szCs w:val="22"/>
          <w:highlight w:val="none"/>
        </w:rPr>
        <w:t xml:space="preserve">联系电话：                                            </w:t>
      </w:r>
    </w:p>
    <w:p w14:paraId="0CEC6899">
      <w:pPr>
        <w:pStyle w:val="40"/>
        <w:ind w:firstLine="480"/>
        <w:rPr>
          <w:color w:val="auto"/>
          <w:sz w:val="24"/>
          <w:szCs w:val="22"/>
          <w:highlight w:val="none"/>
        </w:rPr>
      </w:pPr>
      <w:r>
        <w:rPr>
          <w:rFonts w:hint="eastAsia"/>
          <w:color w:val="auto"/>
          <w:sz w:val="24"/>
          <w:szCs w:val="22"/>
          <w:highlight w:val="none"/>
        </w:rPr>
        <w:t xml:space="preserve">地址：                         邮编：                    </w:t>
      </w:r>
    </w:p>
    <w:p w14:paraId="6A7694A3">
      <w:pPr>
        <w:pStyle w:val="40"/>
        <w:ind w:firstLine="480"/>
        <w:rPr>
          <w:color w:val="auto"/>
          <w:sz w:val="24"/>
          <w:szCs w:val="22"/>
          <w:highlight w:val="none"/>
        </w:rPr>
      </w:pPr>
      <w:r>
        <w:rPr>
          <w:rFonts w:hint="eastAsia"/>
          <w:color w:val="auto"/>
          <w:sz w:val="24"/>
          <w:szCs w:val="22"/>
          <w:highlight w:val="none"/>
        </w:rPr>
        <w:t>二、质疑项目基本情况</w:t>
      </w:r>
    </w:p>
    <w:p w14:paraId="2B74D153">
      <w:pPr>
        <w:pStyle w:val="40"/>
        <w:ind w:firstLine="480"/>
        <w:rPr>
          <w:color w:val="auto"/>
          <w:sz w:val="24"/>
          <w:szCs w:val="22"/>
          <w:highlight w:val="none"/>
        </w:rPr>
      </w:pPr>
      <w:r>
        <w:rPr>
          <w:rFonts w:hint="eastAsia"/>
          <w:color w:val="auto"/>
          <w:sz w:val="24"/>
          <w:szCs w:val="22"/>
          <w:highlight w:val="none"/>
        </w:rPr>
        <w:t xml:space="preserve">质疑项目的名称：                                      </w:t>
      </w:r>
    </w:p>
    <w:p w14:paraId="03E0A6F0">
      <w:pPr>
        <w:pStyle w:val="40"/>
        <w:ind w:firstLine="480"/>
        <w:rPr>
          <w:color w:val="auto"/>
          <w:sz w:val="24"/>
          <w:szCs w:val="22"/>
          <w:highlight w:val="none"/>
        </w:rPr>
      </w:pPr>
      <w:r>
        <w:rPr>
          <w:rFonts w:hint="eastAsia"/>
          <w:color w:val="auto"/>
          <w:sz w:val="24"/>
          <w:szCs w:val="22"/>
          <w:highlight w:val="none"/>
        </w:rPr>
        <w:t xml:space="preserve">质疑项目的编号：               包号：                 </w:t>
      </w:r>
    </w:p>
    <w:p w14:paraId="7AD3A8BB">
      <w:pPr>
        <w:pStyle w:val="40"/>
        <w:ind w:firstLine="480"/>
        <w:rPr>
          <w:color w:val="auto"/>
          <w:sz w:val="24"/>
          <w:szCs w:val="22"/>
          <w:highlight w:val="none"/>
        </w:rPr>
      </w:pPr>
      <w:r>
        <w:rPr>
          <w:rFonts w:hint="eastAsia"/>
          <w:color w:val="auto"/>
          <w:sz w:val="24"/>
          <w:szCs w:val="22"/>
          <w:highlight w:val="none"/>
        </w:rPr>
        <w:t xml:space="preserve">采购人名称：                                         </w:t>
      </w:r>
    </w:p>
    <w:p w14:paraId="52355CA7">
      <w:pPr>
        <w:pStyle w:val="40"/>
        <w:ind w:firstLine="480"/>
        <w:rPr>
          <w:color w:val="auto"/>
          <w:sz w:val="24"/>
          <w:szCs w:val="22"/>
          <w:highlight w:val="none"/>
        </w:rPr>
      </w:pPr>
      <w:r>
        <w:rPr>
          <w:rFonts w:hint="eastAsia"/>
          <w:color w:val="auto"/>
          <w:sz w:val="24"/>
          <w:szCs w:val="22"/>
          <w:highlight w:val="none"/>
        </w:rPr>
        <w:t xml:space="preserve">招标文件获取日期：                                           </w:t>
      </w:r>
    </w:p>
    <w:p w14:paraId="36600364">
      <w:pPr>
        <w:pStyle w:val="40"/>
        <w:ind w:firstLine="480"/>
        <w:rPr>
          <w:color w:val="auto"/>
          <w:sz w:val="24"/>
          <w:szCs w:val="22"/>
          <w:highlight w:val="none"/>
        </w:rPr>
      </w:pPr>
      <w:r>
        <w:rPr>
          <w:rFonts w:hint="eastAsia"/>
          <w:color w:val="auto"/>
          <w:sz w:val="24"/>
          <w:szCs w:val="22"/>
          <w:highlight w:val="none"/>
        </w:rPr>
        <w:t>三、质疑事项具体内容</w:t>
      </w:r>
    </w:p>
    <w:p w14:paraId="6CBB569D">
      <w:pPr>
        <w:pStyle w:val="40"/>
        <w:ind w:firstLine="480"/>
        <w:rPr>
          <w:color w:val="auto"/>
          <w:sz w:val="24"/>
          <w:szCs w:val="22"/>
          <w:highlight w:val="none"/>
        </w:rPr>
      </w:pPr>
      <w:r>
        <w:rPr>
          <w:rFonts w:hint="eastAsia"/>
          <w:color w:val="auto"/>
          <w:sz w:val="24"/>
          <w:szCs w:val="22"/>
          <w:highlight w:val="none"/>
        </w:rPr>
        <w:t xml:space="preserve">质疑事项1：                                         </w:t>
      </w:r>
    </w:p>
    <w:p w14:paraId="1142CA9F">
      <w:pPr>
        <w:pStyle w:val="40"/>
        <w:ind w:firstLine="480"/>
        <w:rPr>
          <w:color w:val="auto"/>
          <w:sz w:val="24"/>
          <w:szCs w:val="22"/>
          <w:highlight w:val="none"/>
        </w:rPr>
      </w:pPr>
      <w:r>
        <w:rPr>
          <w:rFonts w:hint="eastAsia"/>
          <w:color w:val="auto"/>
          <w:sz w:val="24"/>
          <w:szCs w:val="22"/>
          <w:highlight w:val="none"/>
        </w:rPr>
        <w:t xml:space="preserve">事实依据：                                          </w:t>
      </w:r>
    </w:p>
    <w:p w14:paraId="6A1AF974">
      <w:pPr>
        <w:pStyle w:val="40"/>
        <w:ind w:firstLine="480"/>
        <w:rPr>
          <w:color w:val="auto"/>
          <w:sz w:val="24"/>
          <w:szCs w:val="22"/>
          <w:highlight w:val="none"/>
        </w:rPr>
      </w:pPr>
    </w:p>
    <w:p w14:paraId="607615C9">
      <w:pPr>
        <w:pStyle w:val="40"/>
        <w:ind w:firstLine="480"/>
        <w:rPr>
          <w:color w:val="auto"/>
          <w:sz w:val="24"/>
          <w:szCs w:val="22"/>
          <w:highlight w:val="none"/>
        </w:rPr>
      </w:pPr>
      <w:r>
        <w:rPr>
          <w:rFonts w:hint="eastAsia"/>
          <w:color w:val="auto"/>
          <w:sz w:val="24"/>
          <w:szCs w:val="22"/>
          <w:highlight w:val="none"/>
        </w:rPr>
        <w:t xml:space="preserve">法律依据：                                          </w:t>
      </w:r>
    </w:p>
    <w:p w14:paraId="2DE89D22">
      <w:pPr>
        <w:pStyle w:val="40"/>
        <w:ind w:firstLine="480"/>
        <w:rPr>
          <w:color w:val="auto"/>
          <w:sz w:val="24"/>
          <w:szCs w:val="22"/>
          <w:highlight w:val="none"/>
        </w:rPr>
      </w:pPr>
    </w:p>
    <w:p w14:paraId="2192014E">
      <w:pPr>
        <w:pStyle w:val="40"/>
        <w:ind w:firstLine="480"/>
        <w:rPr>
          <w:color w:val="auto"/>
          <w:sz w:val="24"/>
          <w:szCs w:val="22"/>
          <w:highlight w:val="none"/>
        </w:rPr>
      </w:pPr>
      <w:r>
        <w:rPr>
          <w:rFonts w:hint="eastAsia"/>
          <w:color w:val="auto"/>
          <w:sz w:val="24"/>
          <w:szCs w:val="22"/>
          <w:highlight w:val="none"/>
        </w:rPr>
        <w:t>质疑事项2</w:t>
      </w:r>
    </w:p>
    <w:p w14:paraId="7B8D8E73">
      <w:pPr>
        <w:pStyle w:val="40"/>
        <w:ind w:firstLine="480"/>
        <w:rPr>
          <w:color w:val="auto"/>
          <w:sz w:val="24"/>
          <w:szCs w:val="22"/>
          <w:highlight w:val="none"/>
        </w:rPr>
      </w:pPr>
      <w:r>
        <w:rPr>
          <w:rFonts w:hint="eastAsia"/>
          <w:color w:val="auto"/>
          <w:sz w:val="24"/>
          <w:szCs w:val="22"/>
          <w:highlight w:val="none"/>
        </w:rPr>
        <w:t>……</w:t>
      </w:r>
    </w:p>
    <w:p w14:paraId="31F019CF">
      <w:pPr>
        <w:pStyle w:val="40"/>
        <w:ind w:firstLine="480"/>
        <w:rPr>
          <w:color w:val="auto"/>
          <w:sz w:val="24"/>
          <w:szCs w:val="22"/>
          <w:highlight w:val="none"/>
        </w:rPr>
      </w:pPr>
      <w:r>
        <w:rPr>
          <w:rFonts w:hint="eastAsia"/>
          <w:color w:val="auto"/>
          <w:sz w:val="24"/>
          <w:szCs w:val="22"/>
          <w:highlight w:val="none"/>
        </w:rPr>
        <w:t>四、与质疑事项相关的质疑请求</w:t>
      </w:r>
    </w:p>
    <w:p w14:paraId="04E5472E">
      <w:pPr>
        <w:pStyle w:val="40"/>
        <w:ind w:firstLine="480"/>
        <w:rPr>
          <w:color w:val="auto"/>
          <w:sz w:val="24"/>
          <w:szCs w:val="22"/>
          <w:highlight w:val="none"/>
        </w:rPr>
      </w:pPr>
      <w:r>
        <w:rPr>
          <w:rFonts w:hint="eastAsia"/>
          <w:color w:val="auto"/>
          <w:sz w:val="24"/>
          <w:szCs w:val="22"/>
          <w:highlight w:val="none"/>
        </w:rPr>
        <w:t xml:space="preserve">请求：                                               </w:t>
      </w:r>
    </w:p>
    <w:p w14:paraId="14B22534">
      <w:pPr>
        <w:pStyle w:val="40"/>
        <w:ind w:firstLine="480"/>
        <w:rPr>
          <w:color w:val="auto"/>
          <w:sz w:val="24"/>
          <w:szCs w:val="22"/>
          <w:highlight w:val="none"/>
        </w:rPr>
      </w:pPr>
      <w:r>
        <w:rPr>
          <w:rFonts w:hint="eastAsia"/>
          <w:color w:val="auto"/>
          <w:sz w:val="24"/>
          <w:szCs w:val="22"/>
          <w:highlight w:val="none"/>
        </w:rPr>
        <w:t xml:space="preserve">签字(签章)：                   公章：                      </w:t>
      </w:r>
    </w:p>
    <w:p w14:paraId="380E7389">
      <w:pPr>
        <w:pStyle w:val="40"/>
        <w:ind w:firstLine="480"/>
        <w:rPr>
          <w:color w:val="auto"/>
          <w:sz w:val="24"/>
          <w:szCs w:val="22"/>
          <w:highlight w:val="none"/>
        </w:rPr>
      </w:pPr>
      <w:r>
        <w:rPr>
          <w:rFonts w:hint="eastAsia"/>
          <w:color w:val="auto"/>
          <w:sz w:val="24"/>
          <w:szCs w:val="22"/>
          <w:highlight w:val="none"/>
        </w:rPr>
        <w:t xml:space="preserve">日期：    </w:t>
      </w:r>
    </w:p>
    <w:p w14:paraId="659F343B">
      <w:pPr>
        <w:rPr>
          <w:color w:val="auto"/>
          <w:sz w:val="24"/>
          <w:szCs w:val="22"/>
          <w:highlight w:val="none"/>
        </w:rPr>
      </w:pPr>
      <w:r>
        <w:rPr>
          <w:rFonts w:hint="eastAsia"/>
          <w:color w:val="auto"/>
          <w:sz w:val="24"/>
          <w:szCs w:val="22"/>
          <w:highlight w:val="none"/>
        </w:rPr>
        <w:br w:type="page"/>
      </w:r>
    </w:p>
    <w:p w14:paraId="5E5CCECC">
      <w:pPr>
        <w:pStyle w:val="40"/>
        <w:ind w:firstLine="480"/>
        <w:rPr>
          <w:color w:val="auto"/>
          <w:sz w:val="24"/>
          <w:szCs w:val="22"/>
          <w:highlight w:val="none"/>
        </w:rPr>
      </w:pPr>
      <w:r>
        <w:rPr>
          <w:rFonts w:hint="eastAsia"/>
          <w:color w:val="auto"/>
          <w:sz w:val="24"/>
          <w:szCs w:val="22"/>
          <w:highlight w:val="none"/>
        </w:rPr>
        <w:t>质疑函制作说明：</w:t>
      </w:r>
    </w:p>
    <w:p w14:paraId="2244C974">
      <w:pPr>
        <w:pStyle w:val="40"/>
        <w:ind w:firstLine="480"/>
        <w:rPr>
          <w:color w:val="auto"/>
          <w:sz w:val="24"/>
          <w:szCs w:val="22"/>
          <w:highlight w:val="none"/>
        </w:rPr>
      </w:pPr>
      <w:r>
        <w:rPr>
          <w:rFonts w:hint="eastAsia"/>
          <w:color w:val="auto"/>
          <w:sz w:val="24"/>
          <w:szCs w:val="22"/>
          <w:highlight w:val="none"/>
        </w:rPr>
        <w:t>1.供应商提出质疑时，应提交质疑函和必要的证明材料。</w:t>
      </w:r>
    </w:p>
    <w:p w14:paraId="4F30FED3">
      <w:pPr>
        <w:pStyle w:val="40"/>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4AB5153">
      <w:pPr>
        <w:pStyle w:val="40"/>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14:paraId="015DE500">
      <w:pPr>
        <w:pStyle w:val="40"/>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14:paraId="4F6577CE">
      <w:pPr>
        <w:pStyle w:val="40"/>
        <w:ind w:firstLine="480"/>
        <w:rPr>
          <w:color w:val="auto"/>
          <w:sz w:val="24"/>
          <w:szCs w:val="22"/>
          <w:highlight w:val="none"/>
        </w:rPr>
      </w:pPr>
      <w:r>
        <w:rPr>
          <w:rFonts w:hint="eastAsia"/>
          <w:color w:val="auto"/>
          <w:sz w:val="24"/>
          <w:szCs w:val="22"/>
          <w:highlight w:val="none"/>
        </w:rPr>
        <w:t>5.质疑函的质疑请求应与质疑事项相关。</w:t>
      </w:r>
    </w:p>
    <w:p w14:paraId="45A68360">
      <w:pPr>
        <w:pStyle w:val="40"/>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14:paraId="069CA351">
      <w:pPr>
        <w:rPr>
          <w:rFonts w:hint="eastAsia" w:eastAsia="宋体"/>
          <w:color w:val="auto"/>
          <w:highlight w:val="none"/>
          <w:lang w:eastAsia="zh-CN"/>
        </w:rPr>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146" w:name="_Toc95234398"/>
      <w:bookmarkStart w:id="147" w:name="_Toc99731210"/>
      <w:bookmarkStart w:id="148" w:name="_Toc30959"/>
      <w:bookmarkStart w:id="149" w:name="_Toc6920"/>
      <w:bookmarkStart w:id="150" w:name="_Toc24870"/>
      <w:bookmarkStart w:id="151" w:name="_Toc99731325"/>
      <w:bookmarkStart w:id="152" w:name="_Toc105522757"/>
    </w:p>
    <w:bookmarkEnd w:id="146"/>
    <w:bookmarkEnd w:id="147"/>
    <w:bookmarkEnd w:id="148"/>
    <w:bookmarkEnd w:id="149"/>
    <w:bookmarkEnd w:id="150"/>
    <w:bookmarkEnd w:id="151"/>
    <w:bookmarkEnd w:id="152"/>
    <w:p w14:paraId="068175F1">
      <w:pPr>
        <w:pStyle w:val="2"/>
        <w:rPr>
          <w:rFonts w:hint="eastAsia" w:ascii="宋体" w:hAnsi="宋体" w:eastAsia="宋体" w:cs="宋体"/>
          <w:color w:val="auto"/>
          <w:highlight w:val="none"/>
        </w:rPr>
      </w:pPr>
      <w:r>
        <w:rPr>
          <w:rFonts w:hint="eastAsia" w:ascii="宋体" w:hAnsi="宋体" w:eastAsia="宋体" w:cs="宋体"/>
          <w:color w:val="auto"/>
          <w:highlight w:val="none"/>
        </w:rPr>
        <w:t>第六章 项目需求</w:t>
      </w:r>
    </w:p>
    <w:p w14:paraId="214B1749">
      <w:pPr>
        <w:pStyle w:val="130"/>
        <w:spacing w:line="360" w:lineRule="auto"/>
        <w:ind w:left="0" w:leftChars="0" w:firstLine="0" w:firstLineChars="0"/>
        <w:rPr>
          <w:rFonts w:hint="eastAsia"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一、</w:t>
      </w:r>
      <w:r>
        <w:rPr>
          <w:rFonts w:hint="eastAsia" w:ascii="宋体" w:hAnsi="宋体" w:eastAsia="宋体" w:cs="宋体"/>
          <w:b/>
          <w:bCs/>
          <w:color w:val="auto"/>
          <w:sz w:val="24"/>
          <w:szCs w:val="32"/>
          <w:highlight w:val="none"/>
          <w:lang w:val="en-US" w:eastAsia="zh-CN"/>
        </w:rPr>
        <w:t>采购清单目录</w:t>
      </w:r>
    </w:p>
    <w:tbl>
      <w:tblPr>
        <w:tblStyle w:val="42"/>
        <w:tblpPr w:leftFromText="180" w:rightFromText="180" w:vertAnchor="text" w:horzAnchor="page" w:tblpX="656" w:tblpY="516"/>
        <w:tblOverlap w:val="never"/>
        <w:tblW w:w="10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1000"/>
        <w:gridCol w:w="5968"/>
        <w:gridCol w:w="451"/>
        <w:gridCol w:w="613"/>
        <w:gridCol w:w="968"/>
        <w:gridCol w:w="468"/>
      </w:tblGrid>
      <w:tr w14:paraId="4FA8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65" w:type="dxa"/>
            <w:vAlign w:val="center"/>
          </w:tcPr>
          <w:p w14:paraId="5A2279EB">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sz w:val="18"/>
                <w:szCs w:val="18"/>
                <w:highlight w:val="none"/>
                <w:vertAlign w:val="baseline"/>
                <w:lang w:val="en-US" w:eastAsia="zh-CN"/>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序号</w:t>
            </w:r>
          </w:p>
        </w:tc>
        <w:tc>
          <w:tcPr>
            <w:tcW w:w="1000" w:type="dxa"/>
            <w:vAlign w:val="center"/>
          </w:tcPr>
          <w:p w14:paraId="521383E5">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sz w:val="18"/>
                <w:szCs w:val="18"/>
                <w:highlight w:val="none"/>
                <w:vertAlign w:val="baseline"/>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采购品目名称</w:t>
            </w:r>
          </w:p>
        </w:tc>
        <w:tc>
          <w:tcPr>
            <w:tcW w:w="5968" w:type="dxa"/>
            <w:vAlign w:val="center"/>
          </w:tcPr>
          <w:p w14:paraId="3F0B7823">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技术参数</w:t>
            </w:r>
          </w:p>
        </w:tc>
        <w:tc>
          <w:tcPr>
            <w:tcW w:w="451" w:type="dxa"/>
            <w:vAlign w:val="center"/>
          </w:tcPr>
          <w:p w14:paraId="7C32DE17">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sz w:val="18"/>
                <w:szCs w:val="18"/>
                <w:highlight w:val="none"/>
                <w:vertAlign w:val="baseline"/>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单位</w:t>
            </w:r>
          </w:p>
        </w:tc>
        <w:tc>
          <w:tcPr>
            <w:tcW w:w="613" w:type="dxa"/>
            <w:vAlign w:val="center"/>
          </w:tcPr>
          <w:p w14:paraId="728423C7">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sz w:val="18"/>
                <w:szCs w:val="18"/>
                <w:highlight w:val="none"/>
                <w:vertAlign w:val="baseline"/>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采购数量</w:t>
            </w:r>
          </w:p>
        </w:tc>
        <w:tc>
          <w:tcPr>
            <w:tcW w:w="968" w:type="dxa"/>
            <w:vAlign w:val="center"/>
          </w:tcPr>
          <w:p w14:paraId="2265890A">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控制单价</w:t>
            </w:r>
          </w:p>
          <w:p w14:paraId="2036D725">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sz w:val="18"/>
                <w:szCs w:val="18"/>
                <w:highlight w:val="none"/>
                <w:vertAlign w:val="baseline"/>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（万元）</w:t>
            </w:r>
          </w:p>
        </w:tc>
        <w:tc>
          <w:tcPr>
            <w:tcW w:w="468" w:type="dxa"/>
            <w:vAlign w:val="center"/>
          </w:tcPr>
          <w:p w14:paraId="6674AE42">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备注</w:t>
            </w:r>
          </w:p>
        </w:tc>
      </w:tr>
      <w:tr w14:paraId="1630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565" w:type="dxa"/>
            <w:vAlign w:val="center"/>
          </w:tcPr>
          <w:p w14:paraId="5203322F">
            <w:pPr>
              <w:pStyle w:val="24"/>
              <w:spacing w:line="240" w:lineRule="auto"/>
              <w:jc w:val="center"/>
              <w:rPr>
                <w:rFonts w:hint="eastAsia" w:asciiTheme="majorEastAsia" w:hAnsiTheme="majorEastAsia" w:eastAsiaTheme="majorEastAsia" w:cstheme="majorEastAsia"/>
                <w:color w:val="auto"/>
                <w:kern w:val="2"/>
                <w:sz w:val="18"/>
                <w:szCs w:val="18"/>
                <w:highlight w:val="none"/>
                <w:vertAlign w:val="baseline"/>
                <w:lang w:val="en-US" w:eastAsia="zh-CN" w:bidi="ar-SA"/>
              </w:rPr>
            </w:pPr>
            <w:r>
              <w:rPr>
                <w:rFonts w:hint="eastAsia" w:asciiTheme="majorEastAsia" w:hAnsiTheme="majorEastAsia" w:eastAsiaTheme="majorEastAsia" w:cstheme="majorEastAsia"/>
                <w:color w:val="auto"/>
                <w:kern w:val="2"/>
                <w:sz w:val="18"/>
                <w:szCs w:val="18"/>
                <w:highlight w:val="none"/>
                <w:vertAlign w:val="baseline"/>
                <w:lang w:val="en-US" w:eastAsia="zh-CN" w:bidi="ar-SA"/>
              </w:rPr>
              <w:t>1</w:t>
            </w:r>
          </w:p>
        </w:tc>
        <w:tc>
          <w:tcPr>
            <w:tcW w:w="1000" w:type="dxa"/>
            <w:vAlign w:val="center"/>
          </w:tcPr>
          <w:p w14:paraId="181A3538">
            <w:pPr>
              <w:spacing w:line="240" w:lineRule="auto"/>
              <w:jc w:val="center"/>
              <w:rPr>
                <w:rFonts w:hint="eastAsia" w:asciiTheme="majorEastAsia" w:hAnsiTheme="majorEastAsia" w:eastAsiaTheme="majorEastAsia" w:cstheme="majorEastAsia"/>
                <w:color w:val="auto"/>
                <w:kern w:val="2"/>
                <w:sz w:val="18"/>
                <w:szCs w:val="18"/>
                <w:highlight w:val="none"/>
                <w:vertAlign w:val="baseline"/>
                <w:lang w:val="en-US" w:eastAsia="zh-CN" w:bidi="ar-SA"/>
              </w:rPr>
            </w:pPr>
            <w:r>
              <w:rPr>
                <w:rFonts w:hint="eastAsia" w:asciiTheme="majorEastAsia" w:hAnsiTheme="majorEastAsia" w:eastAsiaTheme="majorEastAsia" w:cstheme="majorEastAsia"/>
                <w:color w:val="auto"/>
                <w:kern w:val="2"/>
                <w:sz w:val="18"/>
                <w:szCs w:val="18"/>
                <w:highlight w:val="none"/>
                <w:vertAlign w:val="baseline"/>
                <w:lang w:val="en-US" w:eastAsia="zh-CN" w:bidi="ar-SA"/>
              </w:rPr>
              <w:t>超临界萃取综合平台</w:t>
            </w:r>
          </w:p>
        </w:tc>
        <w:tc>
          <w:tcPr>
            <w:tcW w:w="5968" w:type="dxa"/>
            <w:vAlign w:val="center"/>
          </w:tcPr>
          <w:p w14:paraId="27CC54DF">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1、萃取釜：容积≥5L，数量:1个，容积≥1L，数量:1个;316不锈钢材质整体加工，配有电加热保温系统，温度室温-100°C可调，设计耐压压力≥50MPa;</w:t>
            </w:r>
          </w:p>
          <w:p w14:paraId="46B07C0C">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2、分离釜：容积≥2L，数量1个,包含混合物气体与液体分离部件，立式，最高压力≥30MPa，釜体外设水加热套(温度可调室温至100℃)及保温层，最高工作温度85℃，316不锈钢材质。容积≥1L，数量1个；316不锈钢材质一体加工，配有电加热系统，温度室温-至100℃可调。混合物气体与液体分离部件，立式，最高压力30MPa，最高工作温度100℃，具有蓝宝石视窗，可观察萃取物收集进度。</w:t>
            </w:r>
          </w:p>
          <w:p w14:paraId="48C2EB3B">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混合器:为主、副泵流体汇集混合处，同时可起到缓冲作用，最大工作压力≥50MPa，容积500mL，316不锈钢材质。</w:t>
            </w:r>
          </w:p>
          <w:p w14:paraId="5DD10523">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★3、CO2高压储罐：容积≥4L，316不锈钢材质一体加工，内置压缩机制冷系统，无需额外配置制冷水浴机，制冷范围-5℃-室温。设计耐压压力≥20MPa；</w:t>
            </w:r>
          </w:p>
          <w:p w14:paraId="79D223F0">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★4、CO2高压输送泵：流速：0-40L/h，触摸屏控制模式，泵和前置储罐一体设计，结构紧凑，操作简便，最高工作压力：≥50MPa；</w:t>
            </w:r>
          </w:p>
          <w:p w14:paraId="1484F369">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5、夹带剂高压输送泵：流速：0-6L/h，触摸屏控制模式，流速控制精度：≤1ml/min，最高工作压力：≥40MPa;</w:t>
            </w:r>
          </w:p>
          <w:p w14:paraId="2F4C25E1">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6、萃取釜盖和分离釜盖采用整体螺旋式结构，操作简便快速；</w:t>
            </w:r>
          </w:p>
          <w:p w14:paraId="63A2DD7C">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7、气路控制系统：截止阀+微调阀+背压阀气路控制系统，可精确调节压力和气流速；</w:t>
            </w:r>
          </w:p>
          <w:p w14:paraId="66AA10EB">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8、换热系统：高压釜前端预加热系统，排气加热系统，恒温控制35-80℃；</w:t>
            </w:r>
          </w:p>
          <w:p w14:paraId="6D67304F">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9、二氧化碳回收循环系统：耐高压管路和多组过滤系统组成，二氧化碳可循环利用，节能环保；</w:t>
            </w:r>
          </w:p>
          <w:p w14:paraId="683C49D7">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10、安全系统：所有高压容器均配有自动泄压系统，超压自动泄压保障压力在可控范围内；</w:t>
            </w:r>
          </w:p>
          <w:p w14:paraId="10A8C4C4">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11、316L不锈钢管路，耐压≥50MPa，管径为1/4英寸，保温和精准设计；</w:t>
            </w:r>
          </w:p>
          <w:p w14:paraId="05E44A42">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12、加热系统：电加热温控，控制范围 室温-100℃可调，控温精度≤±1℃；</w:t>
            </w:r>
          </w:p>
          <w:p w14:paraId="5EA17432">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13、压力显示：每个高压釜都配有独立的数显压力表，方便调控和观察釜内压力变化；</w:t>
            </w:r>
          </w:p>
          <w:p w14:paraId="4F4C2EF3">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★14、结构及外观：设计结构紧凑，总地面积≤2㎡，操作简便。</w:t>
            </w:r>
          </w:p>
          <w:p w14:paraId="1E70A30E">
            <w:pPr>
              <w:pStyle w:val="39"/>
              <w:spacing w:line="240" w:lineRule="auto"/>
              <w:ind w:left="0" w:leftChars="0" w:firstLine="0" w:firstLineChars="0"/>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r>
              <w:rPr>
                <w:rFonts w:hint="eastAsia" w:asciiTheme="majorEastAsia" w:hAnsiTheme="majorEastAsia" w:eastAsiaTheme="majorEastAsia" w:cstheme="majorEastAsia"/>
                <w:i w:val="0"/>
                <w:iCs w:val="0"/>
                <w:color w:val="auto"/>
                <w:kern w:val="0"/>
                <w:sz w:val="18"/>
                <w:szCs w:val="18"/>
                <w:highlight w:val="none"/>
                <w:u w:val="none"/>
                <w:lang w:val="en-US" w:eastAsia="zh-CN" w:bidi="ar"/>
              </w:rPr>
              <w:t>★15、提供完整技术与质量证明文件，具体包括：超临界萃取综合平台简单管路流程设计图、设备生产制造工艺文件、出厂检测文件（含压力检测图、性能检测图、气密性检测报告）、安全阀结构图纸及厂家检测报告、压力表检测报告，所有文件均需加盖厂家公章，满足项目验收、归档及后期运维要求。</w:t>
            </w:r>
          </w:p>
        </w:tc>
        <w:tc>
          <w:tcPr>
            <w:tcW w:w="451" w:type="dxa"/>
            <w:vAlign w:val="center"/>
          </w:tcPr>
          <w:p w14:paraId="6781EDEE">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kern w:val="2"/>
                <w:sz w:val="18"/>
                <w:szCs w:val="18"/>
                <w:highlight w:val="none"/>
                <w:vertAlign w:val="baseline"/>
                <w:lang w:val="en-US" w:eastAsia="zh-CN" w:bidi="ar-SA"/>
              </w:rPr>
            </w:pPr>
            <w:r>
              <w:rPr>
                <w:rFonts w:hint="eastAsia" w:asciiTheme="majorEastAsia" w:hAnsiTheme="majorEastAsia" w:eastAsiaTheme="majorEastAsia" w:cstheme="majorEastAsia"/>
                <w:color w:val="auto"/>
                <w:kern w:val="2"/>
                <w:sz w:val="18"/>
                <w:szCs w:val="18"/>
                <w:highlight w:val="none"/>
                <w:vertAlign w:val="baseline"/>
                <w:lang w:val="en-US" w:eastAsia="zh-CN" w:bidi="ar-SA"/>
              </w:rPr>
              <w:t>套</w:t>
            </w:r>
          </w:p>
        </w:tc>
        <w:tc>
          <w:tcPr>
            <w:tcW w:w="613" w:type="dxa"/>
            <w:vAlign w:val="center"/>
          </w:tcPr>
          <w:p w14:paraId="7EF082B5">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color w:val="auto"/>
                <w:kern w:val="2"/>
                <w:sz w:val="18"/>
                <w:szCs w:val="18"/>
                <w:highlight w:val="none"/>
                <w:vertAlign w:val="baseline"/>
                <w:lang w:val="en-US" w:eastAsia="zh-CN" w:bidi="ar-SA"/>
              </w:rPr>
            </w:pPr>
            <w:r>
              <w:rPr>
                <w:rFonts w:hint="eastAsia" w:asciiTheme="majorEastAsia" w:hAnsiTheme="majorEastAsia" w:eastAsiaTheme="majorEastAsia" w:cstheme="majorEastAsia"/>
                <w:color w:val="auto"/>
                <w:kern w:val="2"/>
                <w:sz w:val="18"/>
                <w:szCs w:val="18"/>
                <w:highlight w:val="none"/>
                <w:vertAlign w:val="baseline"/>
                <w:lang w:val="en-US" w:eastAsia="zh-CN" w:bidi="ar-SA"/>
              </w:rPr>
              <w:t>1</w:t>
            </w:r>
          </w:p>
        </w:tc>
        <w:tc>
          <w:tcPr>
            <w:tcW w:w="968" w:type="dxa"/>
            <w:vAlign w:val="center"/>
          </w:tcPr>
          <w:p w14:paraId="1947F37F">
            <w:pPr>
              <w:keepNext w:val="0"/>
              <w:keepLines w:val="0"/>
              <w:widowControl/>
              <w:suppressLineNumbers w:val="0"/>
              <w:spacing w:line="240" w:lineRule="auto"/>
              <w:jc w:val="center"/>
              <w:textAlignment w:val="center"/>
              <w:rPr>
                <w:rFonts w:hint="default" w:asciiTheme="majorEastAsia" w:hAnsiTheme="majorEastAsia" w:eastAsiaTheme="majorEastAsia" w:cstheme="majorEastAsia"/>
                <w:color w:val="auto"/>
                <w:kern w:val="2"/>
                <w:sz w:val="18"/>
                <w:szCs w:val="18"/>
                <w:highlight w:val="none"/>
                <w:vertAlign w:val="baseline"/>
                <w:lang w:val="en-US" w:eastAsia="zh-CN" w:bidi="ar-SA"/>
              </w:rPr>
            </w:pPr>
            <w:r>
              <w:rPr>
                <w:rFonts w:hint="eastAsia" w:asciiTheme="majorEastAsia" w:hAnsiTheme="majorEastAsia" w:eastAsiaTheme="majorEastAsia" w:cstheme="majorEastAsia"/>
                <w:color w:val="auto"/>
                <w:kern w:val="2"/>
                <w:sz w:val="18"/>
                <w:szCs w:val="18"/>
                <w:highlight w:val="none"/>
                <w:vertAlign w:val="baseline"/>
                <w:lang w:val="en-US" w:eastAsia="zh-CN" w:bidi="ar-SA"/>
              </w:rPr>
              <w:t>62.9</w:t>
            </w:r>
          </w:p>
        </w:tc>
        <w:tc>
          <w:tcPr>
            <w:tcW w:w="468" w:type="dxa"/>
            <w:vAlign w:val="center"/>
          </w:tcPr>
          <w:p w14:paraId="5DF7AADD">
            <w:pPr>
              <w:keepNext w:val="0"/>
              <w:keepLines w:val="0"/>
              <w:widowControl/>
              <w:suppressLineNumbers w:val="0"/>
              <w:spacing w:line="240" w:lineRule="auto"/>
              <w:jc w:val="center"/>
              <w:textAlignment w:val="center"/>
              <w:rPr>
                <w:rFonts w:hint="eastAsia" w:asciiTheme="majorEastAsia" w:hAnsiTheme="majorEastAsia" w:eastAsiaTheme="majorEastAsia" w:cstheme="majorEastAsia"/>
                <w:i w:val="0"/>
                <w:iCs w:val="0"/>
                <w:color w:val="auto"/>
                <w:kern w:val="0"/>
                <w:sz w:val="18"/>
                <w:szCs w:val="18"/>
                <w:highlight w:val="none"/>
                <w:u w:val="none"/>
                <w:lang w:val="en-US" w:eastAsia="zh-CN" w:bidi="ar"/>
              </w:rPr>
            </w:pPr>
          </w:p>
        </w:tc>
      </w:tr>
    </w:tbl>
    <w:p w14:paraId="43614BEE">
      <w:pPr>
        <w:spacing w:line="460" w:lineRule="exact"/>
        <w:rPr>
          <w:rFonts w:hint="default" w:hAnsi="宋体" w:cs="宋体"/>
          <w:b/>
          <w:bCs/>
          <w:color w:val="auto"/>
          <w:sz w:val="21"/>
          <w:szCs w:val="21"/>
          <w:highlight w:val="none"/>
          <w:lang w:val="en-US" w:eastAsia="zh-CN"/>
        </w:rPr>
      </w:pPr>
    </w:p>
    <w:p w14:paraId="6316838E">
      <w:pPr>
        <w:pStyle w:val="24"/>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二、是否接受进口产品投标</w:t>
      </w:r>
    </w:p>
    <w:p w14:paraId="26124AD4">
      <w:pPr>
        <w:pStyle w:val="24"/>
        <w:spacing w:line="360" w:lineRule="auto"/>
        <w:ind w:firstLine="424" w:firstLineChars="200"/>
        <w:jc w:val="both"/>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本项目不接受进口产品投标（进口产品是指通过中国海关报关，验放进入中国境内，且产自关境外的产品）。</w:t>
      </w:r>
    </w:p>
    <w:p w14:paraId="7E7F5EA1">
      <w:pPr>
        <w:pStyle w:val="24"/>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三、项目基本情况和采购标的需实现的功能或目标</w:t>
      </w:r>
    </w:p>
    <w:p w14:paraId="729E7D41">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w:t>
      </w:r>
      <w:r>
        <w:rPr>
          <w:rFonts w:hint="eastAsia" w:ascii="宋体" w:hAnsi="宋体" w:eastAsia="宋体" w:cs="宋体"/>
          <w:b w:val="0"/>
          <w:bCs w:val="0"/>
          <w:color w:val="auto"/>
          <w:kern w:val="2"/>
          <w:sz w:val="21"/>
          <w:szCs w:val="21"/>
          <w:highlight w:val="none"/>
          <w:lang w:val="en-US" w:eastAsia="zh-CN" w:bidi="ar-SA"/>
        </w:rPr>
        <w:t>本项目是中国石油大学（北京）2026年院士采购项目中采购</w:t>
      </w:r>
      <w:bookmarkStart w:id="153" w:name="_Hlk208316681"/>
      <w:r>
        <w:rPr>
          <w:rFonts w:hint="eastAsia" w:ascii="宋体" w:hAnsi="宋体" w:eastAsia="宋体" w:cs="宋体"/>
          <w:b w:val="0"/>
          <w:bCs w:val="0"/>
          <w:color w:val="auto"/>
          <w:kern w:val="2"/>
          <w:sz w:val="21"/>
          <w:szCs w:val="21"/>
          <w:highlight w:val="none"/>
          <w:lang w:val="en-US" w:eastAsia="zh-CN" w:bidi="ar-SA"/>
        </w:rPr>
        <w:t>超临界萃取综合平台等仪器</w:t>
      </w:r>
      <w:bookmarkEnd w:id="153"/>
      <w:r>
        <w:rPr>
          <w:rFonts w:hint="eastAsia" w:ascii="宋体" w:hAnsi="宋体" w:eastAsia="宋体" w:cs="宋体"/>
          <w:b w:val="0"/>
          <w:bCs w:val="0"/>
          <w:color w:val="auto"/>
          <w:kern w:val="2"/>
          <w:sz w:val="21"/>
          <w:szCs w:val="21"/>
          <w:highlight w:val="none"/>
          <w:lang w:val="en-US" w:eastAsia="zh-CN" w:bidi="ar-SA"/>
        </w:rPr>
        <w:t>，满足现场测试需求；确保采购产品为原厂原件需提供正品厂家产品质检报告；</w:t>
      </w:r>
    </w:p>
    <w:p w14:paraId="14FA355D">
      <w:pPr>
        <w:spacing w:line="460" w:lineRule="exact"/>
        <w:ind w:firstLine="424" w:firstLineChars="20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2、功能、性能标准：设备制造符合行业及其它涉及的国家标准等要求；</w:t>
      </w:r>
    </w:p>
    <w:p w14:paraId="11629ED8">
      <w:pPr>
        <w:spacing w:line="460" w:lineRule="exact"/>
        <w:ind w:firstLine="424" w:firstLineChars="20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3、设备整体材质符合国家级/实验室级安全标准，与物料、介质接触部分均采用无毒、无析出、耐腐蚀材质，满足教学实验与科研使用要求。</w:t>
      </w:r>
    </w:p>
    <w:p w14:paraId="0B7B62D6">
      <w:pPr>
        <w:spacing w:line="460" w:lineRule="exact"/>
        <w:ind w:firstLine="424" w:firstLineChars="20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4、安全标准：设备整体设计、制造、安装、调试符合GB、ISO等国家及行业通用安全标准，满足高校实验室安全管理规范；</w:t>
      </w:r>
    </w:p>
    <w:p w14:paraId="2487947F">
      <w:pPr>
        <w:spacing w:line="460" w:lineRule="exact"/>
        <w:ind w:firstLine="424" w:firstLineChars="200"/>
        <w:rPr>
          <w:rFonts w:hint="default"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default" w:ascii="宋体" w:hAnsi="宋体" w:eastAsia="宋体" w:cs="宋体"/>
          <w:b w:val="0"/>
          <w:bCs w:val="0"/>
          <w:color w:val="auto"/>
          <w:kern w:val="2"/>
          <w:sz w:val="21"/>
          <w:szCs w:val="21"/>
          <w:highlight w:val="none"/>
          <w:lang w:val="en-US" w:eastAsia="zh-CN" w:bidi="ar-SA"/>
        </w:rPr>
        <w:t>服务标准：系统软件产品质保期间免费升级服务；承诺售后服务提供7*24应急服务；</w:t>
      </w:r>
    </w:p>
    <w:p w14:paraId="54E0D684">
      <w:pPr>
        <w:spacing w:line="46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四</w:t>
      </w:r>
      <w:r>
        <w:rPr>
          <w:rFonts w:hint="eastAsia" w:ascii="宋体" w:hAnsi="宋体" w:eastAsia="宋体" w:cs="宋体"/>
          <w:b/>
          <w:bCs/>
          <w:color w:val="auto"/>
          <w:kern w:val="2"/>
          <w:sz w:val="21"/>
          <w:szCs w:val="21"/>
          <w:highlight w:val="none"/>
          <w:lang w:val="en-US" w:eastAsia="zh-CN" w:bidi="ar-SA"/>
        </w:rPr>
        <w:t>、交货期</w:t>
      </w:r>
    </w:p>
    <w:p w14:paraId="63EC664B">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自采购合同签订后</w:t>
      </w:r>
      <w:r>
        <w:rPr>
          <w:rFonts w:hint="eastAsia" w:ascii="宋体" w:hAnsi="宋体" w:cs="宋体"/>
          <w:b w:val="0"/>
          <w:bCs w:val="0"/>
          <w:color w:val="auto"/>
          <w:kern w:val="2"/>
          <w:sz w:val="21"/>
          <w:szCs w:val="21"/>
          <w:highlight w:val="none"/>
          <w:lang w:val="en-US" w:eastAsia="zh-CN" w:bidi="ar-SA"/>
        </w:rPr>
        <w:t>6</w:t>
      </w:r>
      <w:r>
        <w:rPr>
          <w:rFonts w:hint="eastAsia" w:ascii="宋体" w:hAnsi="宋体" w:eastAsia="宋体" w:cs="宋体"/>
          <w:b w:val="0"/>
          <w:bCs w:val="0"/>
          <w:color w:val="auto"/>
          <w:kern w:val="2"/>
          <w:sz w:val="21"/>
          <w:szCs w:val="21"/>
          <w:highlight w:val="none"/>
          <w:lang w:val="en-US" w:eastAsia="zh-CN" w:bidi="ar-SA"/>
        </w:rPr>
        <w:t>0日内交货并完成安装调试。</w:t>
      </w:r>
    </w:p>
    <w:p w14:paraId="1AE7ADDE">
      <w:pPr>
        <w:spacing w:line="46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五</w:t>
      </w:r>
      <w:r>
        <w:rPr>
          <w:rFonts w:hint="eastAsia" w:ascii="宋体" w:hAnsi="宋体" w:eastAsia="宋体" w:cs="宋体"/>
          <w:b/>
          <w:bCs/>
          <w:color w:val="auto"/>
          <w:kern w:val="2"/>
          <w:sz w:val="21"/>
          <w:szCs w:val="21"/>
          <w:highlight w:val="none"/>
          <w:lang w:val="en-US" w:eastAsia="zh-CN" w:bidi="ar-SA"/>
        </w:rPr>
        <w:t>、交货地点</w:t>
      </w:r>
    </w:p>
    <w:p w14:paraId="68E39D1A">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中国石油大学（北京）克拉玛依校区</w:t>
      </w:r>
    </w:p>
    <w:p w14:paraId="502AB5E3">
      <w:pPr>
        <w:spacing w:line="46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六</w:t>
      </w:r>
      <w:r>
        <w:rPr>
          <w:rFonts w:hint="eastAsia" w:ascii="宋体" w:hAnsi="宋体" w:eastAsia="宋体" w:cs="宋体"/>
          <w:b/>
          <w:bCs/>
          <w:color w:val="auto"/>
          <w:kern w:val="2"/>
          <w:sz w:val="21"/>
          <w:szCs w:val="21"/>
          <w:highlight w:val="none"/>
          <w:lang w:val="en-US" w:eastAsia="zh-CN" w:bidi="ar-SA"/>
        </w:rPr>
        <w:t>、验收方式（可按）</w:t>
      </w:r>
    </w:p>
    <w:p w14:paraId="2C5F2EF9">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1、货物到达现场后，中标人应在使用单位人员在场情况下当面开箱，共同清点、检查外观，作出开箱记录，双方签字确认。</w:t>
      </w:r>
    </w:p>
    <w:p w14:paraId="5A99D1AF">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2、中标人应保证货物到达采购人所在地完好无损，如有缺漏、损坏，由供应商负责调换、补齐或赔偿。</w:t>
      </w:r>
    </w:p>
    <w:p w14:paraId="5A0E0E80">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3、中标人应提供完备的技术资料、装箱单和合格证等，并派遣专业技术人员进行现场安装调试。验收合格条件如下：</w:t>
      </w:r>
    </w:p>
    <w:p w14:paraId="684F1BDD">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3.1设备技术参数与采购合同一致，性能指标达到规定的标准。</w:t>
      </w:r>
    </w:p>
    <w:p w14:paraId="3DECE58C">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3.2货物技术资料（所有设备须提供中文说明书）、装箱单、合格证等资料齐全。</w:t>
      </w:r>
    </w:p>
    <w:p w14:paraId="442EF3CA">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3.3在系统试运行期间所出现的问题得到解决，并运行正常。</w:t>
      </w:r>
    </w:p>
    <w:p w14:paraId="584B749B">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3.4在规定时间内交货和验收，并经采购人确认。</w:t>
      </w:r>
    </w:p>
    <w:p w14:paraId="61C5518C">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4、产品在安装调试并试运行符合要求后，才作为最终验收。</w:t>
      </w:r>
    </w:p>
    <w:p w14:paraId="69D64FA2">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5、供应商提供的货物未达到招标文件规定要求，且对采购人造成损失的，由供应商承担一切责任，并赔偿所造成的损失。</w:t>
      </w:r>
    </w:p>
    <w:p w14:paraId="5DB9E9A5">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6、大型或者复杂的政府采购项目，采购人应当邀请国家认可的质量检测机构参加验收工作。</w:t>
      </w:r>
    </w:p>
    <w:p w14:paraId="40453915">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7、采购人需要制造商对中标人交付的产品（包括质量、技术参数等）进行确认的，制造商应予以配合，并出具书面意见。</w:t>
      </w:r>
    </w:p>
    <w:p w14:paraId="3AABA1D0">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8、产品包装材料归采购人所有。</w:t>
      </w:r>
    </w:p>
    <w:p w14:paraId="37D16595">
      <w:pPr>
        <w:spacing w:line="46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七</w:t>
      </w:r>
      <w:r>
        <w:rPr>
          <w:rFonts w:hint="eastAsia" w:ascii="宋体" w:hAnsi="宋体" w:eastAsia="宋体" w:cs="宋体"/>
          <w:b/>
          <w:bCs/>
          <w:color w:val="auto"/>
          <w:kern w:val="2"/>
          <w:sz w:val="21"/>
          <w:szCs w:val="21"/>
          <w:highlight w:val="none"/>
          <w:lang w:val="en-US" w:eastAsia="zh-CN" w:bidi="ar-SA"/>
        </w:rPr>
        <w:t>、产品质量保证期</w:t>
      </w:r>
    </w:p>
    <w:p w14:paraId="65ECD851">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1、投标产品质量保证期一年（制造厂家质保）。</w:t>
      </w:r>
    </w:p>
    <w:p w14:paraId="4A337F74">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2、投标产品属于国家规定“三包”范围的，其产品质量保证期不得低于“三包”规定。</w:t>
      </w:r>
    </w:p>
    <w:p w14:paraId="34AD71CA">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3、投标人的质量保证期承诺优于国家“三包”规定的，按投标人实际承诺执行。</w:t>
      </w:r>
    </w:p>
    <w:p w14:paraId="7CF31464">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4、投标产品由制造商（指产品生产制造商，或其负责销售、售后服务机构，以下同）负责标准售后服务的，应当在投标文件中予以明确说明，并附制造商售后服务承诺。</w:t>
      </w:r>
    </w:p>
    <w:p w14:paraId="10323593">
      <w:pPr>
        <w:spacing w:line="46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八</w:t>
      </w:r>
      <w:r>
        <w:rPr>
          <w:rFonts w:hint="eastAsia" w:ascii="宋体" w:hAnsi="宋体" w:eastAsia="宋体" w:cs="宋体"/>
          <w:b/>
          <w:bCs/>
          <w:color w:val="auto"/>
          <w:kern w:val="2"/>
          <w:sz w:val="21"/>
          <w:szCs w:val="21"/>
          <w:highlight w:val="none"/>
          <w:lang w:val="en-US" w:eastAsia="zh-CN" w:bidi="ar-SA"/>
        </w:rPr>
        <w:t>、售后服务内容</w:t>
      </w:r>
    </w:p>
    <w:p w14:paraId="1877D166">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1、投标人和制造商在质量保证期内应当为采购人提供以下技术支持和服务：</w:t>
      </w:r>
    </w:p>
    <w:p w14:paraId="47A9003C">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1.1电话咨询</w:t>
      </w:r>
    </w:p>
    <w:p w14:paraId="397AD0E5">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中标人和制造商应当为采购人提供技术援助电话，解答采购人在使用中遇到的问题，及时为采购人提出解决问题的建议。</w:t>
      </w:r>
    </w:p>
    <w:p w14:paraId="37ACA587">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1.2现场响应</w:t>
      </w:r>
    </w:p>
    <w:p w14:paraId="7556F8B1">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采购人遇到使用及技术问题，电话咨询不能解决的，中标人和制造商应在24小时内到达现场进行处理，确保产品正常工作。</w:t>
      </w:r>
    </w:p>
    <w:p w14:paraId="248F9789">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1.3技术升级</w:t>
      </w:r>
    </w:p>
    <w:p w14:paraId="33B538B7">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在质保期内，如果中标人和制造商的产品技术升级，供应商应及时通知采购人，如采购人有相应要求，中标人和制造商应对采购人购买的产品进行升级服务。</w:t>
      </w:r>
    </w:p>
    <w:p w14:paraId="4A4D8511">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2、质保期外服务要求</w:t>
      </w:r>
    </w:p>
    <w:p w14:paraId="1AF6CD0C">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2.1质量保证期过后，供应商和制造商应同样提供免费电话咨询服务，并应承诺提供产品上门维护服务。</w:t>
      </w:r>
    </w:p>
    <w:p w14:paraId="0925001B">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2.2质量保证期过后，采购人需要继续由原供应商和制造商提供售后服务的，该供应商和制造商应以优惠价格提供售后服务。</w:t>
      </w:r>
    </w:p>
    <w:p w14:paraId="6B81CEDE">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2.3备品备件及易损件</w:t>
      </w:r>
    </w:p>
    <w:p w14:paraId="6DEA0A4A">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中标人和制造商售后服务中，维修使用的备品备件及易损件应为原厂配件，未经采购人同意不得使用非原厂配件，常用的、容易损坏的备品备件及易损件的价格清单须在投标文件中列出。</w:t>
      </w:r>
    </w:p>
    <w:p w14:paraId="4A623D16">
      <w:pPr>
        <w:spacing w:line="46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九</w:t>
      </w:r>
      <w:r>
        <w:rPr>
          <w:rFonts w:hint="eastAsia" w:ascii="宋体" w:hAnsi="宋体" w:eastAsia="宋体" w:cs="宋体"/>
          <w:b/>
          <w:bCs/>
          <w:color w:val="auto"/>
          <w:kern w:val="2"/>
          <w:sz w:val="21"/>
          <w:szCs w:val="21"/>
          <w:highlight w:val="none"/>
          <w:lang w:val="en-US" w:eastAsia="zh-CN" w:bidi="ar-SA"/>
        </w:rPr>
        <w:t>、付款方式</w:t>
      </w:r>
    </w:p>
    <w:p w14:paraId="2EC36EE0">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（一）合同签订后，采购人向中标人支付合同总价50%的预付款。</w:t>
      </w:r>
    </w:p>
    <w:p w14:paraId="4DEEAEA8">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（二）中标人按采购合同交货，完成安装调试，经验收合格后，采购人向中标人支付合同总价</w:t>
      </w: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0%的货款。</w:t>
      </w:r>
    </w:p>
    <w:p w14:paraId="29CF4B11">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三</w:t>
      </w:r>
      <w:r>
        <w:rPr>
          <w:rFonts w:hint="eastAsia" w:ascii="宋体" w:hAnsi="宋体" w:eastAsia="宋体" w:cs="宋体"/>
          <w:b w:val="0"/>
          <w:bCs w:val="0"/>
          <w:color w:val="auto"/>
          <w:kern w:val="2"/>
          <w:sz w:val="21"/>
          <w:szCs w:val="21"/>
          <w:highlight w:val="none"/>
          <w:lang w:val="en-US" w:eastAsia="zh-CN" w:bidi="ar-SA"/>
        </w:rPr>
        <w:t>）中标人提交采购合同、发票等材料，向采购人申请付款。</w:t>
      </w:r>
    </w:p>
    <w:p w14:paraId="268B7350">
      <w:p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四</w:t>
      </w:r>
      <w:r>
        <w:rPr>
          <w:rFonts w:hint="eastAsia" w:ascii="宋体" w:hAnsi="宋体" w:eastAsia="宋体" w:cs="宋体"/>
          <w:b w:val="0"/>
          <w:bCs w:val="0"/>
          <w:color w:val="auto"/>
          <w:kern w:val="2"/>
          <w:sz w:val="21"/>
          <w:szCs w:val="21"/>
          <w:highlight w:val="none"/>
          <w:lang w:val="en-US" w:eastAsia="zh-CN" w:bidi="ar-SA"/>
        </w:rPr>
        <w:t>）采购人对中标人提交的付款资料审核通过后，以转账方式向中标人付款。</w:t>
      </w:r>
    </w:p>
    <w:p w14:paraId="56BEE384">
      <w:pPr>
        <w:snapToGrid w:val="0"/>
        <w:spacing w:line="460" w:lineRule="exact"/>
        <w:ind w:firstLine="530" w:firstLineChars="250"/>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十</w:t>
      </w:r>
      <w:r>
        <w:rPr>
          <w:rFonts w:hint="eastAsia" w:ascii="宋体" w:hAnsi="宋体" w:eastAsia="宋体" w:cs="宋体"/>
          <w:b/>
          <w:bCs/>
          <w:color w:val="auto"/>
          <w:kern w:val="2"/>
          <w:sz w:val="21"/>
          <w:szCs w:val="21"/>
          <w:highlight w:val="none"/>
          <w:lang w:val="en-US" w:eastAsia="zh-CN" w:bidi="ar-SA"/>
        </w:rPr>
        <w:t>、培训</w:t>
      </w:r>
    </w:p>
    <w:p w14:paraId="33996BB4">
      <w:pPr>
        <w:numPr>
          <w:ilvl w:val="0"/>
          <w:numId w:val="0"/>
        </w:numPr>
        <w:spacing w:line="460" w:lineRule="exact"/>
        <w:ind w:firstLine="424"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（一）培训内容</w:t>
      </w:r>
    </w:p>
    <w:p w14:paraId="17EA31B6">
      <w:pPr>
        <w:snapToGrid w:val="0"/>
        <w:spacing w:line="460" w:lineRule="exact"/>
        <w:ind w:firstLine="530" w:firstLineChars="25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1)设备原理与结构：萃取釜、分离釜、CO₂高压泵、夹带剂泵、制冷系统、加热系统、回收循环系统、安全泄压系统原理。</w:t>
      </w:r>
    </w:p>
    <w:p w14:paraId="097D1B6F">
      <w:pPr>
        <w:snapToGrid w:val="0"/>
        <w:spacing w:line="460" w:lineRule="exact"/>
        <w:ind w:firstLine="530" w:firstLineChars="25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2)实操流程：物料装填、设备检漏、系统升压降温、萃取运行、分离收集、CO₂回收、设备停机与清洁。</w:t>
      </w:r>
    </w:p>
    <w:p w14:paraId="5A3A920F">
      <w:pPr>
        <w:snapToGrid w:val="0"/>
        <w:spacing w:line="460" w:lineRule="exact"/>
        <w:ind w:firstLine="530" w:firstLineChars="25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3)维护保养：高压管路维护、视窗清洁、泵体保养、密封件更换、压力表校准。</w:t>
      </w:r>
    </w:p>
    <w:p w14:paraId="0DEEA731">
      <w:pPr>
        <w:snapToGrid w:val="0"/>
        <w:spacing w:line="460" w:lineRule="exact"/>
        <w:ind w:firstLine="530" w:firstLineChars="25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4)安全规范：高压容器操作、超压保护、应急泄压、断电/故障应急处理。</w:t>
      </w:r>
    </w:p>
    <w:p w14:paraId="36D3A4CF">
      <w:pPr>
        <w:snapToGrid w:val="0"/>
        <w:spacing w:line="460" w:lineRule="exact"/>
        <w:ind w:firstLine="530" w:firstLineChars="25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（二）培训方式</w:t>
      </w:r>
    </w:p>
    <w:p w14:paraId="70667A4E">
      <w:pPr>
        <w:snapToGrid w:val="0"/>
        <w:spacing w:line="460" w:lineRule="exact"/>
        <w:ind w:firstLine="530" w:firstLineChars="250"/>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1.通过PPT、视频等形式进行理论知识讲解；</w:t>
      </w:r>
    </w:p>
    <w:p w14:paraId="51705348">
      <w:pPr>
        <w:snapToGrid w:val="0"/>
        <w:spacing w:line="460" w:lineRule="exact"/>
        <w:ind w:firstLine="530" w:firstLineChars="250"/>
        <w:rPr>
          <w:rFonts w:hint="default"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2.在设备现场进行实际操作演练，确保能够熟练掌握设备使用；</w:t>
      </w:r>
    </w:p>
    <w:sectPr>
      <w:headerReference r:id="rId6" w:type="default"/>
      <w:footerReference r:id="rId7"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Helvetica Neue">
    <w:altName w:val="Times New Roman"/>
    <w:panose1 w:val="02000503000000020004"/>
    <w:charset w:val="00"/>
    <w:family w:val="auto"/>
    <w:pitch w:val="default"/>
    <w:sig w:usb0="00000000" w:usb1="00000000" w:usb2="00000010" w:usb3="00000000" w:csb0="00000000" w:csb1="00000000"/>
  </w:font>
  <w:font w:name="方正黑体_GBK">
    <w:panose1 w:val="02000000000000000000"/>
    <w:charset w:val="86"/>
    <w:family w:val="auto"/>
    <w:pitch w:val="default"/>
    <w:sig w:usb0="A00002BF" w:usb1="38CF7CFA" w:usb2="00082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panose1 w:val="02000000000000000000"/>
    <w:charset w:val="86"/>
    <w:family w:val="auto"/>
    <w:pitch w:val="default"/>
    <w:sig w:usb0="A00002BF" w:usb1="184F6CFA" w:usb2="00000012" w:usb3="00000000" w:csb0="00040001" w:csb1="00000000"/>
  </w:font>
  <w:font w:name="华文楷体">
    <w:altName w:val="宋体"/>
    <w:panose1 w:val="02010600040101010101"/>
    <w:charset w:val="86"/>
    <w:family w:val="auto"/>
    <w:pitch w:val="default"/>
    <w:sig w:usb0="00000000" w:usb1="0000000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Helvetica">
    <w:altName w:val="Arial"/>
    <w:panose1 w:val="020B0604020202020204"/>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 w:name="KSOF7FC4CF2A">
    <w:panose1 w:val="020B0604020202020204"/>
    <w:charset w:val="00"/>
    <w:family w:val="auto"/>
    <w:pitch w:val="default"/>
    <w:sig w:usb0="00000001" w:usb1="00000000" w:usb2="00000000" w:usb3="00000000" w:csb0="0000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592F5">
    <w:pPr>
      <w:tabs>
        <w:tab w:val="left" w:pos="3305"/>
      </w:tabs>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827F7">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EB827F7">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8D7C7">
    <w:pPr>
      <w:tabs>
        <w:tab w:val="left" w:pos="3305"/>
      </w:tabs>
      <w:ind w:right="36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B3A82">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FB3A82">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13A86">
    <w:pPr>
      <w:ind w:right="36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BC418">
                          <w:pPr>
                            <w:pStyle w:val="2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FFBC418">
                    <w:pPr>
                      <w:pStyle w:val="28"/>
                    </w:pPr>
                    <w:r>
                      <w:fldChar w:fldCharType="begin"/>
                    </w:r>
                    <w:r>
                      <w:instrText xml:space="preserve"> PAGE  \* MERGEFORMAT </w:instrText>
                    </w:r>
                    <w:r>
                      <w:fldChar w:fldCharType="separate"/>
                    </w:r>
                    <w:r>
                      <w:t>84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757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962A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123"/>
      <w:lvlText w:val="附录%1."/>
      <w:lvlJc w:val="left"/>
      <w:pPr>
        <w:tabs>
          <w:tab w:val="left" w:pos="907"/>
        </w:tabs>
        <w:ind w:left="907" w:hanging="907"/>
      </w:pPr>
      <w:rPr>
        <w:rFonts w:hint="eastAsia"/>
      </w:rPr>
    </w:lvl>
  </w:abstractNum>
  <w:abstractNum w:abstractNumId="1">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3504174E"/>
    <w:multiLevelType w:val="multilevel"/>
    <w:tmpl w:val="3504174E"/>
    <w:lvl w:ilvl="0" w:tentative="0">
      <w:start w:val="1"/>
      <w:numFmt w:val="decimal"/>
      <w:lvlText w:val="%1."/>
      <w:lvlJc w:val="left"/>
      <w:pPr>
        <w:ind w:left="360" w:hanging="36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A15682F"/>
    <w:multiLevelType w:val="singleLevel"/>
    <w:tmpl w:val="3A15682F"/>
    <w:lvl w:ilvl="0" w:tentative="0">
      <w:start w:val="0"/>
      <w:numFmt w:val="none"/>
      <w:lvlText w:val=""/>
      <w:lvlJc w:val="left"/>
      <w:pPr>
        <w:tabs>
          <w:tab w:val="left" w:pos="360"/>
        </w:tabs>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0C153B"/>
    <w:multiLevelType w:val="multilevel"/>
    <w:tmpl w:val="420C153B"/>
    <w:lvl w:ilvl="0" w:tentative="0">
      <w:start w:val="1"/>
      <w:numFmt w:val="decimal"/>
      <w:pStyle w:val="10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61"/>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7">
    <w:nsid w:val="4C0C1BFB"/>
    <w:multiLevelType w:val="singleLevel"/>
    <w:tmpl w:val="4C0C1BFB"/>
    <w:lvl w:ilvl="0" w:tentative="0">
      <w:start w:val="1"/>
      <w:numFmt w:val="decimal"/>
      <w:pStyle w:val="128"/>
      <w:lvlText w:val="（%1）"/>
      <w:lvlJc w:val="left"/>
      <w:pPr>
        <w:tabs>
          <w:tab w:val="left" w:pos="810"/>
        </w:tabs>
        <w:ind w:left="810" w:hanging="810"/>
      </w:pPr>
      <w:rPr>
        <w:rFonts w:hint="eastAsia"/>
      </w:rPr>
    </w:lvl>
  </w:abstractNum>
  <w:abstractNum w:abstractNumId="8">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9">
    <w:nsid w:val="6AA94A46"/>
    <w:multiLevelType w:val="singleLevel"/>
    <w:tmpl w:val="6AA94A46"/>
    <w:lvl w:ilvl="0" w:tentative="0">
      <w:start w:val="1"/>
      <w:numFmt w:val="decimal"/>
      <w:suff w:val="space"/>
      <w:lvlText w:val="%1."/>
      <w:lvlJc w:val="left"/>
    </w:lvl>
  </w:abstractNum>
  <w:num w:numId="1">
    <w:abstractNumId w:val="8"/>
  </w:num>
  <w:num w:numId="2">
    <w:abstractNumId w:val="6"/>
  </w:num>
  <w:num w:numId="3">
    <w:abstractNumId w:val="4"/>
  </w:num>
  <w:num w:numId="4">
    <w:abstractNumId w:val="5"/>
  </w:num>
  <w:num w:numId="5">
    <w:abstractNumId w:val="0"/>
  </w:num>
  <w:num w:numId="6">
    <w:abstractNumId w:val="7"/>
  </w:num>
  <w:num w:numId="7">
    <w:abstractNumId w:val="2"/>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3NjhlZGQ0MTYyYjVjZGJhOGQxNjVmZGEyNWEwMj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1D7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9D9"/>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92D"/>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0BA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EA6151"/>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E5B2D"/>
    <w:rsid w:val="02A0096B"/>
    <w:rsid w:val="02A90E9A"/>
    <w:rsid w:val="02AE013F"/>
    <w:rsid w:val="02B64DFD"/>
    <w:rsid w:val="02C1579F"/>
    <w:rsid w:val="02C32118"/>
    <w:rsid w:val="02CA6108"/>
    <w:rsid w:val="02D60F91"/>
    <w:rsid w:val="02D76984"/>
    <w:rsid w:val="02E40D97"/>
    <w:rsid w:val="02E85072"/>
    <w:rsid w:val="02F333A9"/>
    <w:rsid w:val="02FB21AB"/>
    <w:rsid w:val="02FC79E3"/>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D72EEA"/>
    <w:rsid w:val="03E80CD8"/>
    <w:rsid w:val="03ED12D9"/>
    <w:rsid w:val="03EE48EF"/>
    <w:rsid w:val="03F11BF1"/>
    <w:rsid w:val="03F24DC9"/>
    <w:rsid w:val="03F34100"/>
    <w:rsid w:val="04161F26"/>
    <w:rsid w:val="04170DF7"/>
    <w:rsid w:val="04320854"/>
    <w:rsid w:val="043D5D21"/>
    <w:rsid w:val="043E1279"/>
    <w:rsid w:val="04483D61"/>
    <w:rsid w:val="045020EC"/>
    <w:rsid w:val="046A53CB"/>
    <w:rsid w:val="047821E2"/>
    <w:rsid w:val="04947470"/>
    <w:rsid w:val="04A24CDA"/>
    <w:rsid w:val="04B0388E"/>
    <w:rsid w:val="04C40E62"/>
    <w:rsid w:val="04D66201"/>
    <w:rsid w:val="04DB2929"/>
    <w:rsid w:val="04F84B1F"/>
    <w:rsid w:val="04FC3F5D"/>
    <w:rsid w:val="04FF5314"/>
    <w:rsid w:val="05010644"/>
    <w:rsid w:val="051313AC"/>
    <w:rsid w:val="05144C7F"/>
    <w:rsid w:val="052E4741"/>
    <w:rsid w:val="053013D0"/>
    <w:rsid w:val="05401924"/>
    <w:rsid w:val="0544423B"/>
    <w:rsid w:val="055C5935"/>
    <w:rsid w:val="056612F2"/>
    <w:rsid w:val="057B42FE"/>
    <w:rsid w:val="0594349D"/>
    <w:rsid w:val="05A84AB3"/>
    <w:rsid w:val="05B37535"/>
    <w:rsid w:val="05D93D5D"/>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DB44D3"/>
    <w:rsid w:val="06E82CFE"/>
    <w:rsid w:val="06EB0BBA"/>
    <w:rsid w:val="06F313BF"/>
    <w:rsid w:val="071C0C28"/>
    <w:rsid w:val="072A23D5"/>
    <w:rsid w:val="073B74A1"/>
    <w:rsid w:val="074B379C"/>
    <w:rsid w:val="07561504"/>
    <w:rsid w:val="07565F25"/>
    <w:rsid w:val="075864F0"/>
    <w:rsid w:val="075D356D"/>
    <w:rsid w:val="076C4500"/>
    <w:rsid w:val="07751C03"/>
    <w:rsid w:val="0777098F"/>
    <w:rsid w:val="07841BEF"/>
    <w:rsid w:val="0786398B"/>
    <w:rsid w:val="078932FF"/>
    <w:rsid w:val="07AA0244"/>
    <w:rsid w:val="07AB2628"/>
    <w:rsid w:val="07B224B6"/>
    <w:rsid w:val="07B5030F"/>
    <w:rsid w:val="07B75BB0"/>
    <w:rsid w:val="07BB37F9"/>
    <w:rsid w:val="07BF3D6F"/>
    <w:rsid w:val="07D12B5A"/>
    <w:rsid w:val="07DD5D59"/>
    <w:rsid w:val="07E037EB"/>
    <w:rsid w:val="07E41AFA"/>
    <w:rsid w:val="07E71830"/>
    <w:rsid w:val="07F53F9D"/>
    <w:rsid w:val="07F615C4"/>
    <w:rsid w:val="07FA0547"/>
    <w:rsid w:val="08015D6C"/>
    <w:rsid w:val="08047348"/>
    <w:rsid w:val="080571A2"/>
    <w:rsid w:val="08093596"/>
    <w:rsid w:val="080A2255"/>
    <w:rsid w:val="080D777F"/>
    <w:rsid w:val="0814117C"/>
    <w:rsid w:val="0828314D"/>
    <w:rsid w:val="084E0BD6"/>
    <w:rsid w:val="08503979"/>
    <w:rsid w:val="085A158C"/>
    <w:rsid w:val="085D7497"/>
    <w:rsid w:val="086428B3"/>
    <w:rsid w:val="08656BD0"/>
    <w:rsid w:val="087760D1"/>
    <w:rsid w:val="087B0710"/>
    <w:rsid w:val="08854A3B"/>
    <w:rsid w:val="089D5EE4"/>
    <w:rsid w:val="089D7D7B"/>
    <w:rsid w:val="08B35707"/>
    <w:rsid w:val="08B710B0"/>
    <w:rsid w:val="08DD6B03"/>
    <w:rsid w:val="08E43B0F"/>
    <w:rsid w:val="08FF7DDD"/>
    <w:rsid w:val="090166A2"/>
    <w:rsid w:val="09022534"/>
    <w:rsid w:val="090B5543"/>
    <w:rsid w:val="090D5D07"/>
    <w:rsid w:val="090F1B78"/>
    <w:rsid w:val="0922667C"/>
    <w:rsid w:val="09275236"/>
    <w:rsid w:val="092B119A"/>
    <w:rsid w:val="0940385B"/>
    <w:rsid w:val="0941465B"/>
    <w:rsid w:val="094840A2"/>
    <w:rsid w:val="094F6709"/>
    <w:rsid w:val="0952183D"/>
    <w:rsid w:val="09637930"/>
    <w:rsid w:val="09664528"/>
    <w:rsid w:val="096C5C58"/>
    <w:rsid w:val="096D038B"/>
    <w:rsid w:val="097848B8"/>
    <w:rsid w:val="0983683C"/>
    <w:rsid w:val="09853824"/>
    <w:rsid w:val="09985395"/>
    <w:rsid w:val="099F7FEA"/>
    <w:rsid w:val="09B65D38"/>
    <w:rsid w:val="09C56E7C"/>
    <w:rsid w:val="09CB3C0A"/>
    <w:rsid w:val="09D24C53"/>
    <w:rsid w:val="09D82898"/>
    <w:rsid w:val="09EF672A"/>
    <w:rsid w:val="09FA3203"/>
    <w:rsid w:val="09FF7BFE"/>
    <w:rsid w:val="0A0D7099"/>
    <w:rsid w:val="0A3D1A29"/>
    <w:rsid w:val="0A3F5CD9"/>
    <w:rsid w:val="0A415908"/>
    <w:rsid w:val="0A52244D"/>
    <w:rsid w:val="0A5A637B"/>
    <w:rsid w:val="0A663B0A"/>
    <w:rsid w:val="0A6E4652"/>
    <w:rsid w:val="0A750189"/>
    <w:rsid w:val="0A7532F0"/>
    <w:rsid w:val="0A7C228C"/>
    <w:rsid w:val="0A867835"/>
    <w:rsid w:val="0A8B5A32"/>
    <w:rsid w:val="0AA536BF"/>
    <w:rsid w:val="0AA82F3B"/>
    <w:rsid w:val="0AB75001"/>
    <w:rsid w:val="0ABB3376"/>
    <w:rsid w:val="0ACB0F48"/>
    <w:rsid w:val="0AD332E8"/>
    <w:rsid w:val="0AD754CD"/>
    <w:rsid w:val="0AE83ED5"/>
    <w:rsid w:val="0B043018"/>
    <w:rsid w:val="0B0634FA"/>
    <w:rsid w:val="0B087721"/>
    <w:rsid w:val="0B0B3459"/>
    <w:rsid w:val="0B0C5CC4"/>
    <w:rsid w:val="0B1612A2"/>
    <w:rsid w:val="0B212588"/>
    <w:rsid w:val="0B217B56"/>
    <w:rsid w:val="0B2C6CAB"/>
    <w:rsid w:val="0B3F2C19"/>
    <w:rsid w:val="0B5012DA"/>
    <w:rsid w:val="0B523A95"/>
    <w:rsid w:val="0B681ED1"/>
    <w:rsid w:val="0B6B22C9"/>
    <w:rsid w:val="0B70168E"/>
    <w:rsid w:val="0B72147D"/>
    <w:rsid w:val="0B7725F4"/>
    <w:rsid w:val="0B780B37"/>
    <w:rsid w:val="0B821E6A"/>
    <w:rsid w:val="0B8B2703"/>
    <w:rsid w:val="0B8D3F60"/>
    <w:rsid w:val="0B951D43"/>
    <w:rsid w:val="0B9655C3"/>
    <w:rsid w:val="0B9A1F23"/>
    <w:rsid w:val="0B9B6EF1"/>
    <w:rsid w:val="0B9C1C9D"/>
    <w:rsid w:val="0BA706AC"/>
    <w:rsid w:val="0BB02E2A"/>
    <w:rsid w:val="0BB8526F"/>
    <w:rsid w:val="0BC71C64"/>
    <w:rsid w:val="0BC8644B"/>
    <w:rsid w:val="0BDB78F8"/>
    <w:rsid w:val="0BEA7594"/>
    <w:rsid w:val="0BF72442"/>
    <w:rsid w:val="0BFC49CA"/>
    <w:rsid w:val="0BFF7F8F"/>
    <w:rsid w:val="0C123946"/>
    <w:rsid w:val="0C1A74BA"/>
    <w:rsid w:val="0C2658DC"/>
    <w:rsid w:val="0C3410D8"/>
    <w:rsid w:val="0C410A25"/>
    <w:rsid w:val="0C477D93"/>
    <w:rsid w:val="0C515ECD"/>
    <w:rsid w:val="0C523489"/>
    <w:rsid w:val="0C55652A"/>
    <w:rsid w:val="0C5D5223"/>
    <w:rsid w:val="0C5E1BFD"/>
    <w:rsid w:val="0C631F97"/>
    <w:rsid w:val="0C7042B9"/>
    <w:rsid w:val="0C7512C7"/>
    <w:rsid w:val="0C777867"/>
    <w:rsid w:val="0C793191"/>
    <w:rsid w:val="0C7B02EA"/>
    <w:rsid w:val="0C937576"/>
    <w:rsid w:val="0C992063"/>
    <w:rsid w:val="0C9F6118"/>
    <w:rsid w:val="0CA14B3C"/>
    <w:rsid w:val="0CBD0903"/>
    <w:rsid w:val="0CBE41F6"/>
    <w:rsid w:val="0CC441C8"/>
    <w:rsid w:val="0CC53C5B"/>
    <w:rsid w:val="0CCD169F"/>
    <w:rsid w:val="0CCD5722"/>
    <w:rsid w:val="0CDC0754"/>
    <w:rsid w:val="0CE831C7"/>
    <w:rsid w:val="0D004C93"/>
    <w:rsid w:val="0D0208D3"/>
    <w:rsid w:val="0D033888"/>
    <w:rsid w:val="0D091841"/>
    <w:rsid w:val="0D1A0B50"/>
    <w:rsid w:val="0D2C070A"/>
    <w:rsid w:val="0D2C767A"/>
    <w:rsid w:val="0D3247FD"/>
    <w:rsid w:val="0D335F49"/>
    <w:rsid w:val="0D4D5C6B"/>
    <w:rsid w:val="0D4F346B"/>
    <w:rsid w:val="0D694F5F"/>
    <w:rsid w:val="0D6A79DB"/>
    <w:rsid w:val="0D8D77E8"/>
    <w:rsid w:val="0D8F21B8"/>
    <w:rsid w:val="0DA6181C"/>
    <w:rsid w:val="0DAE75C1"/>
    <w:rsid w:val="0DAF2A5B"/>
    <w:rsid w:val="0DB00D5C"/>
    <w:rsid w:val="0DB8226D"/>
    <w:rsid w:val="0DB902A0"/>
    <w:rsid w:val="0DC85F26"/>
    <w:rsid w:val="0DD2548D"/>
    <w:rsid w:val="0DDF7BF6"/>
    <w:rsid w:val="0DE133C7"/>
    <w:rsid w:val="0DE657DA"/>
    <w:rsid w:val="0DEE0F90"/>
    <w:rsid w:val="0DF03072"/>
    <w:rsid w:val="0DF575E7"/>
    <w:rsid w:val="0DFD7024"/>
    <w:rsid w:val="0E097122"/>
    <w:rsid w:val="0E0B0E89"/>
    <w:rsid w:val="0E191823"/>
    <w:rsid w:val="0E227B23"/>
    <w:rsid w:val="0E2E708F"/>
    <w:rsid w:val="0E3A292E"/>
    <w:rsid w:val="0E502AAA"/>
    <w:rsid w:val="0E5D364A"/>
    <w:rsid w:val="0E833DCE"/>
    <w:rsid w:val="0E947D89"/>
    <w:rsid w:val="0EA86FBB"/>
    <w:rsid w:val="0EC01685"/>
    <w:rsid w:val="0EC842D6"/>
    <w:rsid w:val="0ED8416C"/>
    <w:rsid w:val="0EE23A03"/>
    <w:rsid w:val="0EE43BCF"/>
    <w:rsid w:val="0EEA02B1"/>
    <w:rsid w:val="0EED0C82"/>
    <w:rsid w:val="0EF42513"/>
    <w:rsid w:val="0EF94317"/>
    <w:rsid w:val="0EFC6C34"/>
    <w:rsid w:val="0F020558"/>
    <w:rsid w:val="0F052A35"/>
    <w:rsid w:val="0F0A1177"/>
    <w:rsid w:val="0F18383B"/>
    <w:rsid w:val="0F196507"/>
    <w:rsid w:val="0F204B19"/>
    <w:rsid w:val="0F2D739E"/>
    <w:rsid w:val="0F2D7847"/>
    <w:rsid w:val="0F343334"/>
    <w:rsid w:val="0F375AB3"/>
    <w:rsid w:val="0F375BC5"/>
    <w:rsid w:val="0F3B242E"/>
    <w:rsid w:val="0F3B3452"/>
    <w:rsid w:val="0F4E2DD2"/>
    <w:rsid w:val="0F661A9F"/>
    <w:rsid w:val="0F8344AB"/>
    <w:rsid w:val="0F8632D3"/>
    <w:rsid w:val="0F8F1D65"/>
    <w:rsid w:val="0F915FE1"/>
    <w:rsid w:val="0F9C07C7"/>
    <w:rsid w:val="0FD757AD"/>
    <w:rsid w:val="0FD80609"/>
    <w:rsid w:val="0FE07CC3"/>
    <w:rsid w:val="0FF44CA3"/>
    <w:rsid w:val="100173F2"/>
    <w:rsid w:val="1005338D"/>
    <w:rsid w:val="100C4023"/>
    <w:rsid w:val="10120F66"/>
    <w:rsid w:val="10132D37"/>
    <w:rsid w:val="102121B6"/>
    <w:rsid w:val="102E22AB"/>
    <w:rsid w:val="103A2F9B"/>
    <w:rsid w:val="103C085C"/>
    <w:rsid w:val="10532861"/>
    <w:rsid w:val="106D3EDC"/>
    <w:rsid w:val="10817E99"/>
    <w:rsid w:val="1096558C"/>
    <w:rsid w:val="10974FCF"/>
    <w:rsid w:val="109B3F51"/>
    <w:rsid w:val="10AA3894"/>
    <w:rsid w:val="10AC4127"/>
    <w:rsid w:val="10BE21EF"/>
    <w:rsid w:val="10BF05EF"/>
    <w:rsid w:val="10E45CE2"/>
    <w:rsid w:val="10E55BF3"/>
    <w:rsid w:val="110450AE"/>
    <w:rsid w:val="110C7F5E"/>
    <w:rsid w:val="110E5C22"/>
    <w:rsid w:val="111431D1"/>
    <w:rsid w:val="111B308D"/>
    <w:rsid w:val="111E4721"/>
    <w:rsid w:val="112C3B78"/>
    <w:rsid w:val="113E5D8A"/>
    <w:rsid w:val="113F131D"/>
    <w:rsid w:val="11402938"/>
    <w:rsid w:val="11512B20"/>
    <w:rsid w:val="115305C3"/>
    <w:rsid w:val="11563AAD"/>
    <w:rsid w:val="11610A29"/>
    <w:rsid w:val="11671A45"/>
    <w:rsid w:val="11682FBD"/>
    <w:rsid w:val="117046DB"/>
    <w:rsid w:val="1186246D"/>
    <w:rsid w:val="11992D75"/>
    <w:rsid w:val="11A93A6B"/>
    <w:rsid w:val="11A97B89"/>
    <w:rsid w:val="11B54ED8"/>
    <w:rsid w:val="11BD1C00"/>
    <w:rsid w:val="11BF511D"/>
    <w:rsid w:val="11C9491E"/>
    <w:rsid w:val="11CE5425"/>
    <w:rsid w:val="11ED1B8B"/>
    <w:rsid w:val="11F254F3"/>
    <w:rsid w:val="11F40BF5"/>
    <w:rsid w:val="11FA5A8C"/>
    <w:rsid w:val="11FC73C1"/>
    <w:rsid w:val="11FD36C5"/>
    <w:rsid w:val="121B3B70"/>
    <w:rsid w:val="121C4D18"/>
    <w:rsid w:val="122300F0"/>
    <w:rsid w:val="12377FD1"/>
    <w:rsid w:val="12495C37"/>
    <w:rsid w:val="124F3FCF"/>
    <w:rsid w:val="125F3B3E"/>
    <w:rsid w:val="12601EFA"/>
    <w:rsid w:val="126401D3"/>
    <w:rsid w:val="12662A16"/>
    <w:rsid w:val="12734291"/>
    <w:rsid w:val="127614B6"/>
    <w:rsid w:val="127F42ED"/>
    <w:rsid w:val="128C5F73"/>
    <w:rsid w:val="12917963"/>
    <w:rsid w:val="129206AA"/>
    <w:rsid w:val="12932067"/>
    <w:rsid w:val="12970D18"/>
    <w:rsid w:val="12A06B6E"/>
    <w:rsid w:val="12A12A75"/>
    <w:rsid w:val="12A7080A"/>
    <w:rsid w:val="12A70C59"/>
    <w:rsid w:val="12AC32C8"/>
    <w:rsid w:val="12B3472F"/>
    <w:rsid w:val="12CD6741"/>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11CA1"/>
    <w:rsid w:val="136649CE"/>
    <w:rsid w:val="137D5290"/>
    <w:rsid w:val="137E5CEB"/>
    <w:rsid w:val="13866697"/>
    <w:rsid w:val="13AA53FC"/>
    <w:rsid w:val="13AE5829"/>
    <w:rsid w:val="13C76879"/>
    <w:rsid w:val="13C90091"/>
    <w:rsid w:val="13D5547A"/>
    <w:rsid w:val="13D562D3"/>
    <w:rsid w:val="13EE3A98"/>
    <w:rsid w:val="13F31769"/>
    <w:rsid w:val="13FF65A9"/>
    <w:rsid w:val="140A39B3"/>
    <w:rsid w:val="1440200A"/>
    <w:rsid w:val="14462972"/>
    <w:rsid w:val="1450411B"/>
    <w:rsid w:val="145C7AB8"/>
    <w:rsid w:val="14751C07"/>
    <w:rsid w:val="147B7D72"/>
    <w:rsid w:val="14A2036B"/>
    <w:rsid w:val="14A5642A"/>
    <w:rsid w:val="14A6471E"/>
    <w:rsid w:val="14A81CBB"/>
    <w:rsid w:val="14AE1156"/>
    <w:rsid w:val="14CA105D"/>
    <w:rsid w:val="14CB13CC"/>
    <w:rsid w:val="14D1667B"/>
    <w:rsid w:val="14DA0880"/>
    <w:rsid w:val="14DC1B42"/>
    <w:rsid w:val="14DD1797"/>
    <w:rsid w:val="14EC1251"/>
    <w:rsid w:val="14EF08C2"/>
    <w:rsid w:val="14F678B5"/>
    <w:rsid w:val="1500607F"/>
    <w:rsid w:val="150263BE"/>
    <w:rsid w:val="15036EB4"/>
    <w:rsid w:val="15094E25"/>
    <w:rsid w:val="153E0A4F"/>
    <w:rsid w:val="15417FCB"/>
    <w:rsid w:val="157F3DAD"/>
    <w:rsid w:val="15810381"/>
    <w:rsid w:val="158F7650"/>
    <w:rsid w:val="15B10B36"/>
    <w:rsid w:val="15C6137F"/>
    <w:rsid w:val="15CF75C2"/>
    <w:rsid w:val="15D3061D"/>
    <w:rsid w:val="15DB4E8B"/>
    <w:rsid w:val="15DB629E"/>
    <w:rsid w:val="15FA1CBA"/>
    <w:rsid w:val="15FA4642"/>
    <w:rsid w:val="16005B4D"/>
    <w:rsid w:val="16023749"/>
    <w:rsid w:val="160E0713"/>
    <w:rsid w:val="16117F11"/>
    <w:rsid w:val="16122D70"/>
    <w:rsid w:val="163500E7"/>
    <w:rsid w:val="16390BF0"/>
    <w:rsid w:val="16394F6A"/>
    <w:rsid w:val="163A5649"/>
    <w:rsid w:val="16511CDE"/>
    <w:rsid w:val="165C63EB"/>
    <w:rsid w:val="166169AF"/>
    <w:rsid w:val="16662B1E"/>
    <w:rsid w:val="166C4748"/>
    <w:rsid w:val="166D5CF9"/>
    <w:rsid w:val="1679677C"/>
    <w:rsid w:val="16806F5F"/>
    <w:rsid w:val="16856C77"/>
    <w:rsid w:val="16891110"/>
    <w:rsid w:val="16B200D8"/>
    <w:rsid w:val="16B4157E"/>
    <w:rsid w:val="16B53E81"/>
    <w:rsid w:val="16C80E28"/>
    <w:rsid w:val="16C91A60"/>
    <w:rsid w:val="16D30DE4"/>
    <w:rsid w:val="16D53A3A"/>
    <w:rsid w:val="16E16162"/>
    <w:rsid w:val="16EC69F2"/>
    <w:rsid w:val="16F46BD4"/>
    <w:rsid w:val="16F679BE"/>
    <w:rsid w:val="17011FF5"/>
    <w:rsid w:val="17082077"/>
    <w:rsid w:val="17086A04"/>
    <w:rsid w:val="170C79EF"/>
    <w:rsid w:val="1733704F"/>
    <w:rsid w:val="1739584F"/>
    <w:rsid w:val="175D2140"/>
    <w:rsid w:val="17704AAB"/>
    <w:rsid w:val="17731FA9"/>
    <w:rsid w:val="177B7741"/>
    <w:rsid w:val="1785028E"/>
    <w:rsid w:val="178F1DC2"/>
    <w:rsid w:val="179F445C"/>
    <w:rsid w:val="17A36B40"/>
    <w:rsid w:val="17A377C9"/>
    <w:rsid w:val="17A408D6"/>
    <w:rsid w:val="17A974E2"/>
    <w:rsid w:val="17B920AF"/>
    <w:rsid w:val="17BA6CC5"/>
    <w:rsid w:val="17BC7BFC"/>
    <w:rsid w:val="17BE4DD5"/>
    <w:rsid w:val="17C136A2"/>
    <w:rsid w:val="17D23C27"/>
    <w:rsid w:val="18142066"/>
    <w:rsid w:val="18196BEB"/>
    <w:rsid w:val="182401DB"/>
    <w:rsid w:val="18242F81"/>
    <w:rsid w:val="18464199"/>
    <w:rsid w:val="184B2CE6"/>
    <w:rsid w:val="185524EF"/>
    <w:rsid w:val="185858F1"/>
    <w:rsid w:val="186B4D4A"/>
    <w:rsid w:val="188B6D6F"/>
    <w:rsid w:val="188E5E3A"/>
    <w:rsid w:val="188F5CA0"/>
    <w:rsid w:val="189622E4"/>
    <w:rsid w:val="189F5400"/>
    <w:rsid w:val="18A15213"/>
    <w:rsid w:val="18C33FDF"/>
    <w:rsid w:val="18CD25A4"/>
    <w:rsid w:val="18D3152C"/>
    <w:rsid w:val="18D712D8"/>
    <w:rsid w:val="18D82E24"/>
    <w:rsid w:val="18FE3820"/>
    <w:rsid w:val="19130E36"/>
    <w:rsid w:val="191772D0"/>
    <w:rsid w:val="194B1EC4"/>
    <w:rsid w:val="19550C97"/>
    <w:rsid w:val="19590856"/>
    <w:rsid w:val="1962306A"/>
    <w:rsid w:val="19775154"/>
    <w:rsid w:val="198364F1"/>
    <w:rsid w:val="198A6011"/>
    <w:rsid w:val="198D4077"/>
    <w:rsid w:val="19A36B5B"/>
    <w:rsid w:val="19AB225A"/>
    <w:rsid w:val="19AD7F51"/>
    <w:rsid w:val="19D65577"/>
    <w:rsid w:val="19FB1C97"/>
    <w:rsid w:val="1A0A4ACB"/>
    <w:rsid w:val="1A1846F1"/>
    <w:rsid w:val="1A2062AD"/>
    <w:rsid w:val="1A3261AF"/>
    <w:rsid w:val="1A352916"/>
    <w:rsid w:val="1A402C90"/>
    <w:rsid w:val="1A606D71"/>
    <w:rsid w:val="1A8D27AD"/>
    <w:rsid w:val="1A9021AA"/>
    <w:rsid w:val="1A920900"/>
    <w:rsid w:val="1A9349CE"/>
    <w:rsid w:val="1A942CB7"/>
    <w:rsid w:val="1A9E57EB"/>
    <w:rsid w:val="1AA151CF"/>
    <w:rsid w:val="1AA2653D"/>
    <w:rsid w:val="1AA82093"/>
    <w:rsid w:val="1AB8095B"/>
    <w:rsid w:val="1ACD6EFD"/>
    <w:rsid w:val="1AD244DF"/>
    <w:rsid w:val="1AE87493"/>
    <w:rsid w:val="1AF06026"/>
    <w:rsid w:val="1AF54F22"/>
    <w:rsid w:val="1B011B04"/>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E72C70"/>
    <w:rsid w:val="1BF16305"/>
    <w:rsid w:val="1BFC35E8"/>
    <w:rsid w:val="1C122B82"/>
    <w:rsid w:val="1C153B71"/>
    <w:rsid w:val="1C1952D0"/>
    <w:rsid w:val="1C1D13BE"/>
    <w:rsid w:val="1C226D51"/>
    <w:rsid w:val="1C2D27CB"/>
    <w:rsid w:val="1C362701"/>
    <w:rsid w:val="1C393D1E"/>
    <w:rsid w:val="1C5300CD"/>
    <w:rsid w:val="1C5314BB"/>
    <w:rsid w:val="1C6A13EC"/>
    <w:rsid w:val="1C784A20"/>
    <w:rsid w:val="1C7D2C17"/>
    <w:rsid w:val="1C7E52F6"/>
    <w:rsid w:val="1C7E5910"/>
    <w:rsid w:val="1C8A179F"/>
    <w:rsid w:val="1C986C96"/>
    <w:rsid w:val="1C9C180B"/>
    <w:rsid w:val="1C9F0025"/>
    <w:rsid w:val="1CAE0268"/>
    <w:rsid w:val="1CC00E4E"/>
    <w:rsid w:val="1CC10B52"/>
    <w:rsid w:val="1CCC725F"/>
    <w:rsid w:val="1CD53DBF"/>
    <w:rsid w:val="1CDB373E"/>
    <w:rsid w:val="1CE27F12"/>
    <w:rsid w:val="1CE65EB6"/>
    <w:rsid w:val="1CE95744"/>
    <w:rsid w:val="1CF00DBA"/>
    <w:rsid w:val="1D0807A5"/>
    <w:rsid w:val="1D090ADB"/>
    <w:rsid w:val="1D0E00EC"/>
    <w:rsid w:val="1D1939ED"/>
    <w:rsid w:val="1D1F62E2"/>
    <w:rsid w:val="1D2101C2"/>
    <w:rsid w:val="1D29203C"/>
    <w:rsid w:val="1D294E26"/>
    <w:rsid w:val="1D297AB2"/>
    <w:rsid w:val="1D5613CC"/>
    <w:rsid w:val="1D652F47"/>
    <w:rsid w:val="1D657F1B"/>
    <w:rsid w:val="1D6926C1"/>
    <w:rsid w:val="1D7A117D"/>
    <w:rsid w:val="1D880D96"/>
    <w:rsid w:val="1D9A1B1C"/>
    <w:rsid w:val="1D9B3BF5"/>
    <w:rsid w:val="1D9E241B"/>
    <w:rsid w:val="1DA014B3"/>
    <w:rsid w:val="1DB213DC"/>
    <w:rsid w:val="1DBF4C41"/>
    <w:rsid w:val="1DCE7F11"/>
    <w:rsid w:val="1DD0331B"/>
    <w:rsid w:val="1DDD1BD4"/>
    <w:rsid w:val="1DE0672A"/>
    <w:rsid w:val="1DFD4F3E"/>
    <w:rsid w:val="1E021E39"/>
    <w:rsid w:val="1E0358BF"/>
    <w:rsid w:val="1E244853"/>
    <w:rsid w:val="1E28091B"/>
    <w:rsid w:val="1E286DFF"/>
    <w:rsid w:val="1E2D10E0"/>
    <w:rsid w:val="1E344C44"/>
    <w:rsid w:val="1E3D3A5F"/>
    <w:rsid w:val="1E3E15B2"/>
    <w:rsid w:val="1E3E4FF3"/>
    <w:rsid w:val="1E4F234C"/>
    <w:rsid w:val="1E5D2340"/>
    <w:rsid w:val="1E620067"/>
    <w:rsid w:val="1E632548"/>
    <w:rsid w:val="1E6D6D7F"/>
    <w:rsid w:val="1E7B5267"/>
    <w:rsid w:val="1E9004FA"/>
    <w:rsid w:val="1E9646FF"/>
    <w:rsid w:val="1E966318"/>
    <w:rsid w:val="1EA11680"/>
    <w:rsid w:val="1EA64B76"/>
    <w:rsid w:val="1EC3007D"/>
    <w:rsid w:val="1EC54812"/>
    <w:rsid w:val="1ECF054D"/>
    <w:rsid w:val="1ED76E60"/>
    <w:rsid w:val="1EEF0243"/>
    <w:rsid w:val="1EEF5642"/>
    <w:rsid w:val="1F045F88"/>
    <w:rsid w:val="1F3D5A2B"/>
    <w:rsid w:val="1F422AE4"/>
    <w:rsid w:val="1F434323"/>
    <w:rsid w:val="1F4E0DE8"/>
    <w:rsid w:val="1F77383F"/>
    <w:rsid w:val="1F7E73A9"/>
    <w:rsid w:val="1F83291B"/>
    <w:rsid w:val="1F87452F"/>
    <w:rsid w:val="1F875D46"/>
    <w:rsid w:val="1F896D6A"/>
    <w:rsid w:val="1F95416B"/>
    <w:rsid w:val="1FA77244"/>
    <w:rsid w:val="1FB72D07"/>
    <w:rsid w:val="1FC37E78"/>
    <w:rsid w:val="1FD54EF5"/>
    <w:rsid w:val="1FF52A08"/>
    <w:rsid w:val="1FFD0BB5"/>
    <w:rsid w:val="200050CC"/>
    <w:rsid w:val="2003179C"/>
    <w:rsid w:val="2003268C"/>
    <w:rsid w:val="200B5C0B"/>
    <w:rsid w:val="200D1367"/>
    <w:rsid w:val="20136A3A"/>
    <w:rsid w:val="20150AF2"/>
    <w:rsid w:val="201C4CA7"/>
    <w:rsid w:val="20201E76"/>
    <w:rsid w:val="202C422E"/>
    <w:rsid w:val="2033450B"/>
    <w:rsid w:val="20526EB3"/>
    <w:rsid w:val="2064551F"/>
    <w:rsid w:val="206D6F3E"/>
    <w:rsid w:val="207D3B26"/>
    <w:rsid w:val="209875C0"/>
    <w:rsid w:val="209C2B3E"/>
    <w:rsid w:val="20B35BED"/>
    <w:rsid w:val="20B36678"/>
    <w:rsid w:val="20B47E17"/>
    <w:rsid w:val="20BD4F1E"/>
    <w:rsid w:val="20CA66FD"/>
    <w:rsid w:val="20D112FB"/>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06809"/>
    <w:rsid w:val="21D50128"/>
    <w:rsid w:val="21D555AC"/>
    <w:rsid w:val="21DD7568"/>
    <w:rsid w:val="21F04E7F"/>
    <w:rsid w:val="22165C38"/>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67C76"/>
    <w:rsid w:val="229949E3"/>
    <w:rsid w:val="22B24BDD"/>
    <w:rsid w:val="22C01A09"/>
    <w:rsid w:val="22C52F66"/>
    <w:rsid w:val="22C708C4"/>
    <w:rsid w:val="22C7230E"/>
    <w:rsid w:val="22D842DA"/>
    <w:rsid w:val="22E71D38"/>
    <w:rsid w:val="22EA0933"/>
    <w:rsid w:val="22EC07EF"/>
    <w:rsid w:val="22EE4B61"/>
    <w:rsid w:val="22EE7D2D"/>
    <w:rsid w:val="22F10EAE"/>
    <w:rsid w:val="22FC7D64"/>
    <w:rsid w:val="23036601"/>
    <w:rsid w:val="230D48E9"/>
    <w:rsid w:val="2321231C"/>
    <w:rsid w:val="23331BF5"/>
    <w:rsid w:val="233D0BA3"/>
    <w:rsid w:val="23425054"/>
    <w:rsid w:val="234611FA"/>
    <w:rsid w:val="234A56F8"/>
    <w:rsid w:val="23501055"/>
    <w:rsid w:val="235B5E01"/>
    <w:rsid w:val="235B7F06"/>
    <w:rsid w:val="23686C68"/>
    <w:rsid w:val="236C5D90"/>
    <w:rsid w:val="236E4580"/>
    <w:rsid w:val="237C6924"/>
    <w:rsid w:val="23801CB6"/>
    <w:rsid w:val="23822F4E"/>
    <w:rsid w:val="2390111C"/>
    <w:rsid w:val="23957A8C"/>
    <w:rsid w:val="23A7715D"/>
    <w:rsid w:val="23B26890"/>
    <w:rsid w:val="23B430BC"/>
    <w:rsid w:val="23BD3CBF"/>
    <w:rsid w:val="23CA51A8"/>
    <w:rsid w:val="23CC7174"/>
    <w:rsid w:val="23DF1584"/>
    <w:rsid w:val="23E42C88"/>
    <w:rsid w:val="23F33EC6"/>
    <w:rsid w:val="23FA639B"/>
    <w:rsid w:val="23FD4981"/>
    <w:rsid w:val="24131E75"/>
    <w:rsid w:val="241C3500"/>
    <w:rsid w:val="241C3808"/>
    <w:rsid w:val="242530D9"/>
    <w:rsid w:val="243A2CDC"/>
    <w:rsid w:val="24450C8E"/>
    <w:rsid w:val="24505030"/>
    <w:rsid w:val="24544436"/>
    <w:rsid w:val="246254F1"/>
    <w:rsid w:val="246256CC"/>
    <w:rsid w:val="246A5AC3"/>
    <w:rsid w:val="2480376B"/>
    <w:rsid w:val="24803A09"/>
    <w:rsid w:val="24805846"/>
    <w:rsid w:val="248C219B"/>
    <w:rsid w:val="24941808"/>
    <w:rsid w:val="249F59AA"/>
    <w:rsid w:val="24A567BE"/>
    <w:rsid w:val="24A77CC7"/>
    <w:rsid w:val="24AA572C"/>
    <w:rsid w:val="24B11A33"/>
    <w:rsid w:val="24BB7290"/>
    <w:rsid w:val="24BD0D51"/>
    <w:rsid w:val="24D65B77"/>
    <w:rsid w:val="24EB7C26"/>
    <w:rsid w:val="24F77329"/>
    <w:rsid w:val="24FC6EB5"/>
    <w:rsid w:val="250107BC"/>
    <w:rsid w:val="250170D7"/>
    <w:rsid w:val="250C1416"/>
    <w:rsid w:val="25215F5B"/>
    <w:rsid w:val="25287EFC"/>
    <w:rsid w:val="25305A8C"/>
    <w:rsid w:val="25314CEF"/>
    <w:rsid w:val="253506B3"/>
    <w:rsid w:val="253F224B"/>
    <w:rsid w:val="255710E7"/>
    <w:rsid w:val="255F47F5"/>
    <w:rsid w:val="25696F6D"/>
    <w:rsid w:val="25787665"/>
    <w:rsid w:val="258409DC"/>
    <w:rsid w:val="2585705F"/>
    <w:rsid w:val="258623A5"/>
    <w:rsid w:val="25923602"/>
    <w:rsid w:val="259823ED"/>
    <w:rsid w:val="25A04D0A"/>
    <w:rsid w:val="25B306C7"/>
    <w:rsid w:val="25CC1B09"/>
    <w:rsid w:val="25CE43CE"/>
    <w:rsid w:val="25DC7BF4"/>
    <w:rsid w:val="25E130D5"/>
    <w:rsid w:val="25EF09CC"/>
    <w:rsid w:val="25F018F1"/>
    <w:rsid w:val="25FD7B6A"/>
    <w:rsid w:val="26123E85"/>
    <w:rsid w:val="261E1B8F"/>
    <w:rsid w:val="262E79BC"/>
    <w:rsid w:val="26436B55"/>
    <w:rsid w:val="26454B11"/>
    <w:rsid w:val="264616B2"/>
    <w:rsid w:val="264B5C5F"/>
    <w:rsid w:val="264F0D93"/>
    <w:rsid w:val="265911BA"/>
    <w:rsid w:val="265E5FBA"/>
    <w:rsid w:val="26600667"/>
    <w:rsid w:val="266C74E3"/>
    <w:rsid w:val="268A268F"/>
    <w:rsid w:val="268E25DD"/>
    <w:rsid w:val="26997A56"/>
    <w:rsid w:val="269A4AD7"/>
    <w:rsid w:val="269C4E0B"/>
    <w:rsid w:val="269C55D5"/>
    <w:rsid w:val="26A75199"/>
    <w:rsid w:val="26AD3471"/>
    <w:rsid w:val="26C17B69"/>
    <w:rsid w:val="26C33FFE"/>
    <w:rsid w:val="26C64400"/>
    <w:rsid w:val="26CE36E5"/>
    <w:rsid w:val="26E31B06"/>
    <w:rsid w:val="26E6217B"/>
    <w:rsid w:val="26FC7D13"/>
    <w:rsid w:val="26FF6276"/>
    <w:rsid w:val="27037513"/>
    <w:rsid w:val="27117BFF"/>
    <w:rsid w:val="27135D4E"/>
    <w:rsid w:val="27203EEB"/>
    <w:rsid w:val="2754129C"/>
    <w:rsid w:val="27566510"/>
    <w:rsid w:val="27603EC1"/>
    <w:rsid w:val="27851A0B"/>
    <w:rsid w:val="27876136"/>
    <w:rsid w:val="279462F5"/>
    <w:rsid w:val="27A06CC5"/>
    <w:rsid w:val="27B34755"/>
    <w:rsid w:val="27B506FD"/>
    <w:rsid w:val="27BB6190"/>
    <w:rsid w:val="27C112E1"/>
    <w:rsid w:val="27DB14BA"/>
    <w:rsid w:val="27DD6376"/>
    <w:rsid w:val="27DE6D28"/>
    <w:rsid w:val="27E03D9F"/>
    <w:rsid w:val="27E07DE8"/>
    <w:rsid w:val="27E862A2"/>
    <w:rsid w:val="27EF19B8"/>
    <w:rsid w:val="27FE488A"/>
    <w:rsid w:val="280334C5"/>
    <w:rsid w:val="2804309E"/>
    <w:rsid w:val="28071DAC"/>
    <w:rsid w:val="28130274"/>
    <w:rsid w:val="281459A7"/>
    <w:rsid w:val="28327F9F"/>
    <w:rsid w:val="2841272B"/>
    <w:rsid w:val="28454B2D"/>
    <w:rsid w:val="285C6DCA"/>
    <w:rsid w:val="28603EB7"/>
    <w:rsid w:val="286930B9"/>
    <w:rsid w:val="286A5D40"/>
    <w:rsid w:val="286F6AEE"/>
    <w:rsid w:val="287967D6"/>
    <w:rsid w:val="28910825"/>
    <w:rsid w:val="289A4C69"/>
    <w:rsid w:val="28AB4E56"/>
    <w:rsid w:val="28AC4758"/>
    <w:rsid w:val="28AE3251"/>
    <w:rsid w:val="28B2405D"/>
    <w:rsid w:val="28C04C4C"/>
    <w:rsid w:val="28C82DD8"/>
    <w:rsid w:val="28E07697"/>
    <w:rsid w:val="28E824C9"/>
    <w:rsid w:val="28EC4FBD"/>
    <w:rsid w:val="28EC7622"/>
    <w:rsid w:val="28EE5156"/>
    <w:rsid w:val="28FB73A9"/>
    <w:rsid w:val="2900631A"/>
    <w:rsid w:val="291173EA"/>
    <w:rsid w:val="291268CF"/>
    <w:rsid w:val="291470DB"/>
    <w:rsid w:val="292A3D9E"/>
    <w:rsid w:val="292E34BD"/>
    <w:rsid w:val="29340781"/>
    <w:rsid w:val="29470E70"/>
    <w:rsid w:val="29482C06"/>
    <w:rsid w:val="296206AF"/>
    <w:rsid w:val="297045CA"/>
    <w:rsid w:val="298040D2"/>
    <w:rsid w:val="298E1846"/>
    <w:rsid w:val="298F5ED7"/>
    <w:rsid w:val="29A009BF"/>
    <w:rsid w:val="29A03A03"/>
    <w:rsid w:val="29BC6F56"/>
    <w:rsid w:val="29DA2DCF"/>
    <w:rsid w:val="29E17A78"/>
    <w:rsid w:val="29E439C2"/>
    <w:rsid w:val="29FB6096"/>
    <w:rsid w:val="2A070FB7"/>
    <w:rsid w:val="2A0F7329"/>
    <w:rsid w:val="2A132508"/>
    <w:rsid w:val="2A1D0B14"/>
    <w:rsid w:val="2A225936"/>
    <w:rsid w:val="2A3A79B3"/>
    <w:rsid w:val="2A53353C"/>
    <w:rsid w:val="2A5534B9"/>
    <w:rsid w:val="2A57508D"/>
    <w:rsid w:val="2A5D2041"/>
    <w:rsid w:val="2A6F2F5D"/>
    <w:rsid w:val="2A713219"/>
    <w:rsid w:val="2A755211"/>
    <w:rsid w:val="2A7A1212"/>
    <w:rsid w:val="2A8A0E3C"/>
    <w:rsid w:val="2A8D0991"/>
    <w:rsid w:val="2A936E4D"/>
    <w:rsid w:val="2A9D36CA"/>
    <w:rsid w:val="2AA1252A"/>
    <w:rsid w:val="2AA37910"/>
    <w:rsid w:val="2AAE121F"/>
    <w:rsid w:val="2AAF72FB"/>
    <w:rsid w:val="2AC309F8"/>
    <w:rsid w:val="2AD80D1A"/>
    <w:rsid w:val="2AE863AE"/>
    <w:rsid w:val="2AF156B3"/>
    <w:rsid w:val="2B0158CD"/>
    <w:rsid w:val="2B0A133F"/>
    <w:rsid w:val="2B50728E"/>
    <w:rsid w:val="2B520F1D"/>
    <w:rsid w:val="2B684964"/>
    <w:rsid w:val="2B687D7B"/>
    <w:rsid w:val="2B694E68"/>
    <w:rsid w:val="2B791766"/>
    <w:rsid w:val="2B7F05AB"/>
    <w:rsid w:val="2B924276"/>
    <w:rsid w:val="2BA32F62"/>
    <w:rsid w:val="2BAD6A07"/>
    <w:rsid w:val="2BB53941"/>
    <w:rsid w:val="2BBE3BE5"/>
    <w:rsid w:val="2BCB64C7"/>
    <w:rsid w:val="2BD92E3F"/>
    <w:rsid w:val="2BD96F73"/>
    <w:rsid w:val="2BDE12CD"/>
    <w:rsid w:val="2BE25A98"/>
    <w:rsid w:val="2BE37625"/>
    <w:rsid w:val="2BE86CA8"/>
    <w:rsid w:val="2BEC7697"/>
    <w:rsid w:val="2BF01660"/>
    <w:rsid w:val="2BF2460D"/>
    <w:rsid w:val="2BF56003"/>
    <w:rsid w:val="2C045AC7"/>
    <w:rsid w:val="2C20470A"/>
    <w:rsid w:val="2C217016"/>
    <w:rsid w:val="2C2F0132"/>
    <w:rsid w:val="2C4A36EA"/>
    <w:rsid w:val="2C550ACB"/>
    <w:rsid w:val="2C571774"/>
    <w:rsid w:val="2C595F36"/>
    <w:rsid w:val="2C5B5F15"/>
    <w:rsid w:val="2C676E85"/>
    <w:rsid w:val="2C825C0E"/>
    <w:rsid w:val="2C837851"/>
    <w:rsid w:val="2C912F01"/>
    <w:rsid w:val="2CA0428D"/>
    <w:rsid w:val="2CA60204"/>
    <w:rsid w:val="2CAB6D99"/>
    <w:rsid w:val="2CC122AF"/>
    <w:rsid w:val="2CC62607"/>
    <w:rsid w:val="2CC90499"/>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863523"/>
    <w:rsid w:val="2D992C03"/>
    <w:rsid w:val="2DA216C6"/>
    <w:rsid w:val="2DA33153"/>
    <w:rsid w:val="2DAD1E76"/>
    <w:rsid w:val="2DB50AD8"/>
    <w:rsid w:val="2DB653BC"/>
    <w:rsid w:val="2DC83F7E"/>
    <w:rsid w:val="2DFB0C12"/>
    <w:rsid w:val="2E0940C9"/>
    <w:rsid w:val="2E11532A"/>
    <w:rsid w:val="2E2C7B59"/>
    <w:rsid w:val="2E5111CF"/>
    <w:rsid w:val="2E512381"/>
    <w:rsid w:val="2E6D0A1B"/>
    <w:rsid w:val="2E7C6418"/>
    <w:rsid w:val="2E896136"/>
    <w:rsid w:val="2E904A45"/>
    <w:rsid w:val="2E921142"/>
    <w:rsid w:val="2E9238C2"/>
    <w:rsid w:val="2E972F4E"/>
    <w:rsid w:val="2E987C9D"/>
    <w:rsid w:val="2EBC2DDB"/>
    <w:rsid w:val="2EDE6676"/>
    <w:rsid w:val="2EDF3C70"/>
    <w:rsid w:val="2EE62071"/>
    <w:rsid w:val="2F181834"/>
    <w:rsid w:val="2F1877C3"/>
    <w:rsid w:val="2F1D3166"/>
    <w:rsid w:val="2F1E4AC6"/>
    <w:rsid w:val="2F3D2575"/>
    <w:rsid w:val="2F4D56BE"/>
    <w:rsid w:val="2F5F6DC2"/>
    <w:rsid w:val="2F634EE2"/>
    <w:rsid w:val="2F715E38"/>
    <w:rsid w:val="2F7313FD"/>
    <w:rsid w:val="2F732A13"/>
    <w:rsid w:val="2F941D65"/>
    <w:rsid w:val="2FA43F61"/>
    <w:rsid w:val="2FA96F2B"/>
    <w:rsid w:val="2FAE669D"/>
    <w:rsid w:val="2FB35201"/>
    <w:rsid w:val="2FBD3AD7"/>
    <w:rsid w:val="2FF9240C"/>
    <w:rsid w:val="2FF946AE"/>
    <w:rsid w:val="2FFD2F9F"/>
    <w:rsid w:val="304537EB"/>
    <w:rsid w:val="304835DA"/>
    <w:rsid w:val="304D1B6D"/>
    <w:rsid w:val="305059B1"/>
    <w:rsid w:val="305E3A75"/>
    <w:rsid w:val="305E47CA"/>
    <w:rsid w:val="30726515"/>
    <w:rsid w:val="308C47E8"/>
    <w:rsid w:val="308D2CDE"/>
    <w:rsid w:val="30904197"/>
    <w:rsid w:val="30972D75"/>
    <w:rsid w:val="309A496D"/>
    <w:rsid w:val="30A413BA"/>
    <w:rsid w:val="30AC2D28"/>
    <w:rsid w:val="30BB31C8"/>
    <w:rsid w:val="30BC2C33"/>
    <w:rsid w:val="30C0620D"/>
    <w:rsid w:val="30CF2B57"/>
    <w:rsid w:val="30D34409"/>
    <w:rsid w:val="30DC76BD"/>
    <w:rsid w:val="30E43E01"/>
    <w:rsid w:val="30FD59F3"/>
    <w:rsid w:val="30FE700B"/>
    <w:rsid w:val="3120701A"/>
    <w:rsid w:val="312316A3"/>
    <w:rsid w:val="313B489A"/>
    <w:rsid w:val="315238A4"/>
    <w:rsid w:val="31551F9A"/>
    <w:rsid w:val="315C56BE"/>
    <w:rsid w:val="315D6C8B"/>
    <w:rsid w:val="316546A0"/>
    <w:rsid w:val="316D71E4"/>
    <w:rsid w:val="31802A8F"/>
    <w:rsid w:val="3181495E"/>
    <w:rsid w:val="318B193E"/>
    <w:rsid w:val="31931ABF"/>
    <w:rsid w:val="31A10BF5"/>
    <w:rsid w:val="31A55C86"/>
    <w:rsid w:val="31A970A8"/>
    <w:rsid w:val="31AB1E21"/>
    <w:rsid w:val="31B75CB4"/>
    <w:rsid w:val="31BE052E"/>
    <w:rsid w:val="31CA483D"/>
    <w:rsid w:val="31D156FC"/>
    <w:rsid w:val="31F434C6"/>
    <w:rsid w:val="320475C1"/>
    <w:rsid w:val="320F2803"/>
    <w:rsid w:val="321043B9"/>
    <w:rsid w:val="32164D38"/>
    <w:rsid w:val="3220530C"/>
    <w:rsid w:val="322713CA"/>
    <w:rsid w:val="322A670F"/>
    <w:rsid w:val="32432616"/>
    <w:rsid w:val="3243394A"/>
    <w:rsid w:val="324C6483"/>
    <w:rsid w:val="324E5E77"/>
    <w:rsid w:val="32522469"/>
    <w:rsid w:val="32776BA9"/>
    <w:rsid w:val="327B2A0D"/>
    <w:rsid w:val="329D3CFC"/>
    <w:rsid w:val="32B45676"/>
    <w:rsid w:val="32C5561F"/>
    <w:rsid w:val="32DC084A"/>
    <w:rsid w:val="32E12CEE"/>
    <w:rsid w:val="32E34CE2"/>
    <w:rsid w:val="32F669C8"/>
    <w:rsid w:val="33001B7A"/>
    <w:rsid w:val="331535A7"/>
    <w:rsid w:val="33182DFB"/>
    <w:rsid w:val="331A0CC8"/>
    <w:rsid w:val="331A7AF8"/>
    <w:rsid w:val="33226E62"/>
    <w:rsid w:val="3324614F"/>
    <w:rsid w:val="33547948"/>
    <w:rsid w:val="335F2062"/>
    <w:rsid w:val="33686602"/>
    <w:rsid w:val="3369637D"/>
    <w:rsid w:val="336A7882"/>
    <w:rsid w:val="33842ECB"/>
    <w:rsid w:val="33884E93"/>
    <w:rsid w:val="339771F4"/>
    <w:rsid w:val="339B1393"/>
    <w:rsid w:val="33B71F93"/>
    <w:rsid w:val="33BF2903"/>
    <w:rsid w:val="33CD6404"/>
    <w:rsid w:val="33D354D0"/>
    <w:rsid w:val="33D46EDF"/>
    <w:rsid w:val="33EE148C"/>
    <w:rsid w:val="33EF3CEA"/>
    <w:rsid w:val="33F07711"/>
    <w:rsid w:val="33FC203D"/>
    <w:rsid w:val="3406286A"/>
    <w:rsid w:val="34222A44"/>
    <w:rsid w:val="343E41D2"/>
    <w:rsid w:val="345B1B4D"/>
    <w:rsid w:val="3464291B"/>
    <w:rsid w:val="34840E64"/>
    <w:rsid w:val="34890588"/>
    <w:rsid w:val="34910F9E"/>
    <w:rsid w:val="34911926"/>
    <w:rsid w:val="34927084"/>
    <w:rsid w:val="349928CF"/>
    <w:rsid w:val="34A76BD5"/>
    <w:rsid w:val="34AF3A6D"/>
    <w:rsid w:val="34B64338"/>
    <w:rsid w:val="34BD011B"/>
    <w:rsid w:val="34C157A2"/>
    <w:rsid w:val="34CD4B64"/>
    <w:rsid w:val="34D72B0D"/>
    <w:rsid w:val="34DC640B"/>
    <w:rsid w:val="34DF5BDE"/>
    <w:rsid w:val="34EE06B7"/>
    <w:rsid w:val="34F24CD0"/>
    <w:rsid w:val="34FD7410"/>
    <w:rsid w:val="35020CF9"/>
    <w:rsid w:val="351A6043"/>
    <w:rsid w:val="351C0EA2"/>
    <w:rsid w:val="351C625F"/>
    <w:rsid w:val="351D3D85"/>
    <w:rsid w:val="35236897"/>
    <w:rsid w:val="3525520B"/>
    <w:rsid w:val="35255512"/>
    <w:rsid w:val="35280DC0"/>
    <w:rsid w:val="3542168B"/>
    <w:rsid w:val="35461EBC"/>
    <w:rsid w:val="354716FF"/>
    <w:rsid w:val="354D7F75"/>
    <w:rsid w:val="354E7EA3"/>
    <w:rsid w:val="355A12E4"/>
    <w:rsid w:val="355F7EFA"/>
    <w:rsid w:val="35605956"/>
    <w:rsid w:val="35756336"/>
    <w:rsid w:val="3585603E"/>
    <w:rsid w:val="358D25A9"/>
    <w:rsid w:val="358D30B5"/>
    <w:rsid w:val="358F21E7"/>
    <w:rsid w:val="35914AC1"/>
    <w:rsid w:val="35921F18"/>
    <w:rsid w:val="359706D2"/>
    <w:rsid w:val="35A16764"/>
    <w:rsid w:val="35A303EA"/>
    <w:rsid w:val="35A80566"/>
    <w:rsid w:val="35AA4F6C"/>
    <w:rsid w:val="35BE2E72"/>
    <w:rsid w:val="35F73CF2"/>
    <w:rsid w:val="360407DE"/>
    <w:rsid w:val="361E461E"/>
    <w:rsid w:val="362236CD"/>
    <w:rsid w:val="364D069A"/>
    <w:rsid w:val="36507137"/>
    <w:rsid w:val="365628C0"/>
    <w:rsid w:val="365D071B"/>
    <w:rsid w:val="365E4E53"/>
    <w:rsid w:val="36657792"/>
    <w:rsid w:val="36741C91"/>
    <w:rsid w:val="367451EA"/>
    <w:rsid w:val="36745F37"/>
    <w:rsid w:val="368220F2"/>
    <w:rsid w:val="36826C73"/>
    <w:rsid w:val="368C5779"/>
    <w:rsid w:val="36943485"/>
    <w:rsid w:val="369D3512"/>
    <w:rsid w:val="36AD7FE4"/>
    <w:rsid w:val="36B54F4A"/>
    <w:rsid w:val="36B6196C"/>
    <w:rsid w:val="36C4252E"/>
    <w:rsid w:val="36D01095"/>
    <w:rsid w:val="36DA2FB5"/>
    <w:rsid w:val="36E1641D"/>
    <w:rsid w:val="36E6311A"/>
    <w:rsid w:val="36F13492"/>
    <w:rsid w:val="36FD3CFD"/>
    <w:rsid w:val="37024C59"/>
    <w:rsid w:val="370A2947"/>
    <w:rsid w:val="370F2612"/>
    <w:rsid w:val="37101BB1"/>
    <w:rsid w:val="371C0798"/>
    <w:rsid w:val="37237B4D"/>
    <w:rsid w:val="3729161C"/>
    <w:rsid w:val="372F0DF2"/>
    <w:rsid w:val="373677D5"/>
    <w:rsid w:val="37404DCD"/>
    <w:rsid w:val="37421881"/>
    <w:rsid w:val="37433BFB"/>
    <w:rsid w:val="37471BEF"/>
    <w:rsid w:val="37563B82"/>
    <w:rsid w:val="376712E7"/>
    <w:rsid w:val="376923BA"/>
    <w:rsid w:val="37733813"/>
    <w:rsid w:val="377C7E0E"/>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27564E"/>
    <w:rsid w:val="38341B70"/>
    <w:rsid w:val="386211A0"/>
    <w:rsid w:val="38774AC4"/>
    <w:rsid w:val="387A2AEC"/>
    <w:rsid w:val="38980B25"/>
    <w:rsid w:val="38B676A5"/>
    <w:rsid w:val="38B91722"/>
    <w:rsid w:val="38F86829"/>
    <w:rsid w:val="39097304"/>
    <w:rsid w:val="39205BF2"/>
    <w:rsid w:val="3922196A"/>
    <w:rsid w:val="392502E5"/>
    <w:rsid w:val="393741B4"/>
    <w:rsid w:val="39531710"/>
    <w:rsid w:val="395D3D25"/>
    <w:rsid w:val="395F496C"/>
    <w:rsid w:val="396804A8"/>
    <w:rsid w:val="396B3903"/>
    <w:rsid w:val="397074D5"/>
    <w:rsid w:val="39781CF3"/>
    <w:rsid w:val="397B405B"/>
    <w:rsid w:val="397D525A"/>
    <w:rsid w:val="39965EB4"/>
    <w:rsid w:val="39981BEB"/>
    <w:rsid w:val="39AC75EE"/>
    <w:rsid w:val="39B916DF"/>
    <w:rsid w:val="39BB0FFD"/>
    <w:rsid w:val="39DC2DAA"/>
    <w:rsid w:val="39DD0D52"/>
    <w:rsid w:val="39E81252"/>
    <w:rsid w:val="39ED01CA"/>
    <w:rsid w:val="39EE69BC"/>
    <w:rsid w:val="39F01DE6"/>
    <w:rsid w:val="39F24125"/>
    <w:rsid w:val="39FC21BB"/>
    <w:rsid w:val="3A00359B"/>
    <w:rsid w:val="3A24028F"/>
    <w:rsid w:val="3A3718D6"/>
    <w:rsid w:val="3A4660AA"/>
    <w:rsid w:val="3A5E3659"/>
    <w:rsid w:val="3A602D2B"/>
    <w:rsid w:val="3A64520B"/>
    <w:rsid w:val="3A750770"/>
    <w:rsid w:val="3A7D3282"/>
    <w:rsid w:val="3A83468A"/>
    <w:rsid w:val="3A9F77C4"/>
    <w:rsid w:val="3AE8089A"/>
    <w:rsid w:val="3AF20ADE"/>
    <w:rsid w:val="3AFB240E"/>
    <w:rsid w:val="3AFD5CD9"/>
    <w:rsid w:val="3B1919AB"/>
    <w:rsid w:val="3B246193"/>
    <w:rsid w:val="3B2C4003"/>
    <w:rsid w:val="3B2C4D22"/>
    <w:rsid w:val="3B322AFF"/>
    <w:rsid w:val="3B340B6C"/>
    <w:rsid w:val="3B3616FD"/>
    <w:rsid w:val="3B5E09F6"/>
    <w:rsid w:val="3B6B12B0"/>
    <w:rsid w:val="3B790184"/>
    <w:rsid w:val="3B88270F"/>
    <w:rsid w:val="3B8C153A"/>
    <w:rsid w:val="3B8F24B5"/>
    <w:rsid w:val="3BAB27D1"/>
    <w:rsid w:val="3BAD7364"/>
    <w:rsid w:val="3BBB22A6"/>
    <w:rsid w:val="3BBE60C2"/>
    <w:rsid w:val="3BC34952"/>
    <w:rsid w:val="3BCB0097"/>
    <w:rsid w:val="3BCB453B"/>
    <w:rsid w:val="3BDEB87D"/>
    <w:rsid w:val="3BE01FA9"/>
    <w:rsid w:val="3BE82D14"/>
    <w:rsid w:val="3BEA7FE9"/>
    <w:rsid w:val="3BFC2F3F"/>
    <w:rsid w:val="3C05618E"/>
    <w:rsid w:val="3C0C5C53"/>
    <w:rsid w:val="3C25022E"/>
    <w:rsid w:val="3C2C06BD"/>
    <w:rsid w:val="3C343788"/>
    <w:rsid w:val="3C435976"/>
    <w:rsid w:val="3C5B4206"/>
    <w:rsid w:val="3C64645A"/>
    <w:rsid w:val="3C656018"/>
    <w:rsid w:val="3C667DB0"/>
    <w:rsid w:val="3C6C06DF"/>
    <w:rsid w:val="3C7B68BB"/>
    <w:rsid w:val="3C7E695B"/>
    <w:rsid w:val="3C8A4CBA"/>
    <w:rsid w:val="3C8D11AD"/>
    <w:rsid w:val="3C946D71"/>
    <w:rsid w:val="3CAE79D6"/>
    <w:rsid w:val="3CB369E7"/>
    <w:rsid w:val="3CB83945"/>
    <w:rsid w:val="3CC106AE"/>
    <w:rsid w:val="3CCE5337"/>
    <w:rsid w:val="3CDA3E5E"/>
    <w:rsid w:val="3D0A559A"/>
    <w:rsid w:val="3D1E14E7"/>
    <w:rsid w:val="3D255602"/>
    <w:rsid w:val="3D3A558F"/>
    <w:rsid w:val="3D3C3A49"/>
    <w:rsid w:val="3D3D225B"/>
    <w:rsid w:val="3D577E3C"/>
    <w:rsid w:val="3D6C3114"/>
    <w:rsid w:val="3D7A74DC"/>
    <w:rsid w:val="3D7E5C88"/>
    <w:rsid w:val="3D8252C4"/>
    <w:rsid w:val="3D89645B"/>
    <w:rsid w:val="3D8C2AD7"/>
    <w:rsid w:val="3D901D9C"/>
    <w:rsid w:val="3D996C27"/>
    <w:rsid w:val="3D9B0069"/>
    <w:rsid w:val="3D9E48C4"/>
    <w:rsid w:val="3DD017C1"/>
    <w:rsid w:val="3DD27FEA"/>
    <w:rsid w:val="3DDB77FC"/>
    <w:rsid w:val="3DEF7094"/>
    <w:rsid w:val="3DFF3C37"/>
    <w:rsid w:val="3E0445FE"/>
    <w:rsid w:val="3E173072"/>
    <w:rsid w:val="3E3B08E6"/>
    <w:rsid w:val="3E3F581A"/>
    <w:rsid w:val="3E50322D"/>
    <w:rsid w:val="3E6C643E"/>
    <w:rsid w:val="3E7919F5"/>
    <w:rsid w:val="3E830253"/>
    <w:rsid w:val="3E883052"/>
    <w:rsid w:val="3E8950E5"/>
    <w:rsid w:val="3EA13331"/>
    <w:rsid w:val="3EAB50B7"/>
    <w:rsid w:val="3EB41A1A"/>
    <w:rsid w:val="3EC571FD"/>
    <w:rsid w:val="3ECF0CFF"/>
    <w:rsid w:val="3EEB4417"/>
    <w:rsid w:val="3EFC73B7"/>
    <w:rsid w:val="3F016450"/>
    <w:rsid w:val="3F082623"/>
    <w:rsid w:val="3F304E08"/>
    <w:rsid w:val="3F3D4A3D"/>
    <w:rsid w:val="3F3F4D49"/>
    <w:rsid w:val="3F4E2855"/>
    <w:rsid w:val="3F517949"/>
    <w:rsid w:val="3F537D57"/>
    <w:rsid w:val="3F5F0663"/>
    <w:rsid w:val="3F733AE9"/>
    <w:rsid w:val="3F7722E4"/>
    <w:rsid w:val="3F88009A"/>
    <w:rsid w:val="3F8A5A5C"/>
    <w:rsid w:val="3F976986"/>
    <w:rsid w:val="3F9D725A"/>
    <w:rsid w:val="3F9E25CD"/>
    <w:rsid w:val="3FA708C6"/>
    <w:rsid w:val="3FAC46C9"/>
    <w:rsid w:val="3FB528EC"/>
    <w:rsid w:val="3FBE264C"/>
    <w:rsid w:val="3FC04688"/>
    <w:rsid w:val="3FC35C6C"/>
    <w:rsid w:val="3FCC35A6"/>
    <w:rsid w:val="3FCE355B"/>
    <w:rsid w:val="3FDB2873"/>
    <w:rsid w:val="3FE0432D"/>
    <w:rsid w:val="3FF94E2C"/>
    <w:rsid w:val="40035149"/>
    <w:rsid w:val="400351B4"/>
    <w:rsid w:val="4005743D"/>
    <w:rsid w:val="4010775A"/>
    <w:rsid w:val="40125316"/>
    <w:rsid w:val="4013337A"/>
    <w:rsid w:val="40143DF8"/>
    <w:rsid w:val="40212F54"/>
    <w:rsid w:val="40266073"/>
    <w:rsid w:val="40396DA6"/>
    <w:rsid w:val="40470673"/>
    <w:rsid w:val="404A3285"/>
    <w:rsid w:val="404A445A"/>
    <w:rsid w:val="404A52B1"/>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5119B9"/>
    <w:rsid w:val="416C56EA"/>
    <w:rsid w:val="417007D7"/>
    <w:rsid w:val="41713E0B"/>
    <w:rsid w:val="41744B76"/>
    <w:rsid w:val="417F375C"/>
    <w:rsid w:val="418B7CA8"/>
    <w:rsid w:val="418D19C3"/>
    <w:rsid w:val="41953D1B"/>
    <w:rsid w:val="41BC64D5"/>
    <w:rsid w:val="41DA54BD"/>
    <w:rsid w:val="41E2613A"/>
    <w:rsid w:val="41E8185E"/>
    <w:rsid w:val="41F148BE"/>
    <w:rsid w:val="42084E7C"/>
    <w:rsid w:val="420F79EB"/>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2ED4CFD"/>
    <w:rsid w:val="42F256CD"/>
    <w:rsid w:val="43171E14"/>
    <w:rsid w:val="431B6658"/>
    <w:rsid w:val="432F53AF"/>
    <w:rsid w:val="43482915"/>
    <w:rsid w:val="435E4B64"/>
    <w:rsid w:val="43636C20"/>
    <w:rsid w:val="436379C5"/>
    <w:rsid w:val="43707776"/>
    <w:rsid w:val="437A14BF"/>
    <w:rsid w:val="438A50B6"/>
    <w:rsid w:val="4399065B"/>
    <w:rsid w:val="43992916"/>
    <w:rsid w:val="43C56BDE"/>
    <w:rsid w:val="43CC5F2C"/>
    <w:rsid w:val="43DA7B28"/>
    <w:rsid w:val="43E234DF"/>
    <w:rsid w:val="43E52CC5"/>
    <w:rsid w:val="43E960F8"/>
    <w:rsid w:val="43EC292D"/>
    <w:rsid w:val="43FC25A4"/>
    <w:rsid w:val="43FF2AD0"/>
    <w:rsid w:val="44052CBA"/>
    <w:rsid w:val="440740E3"/>
    <w:rsid w:val="440954ED"/>
    <w:rsid w:val="440C143D"/>
    <w:rsid w:val="4413082D"/>
    <w:rsid w:val="44142F49"/>
    <w:rsid w:val="441E013E"/>
    <w:rsid w:val="442C7144"/>
    <w:rsid w:val="442D183B"/>
    <w:rsid w:val="443E5A02"/>
    <w:rsid w:val="444A6E63"/>
    <w:rsid w:val="444D5CD5"/>
    <w:rsid w:val="44620E2F"/>
    <w:rsid w:val="44734028"/>
    <w:rsid w:val="4475210F"/>
    <w:rsid w:val="44830EA6"/>
    <w:rsid w:val="44876E52"/>
    <w:rsid w:val="4488274F"/>
    <w:rsid w:val="449D3C54"/>
    <w:rsid w:val="44D41F91"/>
    <w:rsid w:val="44DC2DC4"/>
    <w:rsid w:val="44DD0CDA"/>
    <w:rsid w:val="44DE52DF"/>
    <w:rsid w:val="44E87738"/>
    <w:rsid w:val="44F66110"/>
    <w:rsid w:val="451D4B80"/>
    <w:rsid w:val="4523563D"/>
    <w:rsid w:val="45237196"/>
    <w:rsid w:val="452926E8"/>
    <w:rsid w:val="45340E1B"/>
    <w:rsid w:val="45512375"/>
    <w:rsid w:val="456972B1"/>
    <w:rsid w:val="456C6947"/>
    <w:rsid w:val="456D7481"/>
    <w:rsid w:val="45742F08"/>
    <w:rsid w:val="4579370A"/>
    <w:rsid w:val="459C0CF6"/>
    <w:rsid w:val="459D0F13"/>
    <w:rsid w:val="45AE7782"/>
    <w:rsid w:val="45D02B0C"/>
    <w:rsid w:val="45D17124"/>
    <w:rsid w:val="45DB5496"/>
    <w:rsid w:val="45DC4264"/>
    <w:rsid w:val="45DD1335"/>
    <w:rsid w:val="45E21FE7"/>
    <w:rsid w:val="45ED40E2"/>
    <w:rsid w:val="45ED4FA4"/>
    <w:rsid w:val="45F1221E"/>
    <w:rsid w:val="45F262B7"/>
    <w:rsid w:val="45F865A3"/>
    <w:rsid w:val="460A2471"/>
    <w:rsid w:val="460C19D8"/>
    <w:rsid w:val="464D3810"/>
    <w:rsid w:val="464F15EF"/>
    <w:rsid w:val="465511B3"/>
    <w:rsid w:val="46575EC8"/>
    <w:rsid w:val="46677ABB"/>
    <w:rsid w:val="46737C6F"/>
    <w:rsid w:val="4693603D"/>
    <w:rsid w:val="469B6A1E"/>
    <w:rsid w:val="46A42DF8"/>
    <w:rsid w:val="46AB02D8"/>
    <w:rsid w:val="46AF2439"/>
    <w:rsid w:val="46BE6BCD"/>
    <w:rsid w:val="46C916D3"/>
    <w:rsid w:val="46CB5C37"/>
    <w:rsid w:val="46D05B31"/>
    <w:rsid w:val="46EE0EDA"/>
    <w:rsid w:val="46F9303C"/>
    <w:rsid w:val="47094169"/>
    <w:rsid w:val="47154453"/>
    <w:rsid w:val="47210AB5"/>
    <w:rsid w:val="47355090"/>
    <w:rsid w:val="47423169"/>
    <w:rsid w:val="474336A4"/>
    <w:rsid w:val="47482A84"/>
    <w:rsid w:val="475048B6"/>
    <w:rsid w:val="47583D74"/>
    <w:rsid w:val="475F36B2"/>
    <w:rsid w:val="477D6967"/>
    <w:rsid w:val="479653C5"/>
    <w:rsid w:val="47A26A3C"/>
    <w:rsid w:val="47B53536"/>
    <w:rsid w:val="47B72BD9"/>
    <w:rsid w:val="47BE24AA"/>
    <w:rsid w:val="47BF7E31"/>
    <w:rsid w:val="47CA0AC9"/>
    <w:rsid w:val="47D660E6"/>
    <w:rsid w:val="47D7253A"/>
    <w:rsid w:val="47E2428C"/>
    <w:rsid w:val="47E77A11"/>
    <w:rsid w:val="47E83C04"/>
    <w:rsid w:val="47EE5734"/>
    <w:rsid w:val="47FB2D21"/>
    <w:rsid w:val="480A3633"/>
    <w:rsid w:val="480E07D8"/>
    <w:rsid w:val="481C6DA3"/>
    <w:rsid w:val="482B24EA"/>
    <w:rsid w:val="4860425D"/>
    <w:rsid w:val="486924B1"/>
    <w:rsid w:val="487735EE"/>
    <w:rsid w:val="487970CD"/>
    <w:rsid w:val="488A2EB7"/>
    <w:rsid w:val="48902B3C"/>
    <w:rsid w:val="48931F3C"/>
    <w:rsid w:val="48A326ED"/>
    <w:rsid w:val="48AB58C3"/>
    <w:rsid w:val="48AF1997"/>
    <w:rsid w:val="48B013B1"/>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A7AC5"/>
    <w:rsid w:val="49DC64FA"/>
    <w:rsid w:val="49DD13EB"/>
    <w:rsid w:val="49E07403"/>
    <w:rsid w:val="49EA6878"/>
    <w:rsid w:val="49EB5D1F"/>
    <w:rsid w:val="49F15863"/>
    <w:rsid w:val="49F242C9"/>
    <w:rsid w:val="49F44FF0"/>
    <w:rsid w:val="4A030844"/>
    <w:rsid w:val="4A0D7F42"/>
    <w:rsid w:val="4A130CD4"/>
    <w:rsid w:val="4A1B647C"/>
    <w:rsid w:val="4A2A2D74"/>
    <w:rsid w:val="4A2B6F2D"/>
    <w:rsid w:val="4A2F4A4D"/>
    <w:rsid w:val="4A541C13"/>
    <w:rsid w:val="4A7D7215"/>
    <w:rsid w:val="4A845BD3"/>
    <w:rsid w:val="4A8D52FB"/>
    <w:rsid w:val="4A8D56DE"/>
    <w:rsid w:val="4A9E3173"/>
    <w:rsid w:val="4A9F7430"/>
    <w:rsid w:val="4AAA2B34"/>
    <w:rsid w:val="4AAC5368"/>
    <w:rsid w:val="4AB27A6D"/>
    <w:rsid w:val="4AB33A2C"/>
    <w:rsid w:val="4AB47A12"/>
    <w:rsid w:val="4AB538C9"/>
    <w:rsid w:val="4ABE260E"/>
    <w:rsid w:val="4AC16654"/>
    <w:rsid w:val="4AC507B2"/>
    <w:rsid w:val="4ACF0F07"/>
    <w:rsid w:val="4AD66CD6"/>
    <w:rsid w:val="4AD74653"/>
    <w:rsid w:val="4AE07DFB"/>
    <w:rsid w:val="4AE23121"/>
    <w:rsid w:val="4AEC627C"/>
    <w:rsid w:val="4AEE16B8"/>
    <w:rsid w:val="4AEF24ED"/>
    <w:rsid w:val="4AF96CB6"/>
    <w:rsid w:val="4AFB201B"/>
    <w:rsid w:val="4AFD5169"/>
    <w:rsid w:val="4B093295"/>
    <w:rsid w:val="4B0C06DC"/>
    <w:rsid w:val="4B184095"/>
    <w:rsid w:val="4B2043B8"/>
    <w:rsid w:val="4B285F31"/>
    <w:rsid w:val="4B2E3AD0"/>
    <w:rsid w:val="4B406692"/>
    <w:rsid w:val="4B460DF2"/>
    <w:rsid w:val="4B492A3B"/>
    <w:rsid w:val="4B497029"/>
    <w:rsid w:val="4B5C74E9"/>
    <w:rsid w:val="4B5F3ED9"/>
    <w:rsid w:val="4B605F8F"/>
    <w:rsid w:val="4B634726"/>
    <w:rsid w:val="4B7D0C82"/>
    <w:rsid w:val="4B8671D2"/>
    <w:rsid w:val="4B8F6E14"/>
    <w:rsid w:val="4B951AD0"/>
    <w:rsid w:val="4B9809FD"/>
    <w:rsid w:val="4BB0472C"/>
    <w:rsid w:val="4BB30D0B"/>
    <w:rsid w:val="4BB41CBD"/>
    <w:rsid w:val="4BBB33A6"/>
    <w:rsid w:val="4BBE46DB"/>
    <w:rsid w:val="4BC472D1"/>
    <w:rsid w:val="4BC54E66"/>
    <w:rsid w:val="4BC863A1"/>
    <w:rsid w:val="4BCD57A7"/>
    <w:rsid w:val="4BCF788F"/>
    <w:rsid w:val="4BD84E75"/>
    <w:rsid w:val="4BDC5224"/>
    <w:rsid w:val="4BE60A31"/>
    <w:rsid w:val="4BE76065"/>
    <w:rsid w:val="4BEA3BEA"/>
    <w:rsid w:val="4BEC4DB3"/>
    <w:rsid w:val="4BF149C3"/>
    <w:rsid w:val="4BF9780B"/>
    <w:rsid w:val="4BFA4125"/>
    <w:rsid w:val="4C020E7B"/>
    <w:rsid w:val="4C23448B"/>
    <w:rsid w:val="4C345224"/>
    <w:rsid w:val="4C4C2771"/>
    <w:rsid w:val="4C543B22"/>
    <w:rsid w:val="4C5566D7"/>
    <w:rsid w:val="4C644E8C"/>
    <w:rsid w:val="4C742D40"/>
    <w:rsid w:val="4C746C1E"/>
    <w:rsid w:val="4C7C48A7"/>
    <w:rsid w:val="4C7C506B"/>
    <w:rsid w:val="4CA87F80"/>
    <w:rsid w:val="4CBB0A14"/>
    <w:rsid w:val="4CC208D3"/>
    <w:rsid w:val="4CCB4740"/>
    <w:rsid w:val="4CCD1A64"/>
    <w:rsid w:val="4CD251A8"/>
    <w:rsid w:val="4CD52E3E"/>
    <w:rsid w:val="4CDF72E7"/>
    <w:rsid w:val="4CE57A8E"/>
    <w:rsid w:val="4CFB55CD"/>
    <w:rsid w:val="4D072D79"/>
    <w:rsid w:val="4D145D5B"/>
    <w:rsid w:val="4D17778C"/>
    <w:rsid w:val="4D281D25"/>
    <w:rsid w:val="4D2C015A"/>
    <w:rsid w:val="4D473BE7"/>
    <w:rsid w:val="4D5544C8"/>
    <w:rsid w:val="4D616AAD"/>
    <w:rsid w:val="4D692A8F"/>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96E2C"/>
    <w:rsid w:val="4E0B4471"/>
    <w:rsid w:val="4E131941"/>
    <w:rsid w:val="4E34712A"/>
    <w:rsid w:val="4E37534F"/>
    <w:rsid w:val="4E3A1C2D"/>
    <w:rsid w:val="4E463A07"/>
    <w:rsid w:val="4E4923F9"/>
    <w:rsid w:val="4E4F7006"/>
    <w:rsid w:val="4E567965"/>
    <w:rsid w:val="4E5858C8"/>
    <w:rsid w:val="4E5879FD"/>
    <w:rsid w:val="4E5B246B"/>
    <w:rsid w:val="4E6A6162"/>
    <w:rsid w:val="4E6A7AAB"/>
    <w:rsid w:val="4E6F7F3D"/>
    <w:rsid w:val="4E77126F"/>
    <w:rsid w:val="4E870CEC"/>
    <w:rsid w:val="4E932227"/>
    <w:rsid w:val="4E951779"/>
    <w:rsid w:val="4E9D5E6B"/>
    <w:rsid w:val="4EA310EA"/>
    <w:rsid w:val="4EAB5E7F"/>
    <w:rsid w:val="4EAB7B87"/>
    <w:rsid w:val="4EB27D68"/>
    <w:rsid w:val="4EB5456F"/>
    <w:rsid w:val="4EB94173"/>
    <w:rsid w:val="4ECA4D18"/>
    <w:rsid w:val="4ED34D61"/>
    <w:rsid w:val="4EDD4F23"/>
    <w:rsid w:val="4EDE2A17"/>
    <w:rsid w:val="4EDE412D"/>
    <w:rsid w:val="4EE44BE8"/>
    <w:rsid w:val="4EF82C0F"/>
    <w:rsid w:val="4F1705ED"/>
    <w:rsid w:val="4F1B405C"/>
    <w:rsid w:val="4F221450"/>
    <w:rsid w:val="4F2950ED"/>
    <w:rsid w:val="4F39547D"/>
    <w:rsid w:val="4F5831BF"/>
    <w:rsid w:val="4F5E50E8"/>
    <w:rsid w:val="4F6065C7"/>
    <w:rsid w:val="4F67737B"/>
    <w:rsid w:val="4F766114"/>
    <w:rsid w:val="4F7C258C"/>
    <w:rsid w:val="4F944AF3"/>
    <w:rsid w:val="4F9B48E0"/>
    <w:rsid w:val="4FB547BF"/>
    <w:rsid w:val="4FD46E5C"/>
    <w:rsid w:val="4FD518A8"/>
    <w:rsid w:val="4FDA66A3"/>
    <w:rsid w:val="4FDA7262"/>
    <w:rsid w:val="4FF7433D"/>
    <w:rsid w:val="4FFB4A12"/>
    <w:rsid w:val="4FFB53F6"/>
    <w:rsid w:val="500B08C0"/>
    <w:rsid w:val="50136893"/>
    <w:rsid w:val="50187BDC"/>
    <w:rsid w:val="501A6B51"/>
    <w:rsid w:val="50271C76"/>
    <w:rsid w:val="503754C6"/>
    <w:rsid w:val="50403AD2"/>
    <w:rsid w:val="50435E55"/>
    <w:rsid w:val="50486282"/>
    <w:rsid w:val="50511B72"/>
    <w:rsid w:val="50693BBD"/>
    <w:rsid w:val="506B0124"/>
    <w:rsid w:val="506F18E4"/>
    <w:rsid w:val="50700EA1"/>
    <w:rsid w:val="50795EBC"/>
    <w:rsid w:val="508D1967"/>
    <w:rsid w:val="50AC504D"/>
    <w:rsid w:val="50B109AF"/>
    <w:rsid w:val="50B9275C"/>
    <w:rsid w:val="50B96C00"/>
    <w:rsid w:val="50C9265F"/>
    <w:rsid w:val="50C954CC"/>
    <w:rsid w:val="50CF5EBE"/>
    <w:rsid w:val="50D856A5"/>
    <w:rsid w:val="50E20B5E"/>
    <w:rsid w:val="5128530D"/>
    <w:rsid w:val="512C2F2E"/>
    <w:rsid w:val="513A20EB"/>
    <w:rsid w:val="51475B9B"/>
    <w:rsid w:val="514F764A"/>
    <w:rsid w:val="515446F4"/>
    <w:rsid w:val="515C44D2"/>
    <w:rsid w:val="51607C8A"/>
    <w:rsid w:val="51646F20"/>
    <w:rsid w:val="51694C80"/>
    <w:rsid w:val="5173358C"/>
    <w:rsid w:val="51776126"/>
    <w:rsid w:val="51837B55"/>
    <w:rsid w:val="51866838"/>
    <w:rsid w:val="518F457C"/>
    <w:rsid w:val="51917235"/>
    <w:rsid w:val="519E06BD"/>
    <w:rsid w:val="51A13D0B"/>
    <w:rsid w:val="51A94649"/>
    <w:rsid w:val="51AD7117"/>
    <w:rsid w:val="51B71FD1"/>
    <w:rsid w:val="51BA3A7E"/>
    <w:rsid w:val="51CD59F0"/>
    <w:rsid w:val="51D37172"/>
    <w:rsid w:val="51DA6316"/>
    <w:rsid w:val="51FE1BA6"/>
    <w:rsid w:val="51FF0643"/>
    <w:rsid w:val="52115C1C"/>
    <w:rsid w:val="521E385D"/>
    <w:rsid w:val="521F3230"/>
    <w:rsid w:val="522A6D57"/>
    <w:rsid w:val="522F077A"/>
    <w:rsid w:val="52306B3C"/>
    <w:rsid w:val="524E1C99"/>
    <w:rsid w:val="525700F4"/>
    <w:rsid w:val="525A5EFE"/>
    <w:rsid w:val="526724C9"/>
    <w:rsid w:val="52692625"/>
    <w:rsid w:val="527E1DD7"/>
    <w:rsid w:val="527F727E"/>
    <w:rsid w:val="52983A2D"/>
    <w:rsid w:val="52993E93"/>
    <w:rsid w:val="529E0439"/>
    <w:rsid w:val="52A802A4"/>
    <w:rsid w:val="52A835F0"/>
    <w:rsid w:val="52AB626E"/>
    <w:rsid w:val="52AC20F1"/>
    <w:rsid w:val="52BD4667"/>
    <w:rsid w:val="52C4650C"/>
    <w:rsid w:val="52C75BB0"/>
    <w:rsid w:val="52C9432D"/>
    <w:rsid w:val="52D16FF2"/>
    <w:rsid w:val="52DB5A3F"/>
    <w:rsid w:val="52DC0984"/>
    <w:rsid w:val="52E674BE"/>
    <w:rsid w:val="52EC48FA"/>
    <w:rsid w:val="53005A6E"/>
    <w:rsid w:val="53057EDB"/>
    <w:rsid w:val="530748DF"/>
    <w:rsid w:val="53204D14"/>
    <w:rsid w:val="53222E14"/>
    <w:rsid w:val="53300FB6"/>
    <w:rsid w:val="533019DA"/>
    <w:rsid w:val="53475D3A"/>
    <w:rsid w:val="53655A80"/>
    <w:rsid w:val="538B42DE"/>
    <w:rsid w:val="53993286"/>
    <w:rsid w:val="539E6AA6"/>
    <w:rsid w:val="53A60DD5"/>
    <w:rsid w:val="53A87967"/>
    <w:rsid w:val="53C22CCA"/>
    <w:rsid w:val="53C6271B"/>
    <w:rsid w:val="53CC5E1A"/>
    <w:rsid w:val="53D127E7"/>
    <w:rsid w:val="53DC7670"/>
    <w:rsid w:val="53E03B1E"/>
    <w:rsid w:val="53EC1861"/>
    <w:rsid w:val="53F76048"/>
    <w:rsid w:val="542F35D9"/>
    <w:rsid w:val="542F444C"/>
    <w:rsid w:val="5434239B"/>
    <w:rsid w:val="543643DA"/>
    <w:rsid w:val="543876E2"/>
    <w:rsid w:val="543A3C6A"/>
    <w:rsid w:val="543C7CB2"/>
    <w:rsid w:val="54576514"/>
    <w:rsid w:val="545F6B68"/>
    <w:rsid w:val="54703B76"/>
    <w:rsid w:val="548D7640"/>
    <w:rsid w:val="54AF37EA"/>
    <w:rsid w:val="54C0023A"/>
    <w:rsid w:val="54C16897"/>
    <w:rsid w:val="54CF1AAB"/>
    <w:rsid w:val="54ED448D"/>
    <w:rsid w:val="54F55A9E"/>
    <w:rsid w:val="55010C6B"/>
    <w:rsid w:val="55025A45"/>
    <w:rsid w:val="55092FAD"/>
    <w:rsid w:val="55194651"/>
    <w:rsid w:val="551E3960"/>
    <w:rsid w:val="5536081F"/>
    <w:rsid w:val="55375455"/>
    <w:rsid w:val="554C64B6"/>
    <w:rsid w:val="556154BA"/>
    <w:rsid w:val="5585712D"/>
    <w:rsid w:val="558D4110"/>
    <w:rsid w:val="559912AF"/>
    <w:rsid w:val="559961B4"/>
    <w:rsid w:val="55AA6225"/>
    <w:rsid w:val="55AE6718"/>
    <w:rsid w:val="55EC13BA"/>
    <w:rsid w:val="55F94F8E"/>
    <w:rsid w:val="56004989"/>
    <w:rsid w:val="56110C10"/>
    <w:rsid w:val="561428C1"/>
    <w:rsid w:val="56150EB3"/>
    <w:rsid w:val="561901FA"/>
    <w:rsid w:val="561E2D2C"/>
    <w:rsid w:val="561F3CB6"/>
    <w:rsid w:val="56233904"/>
    <w:rsid w:val="565A22EB"/>
    <w:rsid w:val="5670160A"/>
    <w:rsid w:val="56796C5B"/>
    <w:rsid w:val="56803E23"/>
    <w:rsid w:val="56821842"/>
    <w:rsid w:val="56841C2E"/>
    <w:rsid w:val="568E1D15"/>
    <w:rsid w:val="56955916"/>
    <w:rsid w:val="56985C18"/>
    <w:rsid w:val="569A6E40"/>
    <w:rsid w:val="56AB0A15"/>
    <w:rsid w:val="56AE6EA8"/>
    <w:rsid w:val="56B83943"/>
    <w:rsid w:val="56BA113F"/>
    <w:rsid w:val="56C41882"/>
    <w:rsid w:val="56D54E6B"/>
    <w:rsid w:val="56DC53F6"/>
    <w:rsid w:val="56DD6FA5"/>
    <w:rsid w:val="56DF626B"/>
    <w:rsid w:val="56EC2D4F"/>
    <w:rsid w:val="56F444EE"/>
    <w:rsid w:val="56FB3FF9"/>
    <w:rsid w:val="56FD2198"/>
    <w:rsid w:val="57114899"/>
    <w:rsid w:val="5718099E"/>
    <w:rsid w:val="571F4340"/>
    <w:rsid w:val="572409FC"/>
    <w:rsid w:val="572D3E71"/>
    <w:rsid w:val="57380C37"/>
    <w:rsid w:val="5739626B"/>
    <w:rsid w:val="574717EA"/>
    <w:rsid w:val="574E13AD"/>
    <w:rsid w:val="576F6C2C"/>
    <w:rsid w:val="577522C7"/>
    <w:rsid w:val="57805764"/>
    <w:rsid w:val="57861513"/>
    <w:rsid w:val="5789573D"/>
    <w:rsid w:val="578C704A"/>
    <w:rsid w:val="57981B34"/>
    <w:rsid w:val="579A1FB5"/>
    <w:rsid w:val="579B7EDC"/>
    <w:rsid w:val="57A13883"/>
    <w:rsid w:val="57A2525D"/>
    <w:rsid w:val="57B671D8"/>
    <w:rsid w:val="57BF3979"/>
    <w:rsid w:val="57DD1AD7"/>
    <w:rsid w:val="57E74CF7"/>
    <w:rsid w:val="57E825D4"/>
    <w:rsid w:val="57E94278"/>
    <w:rsid w:val="57ED39CE"/>
    <w:rsid w:val="57F413E2"/>
    <w:rsid w:val="57F70468"/>
    <w:rsid w:val="581329DA"/>
    <w:rsid w:val="581A50BC"/>
    <w:rsid w:val="581D1822"/>
    <w:rsid w:val="58230D38"/>
    <w:rsid w:val="58312587"/>
    <w:rsid w:val="5837317F"/>
    <w:rsid w:val="58385FF7"/>
    <w:rsid w:val="583B5B3E"/>
    <w:rsid w:val="583B6401"/>
    <w:rsid w:val="584157D2"/>
    <w:rsid w:val="584331DC"/>
    <w:rsid w:val="586036A7"/>
    <w:rsid w:val="586D0393"/>
    <w:rsid w:val="58735665"/>
    <w:rsid w:val="587F7ED1"/>
    <w:rsid w:val="58897F06"/>
    <w:rsid w:val="58982948"/>
    <w:rsid w:val="589D49D4"/>
    <w:rsid w:val="589D5EBC"/>
    <w:rsid w:val="58A219B7"/>
    <w:rsid w:val="58A2448A"/>
    <w:rsid w:val="58A45E46"/>
    <w:rsid w:val="58B8779D"/>
    <w:rsid w:val="58C06677"/>
    <w:rsid w:val="58C17993"/>
    <w:rsid w:val="58DB506F"/>
    <w:rsid w:val="58E93DFA"/>
    <w:rsid w:val="590E7B63"/>
    <w:rsid w:val="5911704A"/>
    <w:rsid w:val="591E31B2"/>
    <w:rsid w:val="593239B2"/>
    <w:rsid w:val="593D52A0"/>
    <w:rsid w:val="594279D7"/>
    <w:rsid w:val="59434133"/>
    <w:rsid w:val="5958106F"/>
    <w:rsid w:val="59796DE8"/>
    <w:rsid w:val="599A30CF"/>
    <w:rsid w:val="59A93A45"/>
    <w:rsid w:val="59AE331A"/>
    <w:rsid w:val="59B1531E"/>
    <w:rsid w:val="59B31432"/>
    <w:rsid w:val="59B33F7E"/>
    <w:rsid w:val="59B86BB4"/>
    <w:rsid w:val="59BC5BAA"/>
    <w:rsid w:val="59C52172"/>
    <w:rsid w:val="59DC530F"/>
    <w:rsid w:val="59DD0BC9"/>
    <w:rsid w:val="59DE647C"/>
    <w:rsid w:val="59E051FD"/>
    <w:rsid w:val="59EC3697"/>
    <w:rsid w:val="59EE732A"/>
    <w:rsid w:val="59F24F64"/>
    <w:rsid w:val="59F83A7F"/>
    <w:rsid w:val="5A063D38"/>
    <w:rsid w:val="5A0A04CC"/>
    <w:rsid w:val="5A142786"/>
    <w:rsid w:val="5A2B00AB"/>
    <w:rsid w:val="5A3A281E"/>
    <w:rsid w:val="5A3C6AE3"/>
    <w:rsid w:val="5A4C6AB4"/>
    <w:rsid w:val="5A4C6EDF"/>
    <w:rsid w:val="5A517945"/>
    <w:rsid w:val="5A60354C"/>
    <w:rsid w:val="5A684474"/>
    <w:rsid w:val="5A807B8B"/>
    <w:rsid w:val="5A8B483A"/>
    <w:rsid w:val="5A9B3CFD"/>
    <w:rsid w:val="5AAD0BDB"/>
    <w:rsid w:val="5AB10E32"/>
    <w:rsid w:val="5AC44599"/>
    <w:rsid w:val="5ADF07E8"/>
    <w:rsid w:val="5AE979C9"/>
    <w:rsid w:val="5AEC6396"/>
    <w:rsid w:val="5B07328E"/>
    <w:rsid w:val="5B376556"/>
    <w:rsid w:val="5B393C4D"/>
    <w:rsid w:val="5B4165B4"/>
    <w:rsid w:val="5B4517BC"/>
    <w:rsid w:val="5B451EA5"/>
    <w:rsid w:val="5B5F159B"/>
    <w:rsid w:val="5B750D47"/>
    <w:rsid w:val="5B7610DF"/>
    <w:rsid w:val="5B7B1DBC"/>
    <w:rsid w:val="5B820CEA"/>
    <w:rsid w:val="5B830C39"/>
    <w:rsid w:val="5B9A7652"/>
    <w:rsid w:val="5BC815A9"/>
    <w:rsid w:val="5BDF10EC"/>
    <w:rsid w:val="5BE11AD0"/>
    <w:rsid w:val="5BF65E4A"/>
    <w:rsid w:val="5BFC5DEF"/>
    <w:rsid w:val="5C031C08"/>
    <w:rsid w:val="5C073493"/>
    <w:rsid w:val="5C08313A"/>
    <w:rsid w:val="5C124740"/>
    <w:rsid w:val="5C167CAD"/>
    <w:rsid w:val="5C271679"/>
    <w:rsid w:val="5C277A24"/>
    <w:rsid w:val="5C284D5E"/>
    <w:rsid w:val="5C2C3EF8"/>
    <w:rsid w:val="5C2F6D78"/>
    <w:rsid w:val="5C3071E6"/>
    <w:rsid w:val="5C4707B9"/>
    <w:rsid w:val="5C526139"/>
    <w:rsid w:val="5C5675E5"/>
    <w:rsid w:val="5C5F5E7F"/>
    <w:rsid w:val="5C642116"/>
    <w:rsid w:val="5C646B0E"/>
    <w:rsid w:val="5C65426F"/>
    <w:rsid w:val="5C731A7F"/>
    <w:rsid w:val="5C7569AD"/>
    <w:rsid w:val="5C9D354B"/>
    <w:rsid w:val="5CAF2C03"/>
    <w:rsid w:val="5CD062DF"/>
    <w:rsid w:val="5CD27D37"/>
    <w:rsid w:val="5CD36B2E"/>
    <w:rsid w:val="5CD4779E"/>
    <w:rsid w:val="5CD677DA"/>
    <w:rsid w:val="5CD821BC"/>
    <w:rsid w:val="5CDE27BC"/>
    <w:rsid w:val="5CE77BCF"/>
    <w:rsid w:val="5D137532"/>
    <w:rsid w:val="5D157C88"/>
    <w:rsid w:val="5D1E0ED1"/>
    <w:rsid w:val="5D374EE4"/>
    <w:rsid w:val="5D496913"/>
    <w:rsid w:val="5D573B55"/>
    <w:rsid w:val="5D604E1A"/>
    <w:rsid w:val="5D613ECE"/>
    <w:rsid w:val="5D6A6E55"/>
    <w:rsid w:val="5D6E48CE"/>
    <w:rsid w:val="5D76283E"/>
    <w:rsid w:val="5D77279F"/>
    <w:rsid w:val="5D8306C9"/>
    <w:rsid w:val="5D842A1D"/>
    <w:rsid w:val="5DB20FCB"/>
    <w:rsid w:val="5DB46785"/>
    <w:rsid w:val="5DB70023"/>
    <w:rsid w:val="5DDD7E94"/>
    <w:rsid w:val="5DE51229"/>
    <w:rsid w:val="5DF31E43"/>
    <w:rsid w:val="5DFE1897"/>
    <w:rsid w:val="5E021953"/>
    <w:rsid w:val="5E036527"/>
    <w:rsid w:val="5E04757B"/>
    <w:rsid w:val="5E087B7C"/>
    <w:rsid w:val="5E0E54E0"/>
    <w:rsid w:val="5E207E63"/>
    <w:rsid w:val="5E225DE5"/>
    <w:rsid w:val="5E4565B9"/>
    <w:rsid w:val="5E4B0A93"/>
    <w:rsid w:val="5E7E1766"/>
    <w:rsid w:val="5E8F38D1"/>
    <w:rsid w:val="5E9255CA"/>
    <w:rsid w:val="5E927AEF"/>
    <w:rsid w:val="5EB37363"/>
    <w:rsid w:val="5EB91C0B"/>
    <w:rsid w:val="5EBA5D65"/>
    <w:rsid w:val="5EBF4211"/>
    <w:rsid w:val="5EC4031F"/>
    <w:rsid w:val="5EC6445F"/>
    <w:rsid w:val="5ED50336"/>
    <w:rsid w:val="5ED65319"/>
    <w:rsid w:val="5EEB5E61"/>
    <w:rsid w:val="5EF1586C"/>
    <w:rsid w:val="5F2141F8"/>
    <w:rsid w:val="5F46047A"/>
    <w:rsid w:val="5F4A68D0"/>
    <w:rsid w:val="5F664499"/>
    <w:rsid w:val="5F7A0801"/>
    <w:rsid w:val="5F843E24"/>
    <w:rsid w:val="5F8D62F8"/>
    <w:rsid w:val="5FA23D09"/>
    <w:rsid w:val="5FA32278"/>
    <w:rsid w:val="5FAF7865"/>
    <w:rsid w:val="5FB5B2C3"/>
    <w:rsid w:val="5FB73F3B"/>
    <w:rsid w:val="5FC67588"/>
    <w:rsid w:val="5FD046CB"/>
    <w:rsid w:val="5FE73D0E"/>
    <w:rsid w:val="60067040"/>
    <w:rsid w:val="6008140F"/>
    <w:rsid w:val="60086F0A"/>
    <w:rsid w:val="601B4A47"/>
    <w:rsid w:val="60217A1A"/>
    <w:rsid w:val="603C0CB4"/>
    <w:rsid w:val="604270E5"/>
    <w:rsid w:val="604D05E2"/>
    <w:rsid w:val="60592246"/>
    <w:rsid w:val="605B2155"/>
    <w:rsid w:val="605E5EB2"/>
    <w:rsid w:val="605F20D7"/>
    <w:rsid w:val="60646418"/>
    <w:rsid w:val="60691264"/>
    <w:rsid w:val="606D52A1"/>
    <w:rsid w:val="60733DFE"/>
    <w:rsid w:val="60761A02"/>
    <w:rsid w:val="607704D1"/>
    <w:rsid w:val="60815C20"/>
    <w:rsid w:val="608D24C2"/>
    <w:rsid w:val="609A3072"/>
    <w:rsid w:val="609E62ED"/>
    <w:rsid w:val="60A76608"/>
    <w:rsid w:val="60A80CA6"/>
    <w:rsid w:val="60B26B24"/>
    <w:rsid w:val="60B322B3"/>
    <w:rsid w:val="60BF1DF9"/>
    <w:rsid w:val="60EE0218"/>
    <w:rsid w:val="60FA4B1B"/>
    <w:rsid w:val="60FE7FA1"/>
    <w:rsid w:val="610544EA"/>
    <w:rsid w:val="61091E5D"/>
    <w:rsid w:val="610A7CB7"/>
    <w:rsid w:val="611F56E1"/>
    <w:rsid w:val="61350A6B"/>
    <w:rsid w:val="61353591"/>
    <w:rsid w:val="614B40F4"/>
    <w:rsid w:val="614F38A8"/>
    <w:rsid w:val="6160227E"/>
    <w:rsid w:val="6162303C"/>
    <w:rsid w:val="616E53C9"/>
    <w:rsid w:val="616F678F"/>
    <w:rsid w:val="61775741"/>
    <w:rsid w:val="618C32E6"/>
    <w:rsid w:val="61942B31"/>
    <w:rsid w:val="61B17E42"/>
    <w:rsid w:val="61BB3420"/>
    <w:rsid w:val="61D17319"/>
    <w:rsid w:val="61D81473"/>
    <w:rsid w:val="61F50A5F"/>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7E5737"/>
    <w:rsid w:val="62875AAB"/>
    <w:rsid w:val="62BC0D55"/>
    <w:rsid w:val="62BC6E3C"/>
    <w:rsid w:val="62E0150F"/>
    <w:rsid w:val="62E02F60"/>
    <w:rsid w:val="62F526E7"/>
    <w:rsid w:val="63106D5B"/>
    <w:rsid w:val="6332766D"/>
    <w:rsid w:val="63396158"/>
    <w:rsid w:val="633C5B98"/>
    <w:rsid w:val="63430D2A"/>
    <w:rsid w:val="63473BF7"/>
    <w:rsid w:val="634D61C9"/>
    <w:rsid w:val="635272F9"/>
    <w:rsid w:val="635C4C57"/>
    <w:rsid w:val="635C750D"/>
    <w:rsid w:val="63674CA4"/>
    <w:rsid w:val="6386400D"/>
    <w:rsid w:val="63A54F06"/>
    <w:rsid w:val="63A64DC2"/>
    <w:rsid w:val="63AD6951"/>
    <w:rsid w:val="63B16962"/>
    <w:rsid w:val="63BA2EDA"/>
    <w:rsid w:val="63C9624A"/>
    <w:rsid w:val="63CC601E"/>
    <w:rsid w:val="63D719DB"/>
    <w:rsid w:val="63ED4724"/>
    <w:rsid w:val="63F80D94"/>
    <w:rsid w:val="63FF6FFC"/>
    <w:rsid w:val="64001A81"/>
    <w:rsid w:val="64026854"/>
    <w:rsid w:val="642411E7"/>
    <w:rsid w:val="643D2B73"/>
    <w:rsid w:val="644857E1"/>
    <w:rsid w:val="644A226C"/>
    <w:rsid w:val="64522AC7"/>
    <w:rsid w:val="64525187"/>
    <w:rsid w:val="64553A5C"/>
    <w:rsid w:val="6462771D"/>
    <w:rsid w:val="64713622"/>
    <w:rsid w:val="64750A67"/>
    <w:rsid w:val="648F4603"/>
    <w:rsid w:val="64940BBC"/>
    <w:rsid w:val="649D58E8"/>
    <w:rsid w:val="649D6000"/>
    <w:rsid w:val="64A22D34"/>
    <w:rsid w:val="64B2181C"/>
    <w:rsid w:val="64BD6D1E"/>
    <w:rsid w:val="64CA3146"/>
    <w:rsid w:val="64CF2FBB"/>
    <w:rsid w:val="64D076D0"/>
    <w:rsid w:val="64D25ADC"/>
    <w:rsid w:val="64D8700C"/>
    <w:rsid w:val="64DA642E"/>
    <w:rsid w:val="64FB1BDE"/>
    <w:rsid w:val="650B1C07"/>
    <w:rsid w:val="651A5F91"/>
    <w:rsid w:val="65251E4A"/>
    <w:rsid w:val="652C5EB4"/>
    <w:rsid w:val="654B2836"/>
    <w:rsid w:val="654F136F"/>
    <w:rsid w:val="65526E69"/>
    <w:rsid w:val="6556509D"/>
    <w:rsid w:val="65680726"/>
    <w:rsid w:val="657F58CB"/>
    <w:rsid w:val="658159DC"/>
    <w:rsid w:val="65830371"/>
    <w:rsid w:val="65A76DE5"/>
    <w:rsid w:val="65BA079C"/>
    <w:rsid w:val="65DA2049"/>
    <w:rsid w:val="65E17BA8"/>
    <w:rsid w:val="65EE47FE"/>
    <w:rsid w:val="65FA1534"/>
    <w:rsid w:val="65FA5D55"/>
    <w:rsid w:val="66020B60"/>
    <w:rsid w:val="660255FB"/>
    <w:rsid w:val="66123D10"/>
    <w:rsid w:val="66133DAB"/>
    <w:rsid w:val="661A16F1"/>
    <w:rsid w:val="661C75BD"/>
    <w:rsid w:val="663D1055"/>
    <w:rsid w:val="664541E6"/>
    <w:rsid w:val="66474970"/>
    <w:rsid w:val="6648514C"/>
    <w:rsid w:val="664B39FF"/>
    <w:rsid w:val="66542240"/>
    <w:rsid w:val="6663790C"/>
    <w:rsid w:val="66747232"/>
    <w:rsid w:val="667D15A4"/>
    <w:rsid w:val="667D7BC5"/>
    <w:rsid w:val="668215CB"/>
    <w:rsid w:val="66837765"/>
    <w:rsid w:val="668533B4"/>
    <w:rsid w:val="669518A0"/>
    <w:rsid w:val="669902AD"/>
    <w:rsid w:val="66A129BA"/>
    <w:rsid w:val="66A80E51"/>
    <w:rsid w:val="66A93610"/>
    <w:rsid w:val="66AB587F"/>
    <w:rsid w:val="66B671D8"/>
    <w:rsid w:val="66D95276"/>
    <w:rsid w:val="66DA1819"/>
    <w:rsid w:val="66DC6F2C"/>
    <w:rsid w:val="66E016CA"/>
    <w:rsid w:val="66E83E34"/>
    <w:rsid w:val="66EF52A5"/>
    <w:rsid w:val="66F30D69"/>
    <w:rsid w:val="66FC72F7"/>
    <w:rsid w:val="670B0931"/>
    <w:rsid w:val="67120309"/>
    <w:rsid w:val="67443AE9"/>
    <w:rsid w:val="67572F8F"/>
    <w:rsid w:val="675D5151"/>
    <w:rsid w:val="675E333F"/>
    <w:rsid w:val="67693754"/>
    <w:rsid w:val="6775322B"/>
    <w:rsid w:val="67893596"/>
    <w:rsid w:val="678A0557"/>
    <w:rsid w:val="67BA708E"/>
    <w:rsid w:val="67BF023C"/>
    <w:rsid w:val="67CE55FF"/>
    <w:rsid w:val="67D5557E"/>
    <w:rsid w:val="67E0047E"/>
    <w:rsid w:val="67F6293B"/>
    <w:rsid w:val="67FA187D"/>
    <w:rsid w:val="67FC584E"/>
    <w:rsid w:val="68142795"/>
    <w:rsid w:val="68336430"/>
    <w:rsid w:val="684F4B81"/>
    <w:rsid w:val="685149A2"/>
    <w:rsid w:val="68571975"/>
    <w:rsid w:val="685A79FC"/>
    <w:rsid w:val="68611261"/>
    <w:rsid w:val="686A5EB8"/>
    <w:rsid w:val="686C43C0"/>
    <w:rsid w:val="68815DFE"/>
    <w:rsid w:val="688E4077"/>
    <w:rsid w:val="688F672B"/>
    <w:rsid w:val="688F6F87"/>
    <w:rsid w:val="68A17AAF"/>
    <w:rsid w:val="68B027B4"/>
    <w:rsid w:val="68DA74AF"/>
    <w:rsid w:val="68E05863"/>
    <w:rsid w:val="68EE64F5"/>
    <w:rsid w:val="69030B1E"/>
    <w:rsid w:val="69085C0C"/>
    <w:rsid w:val="691378B0"/>
    <w:rsid w:val="6920283B"/>
    <w:rsid w:val="693B41FE"/>
    <w:rsid w:val="6941314D"/>
    <w:rsid w:val="694B4CE1"/>
    <w:rsid w:val="69521130"/>
    <w:rsid w:val="69580133"/>
    <w:rsid w:val="69586E43"/>
    <w:rsid w:val="69662AFA"/>
    <w:rsid w:val="69672C6C"/>
    <w:rsid w:val="696A29B9"/>
    <w:rsid w:val="69770527"/>
    <w:rsid w:val="698222FD"/>
    <w:rsid w:val="6985069B"/>
    <w:rsid w:val="69937B96"/>
    <w:rsid w:val="69AD5538"/>
    <w:rsid w:val="69BA1C87"/>
    <w:rsid w:val="69E274C8"/>
    <w:rsid w:val="69E928CE"/>
    <w:rsid w:val="69ED5045"/>
    <w:rsid w:val="69F4010D"/>
    <w:rsid w:val="69F70652"/>
    <w:rsid w:val="6A065174"/>
    <w:rsid w:val="6A1073EC"/>
    <w:rsid w:val="6A1935F8"/>
    <w:rsid w:val="6A2004CE"/>
    <w:rsid w:val="6A2F6254"/>
    <w:rsid w:val="6A35394F"/>
    <w:rsid w:val="6A413EE6"/>
    <w:rsid w:val="6A4A02DE"/>
    <w:rsid w:val="6A4C4802"/>
    <w:rsid w:val="6A5779AC"/>
    <w:rsid w:val="6A674B7F"/>
    <w:rsid w:val="6A6A1708"/>
    <w:rsid w:val="6A6C42F6"/>
    <w:rsid w:val="6A7513A2"/>
    <w:rsid w:val="6A86465B"/>
    <w:rsid w:val="6A8C267C"/>
    <w:rsid w:val="6A9F0C6C"/>
    <w:rsid w:val="6AA103AC"/>
    <w:rsid w:val="6AA84B5B"/>
    <w:rsid w:val="6AAB3624"/>
    <w:rsid w:val="6AC75641"/>
    <w:rsid w:val="6ACE7ECF"/>
    <w:rsid w:val="6AD55603"/>
    <w:rsid w:val="6ADB14A0"/>
    <w:rsid w:val="6AE22AC5"/>
    <w:rsid w:val="6AE44653"/>
    <w:rsid w:val="6AF42BA2"/>
    <w:rsid w:val="6B047FBB"/>
    <w:rsid w:val="6B066BC6"/>
    <w:rsid w:val="6B1430EB"/>
    <w:rsid w:val="6B184B73"/>
    <w:rsid w:val="6B1B3BDE"/>
    <w:rsid w:val="6B2040B3"/>
    <w:rsid w:val="6B256F14"/>
    <w:rsid w:val="6B3B19FE"/>
    <w:rsid w:val="6B3E0DFA"/>
    <w:rsid w:val="6B410AE7"/>
    <w:rsid w:val="6B453FFA"/>
    <w:rsid w:val="6B575B75"/>
    <w:rsid w:val="6B650DA6"/>
    <w:rsid w:val="6B674FF6"/>
    <w:rsid w:val="6B74202F"/>
    <w:rsid w:val="6B81450D"/>
    <w:rsid w:val="6B8558F1"/>
    <w:rsid w:val="6B9416DB"/>
    <w:rsid w:val="6B9568EC"/>
    <w:rsid w:val="6BC71567"/>
    <w:rsid w:val="6BCB1C20"/>
    <w:rsid w:val="6BD10E4A"/>
    <w:rsid w:val="6BD22BED"/>
    <w:rsid w:val="6BDE039E"/>
    <w:rsid w:val="6BE45057"/>
    <w:rsid w:val="6BF07522"/>
    <w:rsid w:val="6BF62C43"/>
    <w:rsid w:val="6BFB724A"/>
    <w:rsid w:val="6BFD1C3F"/>
    <w:rsid w:val="6C053E4A"/>
    <w:rsid w:val="6C056342"/>
    <w:rsid w:val="6C1F12F7"/>
    <w:rsid w:val="6C2235BB"/>
    <w:rsid w:val="6C225202"/>
    <w:rsid w:val="6C2358F3"/>
    <w:rsid w:val="6C285F16"/>
    <w:rsid w:val="6C2B087F"/>
    <w:rsid w:val="6C3D08E7"/>
    <w:rsid w:val="6C457A5B"/>
    <w:rsid w:val="6C477DAC"/>
    <w:rsid w:val="6C5A499B"/>
    <w:rsid w:val="6C6E5018"/>
    <w:rsid w:val="6C743C3C"/>
    <w:rsid w:val="6C781324"/>
    <w:rsid w:val="6C787634"/>
    <w:rsid w:val="6C7D28E1"/>
    <w:rsid w:val="6C982A1B"/>
    <w:rsid w:val="6CA83A9D"/>
    <w:rsid w:val="6CAE0FC7"/>
    <w:rsid w:val="6CB60E58"/>
    <w:rsid w:val="6CB90ABC"/>
    <w:rsid w:val="6CC17C43"/>
    <w:rsid w:val="6CCC1D14"/>
    <w:rsid w:val="6CE1750C"/>
    <w:rsid w:val="6CE32FE9"/>
    <w:rsid w:val="6CF50CAC"/>
    <w:rsid w:val="6CFA47C3"/>
    <w:rsid w:val="6D013069"/>
    <w:rsid w:val="6D0A4253"/>
    <w:rsid w:val="6D17288C"/>
    <w:rsid w:val="6D234F26"/>
    <w:rsid w:val="6D282CEC"/>
    <w:rsid w:val="6D41740F"/>
    <w:rsid w:val="6D471E32"/>
    <w:rsid w:val="6D543AE1"/>
    <w:rsid w:val="6D586C1C"/>
    <w:rsid w:val="6D5F1476"/>
    <w:rsid w:val="6D6131F6"/>
    <w:rsid w:val="6D6362FF"/>
    <w:rsid w:val="6D6908C9"/>
    <w:rsid w:val="6D7A46AA"/>
    <w:rsid w:val="6D891B50"/>
    <w:rsid w:val="6D897E65"/>
    <w:rsid w:val="6D943EDD"/>
    <w:rsid w:val="6DA0720B"/>
    <w:rsid w:val="6DBA383E"/>
    <w:rsid w:val="6DBC4E4A"/>
    <w:rsid w:val="6DCF2747"/>
    <w:rsid w:val="6DE26E66"/>
    <w:rsid w:val="6DF4133C"/>
    <w:rsid w:val="6DFE0A46"/>
    <w:rsid w:val="6E046D6A"/>
    <w:rsid w:val="6E0A4EE7"/>
    <w:rsid w:val="6E1D1B14"/>
    <w:rsid w:val="6E1D77C2"/>
    <w:rsid w:val="6E1D7D06"/>
    <w:rsid w:val="6E275A60"/>
    <w:rsid w:val="6E2D6A2F"/>
    <w:rsid w:val="6E392AF4"/>
    <w:rsid w:val="6E4B7BC4"/>
    <w:rsid w:val="6E6267FC"/>
    <w:rsid w:val="6E641481"/>
    <w:rsid w:val="6E816EBD"/>
    <w:rsid w:val="6E892BF0"/>
    <w:rsid w:val="6E8B2C58"/>
    <w:rsid w:val="6E8E6B7E"/>
    <w:rsid w:val="6E922738"/>
    <w:rsid w:val="6E931C3F"/>
    <w:rsid w:val="6EB0012B"/>
    <w:rsid w:val="6EB849F5"/>
    <w:rsid w:val="6EC32CCC"/>
    <w:rsid w:val="6EE669BA"/>
    <w:rsid w:val="6EF93A79"/>
    <w:rsid w:val="6F017A68"/>
    <w:rsid w:val="6F074C7D"/>
    <w:rsid w:val="6F095F3A"/>
    <w:rsid w:val="6F0B3914"/>
    <w:rsid w:val="6F1A6726"/>
    <w:rsid w:val="6F282B2F"/>
    <w:rsid w:val="6F321C00"/>
    <w:rsid w:val="6F35524C"/>
    <w:rsid w:val="6F3732CE"/>
    <w:rsid w:val="6F4266DF"/>
    <w:rsid w:val="6F5B73A8"/>
    <w:rsid w:val="6F653D83"/>
    <w:rsid w:val="6F773AB6"/>
    <w:rsid w:val="6F881695"/>
    <w:rsid w:val="6F887515"/>
    <w:rsid w:val="6F8C16B9"/>
    <w:rsid w:val="6F92194C"/>
    <w:rsid w:val="6F997777"/>
    <w:rsid w:val="6FAC2382"/>
    <w:rsid w:val="6FC13DD2"/>
    <w:rsid w:val="6FCD418C"/>
    <w:rsid w:val="6FE83720"/>
    <w:rsid w:val="6FEF7197"/>
    <w:rsid w:val="6FEF7D8A"/>
    <w:rsid w:val="6FFD2BE7"/>
    <w:rsid w:val="70006A1E"/>
    <w:rsid w:val="70050220"/>
    <w:rsid w:val="70076EA8"/>
    <w:rsid w:val="702C5E4F"/>
    <w:rsid w:val="703062FD"/>
    <w:rsid w:val="703A2C04"/>
    <w:rsid w:val="70422316"/>
    <w:rsid w:val="70486DDE"/>
    <w:rsid w:val="704E70A7"/>
    <w:rsid w:val="70556940"/>
    <w:rsid w:val="7056218C"/>
    <w:rsid w:val="705975BD"/>
    <w:rsid w:val="70677361"/>
    <w:rsid w:val="706A0FD7"/>
    <w:rsid w:val="70762356"/>
    <w:rsid w:val="70827379"/>
    <w:rsid w:val="70846B10"/>
    <w:rsid w:val="708F5CC6"/>
    <w:rsid w:val="70A51E7A"/>
    <w:rsid w:val="70A94695"/>
    <w:rsid w:val="70AE1665"/>
    <w:rsid w:val="70C64C13"/>
    <w:rsid w:val="70CE2A7D"/>
    <w:rsid w:val="70D311C0"/>
    <w:rsid w:val="70F57258"/>
    <w:rsid w:val="71033854"/>
    <w:rsid w:val="710D2536"/>
    <w:rsid w:val="710D3A95"/>
    <w:rsid w:val="7123116D"/>
    <w:rsid w:val="712626A7"/>
    <w:rsid w:val="71295015"/>
    <w:rsid w:val="712F4753"/>
    <w:rsid w:val="712F4EC4"/>
    <w:rsid w:val="713162FD"/>
    <w:rsid w:val="71405C9D"/>
    <w:rsid w:val="71605930"/>
    <w:rsid w:val="716A0E09"/>
    <w:rsid w:val="717402AD"/>
    <w:rsid w:val="717F25F9"/>
    <w:rsid w:val="71861D20"/>
    <w:rsid w:val="7186437F"/>
    <w:rsid w:val="71A45894"/>
    <w:rsid w:val="71BA0287"/>
    <w:rsid w:val="71BE7BEA"/>
    <w:rsid w:val="71C933A1"/>
    <w:rsid w:val="71D64AC4"/>
    <w:rsid w:val="71DF2A49"/>
    <w:rsid w:val="71E96735"/>
    <w:rsid w:val="71EE2413"/>
    <w:rsid w:val="720000E6"/>
    <w:rsid w:val="72034464"/>
    <w:rsid w:val="720C50DD"/>
    <w:rsid w:val="723D68C6"/>
    <w:rsid w:val="723E1C92"/>
    <w:rsid w:val="72493B52"/>
    <w:rsid w:val="726A35DE"/>
    <w:rsid w:val="726C29D6"/>
    <w:rsid w:val="72812BB6"/>
    <w:rsid w:val="72823CD6"/>
    <w:rsid w:val="728A58AF"/>
    <w:rsid w:val="72934FF3"/>
    <w:rsid w:val="72992DCB"/>
    <w:rsid w:val="729C0A73"/>
    <w:rsid w:val="72A10AC9"/>
    <w:rsid w:val="72B01AB7"/>
    <w:rsid w:val="72BD7A32"/>
    <w:rsid w:val="72BE0926"/>
    <w:rsid w:val="72C405CA"/>
    <w:rsid w:val="72C46B36"/>
    <w:rsid w:val="72D92A8D"/>
    <w:rsid w:val="72E03CB4"/>
    <w:rsid w:val="72E10B87"/>
    <w:rsid w:val="72E17BC5"/>
    <w:rsid w:val="72E74124"/>
    <w:rsid w:val="72FB055A"/>
    <w:rsid w:val="72FE1676"/>
    <w:rsid w:val="72FF7DFC"/>
    <w:rsid w:val="73095A3C"/>
    <w:rsid w:val="730A4D01"/>
    <w:rsid w:val="731A788A"/>
    <w:rsid w:val="731D44F3"/>
    <w:rsid w:val="731D49AA"/>
    <w:rsid w:val="731E1436"/>
    <w:rsid w:val="73214234"/>
    <w:rsid w:val="73283E0D"/>
    <w:rsid w:val="732E26DE"/>
    <w:rsid w:val="7332362C"/>
    <w:rsid w:val="7334325D"/>
    <w:rsid w:val="73350C5E"/>
    <w:rsid w:val="734F0FD2"/>
    <w:rsid w:val="73513CCA"/>
    <w:rsid w:val="73574EBF"/>
    <w:rsid w:val="73581579"/>
    <w:rsid w:val="735A1D60"/>
    <w:rsid w:val="735C724B"/>
    <w:rsid w:val="736A2E27"/>
    <w:rsid w:val="73743E64"/>
    <w:rsid w:val="73922C6D"/>
    <w:rsid w:val="739D2CEC"/>
    <w:rsid w:val="739E1612"/>
    <w:rsid w:val="73A21C06"/>
    <w:rsid w:val="73AA4C42"/>
    <w:rsid w:val="73B20E59"/>
    <w:rsid w:val="73B60A10"/>
    <w:rsid w:val="73C05B2F"/>
    <w:rsid w:val="73CA2AC9"/>
    <w:rsid w:val="73CA68AB"/>
    <w:rsid w:val="73CC5B9E"/>
    <w:rsid w:val="73DE05EE"/>
    <w:rsid w:val="74011DAF"/>
    <w:rsid w:val="741E2752"/>
    <w:rsid w:val="74251284"/>
    <w:rsid w:val="74355159"/>
    <w:rsid w:val="743B31CD"/>
    <w:rsid w:val="743F3479"/>
    <w:rsid w:val="745049B3"/>
    <w:rsid w:val="74621C01"/>
    <w:rsid w:val="74661EF8"/>
    <w:rsid w:val="746F5A57"/>
    <w:rsid w:val="7476433D"/>
    <w:rsid w:val="74795BDB"/>
    <w:rsid w:val="747A3B5C"/>
    <w:rsid w:val="747A67B7"/>
    <w:rsid w:val="747C0EC2"/>
    <w:rsid w:val="74941B1E"/>
    <w:rsid w:val="74982BC3"/>
    <w:rsid w:val="74A027D8"/>
    <w:rsid w:val="74A369C6"/>
    <w:rsid w:val="74D75E35"/>
    <w:rsid w:val="751050E9"/>
    <w:rsid w:val="75130B97"/>
    <w:rsid w:val="75202B2C"/>
    <w:rsid w:val="75391372"/>
    <w:rsid w:val="753929D7"/>
    <w:rsid w:val="753F5399"/>
    <w:rsid w:val="754247CE"/>
    <w:rsid w:val="755D4111"/>
    <w:rsid w:val="75653527"/>
    <w:rsid w:val="75687183"/>
    <w:rsid w:val="756E4E38"/>
    <w:rsid w:val="757C644D"/>
    <w:rsid w:val="757F5E29"/>
    <w:rsid w:val="75A97B92"/>
    <w:rsid w:val="75AC0C8E"/>
    <w:rsid w:val="75BE2C13"/>
    <w:rsid w:val="75C867D8"/>
    <w:rsid w:val="75C91681"/>
    <w:rsid w:val="75CC1F36"/>
    <w:rsid w:val="75E1159B"/>
    <w:rsid w:val="75E834FA"/>
    <w:rsid w:val="75F52AFB"/>
    <w:rsid w:val="760756D8"/>
    <w:rsid w:val="760E676A"/>
    <w:rsid w:val="76140FF1"/>
    <w:rsid w:val="76226E1B"/>
    <w:rsid w:val="7624764F"/>
    <w:rsid w:val="76277F2F"/>
    <w:rsid w:val="762C0888"/>
    <w:rsid w:val="762F6D25"/>
    <w:rsid w:val="763E0E8A"/>
    <w:rsid w:val="7653662C"/>
    <w:rsid w:val="765C3FDB"/>
    <w:rsid w:val="76672689"/>
    <w:rsid w:val="766E5C13"/>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7F7F"/>
    <w:rsid w:val="77120494"/>
    <w:rsid w:val="771542E1"/>
    <w:rsid w:val="772A380A"/>
    <w:rsid w:val="772B6736"/>
    <w:rsid w:val="775A0E70"/>
    <w:rsid w:val="775B2B18"/>
    <w:rsid w:val="775D6AA2"/>
    <w:rsid w:val="77601172"/>
    <w:rsid w:val="77603D4F"/>
    <w:rsid w:val="776142C0"/>
    <w:rsid w:val="77635826"/>
    <w:rsid w:val="777032C5"/>
    <w:rsid w:val="77820948"/>
    <w:rsid w:val="77897FBF"/>
    <w:rsid w:val="778E3455"/>
    <w:rsid w:val="778F5D5D"/>
    <w:rsid w:val="7794100B"/>
    <w:rsid w:val="779F63A2"/>
    <w:rsid w:val="77AB6538"/>
    <w:rsid w:val="77B24F19"/>
    <w:rsid w:val="77B70EF4"/>
    <w:rsid w:val="77BF2F35"/>
    <w:rsid w:val="77BF46A4"/>
    <w:rsid w:val="77E75E53"/>
    <w:rsid w:val="77E80025"/>
    <w:rsid w:val="77FD14CD"/>
    <w:rsid w:val="77FD49BF"/>
    <w:rsid w:val="780B0E91"/>
    <w:rsid w:val="780E5553"/>
    <w:rsid w:val="781007D0"/>
    <w:rsid w:val="781400F4"/>
    <w:rsid w:val="78284AA1"/>
    <w:rsid w:val="782B7A82"/>
    <w:rsid w:val="78335932"/>
    <w:rsid w:val="78342BFE"/>
    <w:rsid w:val="78381BDF"/>
    <w:rsid w:val="783C5C12"/>
    <w:rsid w:val="783D42FB"/>
    <w:rsid w:val="783F561E"/>
    <w:rsid w:val="784811A2"/>
    <w:rsid w:val="784D6313"/>
    <w:rsid w:val="78627D0B"/>
    <w:rsid w:val="787212BF"/>
    <w:rsid w:val="78732237"/>
    <w:rsid w:val="78930909"/>
    <w:rsid w:val="78935C12"/>
    <w:rsid w:val="78980533"/>
    <w:rsid w:val="789E75C3"/>
    <w:rsid w:val="78AD313F"/>
    <w:rsid w:val="78B01E75"/>
    <w:rsid w:val="78BE05D7"/>
    <w:rsid w:val="78BE5E7F"/>
    <w:rsid w:val="78D5711D"/>
    <w:rsid w:val="78E83B09"/>
    <w:rsid w:val="78EE5162"/>
    <w:rsid w:val="78F91E55"/>
    <w:rsid w:val="78FA71C1"/>
    <w:rsid w:val="78FF3BFC"/>
    <w:rsid w:val="790E3900"/>
    <w:rsid w:val="791D12D7"/>
    <w:rsid w:val="79222CE5"/>
    <w:rsid w:val="792339A0"/>
    <w:rsid w:val="79304FC0"/>
    <w:rsid w:val="793150EC"/>
    <w:rsid w:val="79336CA0"/>
    <w:rsid w:val="794530C2"/>
    <w:rsid w:val="79725D75"/>
    <w:rsid w:val="79765133"/>
    <w:rsid w:val="797711F5"/>
    <w:rsid w:val="79881741"/>
    <w:rsid w:val="799678E9"/>
    <w:rsid w:val="79AB4472"/>
    <w:rsid w:val="79BC1E65"/>
    <w:rsid w:val="79BC5AF1"/>
    <w:rsid w:val="79BC691E"/>
    <w:rsid w:val="79C370CC"/>
    <w:rsid w:val="79CB4015"/>
    <w:rsid w:val="79EA7D45"/>
    <w:rsid w:val="79EC2752"/>
    <w:rsid w:val="79FC3536"/>
    <w:rsid w:val="7A022DAC"/>
    <w:rsid w:val="7A077D86"/>
    <w:rsid w:val="7A0F6AA3"/>
    <w:rsid w:val="7A1D24B9"/>
    <w:rsid w:val="7A262361"/>
    <w:rsid w:val="7A29027E"/>
    <w:rsid w:val="7A2B4E0B"/>
    <w:rsid w:val="7A2F1E62"/>
    <w:rsid w:val="7A3000FF"/>
    <w:rsid w:val="7A3D4B0E"/>
    <w:rsid w:val="7A524F0D"/>
    <w:rsid w:val="7A7443E6"/>
    <w:rsid w:val="7A8157E9"/>
    <w:rsid w:val="7A820CB5"/>
    <w:rsid w:val="7A8D74A2"/>
    <w:rsid w:val="7A9C45C8"/>
    <w:rsid w:val="7AA0686D"/>
    <w:rsid w:val="7AA42764"/>
    <w:rsid w:val="7AB3181F"/>
    <w:rsid w:val="7AB65491"/>
    <w:rsid w:val="7AC048A7"/>
    <w:rsid w:val="7AEF76CB"/>
    <w:rsid w:val="7AF4245F"/>
    <w:rsid w:val="7B056A7F"/>
    <w:rsid w:val="7B082DB3"/>
    <w:rsid w:val="7B0A12D7"/>
    <w:rsid w:val="7B1743C0"/>
    <w:rsid w:val="7B2429F8"/>
    <w:rsid w:val="7B265958"/>
    <w:rsid w:val="7B336BC8"/>
    <w:rsid w:val="7B3E5BD9"/>
    <w:rsid w:val="7B411828"/>
    <w:rsid w:val="7B4229E6"/>
    <w:rsid w:val="7B443620"/>
    <w:rsid w:val="7B4E1B6F"/>
    <w:rsid w:val="7B5810C9"/>
    <w:rsid w:val="7B590472"/>
    <w:rsid w:val="7B664919"/>
    <w:rsid w:val="7B666F72"/>
    <w:rsid w:val="7B681541"/>
    <w:rsid w:val="7B6C7AFA"/>
    <w:rsid w:val="7B711D02"/>
    <w:rsid w:val="7B8E13EB"/>
    <w:rsid w:val="7BA1297E"/>
    <w:rsid w:val="7BA44318"/>
    <w:rsid w:val="7BAE2D8D"/>
    <w:rsid w:val="7BBE70D0"/>
    <w:rsid w:val="7BC70E87"/>
    <w:rsid w:val="7BD44EE3"/>
    <w:rsid w:val="7BDE7643"/>
    <w:rsid w:val="7BE45866"/>
    <w:rsid w:val="7BEE1EEB"/>
    <w:rsid w:val="7BF40907"/>
    <w:rsid w:val="7C194DCB"/>
    <w:rsid w:val="7C2036C5"/>
    <w:rsid w:val="7C21033A"/>
    <w:rsid w:val="7C27425D"/>
    <w:rsid w:val="7C330C76"/>
    <w:rsid w:val="7C4C5FDA"/>
    <w:rsid w:val="7C5062E6"/>
    <w:rsid w:val="7C5E7893"/>
    <w:rsid w:val="7C76130F"/>
    <w:rsid w:val="7C817D22"/>
    <w:rsid w:val="7C82417D"/>
    <w:rsid w:val="7C886DA3"/>
    <w:rsid w:val="7C8E405C"/>
    <w:rsid w:val="7C8F12C6"/>
    <w:rsid w:val="7C904C17"/>
    <w:rsid w:val="7C990F7B"/>
    <w:rsid w:val="7C992D45"/>
    <w:rsid w:val="7C993C6F"/>
    <w:rsid w:val="7CA01071"/>
    <w:rsid w:val="7CB44F60"/>
    <w:rsid w:val="7CBC3D27"/>
    <w:rsid w:val="7CD5583A"/>
    <w:rsid w:val="7CDB4A9D"/>
    <w:rsid w:val="7CE05ADA"/>
    <w:rsid w:val="7CE53197"/>
    <w:rsid w:val="7CF177AF"/>
    <w:rsid w:val="7D0B5714"/>
    <w:rsid w:val="7D180444"/>
    <w:rsid w:val="7D1D7B5D"/>
    <w:rsid w:val="7D246B41"/>
    <w:rsid w:val="7D3D330D"/>
    <w:rsid w:val="7D3E6D4F"/>
    <w:rsid w:val="7D3F7B43"/>
    <w:rsid w:val="7D40373A"/>
    <w:rsid w:val="7D412929"/>
    <w:rsid w:val="7D4157D8"/>
    <w:rsid w:val="7D480840"/>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DF11A4"/>
    <w:rsid w:val="7DE41C45"/>
    <w:rsid w:val="7DFD7AA5"/>
    <w:rsid w:val="7E1741FF"/>
    <w:rsid w:val="7E183080"/>
    <w:rsid w:val="7E1A6A4C"/>
    <w:rsid w:val="7E1D4BD1"/>
    <w:rsid w:val="7E1E164C"/>
    <w:rsid w:val="7E236558"/>
    <w:rsid w:val="7E2767EA"/>
    <w:rsid w:val="7E2F1CBD"/>
    <w:rsid w:val="7E310BC1"/>
    <w:rsid w:val="7E3239CA"/>
    <w:rsid w:val="7E336A9D"/>
    <w:rsid w:val="7E3C4EA2"/>
    <w:rsid w:val="7E405738"/>
    <w:rsid w:val="7E510CBD"/>
    <w:rsid w:val="7E5155FB"/>
    <w:rsid w:val="7E54753C"/>
    <w:rsid w:val="7E582E84"/>
    <w:rsid w:val="7E5E609E"/>
    <w:rsid w:val="7E5F5FE3"/>
    <w:rsid w:val="7E6D347C"/>
    <w:rsid w:val="7E6E4981"/>
    <w:rsid w:val="7E7354F5"/>
    <w:rsid w:val="7E7B6FE3"/>
    <w:rsid w:val="7E805D08"/>
    <w:rsid w:val="7E81400A"/>
    <w:rsid w:val="7E82584A"/>
    <w:rsid w:val="7E943510"/>
    <w:rsid w:val="7E986A37"/>
    <w:rsid w:val="7EDF056C"/>
    <w:rsid w:val="7EEDB6B1"/>
    <w:rsid w:val="7EEF2E28"/>
    <w:rsid w:val="7EF21F47"/>
    <w:rsid w:val="7EF31942"/>
    <w:rsid w:val="7EFB4FD9"/>
    <w:rsid w:val="7EFD2A44"/>
    <w:rsid w:val="7F011AFE"/>
    <w:rsid w:val="7F0C3BD0"/>
    <w:rsid w:val="7F303107"/>
    <w:rsid w:val="7F326A44"/>
    <w:rsid w:val="7F33157B"/>
    <w:rsid w:val="7F3D1095"/>
    <w:rsid w:val="7F4327F8"/>
    <w:rsid w:val="7F480CEA"/>
    <w:rsid w:val="7F4E4945"/>
    <w:rsid w:val="7F593BCF"/>
    <w:rsid w:val="7F675F78"/>
    <w:rsid w:val="7F727385"/>
    <w:rsid w:val="7F7741D2"/>
    <w:rsid w:val="7F7C2FEC"/>
    <w:rsid w:val="7F801D46"/>
    <w:rsid w:val="7FBC103A"/>
    <w:rsid w:val="7FE20B4D"/>
    <w:rsid w:val="7FE61D04"/>
    <w:rsid w:val="7FF20382"/>
    <w:rsid w:val="7FF21DC8"/>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3"/>
    <w:link w:val="62"/>
    <w:autoRedefine/>
    <w:qFormat/>
    <w:uiPriority w:val="9"/>
    <w:pPr>
      <w:keepNext/>
      <w:jc w:val="center"/>
      <w:outlineLvl w:val="0"/>
    </w:pPr>
    <w:rPr>
      <w:rFonts w:ascii="楷体_GB2312" w:hAnsi="楷体_GB2312"/>
      <w:b/>
      <w:sz w:val="32"/>
      <w:szCs w:val="32"/>
    </w:rPr>
  </w:style>
  <w:style w:type="paragraph" w:styleId="4">
    <w:name w:val="heading 2"/>
    <w:basedOn w:val="1"/>
    <w:next w:val="1"/>
    <w:link w:val="95"/>
    <w:autoRedefine/>
    <w:qFormat/>
    <w:uiPriority w:val="0"/>
    <w:pPr>
      <w:keepNext/>
      <w:keepLines/>
      <w:spacing w:before="200" w:after="200" w:line="480" w:lineRule="auto"/>
      <w:jc w:val="left"/>
      <w:outlineLvl w:val="1"/>
    </w:pPr>
    <w:rPr>
      <w:rFonts w:ascii="Arial" w:hAnsi="Arial" w:cs="Arial"/>
      <w:b/>
      <w:bCs/>
      <w:sz w:val="30"/>
      <w:szCs w:val="30"/>
    </w:rPr>
  </w:style>
  <w:style w:type="paragraph" w:styleId="5">
    <w:name w:val="heading 3"/>
    <w:basedOn w:val="1"/>
    <w:next w:val="3"/>
    <w:link w:val="90"/>
    <w:autoRedefine/>
    <w:qFormat/>
    <w:uiPriority w:val="0"/>
    <w:pPr>
      <w:keepNext/>
      <w:keepLines/>
      <w:spacing w:before="200" w:after="100" w:line="480" w:lineRule="auto"/>
      <w:jc w:val="left"/>
      <w:outlineLvl w:val="2"/>
    </w:pPr>
    <w:rPr>
      <w:b/>
      <w:bCs/>
      <w:sz w:val="28"/>
      <w:szCs w:val="32"/>
    </w:rPr>
  </w:style>
  <w:style w:type="paragraph" w:styleId="6">
    <w:name w:val="heading 4"/>
    <w:basedOn w:val="1"/>
    <w:next w:val="1"/>
    <w:link w:val="63"/>
    <w:autoRedefine/>
    <w:qFormat/>
    <w:uiPriority w:val="0"/>
    <w:pPr>
      <w:keepNext/>
      <w:keepLines/>
      <w:ind w:firstLine="420" w:firstLineChars="150"/>
      <w:outlineLvl w:val="3"/>
    </w:pPr>
    <w:rPr>
      <w:rFonts w:ascii="Arial" w:hAnsi="Arial" w:cs="Arial"/>
      <w:b/>
      <w:sz w:val="28"/>
      <w:szCs w:val="28"/>
    </w:rPr>
  </w:style>
  <w:style w:type="paragraph" w:styleId="7">
    <w:name w:val="heading 5"/>
    <w:basedOn w:val="1"/>
    <w:next w:val="3"/>
    <w:link w:val="100"/>
    <w:autoRedefine/>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9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71"/>
    <w:autoRedefine/>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72"/>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6"/>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3">
    <w:name w:val="Default Paragraph Font"/>
    <w:autoRedefine/>
    <w:semiHidden/>
    <w:unhideWhenUsed/>
    <w:qFormat/>
    <w:uiPriority w:val="1"/>
  </w:style>
  <w:style w:type="table" w:default="1" w:styleId="41">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next w:val="1"/>
    <w:link w:val="78"/>
    <w:autoRedefine/>
    <w:qFormat/>
    <w:uiPriority w:val="0"/>
    <w:pPr>
      <w:ind w:firstLine="420"/>
    </w:pPr>
  </w:style>
  <w:style w:type="paragraph" w:styleId="12">
    <w:name w:val="List 3"/>
    <w:basedOn w:val="1"/>
    <w:autoRedefine/>
    <w:qFormat/>
    <w:uiPriority w:val="0"/>
    <w:pPr>
      <w:ind w:left="100" w:leftChars="400" w:hanging="200" w:hangingChars="200"/>
    </w:pPr>
  </w:style>
  <w:style w:type="paragraph" w:styleId="13">
    <w:name w:val="Document Map"/>
    <w:basedOn w:val="1"/>
    <w:link w:val="97"/>
    <w:autoRedefine/>
    <w:semiHidden/>
    <w:qFormat/>
    <w:uiPriority w:val="0"/>
    <w:pPr>
      <w:shd w:val="clear" w:color="auto" w:fill="000080"/>
    </w:pPr>
  </w:style>
  <w:style w:type="paragraph" w:styleId="14">
    <w:name w:val="toa heading"/>
    <w:basedOn w:val="1"/>
    <w:next w:val="1"/>
    <w:autoRedefine/>
    <w:qFormat/>
    <w:uiPriority w:val="0"/>
    <w:pPr>
      <w:spacing w:before="120"/>
    </w:pPr>
    <w:rPr>
      <w:rFonts w:ascii="Cambria" w:hAnsi="Cambria"/>
      <w:sz w:val="24"/>
    </w:rPr>
  </w:style>
  <w:style w:type="paragraph" w:styleId="15">
    <w:name w:val="annotation text"/>
    <w:basedOn w:val="1"/>
    <w:link w:val="209"/>
    <w:autoRedefine/>
    <w:semiHidden/>
    <w:qFormat/>
    <w:uiPriority w:val="0"/>
    <w:pPr>
      <w:jc w:val="left"/>
    </w:pPr>
  </w:style>
  <w:style w:type="paragraph" w:styleId="16">
    <w:name w:val="Body Text 3"/>
    <w:basedOn w:val="1"/>
    <w:link w:val="74"/>
    <w:autoRedefine/>
    <w:qFormat/>
    <w:uiPriority w:val="0"/>
    <w:rPr>
      <w:rFonts w:ascii="仿宋_GB2312" w:hAnsi="Arial" w:eastAsia="仿宋_GB2312"/>
      <w:sz w:val="32"/>
      <w:szCs w:val="32"/>
    </w:rPr>
  </w:style>
  <w:style w:type="paragraph" w:styleId="17">
    <w:name w:val="Body Text"/>
    <w:basedOn w:val="1"/>
    <w:next w:val="18"/>
    <w:link w:val="70"/>
    <w:autoRedefine/>
    <w:qFormat/>
    <w:uiPriority w:val="0"/>
    <w:rPr>
      <w:rFonts w:ascii="楷体_GB2312" w:hAnsi="Arial" w:eastAsia="楷体_GB2312"/>
      <w:sz w:val="28"/>
      <w:szCs w:val="28"/>
    </w:rPr>
  </w:style>
  <w:style w:type="paragraph" w:customStyle="1" w:styleId="18">
    <w:name w:val="Default"/>
    <w:next w:val="19"/>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0">
    <w:name w:val="Body Text Indent"/>
    <w:basedOn w:val="1"/>
    <w:next w:val="3"/>
    <w:link w:val="76"/>
    <w:autoRedefine/>
    <w:qFormat/>
    <w:uiPriority w:val="0"/>
    <w:pPr>
      <w:ind w:firstLine="645"/>
    </w:pPr>
    <w:rPr>
      <w:rFonts w:ascii="楷体_GB2312" w:eastAsia="楷体_GB2312"/>
      <w:sz w:val="32"/>
      <w:szCs w:val="32"/>
    </w:rPr>
  </w:style>
  <w:style w:type="paragraph" w:styleId="21">
    <w:name w:val="List 2"/>
    <w:basedOn w:val="1"/>
    <w:autoRedefine/>
    <w:qFormat/>
    <w:uiPriority w:val="0"/>
    <w:pPr>
      <w:ind w:left="100" w:leftChars="200" w:hanging="200" w:hangingChars="200"/>
    </w:pPr>
  </w:style>
  <w:style w:type="paragraph" w:styleId="22">
    <w:name w:val="toc 3"/>
    <w:basedOn w:val="23"/>
    <w:next w:val="1"/>
    <w:autoRedefine/>
    <w:qFormat/>
    <w:uiPriority w:val="39"/>
    <w:pPr>
      <w:ind w:left="840" w:leftChars="400"/>
    </w:pPr>
  </w:style>
  <w:style w:type="paragraph" w:styleId="23">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4">
    <w:name w:val="Plain Text"/>
    <w:basedOn w:val="1"/>
    <w:link w:val="99"/>
    <w:autoRedefine/>
    <w:qFormat/>
    <w:uiPriority w:val="0"/>
    <w:rPr>
      <w:rFonts w:ascii="宋体" w:hAnsi="Courier New" w:cs="Courier New"/>
    </w:rPr>
  </w:style>
  <w:style w:type="paragraph" w:styleId="25">
    <w:name w:val="Date"/>
    <w:basedOn w:val="1"/>
    <w:next w:val="1"/>
    <w:link w:val="82"/>
    <w:autoRedefine/>
    <w:qFormat/>
    <w:uiPriority w:val="0"/>
    <w:rPr>
      <w:sz w:val="24"/>
      <w:szCs w:val="24"/>
    </w:rPr>
  </w:style>
  <w:style w:type="paragraph" w:styleId="26">
    <w:name w:val="Body Text Indent 2"/>
    <w:basedOn w:val="1"/>
    <w:link w:val="77"/>
    <w:autoRedefine/>
    <w:qFormat/>
    <w:uiPriority w:val="0"/>
    <w:pPr>
      <w:ind w:left="630" w:firstLine="645"/>
    </w:pPr>
    <w:rPr>
      <w:rFonts w:ascii="Arial" w:hAnsi="Arial" w:eastAsia="仿宋_GB2312" w:cs="Arial"/>
      <w:sz w:val="32"/>
      <w:szCs w:val="32"/>
    </w:rPr>
  </w:style>
  <w:style w:type="paragraph" w:styleId="27">
    <w:name w:val="Balloon Text"/>
    <w:basedOn w:val="1"/>
    <w:link w:val="101"/>
    <w:autoRedefine/>
    <w:semiHidden/>
    <w:qFormat/>
    <w:uiPriority w:val="0"/>
    <w:rPr>
      <w:sz w:val="18"/>
      <w:szCs w:val="18"/>
    </w:rPr>
  </w:style>
  <w:style w:type="paragraph" w:styleId="28">
    <w:name w:val="footer"/>
    <w:basedOn w:val="1"/>
    <w:link w:val="75"/>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9">
    <w:name w:val="header"/>
    <w:basedOn w:val="1"/>
    <w:link w:val="93"/>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4"/>
    <w:basedOn w:val="1"/>
    <w:next w:val="1"/>
    <w:autoRedefine/>
    <w:qFormat/>
    <w:uiPriority w:val="39"/>
    <w:pPr>
      <w:ind w:left="960"/>
      <w:jc w:val="left"/>
    </w:pPr>
    <w:rPr>
      <w:rFonts w:ascii="Calibri" w:hAnsi="Calibri"/>
      <w:sz w:val="18"/>
      <w:szCs w:val="18"/>
    </w:rPr>
  </w:style>
  <w:style w:type="paragraph" w:styleId="31">
    <w:name w:val="List"/>
    <w:basedOn w:val="1"/>
    <w:autoRedefine/>
    <w:qFormat/>
    <w:uiPriority w:val="0"/>
    <w:pPr>
      <w:ind w:left="200" w:hanging="200" w:hangingChars="200"/>
    </w:pPr>
  </w:style>
  <w:style w:type="paragraph" w:styleId="32">
    <w:name w:val="footnote text"/>
    <w:basedOn w:val="1"/>
    <w:link w:val="210"/>
    <w:autoRedefine/>
    <w:qFormat/>
    <w:uiPriority w:val="0"/>
    <w:pPr>
      <w:snapToGrid w:val="0"/>
      <w:jc w:val="left"/>
    </w:pPr>
    <w:rPr>
      <w:sz w:val="18"/>
    </w:rPr>
  </w:style>
  <w:style w:type="paragraph" w:styleId="33">
    <w:name w:val="Body Text Indent 3"/>
    <w:basedOn w:val="1"/>
    <w:link w:val="92"/>
    <w:autoRedefine/>
    <w:qFormat/>
    <w:uiPriority w:val="0"/>
    <w:pPr>
      <w:ind w:left="645" w:firstLine="645"/>
    </w:pPr>
    <w:rPr>
      <w:rFonts w:ascii="Arial" w:hAnsi="Arial" w:eastAsia="仿宋_GB2312" w:cs="Arial"/>
      <w:color w:val="FFFF00"/>
      <w:sz w:val="32"/>
      <w:szCs w:val="32"/>
    </w:rPr>
  </w:style>
  <w:style w:type="paragraph" w:styleId="34">
    <w:name w:val="toc 2"/>
    <w:basedOn w:val="23"/>
    <w:next w:val="1"/>
    <w:autoRedefine/>
    <w:qFormat/>
    <w:uiPriority w:val="39"/>
    <w:pPr>
      <w:ind w:left="210"/>
    </w:pPr>
    <w:rPr>
      <w:smallCaps/>
      <w:szCs w:val="24"/>
    </w:rPr>
  </w:style>
  <w:style w:type="paragraph" w:styleId="35">
    <w:name w:val="Body Text 2"/>
    <w:basedOn w:val="1"/>
    <w:link w:val="98"/>
    <w:autoRedefine/>
    <w:qFormat/>
    <w:uiPriority w:val="0"/>
    <w:pPr>
      <w:widowControl/>
      <w:jc w:val="center"/>
    </w:pPr>
    <w:rPr>
      <w:rFonts w:ascii="楷体_GB2312" w:eastAsia="楷体_GB2312"/>
      <w:sz w:val="28"/>
      <w:szCs w:val="2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7">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8">
    <w:name w:val="annotation subject"/>
    <w:basedOn w:val="15"/>
    <w:next w:val="15"/>
    <w:link w:val="94"/>
    <w:autoRedefine/>
    <w:semiHidden/>
    <w:qFormat/>
    <w:uiPriority w:val="0"/>
    <w:rPr>
      <w:b/>
      <w:bCs/>
    </w:rPr>
  </w:style>
  <w:style w:type="paragraph" w:styleId="39">
    <w:name w:val="Body Text First Indent"/>
    <w:basedOn w:val="17"/>
    <w:next w:val="1"/>
    <w:link w:val="96"/>
    <w:autoRedefine/>
    <w:qFormat/>
    <w:uiPriority w:val="0"/>
    <w:pPr>
      <w:spacing w:line="360" w:lineRule="auto"/>
      <w:ind w:firstLine="200" w:firstLineChars="200"/>
    </w:pPr>
    <w:rPr>
      <w:rFonts w:ascii="仿宋_GB2312" w:eastAsia="仿宋_GB2312"/>
      <w:sz w:val="30"/>
      <w:szCs w:val="30"/>
    </w:rPr>
  </w:style>
  <w:style w:type="paragraph" w:styleId="40">
    <w:name w:val="Body Text First Indent 2"/>
    <w:basedOn w:val="20"/>
    <w:next w:val="1"/>
    <w:link w:val="79"/>
    <w:autoRedefine/>
    <w:qFormat/>
    <w:uiPriority w:val="0"/>
    <w:pPr>
      <w:spacing w:line="360" w:lineRule="auto"/>
      <w:ind w:firstLine="420" w:firstLineChars="200"/>
    </w:pPr>
    <w:rPr>
      <w:rFonts w:ascii="宋体" w:hAnsi="宋体" w:eastAsia="宋体"/>
      <w:sz w:val="21"/>
      <w:szCs w:val="20"/>
    </w:rPr>
  </w:style>
  <w:style w:type="table" w:styleId="42">
    <w:name w:val="Table Grid"/>
    <w:basedOn w:val="4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basedOn w:val="43"/>
    <w:autoRedefine/>
    <w:qFormat/>
    <w:uiPriority w:val="0"/>
    <w:rPr>
      <w:b/>
      <w:bCs/>
    </w:rPr>
  </w:style>
  <w:style w:type="character" w:styleId="45">
    <w:name w:val="page number"/>
    <w:basedOn w:val="43"/>
    <w:autoRedefine/>
    <w:qFormat/>
    <w:uiPriority w:val="0"/>
  </w:style>
  <w:style w:type="character" w:styleId="46">
    <w:name w:val="FollowedHyperlink"/>
    <w:autoRedefine/>
    <w:qFormat/>
    <w:uiPriority w:val="99"/>
    <w:rPr>
      <w:color w:val="800080"/>
      <w:u w:val="single"/>
    </w:rPr>
  </w:style>
  <w:style w:type="character" w:styleId="47">
    <w:name w:val="Emphasis"/>
    <w:basedOn w:val="43"/>
    <w:autoRedefine/>
    <w:qFormat/>
    <w:uiPriority w:val="0"/>
  </w:style>
  <w:style w:type="character" w:styleId="48">
    <w:name w:val="HTML Definition"/>
    <w:basedOn w:val="43"/>
    <w:autoRedefine/>
    <w:qFormat/>
    <w:uiPriority w:val="0"/>
  </w:style>
  <w:style w:type="character" w:styleId="49">
    <w:name w:val="HTML Typewriter"/>
    <w:basedOn w:val="43"/>
    <w:autoRedefine/>
    <w:qFormat/>
    <w:uiPriority w:val="0"/>
    <w:rPr>
      <w:rFonts w:hint="default" w:ascii="monospace" w:hAnsi="monospace" w:eastAsia="monospace" w:cs="monospace"/>
      <w:sz w:val="20"/>
    </w:rPr>
  </w:style>
  <w:style w:type="character" w:styleId="50">
    <w:name w:val="HTML Acronym"/>
    <w:basedOn w:val="43"/>
    <w:autoRedefine/>
    <w:qFormat/>
    <w:uiPriority w:val="0"/>
  </w:style>
  <w:style w:type="character" w:styleId="51">
    <w:name w:val="HTML Variable"/>
    <w:basedOn w:val="43"/>
    <w:autoRedefine/>
    <w:qFormat/>
    <w:uiPriority w:val="0"/>
  </w:style>
  <w:style w:type="character" w:styleId="52">
    <w:name w:val="Hyperlink"/>
    <w:autoRedefine/>
    <w:qFormat/>
    <w:uiPriority w:val="99"/>
    <w:rPr>
      <w:color w:val="0000FF"/>
      <w:u w:val="single"/>
    </w:rPr>
  </w:style>
  <w:style w:type="character" w:styleId="53">
    <w:name w:val="HTML Code"/>
    <w:basedOn w:val="43"/>
    <w:autoRedefine/>
    <w:qFormat/>
    <w:uiPriority w:val="0"/>
    <w:rPr>
      <w:rFonts w:hint="default" w:ascii="monospace" w:hAnsi="monospace" w:eastAsia="monospace" w:cs="monospace"/>
      <w:sz w:val="20"/>
    </w:rPr>
  </w:style>
  <w:style w:type="character" w:styleId="54">
    <w:name w:val="annotation reference"/>
    <w:autoRedefine/>
    <w:qFormat/>
    <w:uiPriority w:val="0"/>
    <w:rPr>
      <w:sz w:val="21"/>
      <w:szCs w:val="21"/>
    </w:rPr>
  </w:style>
  <w:style w:type="character" w:styleId="55">
    <w:name w:val="HTML Cite"/>
    <w:basedOn w:val="43"/>
    <w:autoRedefine/>
    <w:qFormat/>
    <w:uiPriority w:val="0"/>
  </w:style>
  <w:style w:type="character" w:styleId="56">
    <w:name w:val="HTML Keyboard"/>
    <w:basedOn w:val="43"/>
    <w:autoRedefine/>
    <w:qFormat/>
    <w:uiPriority w:val="0"/>
    <w:rPr>
      <w:rFonts w:hint="default" w:ascii="monospace" w:hAnsi="monospace" w:eastAsia="monospace" w:cs="monospace"/>
      <w:sz w:val="20"/>
    </w:rPr>
  </w:style>
  <w:style w:type="character" w:styleId="57">
    <w:name w:val="HTML Sample"/>
    <w:basedOn w:val="43"/>
    <w:autoRedefine/>
    <w:qFormat/>
    <w:uiPriority w:val="0"/>
    <w:rPr>
      <w:rFonts w:ascii="monospace" w:hAnsi="monospace" w:eastAsia="monospace" w:cs="monospace"/>
    </w:rPr>
  </w:style>
  <w:style w:type="paragraph" w:customStyle="1" w:styleId="58">
    <w:name w:val="无间隔1"/>
    <w:basedOn w:val="59"/>
    <w:autoRedefine/>
    <w:qFormat/>
    <w:uiPriority w:val="1"/>
    <w:pPr>
      <w:spacing w:line="400" w:lineRule="exact"/>
    </w:pPr>
    <w:rPr>
      <w:sz w:val="24"/>
    </w:rPr>
  </w:style>
  <w:style w:type="paragraph" w:customStyle="1" w:styleId="59">
    <w:name w:val="正文1"/>
    <w:next w:val="60"/>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0">
    <w:name w:val="页脚1"/>
    <w:basedOn w:val="59"/>
    <w:autoRedefine/>
    <w:unhideWhenUsed/>
    <w:qFormat/>
    <w:uiPriority w:val="99"/>
    <w:pPr>
      <w:tabs>
        <w:tab w:val="center" w:pos="4153"/>
        <w:tab w:val="right" w:pos="8306"/>
      </w:tabs>
      <w:snapToGrid w:val="0"/>
      <w:jc w:val="left"/>
    </w:pPr>
    <w:rPr>
      <w:rFonts w:ascii="Times New Roman" w:hAnsi="Times New Roman"/>
      <w:kern w:val="0"/>
      <w:sz w:val="18"/>
      <w:szCs w:val="18"/>
    </w:rPr>
  </w:style>
  <w:style w:type="paragraph" w:customStyle="1" w:styleId="61">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62">
    <w:name w:val="标题 1 Char"/>
    <w:link w:val="2"/>
    <w:autoRedefine/>
    <w:qFormat/>
    <w:uiPriority w:val="9"/>
    <w:rPr>
      <w:rFonts w:ascii="楷体_GB2312" w:hAnsi="楷体_GB2312" w:eastAsia="宋体"/>
      <w:b/>
      <w:kern w:val="2"/>
      <w:sz w:val="32"/>
      <w:szCs w:val="32"/>
      <w:lang w:val="en-US" w:eastAsia="zh-CN" w:bidi="ar-SA"/>
    </w:rPr>
  </w:style>
  <w:style w:type="character" w:customStyle="1" w:styleId="63">
    <w:name w:val="标题 4 Char"/>
    <w:link w:val="6"/>
    <w:autoRedefine/>
    <w:qFormat/>
    <w:uiPriority w:val="0"/>
    <w:rPr>
      <w:rFonts w:ascii="Arial" w:hAnsi="Arial" w:eastAsia="宋体" w:cs="Arial"/>
      <w:b/>
      <w:kern w:val="2"/>
      <w:sz w:val="28"/>
      <w:szCs w:val="28"/>
      <w:lang w:val="en-US" w:eastAsia="zh-CN" w:bidi="ar-SA"/>
    </w:rPr>
  </w:style>
  <w:style w:type="paragraph" w:customStyle="1" w:styleId="64">
    <w:name w:val="标题 5（有编号）（绿盟科技）"/>
    <w:basedOn w:val="1"/>
    <w:next w:val="6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65">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6">
    <w:name w:val="标题 9 Char"/>
    <w:link w:val="11"/>
    <w:autoRedefine/>
    <w:qFormat/>
    <w:uiPriority w:val="0"/>
    <w:rPr>
      <w:rFonts w:ascii="Arial" w:hAnsi="Arial" w:eastAsia="黑体"/>
      <w:kern w:val="2"/>
      <w:sz w:val="21"/>
      <w:szCs w:val="21"/>
      <w:lang w:val="en-US" w:eastAsia="zh-CN" w:bidi="ar-SA"/>
    </w:rPr>
  </w:style>
  <w:style w:type="character" w:customStyle="1" w:styleId="67">
    <w:name w:val="正文缩进 Char"/>
    <w:autoRedefine/>
    <w:qFormat/>
    <w:uiPriority w:val="0"/>
    <w:rPr>
      <w:kern w:val="2"/>
      <w:sz w:val="21"/>
      <w:szCs w:val="21"/>
    </w:rPr>
  </w:style>
  <w:style w:type="character" w:customStyle="1" w:styleId="68">
    <w:name w:val="列出段落 Char"/>
    <w:link w:val="69"/>
    <w:autoRedefine/>
    <w:qFormat/>
    <w:locked/>
    <w:uiPriority w:val="0"/>
    <w:rPr>
      <w:rFonts w:ascii="Calibri" w:hAnsi="Calibri"/>
      <w:sz w:val="24"/>
      <w:szCs w:val="24"/>
      <w:lang w:eastAsia="en-US" w:bidi="en-US"/>
    </w:rPr>
  </w:style>
  <w:style w:type="paragraph" w:customStyle="1" w:styleId="69">
    <w:name w:val="列出段落11"/>
    <w:basedOn w:val="1"/>
    <w:link w:val="68"/>
    <w:autoRedefine/>
    <w:qFormat/>
    <w:uiPriority w:val="0"/>
    <w:pPr>
      <w:widowControl/>
      <w:ind w:left="720"/>
      <w:contextualSpacing/>
      <w:jc w:val="left"/>
    </w:pPr>
    <w:rPr>
      <w:rFonts w:ascii="Calibri" w:hAnsi="Calibri"/>
      <w:kern w:val="0"/>
      <w:sz w:val="24"/>
      <w:szCs w:val="24"/>
      <w:lang w:eastAsia="en-US" w:bidi="en-US"/>
    </w:rPr>
  </w:style>
  <w:style w:type="character" w:customStyle="1" w:styleId="70">
    <w:name w:val="正文文本 Char"/>
    <w:link w:val="17"/>
    <w:autoRedefine/>
    <w:qFormat/>
    <w:uiPriority w:val="0"/>
    <w:rPr>
      <w:rFonts w:ascii="楷体_GB2312" w:hAnsi="Arial" w:eastAsia="楷体_GB2312"/>
      <w:kern w:val="2"/>
      <w:sz w:val="28"/>
      <w:szCs w:val="28"/>
      <w:lang w:val="en-US" w:eastAsia="zh-CN" w:bidi="ar-SA"/>
    </w:rPr>
  </w:style>
  <w:style w:type="character" w:customStyle="1" w:styleId="71">
    <w:name w:val="标题 7 Char"/>
    <w:link w:val="9"/>
    <w:autoRedefine/>
    <w:qFormat/>
    <w:uiPriority w:val="0"/>
    <w:rPr>
      <w:rFonts w:eastAsia="宋体"/>
      <w:b/>
      <w:bCs/>
      <w:kern w:val="2"/>
      <w:sz w:val="24"/>
      <w:szCs w:val="24"/>
      <w:lang w:val="en-US" w:eastAsia="zh-CN" w:bidi="ar-SA"/>
    </w:rPr>
  </w:style>
  <w:style w:type="character" w:customStyle="1" w:styleId="72">
    <w:name w:val="标题 8 Char"/>
    <w:link w:val="10"/>
    <w:autoRedefine/>
    <w:qFormat/>
    <w:uiPriority w:val="0"/>
    <w:rPr>
      <w:rFonts w:ascii="Arial" w:hAnsi="Arial" w:eastAsia="黑体"/>
      <w:kern w:val="2"/>
      <w:sz w:val="24"/>
      <w:szCs w:val="24"/>
      <w:lang w:val="en-US" w:eastAsia="zh-CN" w:bidi="ar-SA"/>
    </w:rPr>
  </w:style>
  <w:style w:type="character" w:customStyle="1" w:styleId="73">
    <w:name w:val="正文首行缩进 Char"/>
    <w:autoRedefine/>
    <w:qFormat/>
    <w:uiPriority w:val="0"/>
    <w:rPr>
      <w:rFonts w:ascii="仿宋_GB2312" w:hAnsi="Times New Roman" w:eastAsia="仿宋_GB2312" w:cs="Times New Roman"/>
      <w:kern w:val="2"/>
      <w:sz w:val="30"/>
      <w:szCs w:val="30"/>
    </w:rPr>
  </w:style>
  <w:style w:type="character" w:customStyle="1" w:styleId="74">
    <w:name w:val="正文文本 3 Char"/>
    <w:link w:val="16"/>
    <w:autoRedefine/>
    <w:qFormat/>
    <w:uiPriority w:val="0"/>
    <w:rPr>
      <w:rFonts w:ascii="仿宋_GB2312" w:hAnsi="Arial" w:eastAsia="仿宋_GB2312"/>
      <w:kern w:val="2"/>
      <w:sz w:val="32"/>
      <w:szCs w:val="32"/>
      <w:lang w:val="en-US" w:eastAsia="zh-CN" w:bidi="ar-SA"/>
    </w:rPr>
  </w:style>
  <w:style w:type="character" w:customStyle="1" w:styleId="75">
    <w:name w:val="页脚 Char"/>
    <w:link w:val="28"/>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6">
    <w:name w:val="正文文本缩进 Char"/>
    <w:link w:val="20"/>
    <w:autoRedefine/>
    <w:qFormat/>
    <w:uiPriority w:val="0"/>
    <w:rPr>
      <w:rFonts w:ascii="楷体_GB2312" w:eastAsia="楷体_GB2312"/>
      <w:kern w:val="2"/>
      <w:sz w:val="32"/>
      <w:szCs w:val="32"/>
      <w:lang w:val="en-US" w:eastAsia="zh-CN" w:bidi="ar-SA"/>
    </w:rPr>
  </w:style>
  <w:style w:type="character" w:customStyle="1" w:styleId="77">
    <w:name w:val="正文文本缩进 2 Char"/>
    <w:link w:val="26"/>
    <w:autoRedefine/>
    <w:qFormat/>
    <w:uiPriority w:val="0"/>
    <w:rPr>
      <w:rFonts w:ascii="Arial" w:hAnsi="Arial" w:eastAsia="仿宋_GB2312" w:cs="Arial"/>
      <w:kern w:val="2"/>
      <w:sz w:val="32"/>
      <w:szCs w:val="32"/>
      <w:lang w:val="en-US" w:eastAsia="zh-CN" w:bidi="ar-SA"/>
    </w:rPr>
  </w:style>
  <w:style w:type="character" w:customStyle="1" w:styleId="78">
    <w:name w:val="正文缩进 Char1"/>
    <w:link w:val="3"/>
    <w:autoRedefine/>
    <w:qFormat/>
    <w:uiPriority w:val="0"/>
    <w:rPr>
      <w:rFonts w:eastAsia="宋体"/>
      <w:kern w:val="2"/>
      <w:sz w:val="21"/>
      <w:szCs w:val="21"/>
      <w:lang w:bidi="ar-SA"/>
    </w:rPr>
  </w:style>
  <w:style w:type="character" w:customStyle="1" w:styleId="79">
    <w:name w:val="正文首行缩进 2 Char"/>
    <w:link w:val="40"/>
    <w:autoRedefine/>
    <w:qFormat/>
    <w:uiPriority w:val="0"/>
    <w:rPr>
      <w:rFonts w:ascii="宋体" w:hAnsi="宋体" w:eastAsia="宋体"/>
      <w:kern w:val="2"/>
      <w:sz w:val="21"/>
      <w:lang w:val="en-US" w:eastAsia="zh-CN" w:bidi="ar-SA"/>
    </w:rPr>
  </w:style>
  <w:style w:type="character" w:customStyle="1" w:styleId="80">
    <w:name w:val="正文首行缩进（qhb） Char"/>
    <w:link w:val="81"/>
    <w:autoRedefine/>
    <w:qFormat/>
    <w:uiPriority w:val="0"/>
    <w:rPr>
      <w:rFonts w:ascii="Arial" w:hAnsi="Arial"/>
      <w:sz w:val="24"/>
      <w:szCs w:val="21"/>
    </w:rPr>
  </w:style>
  <w:style w:type="paragraph" w:customStyle="1" w:styleId="81">
    <w:name w:val="正文首行缩进（qhb）"/>
    <w:basedOn w:val="1"/>
    <w:link w:val="80"/>
    <w:autoRedefine/>
    <w:qFormat/>
    <w:uiPriority w:val="0"/>
    <w:pPr>
      <w:widowControl/>
      <w:spacing w:after="50" w:line="360" w:lineRule="auto"/>
      <w:ind w:firstLine="200" w:firstLineChars="200"/>
      <w:jc w:val="left"/>
    </w:pPr>
    <w:rPr>
      <w:rFonts w:ascii="Arial" w:hAnsi="Arial"/>
      <w:kern w:val="0"/>
      <w:sz w:val="24"/>
    </w:rPr>
  </w:style>
  <w:style w:type="character" w:customStyle="1" w:styleId="82">
    <w:name w:val="日期 Char"/>
    <w:link w:val="25"/>
    <w:autoRedefine/>
    <w:qFormat/>
    <w:uiPriority w:val="0"/>
    <w:rPr>
      <w:rFonts w:eastAsia="宋体"/>
      <w:kern w:val="2"/>
      <w:sz w:val="24"/>
      <w:szCs w:val="24"/>
      <w:lang w:val="en-US" w:eastAsia="zh-CN" w:bidi="ar-SA"/>
    </w:rPr>
  </w:style>
  <w:style w:type="character" w:customStyle="1" w:styleId="83">
    <w:name w:val="font5 Char"/>
    <w:autoRedefine/>
    <w:qFormat/>
    <w:uiPriority w:val="0"/>
    <w:rPr>
      <w:rFonts w:ascii="宋体" w:hAnsi="宋体" w:eastAsia="宋体"/>
      <w:sz w:val="28"/>
      <w:szCs w:val="28"/>
      <w:lang w:val="en-US" w:eastAsia="zh-CN" w:bidi="ar-SA"/>
    </w:rPr>
  </w:style>
  <w:style w:type="character" w:customStyle="1" w:styleId="84">
    <w:name w:val="Char Char2"/>
    <w:autoRedefine/>
    <w:qFormat/>
    <w:uiPriority w:val="0"/>
    <w:rPr>
      <w:rFonts w:ascii="Times New Roman" w:hAnsi="Times New Roman" w:eastAsia="宋体" w:cs="Times New Roman"/>
      <w:szCs w:val="21"/>
    </w:rPr>
  </w:style>
  <w:style w:type="character" w:customStyle="1" w:styleId="85">
    <w:name w:val="正文格式 Char"/>
    <w:link w:val="86"/>
    <w:autoRedefine/>
    <w:qFormat/>
    <w:uiPriority w:val="0"/>
    <w:rPr>
      <w:rFonts w:eastAsia="仿宋_GB2312"/>
      <w:sz w:val="28"/>
      <w:lang w:bidi="ar-SA"/>
    </w:rPr>
  </w:style>
  <w:style w:type="paragraph" w:customStyle="1" w:styleId="86">
    <w:name w:val="正文格式"/>
    <w:basedOn w:val="1"/>
    <w:link w:val="85"/>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7">
    <w:name w:val="二级目录 Char"/>
    <w:link w:val="88"/>
    <w:autoRedefine/>
    <w:qFormat/>
    <w:uiPriority w:val="0"/>
    <w:rPr>
      <w:rFonts w:eastAsia="Times New Roman"/>
      <w:b/>
      <w:kern w:val="2"/>
      <w:sz w:val="30"/>
      <w:szCs w:val="28"/>
      <w:lang w:val="en-US" w:eastAsia="zh-CN" w:bidi="ar-SA"/>
    </w:rPr>
  </w:style>
  <w:style w:type="paragraph" w:customStyle="1" w:styleId="88">
    <w:name w:val="二级目录"/>
    <w:next w:val="1"/>
    <w:link w:val="87"/>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9">
    <w:name w:val="Char Char6"/>
    <w:autoRedefine/>
    <w:qFormat/>
    <w:uiPriority w:val="0"/>
    <w:rPr>
      <w:rFonts w:ascii="Times New Roman" w:hAnsi="Times New Roman" w:eastAsia="宋体" w:cs="Times New Roman"/>
      <w:sz w:val="18"/>
      <w:szCs w:val="18"/>
    </w:rPr>
  </w:style>
  <w:style w:type="character" w:customStyle="1" w:styleId="90">
    <w:name w:val="标题 3 Char"/>
    <w:link w:val="5"/>
    <w:autoRedefine/>
    <w:qFormat/>
    <w:uiPriority w:val="0"/>
    <w:rPr>
      <w:rFonts w:ascii="Times New Roman" w:hAnsi="Times New Roman" w:eastAsia="宋体"/>
      <w:b/>
      <w:bCs/>
      <w:kern w:val="2"/>
      <w:sz w:val="28"/>
      <w:szCs w:val="32"/>
      <w:lang w:val="en-US" w:eastAsia="zh-CN" w:bidi="ar-SA"/>
    </w:rPr>
  </w:style>
  <w:style w:type="character" w:customStyle="1" w:styleId="91">
    <w:name w:val="标题 6 Char"/>
    <w:link w:val="8"/>
    <w:autoRedefine/>
    <w:qFormat/>
    <w:uiPriority w:val="0"/>
    <w:rPr>
      <w:rFonts w:ascii="Arial" w:hAnsi="Arial" w:eastAsia="黑体"/>
      <w:b/>
      <w:bCs/>
      <w:kern w:val="2"/>
      <w:sz w:val="24"/>
      <w:szCs w:val="24"/>
      <w:lang w:val="en-US" w:eastAsia="zh-CN" w:bidi="ar-SA"/>
    </w:rPr>
  </w:style>
  <w:style w:type="character" w:customStyle="1" w:styleId="92">
    <w:name w:val="正文文本缩进 3 Char"/>
    <w:link w:val="33"/>
    <w:autoRedefine/>
    <w:qFormat/>
    <w:uiPriority w:val="0"/>
    <w:rPr>
      <w:rFonts w:ascii="Arial" w:hAnsi="Arial" w:eastAsia="仿宋_GB2312" w:cs="Arial"/>
      <w:color w:val="FFFF00"/>
      <w:kern w:val="2"/>
      <w:sz w:val="32"/>
      <w:szCs w:val="32"/>
      <w:lang w:val="en-US" w:eastAsia="zh-CN" w:bidi="ar-SA"/>
    </w:rPr>
  </w:style>
  <w:style w:type="character" w:customStyle="1" w:styleId="93">
    <w:name w:val="页眉 Char"/>
    <w:link w:val="29"/>
    <w:autoRedefine/>
    <w:qFormat/>
    <w:uiPriority w:val="99"/>
    <w:rPr>
      <w:rFonts w:eastAsia="宋体"/>
      <w:kern w:val="2"/>
      <w:sz w:val="18"/>
      <w:szCs w:val="18"/>
      <w:lang w:val="en-US" w:eastAsia="zh-CN" w:bidi="ar-SA"/>
    </w:rPr>
  </w:style>
  <w:style w:type="character" w:customStyle="1" w:styleId="94">
    <w:name w:val="批注主题 Char"/>
    <w:link w:val="38"/>
    <w:autoRedefine/>
    <w:semiHidden/>
    <w:qFormat/>
    <w:uiPriority w:val="0"/>
    <w:rPr>
      <w:rFonts w:eastAsia="宋体"/>
      <w:b/>
      <w:bCs/>
      <w:kern w:val="2"/>
      <w:sz w:val="21"/>
      <w:szCs w:val="21"/>
      <w:lang w:val="en-US" w:eastAsia="zh-CN" w:bidi="ar-SA"/>
    </w:rPr>
  </w:style>
  <w:style w:type="character" w:customStyle="1" w:styleId="95">
    <w:name w:val="标题 2 Char"/>
    <w:link w:val="4"/>
    <w:autoRedefine/>
    <w:qFormat/>
    <w:uiPriority w:val="0"/>
    <w:rPr>
      <w:rFonts w:ascii="Arial" w:hAnsi="Arial" w:eastAsia="宋体" w:cs="Arial"/>
      <w:b/>
      <w:bCs/>
      <w:kern w:val="2"/>
      <w:sz w:val="30"/>
      <w:szCs w:val="30"/>
      <w:lang w:val="en-US" w:eastAsia="zh-CN" w:bidi="ar-SA"/>
    </w:rPr>
  </w:style>
  <w:style w:type="character" w:customStyle="1" w:styleId="96">
    <w:name w:val="正文首行缩进 Char1"/>
    <w:link w:val="39"/>
    <w:autoRedefine/>
    <w:qFormat/>
    <w:uiPriority w:val="0"/>
    <w:rPr>
      <w:rFonts w:ascii="仿宋_GB2312" w:eastAsia="仿宋_GB2312"/>
      <w:kern w:val="2"/>
      <w:sz w:val="30"/>
      <w:szCs w:val="30"/>
      <w:lang w:val="en-US" w:eastAsia="zh-CN" w:bidi="ar-SA"/>
    </w:rPr>
  </w:style>
  <w:style w:type="character" w:customStyle="1" w:styleId="97">
    <w:name w:val="文档结构图 Char"/>
    <w:link w:val="13"/>
    <w:autoRedefine/>
    <w:semiHidden/>
    <w:qFormat/>
    <w:uiPriority w:val="0"/>
    <w:rPr>
      <w:rFonts w:eastAsia="宋体"/>
      <w:kern w:val="2"/>
      <w:sz w:val="21"/>
      <w:szCs w:val="21"/>
      <w:lang w:bidi="ar-SA"/>
    </w:rPr>
  </w:style>
  <w:style w:type="character" w:customStyle="1" w:styleId="98">
    <w:name w:val="正文文本 2 Char"/>
    <w:link w:val="35"/>
    <w:autoRedefine/>
    <w:qFormat/>
    <w:uiPriority w:val="0"/>
    <w:rPr>
      <w:rFonts w:ascii="楷体_GB2312" w:eastAsia="楷体_GB2312"/>
      <w:kern w:val="2"/>
      <w:sz w:val="28"/>
      <w:szCs w:val="28"/>
      <w:lang w:val="en-US" w:eastAsia="zh-CN" w:bidi="ar-SA"/>
    </w:rPr>
  </w:style>
  <w:style w:type="character" w:customStyle="1" w:styleId="99">
    <w:name w:val="纯文本 Char"/>
    <w:link w:val="24"/>
    <w:autoRedefine/>
    <w:qFormat/>
    <w:uiPriority w:val="0"/>
    <w:rPr>
      <w:rFonts w:ascii="宋体" w:hAnsi="Courier New" w:eastAsia="宋体" w:cs="Courier New"/>
      <w:kern w:val="2"/>
      <w:sz w:val="21"/>
      <w:szCs w:val="21"/>
      <w:lang w:val="en-US" w:eastAsia="zh-CN" w:bidi="ar-SA"/>
    </w:rPr>
  </w:style>
  <w:style w:type="character" w:customStyle="1" w:styleId="100">
    <w:name w:val="标题 5 Char"/>
    <w:link w:val="7"/>
    <w:autoRedefine/>
    <w:qFormat/>
    <w:uiPriority w:val="0"/>
    <w:rPr>
      <w:rFonts w:ascii="宋体" w:eastAsia="宋体"/>
      <w:color w:val="000000"/>
      <w:sz w:val="28"/>
      <w:szCs w:val="28"/>
      <w:lang w:val="en-US" w:eastAsia="zh-CN" w:bidi="ar-SA"/>
    </w:rPr>
  </w:style>
  <w:style w:type="character" w:customStyle="1" w:styleId="101">
    <w:name w:val="批注框文本 Char"/>
    <w:link w:val="27"/>
    <w:autoRedefine/>
    <w:semiHidden/>
    <w:qFormat/>
    <w:uiPriority w:val="0"/>
    <w:rPr>
      <w:rFonts w:eastAsia="宋体"/>
      <w:kern w:val="2"/>
      <w:sz w:val="18"/>
      <w:szCs w:val="18"/>
      <w:lang w:val="en-US" w:eastAsia="zh-CN" w:bidi="ar-SA"/>
    </w:rPr>
  </w:style>
  <w:style w:type="paragraph" w:customStyle="1" w:styleId="102">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103">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4">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10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6">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7">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8">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9">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10">
    <w:name w:val="Char Char Char Char Char Char Char Char Char Char"/>
    <w:basedOn w:val="1"/>
    <w:autoRedefine/>
    <w:qFormat/>
    <w:uiPriority w:val="0"/>
    <w:pPr>
      <w:adjustRightInd w:val="0"/>
      <w:spacing w:line="360" w:lineRule="auto"/>
    </w:pPr>
    <w:rPr>
      <w:kern w:val="0"/>
      <w:sz w:val="24"/>
      <w:szCs w:val="20"/>
    </w:rPr>
  </w:style>
  <w:style w:type="paragraph" w:customStyle="1" w:styleId="111">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12">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3">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4">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5">
    <w:name w:val="列出段落1"/>
    <w:basedOn w:val="1"/>
    <w:autoRedefine/>
    <w:qFormat/>
    <w:uiPriority w:val="99"/>
    <w:pPr>
      <w:ind w:firstLine="420" w:firstLineChars="200"/>
    </w:pPr>
  </w:style>
  <w:style w:type="paragraph" w:customStyle="1" w:styleId="116">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7">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8">
    <w:name w:val="Char"/>
    <w:basedOn w:val="1"/>
    <w:autoRedefine/>
    <w:qFormat/>
    <w:uiPriority w:val="0"/>
    <w:pPr>
      <w:tabs>
        <w:tab w:val="left" w:pos="360"/>
      </w:tabs>
      <w:ind w:firstLine="200" w:firstLineChars="200"/>
    </w:pPr>
    <w:rPr>
      <w:sz w:val="28"/>
      <w:szCs w:val="30"/>
    </w:rPr>
  </w:style>
  <w:style w:type="paragraph" w:customStyle="1" w:styleId="119">
    <w:name w:val="table_1stline"/>
    <w:basedOn w:val="1"/>
    <w:autoRedefine/>
    <w:qFormat/>
    <w:uiPriority w:val="0"/>
    <w:pPr>
      <w:widowControl/>
      <w:spacing w:before="120"/>
      <w:jc w:val="left"/>
    </w:pPr>
    <w:rPr>
      <w:bCs/>
      <w:kern w:val="0"/>
      <w:sz w:val="20"/>
      <w:szCs w:val="20"/>
      <w:lang w:val="de-DE" w:eastAsia="de-DE"/>
    </w:rPr>
  </w:style>
  <w:style w:type="paragraph" w:customStyle="1" w:styleId="120">
    <w:name w:val="table_lines"/>
    <w:basedOn w:val="1"/>
    <w:autoRedefine/>
    <w:qFormat/>
    <w:uiPriority w:val="0"/>
    <w:pPr>
      <w:widowControl/>
      <w:jc w:val="left"/>
    </w:pPr>
    <w:rPr>
      <w:kern w:val="0"/>
      <w:sz w:val="20"/>
      <w:szCs w:val="20"/>
      <w:lang w:val="de-DE" w:eastAsia="de-DE"/>
    </w:rPr>
  </w:style>
  <w:style w:type="paragraph" w:customStyle="1" w:styleId="121">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2">
    <w:name w:val="Char Char Char Char1"/>
    <w:basedOn w:val="13"/>
    <w:autoRedefine/>
    <w:qFormat/>
    <w:uiPriority w:val="0"/>
    <w:pPr>
      <w:adjustRightInd w:val="0"/>
      <w:snapToGrid w:val="0"/>
      <w:spacing w:line="360" w:lineRule="auto"/>
    </w:pPr>
    <w:rPr>
      <w:rFonts w:ascii="Tahoma" w:hAnsi="Tahoma"/>
      <w:kern w:val="0"/>
      <w:sz w:val="24"/>
      <w:szCs w:val="24"/>
    </w:rPr>
  </w:style>
  <w:style w:type="paragraph" w:customStyle="1" w:styleId="123">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24">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25">
    <w:name w:val="Char Char Char Char"/>
    <w:basedOn w:val="13"/>
    <w:autoRedefine/>
    <w:qFormat/>
    <w:uiPriority w:val="0"/>
    <w:pPr>
      <w:adjustRightInd w:val="0"/>
      <w:snapToGrid w:val="0"/>
      <w:spacing w:line="360" w:lineRule="auto"/>
    </w:pPr>
    <w:rPr>
      <w:rFonts w:ascii="Tahoma" w:hAnsi="Tahoma"/>
      <w:sz w:val="24"/>
      <w:szCs w:val="24"/>
    </w:rPr>
  </w:style>
  <w:style w:type="paragraph" w:customStyle="1" w:styleId="126">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7">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8">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9">
    <w:name w:val="Body Text(ch)"/>
    <w:basedOn w:val="1"/>
    <w:next w:val="17"/>
    <w:autoRedefine/>
    <w:qFormat/>
    <w:uiPriority w:val="0"/>
    <w:pPr>
      <w:spacing w:after="120"/>
    </w:pPr>
    <w:rPr>
      <w:rFonts w:ascii="宋体" w:hAnsi="Arial"/>
      <w:bCs/>
      <w:iCs/>
      <w:szCs w:val="24"/>
    </w:rPr>
  </w:style>
  <w:style w:type="paragraph" w:styleId="130">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31">
    <w:name w:val="Char11"/>
    <w:basedOn w:val="13"/>
    <w:autoRedefine/>
    <w:qFormat/>
    <w:uiPriority w:val="0"/>
    <w:rPr>
      <w:rFonts w:ascii="Tahoma" w:hAnsi="Tahoma"/>
      <w:sz w:val="24"/>
      <w:szCs w:val="24"/>
    </w:rPr>
  </w:style>
  <w:style w:type="paragraph" w:customStyle="1" w:styleId="132">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33">
    <w:name w:val="_Style 4"/>
    <w:basedOn w:val="13"/>
    <w:autoRedefine/>
    <w:qFormat/>
    <w:uiPriority w:val="0"/>
    <w:pPr>
      <w:shd w:val="clear" w:color="auto" w:fill="auto"/>
      <w:spacing w:line="360" w:lineRule="auto"/>
      <w:jc w:val="left"/>
    </w:pPr>
    <w:rPr>
      <w:kern w:val="0"/>
      <w:sz w:val="20"/>
      <w:szCs w:val="20"/>
    </w:rPr>
  </w:style>
  <w:style w:type="paragraph" w:customStyle="1" w:styleId="134">
    <w:name w:val="4"/>
    <w:basedOn w:val="1"/>
    <w:next w:val="33"/>
    <w:autoRedefine/>
    <w:qFormat/>
    <w:uiPriority w:val="0"/>
    <w:pPr>
      <w:spacing w:line="360" w:lineRule="auto"/>
      <w:ind w:firstLine="420"/>
    </w:pPr>
    <w:rPr>
      <w:color w:val="FF0000"/>
      <w:sz w:val="24"/>
      <w:szCs w:val="24"/>
    </w:rPr>
  </w:style>
  <w:style w:type="paragraph" w:customStyle="1" w:styleId="135">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6">
    <w:name w:val="TOC 标题1"/>
    <w:basedOn w:val="2"/>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7">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8">
    <w:name w:val="Char1"/>
    <w:basedOn w:val="1"/>
    <w:autoRedefine/>
    <w:qFormat/>
    <w:uiPriority w:val="0"/>
    <w:pPr>
      <w:tabs>
        <w:tab w:val="left" w:pos="360"/>
      </w:tabs>
      <w:ind w:firstLine="200" w:firstLineChars="200"/>
    </w:pPr>
    <w:rPr>
      <w:sz w:val="28"/>
      <w:szCs w:val="30"/>
    </w:rPr>
  </w:style>
  <w:style w:type="paragraph" w:customStyle="1" w:styleId="139">
    <w:name w:val="Char2 Char1 Char"/>
    <w:basedOn w:val="1"/>
    <w:autoRedefine/>
    <w:qFormat/>
    <w:uiPriority w:val="0"/>
    <w:pPr>
      <w:tabs>
        <w:tab w:val="left" w:pos="360"/>
      </w:tabs>
    </w:pPr>
    <w:rPr>
      <w:rFonts w:eastAsia="方正仿宋简体"/>
      <w:sz w:val="24"/>
      <w:szCs w:val="32"/>
    </w:rPr>
  </w:style>
  <w:style w:type="paragraph" w:customStyle="1" w:styleId="140">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41">
    <w:name w:val="Char Char Char Char2"/>
    <w:basedOn w:val="13"/>
    <w:autoRedefine/>
    <w:qFormat/>
    <w:uiPriority w:val="0"/>
    <w:pPr>
      <w:adjustRightInd w:val="0"/>
      <w:snapToGrid w:val="0"/>
      <w:spacing w:line="360" w:lineRule="auto"/>
    </w:pPr>
    <w:rPr>
      <w:rFonts w:ascii="Tahoma" w:hAnsi="Tahoma"/>
      <w:sz w:val="24"/>
      <w:szCs w:val="24"/>
    </w:rPr>
  </w:style>
  <w:style w:type="paragraph" w:customStyle="1" w:styleId="142">
    <w:name w:val="_Style 119"/>
    <w:basedOn w:val="1"/>
    <w:next w:val="130"/>
    <w:autoRedefine/>
    <w:qFormat/>
    <w:uiPriority w:val="34"/>
    <w:pPr>
      <w:widowControl/>
      <w:ind w:left="720"/>
      <w:contextualSpacing/>
      <w:jc w:val="left"/>
    </w:pPr>
    <w:rPr>
      <w:rFonts w:ascii="Calibri" w:hAnsi="Calibri"/>
      <w:kern w:val="0"/>
      <w:sz w:val="24"/>
      <w:szCs w:val="24"/>
      <w:lang w:eastAsia="en-US" w:bidi="en-US"/>
    </w:rPr>
  </w:style>
  <w:style w:type="paragraph" w:customStyle="1" w:styleId="143">
    <w:name w:val="Table Paragraph"/>
    <w:basedOn w:val="1"/>
    <w:autoRedefine/>
    <w:qFormat/>
    <w:uiPriority w:val="1"/>
  </w:style>
  <w:style w:type="character" w:customStyle="1" w:styleId="144">
    <w:name w:val="纯文本 字符"/>
    <w:autoRedefine/>
    <w:qFormat/>
    <w:uiPriority w:val="0"/>
    <w:rPr>
      <w:rFonts w:ascii="宋体" w:hAnsi="Courier New" w:cs="Courier New"/>
      <w:kern w:val="2"/>
      <w:sz w:val="21"/>
      <w:szCs w:val="21"/>
    </w:rPr>
  </w:style>
  <w:style w:type="character" w:customStyle="1" w:styleId="145">
    <w:name w:val="正文缩进 字符"/>
    <w:autoRedefine/>
    <w:qFormat/>
    <w:uiPriority w:val="0"/>
    <w:rPr>
      <w:kern w:val="2"/>
      <w:sz w:val="21"/>
      <w:szCs w:val="21"/>
    </w:rPr>
  </w:style>
  <w:style w:type="paragraph" w:customStyle="1" w:styleId="146">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7">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8">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9">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50">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51">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3">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5">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6">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7">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8">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9">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60">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1">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2">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63">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5">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6">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7">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8">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9">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0">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1">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2">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3">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4">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5">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6">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7">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8">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9">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80">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81">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82">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83">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84">
    <w:name w:val="超链接_0"/>
    <w:autoRedefine/>
    <w:qFormat/>
    <w:uiPriority w:val="99"/>
    <w:rPr>
      <w:rFonts w:hint="default" w:ascii="Calibri" w:hAnsi="Calibri" w:cs="Calibri"/>
      <w:color w:val="0000FF"/>
      <w:u w:val="single"/>
    </w:rPr>
  </w:style>
  <w:style w:type="paragraph" w:customStyle="1" w:styleId="185">
    <w:name w:val="正文_0"/>
    <w:basedOn w:val="1"/>
    <w:next w:val="1"/>
    <w:autoRedefine/>
    <w:qFormat/>
    <w:uiPriority w:val="0"/>
    <w:pPr>
      <w:spacing w:after="200" w:line="276" w:lineRule="auto"/>
    </w:pPr>
    <w:rPr>
      <w:rFonts w:ascii="Calibri" w:hAnsi="Calibri"/>
      <w:szCs w:val="24"/>
    </w:rPr>
  </w:style>
  <w:style w:type="paragraph" w:customStyle="1" w:styleId="186">
    <w:name w:val="普通(网站)1"/>
    <w:basedOn w:val="1"/>
    <w:autoRedefine/>
    <w:qFormat/>
    <w:uiPriority w:val="0"/>
    <w:pPr>
      <w:spacing w:beforeAutospacing="1" w:afterAutospacing="1"/>
      <w:jc w:val="left"/>
    </w:pPr>
    <w:rPr>
      <w:rFonts w:ascii="Calibri" w:hAnsi="Calibri"/>
      <w:kern w:val="0"/>
      <w:sz w:val="24"/>
    </w:rPr>
  </w:style>
  <w:style w:type="character" w:customStyle="1" w:styleId="187">
    <w:name w:val="bookmark-item"/>
    <w:basedOn w:val="43"/>
    <w:autoRedefine/>
    <w:qFormat/>
    <w:uiPriority w:val="0"/>
  </w:style>
  <w:style w:type="paragraph" w:customStyle="1" w:styleId="188">
    <w:name w:val="表格"/>
    <w:basedOn w:val="31"/>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9">
    <w:name w:val="btn-auto-1"/>
    <w:basedOn w:val="43"/>
    <w:autoRedefine/>
    <w:qFormat/>
    <w:uiPriority w:val="0"/>
  </w:style>
  <w:style w:type="character" w:customStyle="1" w:styleId="190">
    <w:name w:val="s1"/>
    <w:basedOn w:val="43"/>
    <w:autoRedefine/>
    <w:qFormat/>
    <w:uiPriority w:val="0"/>
    <w:rPr>
      <w:color w:val="DDDDDD"/>
      <w:sz w:val="14"/>
      <w:szCs w:val="14"/>
    </w:rPr>
  </w:style>
  <w:style w:type="character" w:customStyle="1" w:styleId="191">
    <w:name w:val="btn-task-gray2"/>
    <w:basedOn w:val="43"/>
    <w:autoRedefine/>
    <w:qFormat/>
    <w:uiPriority w:val="0"/>
    <w:rPr>
      <w:color w:val="FFFFFF"/>
      <w:u w:val="none"/>
      <w:shd w:val="clear" w:color="auto" w:fill="CCCCCC"/>
    </w:rPr>
  </w:style>
  <w:style w:type="character" w:customStyle="1" w:styleId="192">
    <w:name w:val="btn-task-gray3"/>
    <w:basedOn w:val="43"/>
    <w:autoRedefine/>
    <w:qFormat/>
    <w:uiPriority w:val="0"/>
  </w:style>
  <w:style w:type="character" w:customStyle="1" w:styleId="193">
    <w:name w:val="fontstyle01"/>
    <w:basedOn w:val="43"/>
    <w:autoRedefine/>
    <w:qFormat/>
    <w:uiPriority w:val="0"/>
    <w:rPr>
      <w:rFonts w:ascii="仿宋" w:hAnsi="仿宋" w:eastAsia="仿宋" w:cs="仿宋"/>
      <w:color w:val="000000"/>
      <w:sz w:val="32"/>
      <w:szCs w:val="32"/>
    </w:rPr>
  </w:style>
  <w:style w:type="paragraph" w:customStyle="1" w:styleId="194">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5">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6">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00">
    <w:name w:val="正文2"/>
    <w:basedOn w:val="1"/>
    <w:autoRedefine/>
    <w:qFormat/>
    <w:uiPriority w:val="0"/>
    <w:pPr>
      <w:spacing w:before="156" w:line="360" w:lineRule="auto"/>
      <w:ind w:firstLine="510" w:firstLineChars="200"/>
    </w:pPr>
    <w:rPr>
      <w:sz w:val="24"/>
    </w:rPr>
  </w:style>
  <w:style w:type="paragraph" w:customStyle="1" w:styleId="201">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2">
    <w:name w:val="正文文本缩进_2"/>
    <w:basedOn w:val="203"/>
    <w:autoRedefine/>
    <w:qFormat/>
    <w:uiPriority w:val="0"/>
    <w:pPr>
      <w:spacing w:line="500" w:lineRule="exact"/>
      <w:ind w:left="1588" w:leftChars="832" w:firstLine="433" w:firstLineChars="196"/>
    </w:pPr>
    <w:rPr>
      <w:kern w:val="0"/>
      <w:sz w:val="24"/>
    </w:rPr>
  </w:style>
  <w:style w:type="paragraph" w:customStyle="1" w:styleId="203">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4">
    <w:name w:val="layui-layer-tabnow"/>
    <w:basedOn w:val="43"/>
    <w:autoRedefine/>
    <w:qFormat/>
    <w:uiPriority w:val="0"/>
    <w:rPr>
      <w:bdr w:val="single" w:color="CCCCCC" w:sz="4" w:space="0"/>
      <w:shd w:val="clear" w:color="auto" w:fill="FFFFFF"/>
    </w:rPr>
  </w:style>
  <w:style w:type="character" w:customStyle="1" w:styleId="205">
    <w:name w:val="first-child"/>
    <w:basedOn w:val="43"/>
    <w:autoRedefine/>
    <w:qFormat/>
    <w:uiPriority w:val="0"/>
  </w:style>
  <w:style w:type="paragraph" w:customStyle="1" w:styleId="206">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7">
    <w:name w:val="正文2.25"/>
    <w:basedOn w:val="1"/>
    <w:autoRedefine/>
    <w:qFormat/>
    <w:uiPriority w:val="0"/>
    <w:pPr>
      <w:spacing w:line="360" w:lineRule="auto"/>
      <w:ind w:firstLine="540"/>
    </w:pPr>
    <w:rPr>
      <w:sz w:val="24"/>
      <w:szCs w:val="24"/>
    </w:rPr>
  </w:style>
  <w:style w:type="paragraph" w:customStyle="1" w:styleId="208">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9">
    <w:name w:val="批注文字 Char"/>
    <w:basedOn w:val="43"/>
    <w:link w:val="15"/>
    <w:autoRedefine/>
    <w:semiHidden/>
    <w:qFormat/>
    <w:uiPriority w:val="0"/>
    <w:rPr>
      <w:kern w:val="2"/>
      <w:sz w:val="21"/>
      <w:szCs w:val="21"/>
    </w:rPr>
  </w:style>
  <w:style w:type="character" w:customStyle="1" w:styleId="210">
    <w:name w:val="脚注文本 Char"/>
    <w:basedOn w:val="43"/>
    <w:link w:val="32"/>
    <w:autoRedefine/>
    <w:qFormat/>
    <w:uiPriority w:val="0"/>
    <w:rPr>
      <w:kern w:val="2"/>
      <w:sz w:val="18"/>
      <w:szCs w:val="21"/>
    </w:rPr>
  </w:style>
  <w:style w:type="character" w:customStyle="1" w:styleId="211">
    <w:name w:val="font01"/>
    <w:basedOn w:val="43"/>
    <w:autoRedefine/>
    <w:qFormat/>
    <w:uiPriority w:val="0"/>
    <w:rPr>
      <w:rFonts w:hint="default" w:ascii="Times New Roman" w:hAnsi="Times New Roman" w:cs="Times New Roman"/>
      <w:color w:val="000000"/>
      <w:sz w:val="24"/>
      <w:szCs w:val="24"/>
      <w:u w:val="none"/>
    </w:rPr>
  </w:style>
  <w:style w:type="character" w:customStyle="1" w:styleId="212">
    <w:name w:val="font21"/>
    <w:basedOn w:val="43"/>
    <w:autoRedefine/>
    <w:qFormat/>
    <w:uiPriority w:val="0"/>
    <w:rPr>
      <w:rFonts w:hint="eastAsia" w:ascii="宋体" w:hAnsi="宋体" w:eastAsia="宋体" w:cs="宋体"/>
      <w:color w:val="000000"/>
      <w:sz w:val="24"/>
      <w:szCs w:val="24"/>
      <w:u w:val="none"/>
    </w:rPr>
  </w:style>
  <w:style w:type="character" w:customStyle="1" w:styleId="213">
    <w:name w:val="font11"/>
    <w:basedOn w:val="43"/>
    <w:autoRedefine/>
    <w:qFormat/>
    <w:uiPriority w:val="0"/>
    <w:rPr>
      <w:rFonts w:hint="eastAsia" w:ascii="宋体" w:hAnsi="宋体" w:eastAsia="宋体" w:cs="宋体"/>
      <w:color w:val="000000"/>
      <w:sz w:val="24"/>
      <w:szCs w:val="24"/>
      <w:u w:val="none"/>
    </w:rPr>
  </w:style>
  <w:style w:type="table" w:customStyle="1" w:styleId="214">
    <w:name w:val="Table Normal"/>
    <w:autoRedefine/>
    <w:semiHidden/>
    <w:unhideWhenUsed/>
    <w:qFormat/>
    <w:uiPriority w:val="0"/>
    <w:tblPr>
      <w:tblCellMar>
        <w:top w:w="0" w:type="dxa"/>
        <w:left w:w="0" w:type="dxa"/>
        <w:bottom w:w="0" w:type="dxa"/>
        <w:right w:w="0" w:type="dxa"/>
      </w:tblCellMar>
    </w:tblPr>
  </w:style>
  <w:style w:type="character" w:customStyle="1" w:styleId="215">
    <w:name w:val="font31"/>
    <w:basedOn w:val="43"/>
    <w:autoRedefine/>
    <w:qFormat/>
    <w:uiPriority w:val="0"/>
    <w:rPr>
      <w:rFonts w:hint="eastAsia" w:ascii="宋体" w:hAnsi="宋体" w:eastAsia="宋体" w:cs="宋体"/>
      <w:color w:val="000000"/>
      <w:sz w:val="24"/>
      <w:szCs w:val="24"/>
      <w:u w:val="none"/>
    </w:rPr>
  </w:style>
  <w:style w:type="character" w:customStyle="1" w:styleId="216">
    <w:name w:val="font61"/>
    <w:basedOn w:val="43"/>
    <w:autoRedefine/>
    <w:qFormat/>
    <w:uiPriority w:val="0"/>
    <w:rPr>
      <w:rFonts w:hint="eastAsia" w:ascii="宋体" w:hAnsi="宋体" w:eastAsia="宋体" w:cs="宋体"/>
      <w:color w:val="FF0000"/>
      <w:sz w:val="20"/>
      <w:szCs w:val="20"/>
      <w:u w:val="none"/>
    </w:rPr>
  </w:style>
  <w:style w:type="character" w:customStyle="1" w:styleId="217">
    <w:name w:val="font51"/>
    <w:basedOn w:val="43"/>
    <w:autoRedefine/>
    <w:qFormat/>
    <w:uiPriority w:val="0"/>
    <w:rPr>
      <w:rFonts w:hint="default" w:ascii="方正黑体_GBK" w:hAnsi="方正黑体_GBK" w:eastAsia="方正黑体_GBK" w:cs="方正黑体_GBK"/>
      <w:color w:val="FF0000"/>
      <w:sz w:val="20"/>
      <w:szCs w:val="20"/>
      <w:u w:val="none"/>
    </w:rPr>
  </w:style>
  <w:style w:type="character" w:customStyle="1" w:styleId="218">
    <w:name w:val="font41"/>
    <w:basedOn w:val="43"/>
    <w:autoRedefine/>
    <w:qFormat/>
    <w:uiPriority w:val="0"/>
    <w:rPr>
      <w:rFonts w:hint="default" w:ascii="方正黑体_GBK" w:hAnsi="方正黑体_GBK" w:eastAsia="方正黑体_GBK" w:cs="方正黑体_GBK"/>
      <w:color w:val="000000"/>
      <w:sz w:val="20"/>
      <w:szCs w:val="20"/>
      <w:u w:val="none"/>
    </w:rPr>
  </w:style>
  <w:style w:type="character" w:customStyle="1" w:styleId="219">
    <w:name w:val="font81"/>
    <w:basedOn w:val="43"/>
    <w:autoRedefine/>
    <w:qFormat/>
    <w:uiPriority w:val="0"/>
    <w:rPr>
      <w:rFonts w:hint="eastAsia" w:ascii="黑体" w:hAnsi="宋体" w:eastAsia="黑体" w:cs="黑体"/>
      <w:color w:val="FF0000"/>
      <w:sz w:val="20"/>
      <w:szCs w:val="20"/>
      <w:u w:val="none"/>
    </w:rPr>
  </w:style>
  <w:style w:type="character" w:customStyle="1" w:styleId="220">
    <w:name w:val="font71"/>
    <w:basedOn w:val="43"/>
    <w:autoRedefine/>
    <w:qFormat/>
    <w:uiPriority w:val="0"/>
    <w:rPr>
      <w:rFonts w:hint="default" w:ascii="方正黑体_GBK" w:hAnsi="方正黑体_GBK" w:eastAsia="方正黑体_GBK" w:cs="方正黑体_GBK"/>
      <w:color w:val="000000"/>
      <w:sz w:val="20"/>
      <w:szCs w:val="20"/>
      <w:u w:val="none"/>
    </w:rPr>
  </w:style>
  <w:style w:type="character" w:customStyle="1" w:styleId="221">
    <w:name w:val="font91"/>
    <w:basedOn w:val="43"/>
    <w:autoRedefine/>
    <w:qFormat/>
    <w:uiPriority w:val="0"/>
    <w:rPr>
      <w:rFonts w:hint="default" w:ascii="方正黑体_GBK" w:hAnsi="方正黑体_GBK" w:eastAsia="方正黑体_GBK" w:cs="方正黑体_GBK"/>
      <w:color w:val="000000"/>
      <w:sz w:val="20"/>
      <w:szCs w:val="20"/>
      <w:u w:val="none"/>
    </w:rPr>
  </w:style>
  <w:style w:type="character" w:customStyle="1" w:styleId="222">
    <w:name w:val="font101"/>
    <w:basedOn w:val="43"/>
    <w:autoRedefine/>
    <w:qFormat/>
    <w:uiPriority w:val="0"/>
    <w:rPr>
      <w:rFonts w:hint="default" w:ascii="Times New Roman" w:hAnsi="Times New Roman" w:cs="Times New Roman"/>
      <w:color w:val="000000"/>
      <w:sz w:val="22"/>
      <w:szCs w:val="22"/>
      <w:u w:val="none"/>
    </w:rPr>
  </w:style>
  <w:style w:type="character" w:customStyle="1" w:styleId="223">
    <w:name w:val="font112"/>
    <w:basedOn w:val="43"/>
    <w:autoRedefine/>
    <w:qFormat/>
    <w:uiPriority w:val="0"/>
    <w:rPr>
      <w:rFonts w:hint="eastAsia" w:ascii="黑体" w:hAnsi="宋体" w:eastAsia="黑体" w:cs="黑体"/>
      <w:color w:val="000000"/>
      <w:sz w:val="22"/>
      <w:szCs w:val="22"/>
      <w:u w:val="none"/>
    </w:rPr>
  </w:style>
  <w:style w:type="paragraph" w:customStyle="1" w:styleId="22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 SelectedStyl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125</Words>
  <Characters>170</Characters>
  <Lines>616</Lines>
  <Paragraphs>173</Paragraphs>
  <TotalTime>0</TotalTime>
  <ScaleCrop>false</ScaleCrop>
  <LinksUpToDate>false</LinksUpToDate>
  <CharactersWithSpaces>180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2022-12-30T21:26:00Z</dcterms:created>
  <dc:creator>yinjian</dc:creator>
  <cp:lastModifiedBy>xqrc</cp:lastModifiedBy>
  <cp:lastPrinted>2024-04-01T18:28:00Z</cp:lastPrinted>
  <dcterms:modified xsi:type="dcterms:W3CDTF">2026-10-13T08:26:07Z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E981A61B02C24A5C838EB96D300151CD</vt:lpwstr>
  </property>
  <property fmtid="{D5CDD505-2E9C-101B-9397-08002B2CF9AE}" pid="4" name="KSOTemplateDocerSaveRecord">
    <vt:lpwstr>eyJoZGlkIjoiY2MwNzVmOGM0MTUwZTY4YTRjN2M1YTZlMDkxNWNkZGUiLCJ1c2VySWQiOiIyMTc1OTk2In0=</vt:lpwstr>
  </property>
</Properties>
</file>