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AA3AEC">
      <w:pPr>
        <w:autoSpaceDE w:val="0"/>
        <w:autoSpaceDN w:val="0"/>
        <w:adjustRightInd w:val="0"/>
        <w:snapToGrid w:val="0"/>
        <w:spacing w:line="360" w:lineRule="auto"/>
        <w:ind w:right="893"/>
        <w:jc w:val="center"/>
        <w:textAlignment w:val="bottom"/>
        <w:outlineLvl w:val="0"/>
        <w:rPr>
          <w:rFonts w:hint="eastAsia" w:ascii="宋体" w:hAnsi="宋体" w:cs="宋体"/>
          <w:b/>
          <w:sz w:val="24"/>
          <w:highlight w:val="none"/>
        </w:rPr>
      </w:pPr>
      <w:r>
        <w:rPr>
          <w:rFonts w:hint="eastAsia" w:ascii="宋体" w:hAnsi="宋体" w:cs="宋体"/>
          <w:b/>
          <w:sz w:val="24"/>
          <w:highlight w:val="none"/>
        </w:rPr>
        <w:t>采购需求</w:t>
      </w:r>
    </w:p>
    <w:p w14:paraId="2E1ED038">
      <w:pPr>
        <w:autoSpaceDE w:val="0"/>
        <w:autoSpaceDN w:val="0"/>
        <w:adjustRightInd w:val="0"/>
        <w:snapToGrid w:val="0"/>
        <w:spacing w:line="360" w:lineRule="auto"/>
        <w:ind w:right="893"/>
        <w:jc w:val="center"/>
        <w:textAlignment w:val="bottom"/>
        <w:rPr>
          <w:rFonts w:hint="eastAsia" w:ascii="宋体" w:hAnsi="宋体" w:cs="宋体"/>
          <w:b/>
          <w:sz w:val="24"/>
          <w:highlight w:val="none"/>
        </w:rPr>
      </w:pPr>
      <w:r>
        <w:rPr>
          <w:rFonts w:hint="eastAsia" w:ascii="宋体" w:hAnsi="宋体" w:cs="宋体"/>
          <w:b/>
          <w:sz w:val="24"/>
          <w:highlight w:val="none"/>
        </w:rPr>
        <w:t xml:space="preserve">   </w:t>
      </w:r>
    </w:p>
    <w:p w14:paraId="2807948C">
      <w:pPr>
        <w:numPr>
          <w:ilvl w:val="2"/>
          <w:numId w:val="0"/>
        </w:numPr>
        <w:adjustRightInd w:val="0"/>
        <w:snapToGrid w:val="0"/>
        <w:spacing w:line="360" w:lineRule="auto"/>
        <w:jc w:val="left"/>
        <w:rPr>
          <w:rFonts w:hint="eastAsia" w:ascii="楷体_GB2312" w:eastAsia="楷体_GB2312"/>
          <w:b/>
          <w:sz w:val="30"/>
          <w:highlight w:val="none"/>
        </w:rPr>
      </w:pPr>
      <w:r>
        <w:rPr>
          <w:rFonts w:ascii="宋体" w:hAnsi="宋体" w:cs="宋体"/>
          <w:sz w:val="24"/>
          <w:highlight w:val="none"/>
        </w:rPr>
        <w:t>一、</w:t>
      </w:r>
      <w:r>
        <w:rPr>
          <w:rFonts w:hint="eastAsia" w:ascii="宋体" w:hAnsi="宋体" w:cs="宋体"/>
          <w:b/>
          <w:sz w:val="24"/>
          <w:highlight w:val="none"/>
        </w:rPr>
        <w:t>货物需求一览表</w:t>
      </w:r>
    </w:p>
    <w:tbl>
      <w:tblPr>
        <w:tblStyle w:val="5"/>
        <w:tblW w:w="8919"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535"/>
        <w:gridCol w:w="6384"/>
      </w:tblGrid>
      <w:tr w14:paraId="1BA122D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823" w:hRule="atLeast"/>
        </w:trPr>
        <w:tc>
          <w:tcPr>
            <w:tcW w:w="2535" w:type="dxa"/>
            <w:noWrap w:val="0"/>
            <w:vAlign w:val="center"/>
          </w:tcPr>
          <w:p w14:paraId="240C44CC">
            <w:pPr>
              <w:jc w:val="center"/>
              <w:rPr>
                <w:rFonts w:hint="eastAsia" w:ascii="宋体" w:hAnsi="宋体" w:cs="宋体"/>
                <w:b/>
                <w:bCs/>
                <w:sz w:val="24"/>
                <w:highlight w:val="none"/>
              </w:rPr>
            </w:pPr>
            <w:r>
              <w:rPr>
                <w:rFonts w:hint="eastAsia" w:ascii="宋体" w:hAnsi="宋体" w:cs="宋体"/>
                <w:b/>
                <w:bCs/>
                <w:sz w:val="24"/>
                <w:highlight w:val="none"/>
              </w:rPr>
              <w:t>包号</w:t>
            </w:r>
          </w:p>
        </w:tc>
        <w:tc>
          <w:tcPr>
            <w:tcW w:w="6384" w:type="dxa"/>
            <w:noWrap w:val="0"/>
            <w:vAlign w:val="center"/>
          </w:tcPr>
          <w:p w14:paraId="4392F237">
            <w:pPr>
              <w:jc w:val="center"/>
              <w:rPr>
                <w:rFonts w:hint="eastAsia" w:ascii="宋体" w:hAnsi="宋体" w:cs="宋体"/>
                <w:b/>
                <w:bCs/>
                <w:sz w:val="24"/>
                <w:highlight w:val="none"/>
              </w:rPr>
            </w:pPr>
            <w:r>
              <w:rPr>
                <w:rFonts w:hint="eastAsia" w:ascii="宋体" w:hAnsi="宋体" w:cs="宋体"/>
                <w:b/>
                <w:bCs/>
                <w:sz w:val="24"/>
                <w:highlight w:val="none"/>
              </w:rPr>
              <w:t>货物名称</w:t>
            </w:r>
          </w:p>
        </w:tc>
      </w:tr>
      <w:tr w14:paraId="5114395B">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28" w:type="dxa"/>
            <w:bottom w:w="0" w:type="dxa"/>
            <w:right w:w="28" w:type="dxa"/>
          </w:tblCellMar>
        </w:tblPrEx>
        <w:trPr>
          <w:trHeight w:val="633" w:hRule="atLeast"/>
        </w:trPr>
        <w:tc>
          <w:tcPr>
            <w:tcW w:w="2535" w:type="dxa"/>
            <w:noWrap w:val="0"/>
            <w:vAlign w:val="center"/>
          </w:tcPr>
          <w:p w14:paraId="40E2CCDD">
            <w:pPr>
              <w:jc w:val="center"/>
              <w:rPr>
                <w:rFonts w:hint="eastAsia" w:ascii="宋体" w:hAnsi="宋体" w:cs="宋体"/>
                <w:sz w:val="24"/>
                <w:highlight w:val="none"/>
              </w:rPr>
            </w:pPr>
            <w:r>
              <w:rPr>
                <w:rFonts w:hint="eastAsia" w:ascii="宋体" w:hAnsi="宋体" w:cs="宋体"/>
                <w:sz w:val="24"/>
                <w:highlight w:val="none"/>
              </w:rPr>
              <w:t>1</w:t>
            </w:r>
          </w:p>
        </w:tc>
        <w:tc>
          <w:tcPr>
            <w:tcW w:w="6384" w:type="dxa"/>
            <w:noWrap w:val="0"/>
            <w:vAlign w:val="center"/>
          </w:tcPr>
          <w:p w14:paraId="2E27758C">
            <w:pPr>
              <w:widowControl/>
              <w:jc w:val="center"/>
              <w:rPr>
                <w:rFonts w:hint="eastAsia" w:ascii="宋体" w:hAnsi="宋体" w:cs="宋体"/>
                <w:sz w:val="24"/>
                <w:highlight w:val="none"/>
              </w:rPr>
            </w:pPr>
            <w:r>
              <w:rPr>
                <w:rFonts w:hint="eastAsia"/>
                <w:sz w:val="24"/>
                <w:highlight w:val="none"/>
              </w:rPr>
              <w:t>野生动物生理功能实时监测平台-亚音速风洞</w:t>
            </w:r>
          </w:p>
        </w:tc>
      </w:tr>
    </w:tbl>
    <w:p w14:paraId="653ABBA1">
      <w:pPr>
        <w:spacing w:line="360" w:lineRule="auto"/>
        <w:rPr>
          <w:rFonts w:hint="eastAsia" w:ascii="宋体" w:hAnsi="宋体" w:cs="宋体"/>
          <w:sz w:val="24"/>
          <w:highlight w:val="none"/>
        </w:rPr>
      </w:pPr>
    </w:p>
    <w:p w14:paraId="208C3B95">
      <w:pPr>
        <w:spacing w:line="360" w:lineRule="auto"/>
        <w:rPr>
          <w:rFonts w:hint="eastAsia" w:ascii="宋体" w:hAnsi="宋体" w:cs="宋体"/>
          <w:sz w:val="24"/>
          <w:highlight w:val="none"/>
        </w:rPr>
      </w:pPr>
      <w:r>
        <w:rPr>
          <w:rFonts w:hint="eastAsia" w:ascii="宋体" w:hAnsi="宋体" w:cs="宋体"/>
          <w:sz w:val="24"/>
          <w:highlight w:val="none"/>
        </w:rPr>
        <w:t>注：</w:t>
      </w:r>
    </w:p>
    <w:p w14:paraId="584F434E">
      <w:pPr>
        <w:spacing w:line="360" w:lineRule="auto"/>
        <w:rPr>
          <w:rFonts w:hint="eastAsia" w:ascii="宋体" w:hAnsi="宋体" w:cs="宋体"/>
          <w:sz w:val="24"/>
          <w:highlight w:val="none"/>
        </w:rPr>
      </w:pPr>
      <w:r>
        <w:rPr>
          <w:rFonts w:hint="eastAsia" w:ascii="宋体" w:hAnsi="宋体" w:cs="宋体"/>
          <w:sz w:val="24"/>
          <w:highlight w:val="none"/>
        </w:rPr>
        <w:t>1、投标人须对上述投标内容中完整的一包或几包进行投标，不完整的投标将视为非响应性投标予以拒绝。</w:t>
      </w:r>
    </w:p>
    <w:p w14:paraId="00BFA408">
      <w:pPr>
        <w:spacing w:line="360" w:lineRule="auto"/>
        <w:rPr>
          <w:rFonts w:hint="eastAsia" w:ascii="宋体" w:hAnsi="宋体" w:cs="宋体"/>
          <w:b/>
          <w:sz w:val="24"/>
          <w:highlight w:val="none"/>
        </w:rPr>
      </w:pPr>
    </w:p>
    <w:p w14:paraId="3EE42CB7">
      <w:pPr>
        <w:spacing w:line="360" w:lineRule="auto"/>
        <w:ind w:left="600" w:hanging="600"/>
        <w:rPr>
          <w:rFonts w:hint="eastAsia" w:ascii="宋体" w:hAnsi="宋体" w:cs="宋体"/>
          <w:b/>
          <w:sz w:val="24"/>
          <w:highlight w:val="none"/>
        </w:rPr>
      </w:pPr>
      <w:r>
        <w:rPr>
          <w:rFonts w:hint="eastAsia" w:ascii="宋体" w:hAnsi="宋体" w:cs="宋体"/>
          <w:b/>
          <w:sz w:val="24"/>
          <w:highlight w:val="none"/>
        </w:rPr>
        <w:t>二、总  则</w:t>
      </w:r>
    </w:p>
    <w:p w14:paraId="439C2C71">
      <w:pPr>
        <w:spacing w:line="360" w:lineRule="auto"/>
        <w:rPr>
          <w:rFonts w:ascii="宋体" w:hAnsi="宋体"/>
          <w:bCs/>
          <w:sz w:val="24"/>
          <w:highlight w:val="none"/>
        </w:rPr>
      </w:pPr>
      <w:r>
        <w:rPr>
          <w:rFonts w:hint="eastAsia" w:ascii="宋体" w:hAnsi="宋体"/>
          <w:bCs/>
          <w:sz w:val="24"/>
          <w:highlight w:val="none"/>
        </w:rPr>
        <w:t>1、投标要求</w:t>
      </w:r>
    </w:p>
    <w:p w14:paraId="27E192DB">
      <w:pPr>
        <w:spacing w:line="360" w:lineRule="auto"/>
        <w:rPr>
          <w:rFonts w:ascii="宋体" w:hAnsi="宋体"/>
          <w:bCs/>
          <w:sz w:val="24"/>
          <w:highlight w:val="none"/>
        </w:rPr>
      </w:pPr>
      <w:r>
        <w:rPr>
          <w:rFonts w:hint="eastAsia" w:ascii="宋体" w:hAnsi="宋体"/>
          <w:bCs/>
          <w:sz w:val="24"/>
          <w:highlight w:val="none"/>
        </w:rPr>
        <w:t>1.1  投标人在准备投标函时，务必在所提供的商品的技术规格文件中，标明型号、商标名称、目录号。</w:t>
      </w:r>
    </w:p>
    <w:p w14:paraId="30F4E96C">
      <w:pPr>
        <w:spacing w:line="360" w:lineRule="auto"/>
        <w:rPr>
          <w:rFonts w:ascii="宋体" w:hAnsi="宋体"/>
          <w:bCs/>
          <w:sz w:val="24"/>
          <w:highlight w:val="none"/>
        </w:rPr>
      </w:pPr>
      <w:r>
        <w:rPr>
          <w:rFonts w:hint="eastAsia" w:ascii="宋体" w:hAnsi="宋体"/>
          <w:bCs/>
          <w:sz w:val="24"/>
          <w:highlight w:val="none"/>
        </w:rPr>
        <w:t>1.2  投标人提供的货物须是成熟的全新的产品，其技术规格应符合磋商文件的要求。如与磋商文件的技术规格有偏差，应提供技术规格偏差的量值或说明（偏离表）。如投标人有意隐瞒对规格要求的偏差或在开标后提出新的偏差，采购人有权拒绝其投标。</w:t>
      </w:r>
    </w:p>
    <w:p w14:paraId="4A229AC8">
      <w:pPr>
        <w:spacing w:line="360" w:lineRule="auto"/>
        <w:rPr>
          <w:rFonts w:ascii="宋体" w:hAnsi="宋体"/>
          <w:bCs/>
          <w:sz w:val="24"/>
          <w:highlight w:val="none"/>
        </w:rPr>
      </w:pPr>
      <w:r>
        <w:rPr>
          <w:rFonts w:hint="eastAsia" w:ascii="宋体" w:hAnsi="宋体"/>
          <w:bCs/>
          <w:sz w:val="24"/>
          <w:highlight w:val="none"/>
        </w:rPr>
        <w:t>1.3  投标人提供的产品文件样本（如技术文件、官方彩页等）、图表、简图、电路图以及印刷电路板图等都应清晰易读，可以是英文版本，但必须提供中文译文件，当中英文冲突时以中文文件为准。采购人有权不付任何附加费用复制这些资料以供参考。</w:t>
      </w:r>
    </w:p>
    <w:p w14:paraId="2B56F3B2">
      <w:pPr>
        <w:spacing w:line="360" w:lineRule="auto"/>
        <w:rPr>
          <w:rFonts w:ascii="宋体" w:hAnsi="宋体"/>
          <w:bCs/>
          <w:sz w:val="24"/>
          <w:highlight w:val="none"/>
        </w:rPr>
      </w:pPr>
      <w:r>
        <w:rPr>
          <w:rFonts w:hint="eastAsia" w:ascii="宋体" w:hAnsi="宋体"/>
          <w:bCs/>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3B374DA8">
      <w:pPr>
        <w:spacing w:line="360" w:lineRule="auto"/>
        <w:rPr>
          <w:rFonts w:ascii="宋体" w:hAnsi="宋体"/>
          <w:bCs/>
          <w:sz w:val="24"/>
          <w:highlight w:val="none"/>
        </w:rPr>
      </w:pPr>
      <w:r>
        <w:rPr>
          <w:rFonts w:hint="eastAsia" w:ascii="宋体" w:hAnsi="宋体"/>
          <w:bCs/>
          <w:sz w:val="24"/>
          <w:highlight w:val="none"/>
        </w:rPr>
        <w:t>2、评标标准</w:t>
      </w:r>
    </w:p>
    <w:p w14:paraId="713EF63A">
      <w:pPr>
        <w:spacing w:line="360" w:lineRule="auto"/>
        <w:rPr>
          <w:rFonts w:ascii="宋体" w:hAnsi="宋体"/>
          <w:bCs/>
          <w:sz w:val="24"/>
          <w:highlight w:val="none"/>
        </w:rPr>
      </w:pPr>
      <w:r>
        <w:rPr>
          <w:rFonts w:hint="eastAsia" w:ascii="宋体" w:hAnsi="宋体"/>
          <w:bCs/>
          <w:sz w:val="24"/>
          <w:highlight w:val="none"/>
        </w:rPr>
        <w:t>2.1  除磋商文件中指定的附件和专用工具外，投标人应提供货物的正常运行和常规保养所需的全套标准附件、专用工具和消耗品。投标人在投标函中需列出这些附件和工具的数量和单价的清单，这些附件和工具的报价的总值需计入投标价中。</w:t>
      </w:r>
    </w:p>
    <w:p w14:paraId="2A5AF7A1">
      <w:pPr>
        <w:spacing w:line="360" w:lineRule="auto"/>
        <w:rPr>
          <w:rFonts w:ascii="宋体" w:hAnsi="宋体"/>
          <w:bCs/>
          <w:sz w:val="24"/>
          <w:highlight w:val="none"/>
        </w:rPr>
      </w:pPr>
      <w:r>
        <w:rPr>
          <w:rFonts w:hint="eastAsia" w:ascii="宋体" w:hAnsi="宋体"/>
          <w:bCs/>
          <w:sz w:val="24"/>
          <w:highlight w:val="none"/>
        </w:rPr>
        <w:t>2.2  对于标书技术规范中已列出的作为查询选件的附件、零配件、专用工具和消耗品，投标函中应列明其数量、单价、总价供采购人参考。投标人也可推荐采购人没有要求的附件或专用工具作为选件，并列明其数量、单价、总价供采购人参考。选件价格不计入评标价中。</w:t>
      </w:r>
    </w:p>
    <w:p w14:paraId="23339E83">
      <w:pPr>
        <w:spacing w:line="360" w:lineRule="auto"/>
        <w:rPr>
          <w:rFonts w:ascii="宋体" w:hAnsi="宋体"/>
          <w:bCs/>
          <w:sz w:val="24"/>
          <w:highlight w:val="none"/>
        </w:rPr>
      </w:pPr>
      <w:r>
        <w:rPr>
          <w:rFonts w:hint="eastAsia" w:ascii="宋体" w:hAnsi="宋体"/>
          <w:bCs/>
          <w:sz w:val="24"/>
          <w:highlight w:val="none"/>
        </w:rPr>
        <w:t>2.3  为便于采购人用户进行接收仪器的准备工作，投标人应在合同生效后60天内向采购人用户提供一套完整的使用说明书、操作手册、维修及安装说明等文件。另一套完整上述资料应在交货时随货包装提供给用户，这些费用应计入投标价中。</w:t>
      </w:r>
    </w:p>
    <w:p w14:paraId="07830183">
      <w:pPr>
        <w:spacing w:line="360" w:lineRule="auto"/>
        <w:rPr>
          <w:rFonts w:ascii="宋体" w:hAnsi="宋体"/>
          <w:bCs/>
          <w:sz w:val="24"/>
          <w:highlight w:val="none"/>
        </w:rPr>
      </w:pPr>
      <w:r>
        <w:rPr>
          <w:rFonts w:hint="eastAsia" w:ascii="宋体" w:hAnsi="宋体"/>
          <w:bCs/>
          <w:sz w:val="24"/>
          <w:highlight w:val="none"/>
        </w:rPr>
        <w:t>2.4  关于货物的安装调试，如果有必要的安装准备条件，投标人应在合同生效后一个月内向买方提出详细的要求或计划。安装调试的费用应计入投标价中，并应单独列出，供评标使用。</w:t>
      </w:r>
    </w:p>
    <w:p w14:paraId="32352413">
      <w:pPr>
        <w:spacing w:line="360" w:lineRule="auto"/>
        <w:rPr>
          <w:rFonts w:ascii="宋体" w:hAnsi="宋体"/>
          <w:bCs/>
          <w:sz w:val="24"/>
          <w:highlight w:val="none"/>
        </w:rPr>
      </w:pPr>
      <w:r>
        <w:rPr>
          <w:rFonts w:hint="eastAsia" w:ascii="宋体" w:hAnsi="宋体"/>
          <w:bCs/>
          <w:sz w:val="24"/>
          <w:highlight w:val="none"/>
        </w:rPr>
        <w:t>2.5  制造厂家提供的培训指的是涉及货物的基本原理、操作使用和保养维修等有关内容的培训。培训教员的培训费、旅费、食宿费等费用和培训场地费及培训资料费均应由投标人支付。</w:t>
      </w:r>
    </w:p>
    <w:p w14:paraId="2AD23BD4">
      <w:pPr>
        <w:spacing w:line="360" w:lineRule="auto"/>
        <w:rPr>
          <w:rFonts w:ascii="宋体" w:hAnsi="宋体"/>
          <w:bCs/>
          <w:sz w:val="24"/>
          <w:highlight w:val="none"/>
        </w:rPr>
      </w:pPr>
      <w:r>
        <w:rPr>
          <w:rFonts w:hint="eastAsia" w:ascii="宋体" w:hAnsi="宋体"/>
          <w:bCs/>
          <w:sz w:val="24"/>
          <w:highlight w:val="none"/>
        </w:rPr>
        <w:t>3、工作条件</w:t>
      </w:r>
    </w:p>
    <w:p w14:paraId="23E784CF">
      <w:pPr>
        <w:spacing w:line="360" w:lineRule="auto"/>
        <w:rPr>
          <w:rFonts w:hint="eastAsia" w:ascii="宋体" w:hAnsi="宋体"/>
          <w:bCs/>
          <w:sz w:val="24"/>
          <w:highlight w:val="none"/>
        </w:rPr>
      </w:pPr>
      <w:r>
        <w:rPr>
          <w:rFonts w:hint="eastAsia" w:ascii="宋体" w:hAnsi="宋体"/>
          <w:bCs/>
          <w:sz w:val="24"/>
          <w:highlight w:val="none"/>
        </w:rPr>
        <w:t>除非在技术规格中另有说明，所有仪器、设备和系统都应符合下列要求：</w:t>
      </w:r>
      <w:r>
        <w:rPr>
          <w:rFonts w:ascii="宋体" w:hAnsi="宋体"/>
          <w:bCs/>
          <w:sz w:val="24"/>
          <w:highlight w:val="none"/>
        </w:rPr>
        <w:t xml:space="preserve"> </w:t>
      </w:r>
    </w:p>
    <w:p w14:paraId="5FB7FFA9">
      <w:pPr>
        <w:spacing w:line="360" w:lineRule="auto"/>
        <w:rPr>
          <w:rFonts w:hint="eastAsia" w:ascii="宋体" w:hAnsi="宋体"/>
          <w:bCs/>
          <w:sz w:val="24"/>
          <w:highlight w:val="none"/>
        </w:rPr>
      </w:pPr>
      <w:r>
        <w:rPr>
          <w:rFonts w:hint="eastAsia" w:ascii="宋体" w:hAnsi="宋体"/>
          <w:bCs/>
          <w:sz w:val="24"/>
          <w:highlight w:val="none"/>
        </w:rPr>
        <w:t>3.1  适于在气温为摄氏</w:t>
      </w:r>
      <w:r>
        <w:rPr>
          <w:rFonts w:ascii="宋体" w:hAnsi="宋体"/>
          <w:bCs/>
          <w:sz w:val="24"/>
          <w:highlight w:val="none"/>
        </w:rPr>
        <w:t>-40</w:t>
      </w:r>
      <w:r>
        <w:rPr>
          <w:rFonts w:hint="eastAsia" w:ascii="宋体" w:hAnsi="宋体"/>
          <w:bCs/>
          <w:sz w:val="24"/>
          <w:highlight w:val="none"/>
        </w:rPr>
        <w:t>℃～＋</w:t>
      </w:r>
      <w:r>
        <w:rPr>
          <w:rFonts w:ascii="宋体" w:hAnsi="宋体"/>
          <w:bCs/>
          <w:sz w:val="24"/>
          <w:highlight w:val="none"/>
        </w:rPr>
        <w:t>50</w:t>
      </w:r>
      <w:r>
        <w:rPr>
          <w:rFonts w:hint="eastAsia" w:ascii="宋体" w:hAnsi="宋体"/>
          <w:bCs/>
          <w:sz w:val="24"/>
          <w:highlight w:val="none"/>
        </w:rPr>
        <w:t>℃和相对湿度为</w:t>
      </w:r>
      <w:r>
        <w:rPr>
          <w:rFonts w:ascii="宋体" w:hAnsi="宋体"/>
          <w:bCs/>
          <w:sz w:val="24"/>
          <w:highlight w:val="none"/>
        </w:rPr>
        <w:t>90</w:t>
      </w:r>
      <w:r>
        <w:rPr>
          <w:rFonts w:hint="eastAsia" w:ascii="宋体" w:hAnsi="宋体"/>
          <w:bCs/>
          <w:sz w:val="24"/>
          <w:highlight w:val="none"/>
        </w:rPr>
        <w:t>％的环境条件下运输和贮存。</w:t>
      </w:r>
    </w:p>
    <w:p w14:paraId="6C1C20CA">
      <w:pPr>
        <w:spacing w:line="360" w:lineRule="auto"/>
        <w:rPr>
          <w:rFonts w:hint="eastAsia" w:ascii="宋体" w:hAnsi="宋体"/>
          <w:bCs/>
          <w:sz w:val="24"/>
          <w:highlight w:val="none"/>
        </w:rPr>
      </w:pPr>
      <w:r>
        <w:rPr>
          <w:rFonts w:hint="eastAsia" w:ascii="宋体" w:hAnsi="宋体"/>
          <w:bCs/>
          <w:sz w:val="24"/>
          <w:highlight w:val="none"/>
        </w:rPr>
        <w:t>3.2  适于在电源</w:t>
      </w:r>
      <w:r>
        <w:rPr>
          <w:rFonts w:ascii="宋体" w:hAnsi="宋体"/>
          <w:bCs/>
          <w:sz w:val="24"/>
          <w:highlight w:val="none"/>
        </w:rPr>
        <w:t>220V</w:t>
      </w:r>
      <w:r>
        <w:rPr>
          <w:rFonts w:hint="eastAsia" w:ascii="宋体" w:hAnsi="宋体"/>
          <w:bCs/>
          <w:sz w:val="24"/>
          <w:highlight w:val="none"/>
        </w:rPr>
        <w:t>（</w:t>
      </w:r>
      <w:r>
        <w:rPr>
          <w:rFonts w:ascii="宋体" w:hAnsi="宋体"/>
          <w:bCs/>
          <w:sz w:val="24"/>
          <w:highlight w:val="none"/>
        </w:rPr>
        <w:sym w:font="Symbol" w:char="F0B1"/>
      </w:r>
      <w:r>
        <w:rPr>
          <w:rFonts w:ascii="宋体" w:hAnsi="宋体"/>
          <w:bCs/>
          <w:sz w:val="24"/>
          <w:highlight w:val="none"/>
        </w:rPr>
        <w:t>10</w:t>
      </w:r>
      <w:r>
        <w:rPr>
          <w:rFonts w:hint="eastAsia" w:ascii="宋体" w:hAnsi="宋体"/>
          <w:bCs/>
          <w:sz w:val="24"/>
          <w:highlight w:val="none"/>
        </w:rPr>
        <w:t>％）</w:t>
      </w:r>
      <w:r>
        <w:rPr>
          <w:rFonts w:ascii="宋体" w:hAnsi="宋体"/>
          <w:bCs/>
          <w:sz w:val="24"/>
          <w:highlight w:val="none"/>
        </w:rPr>
        <w:t>/50Hz</w:t>
      </w:r>
      <w:r>
        <w:rPr>
          <w:rFonts w:hint="eastAsia" w:ascii="宋体" w:hAnsi="宋体"/>
          <w:bCs/>
          <w:sz w:val="24"/>
          <w:highlight w:val="none"/>
        </w:rPr>
        <w:t>、气温摄氏+1</w:t>
      </w:r>
      <w:r>
        <w:rPr>
          <w:rFonts w:ascii="宋体" w:hAnsi="宋体"/>
          <w:bCs/>
          <w:sz w:val="24"/>
          <w:highlight w:val="none"/>
        </w:rPr>
        <w:t>5</w:t>
      </w:r>
      <w:r>
        <w:rPr>
          <w:rFonts w:hint="eastAsia" w:ascii="宋体" w:hAnsi="宋体"/>
          <w:bCs/>
          <w:sz w:val="24"/>
          <w:highlight w:val="none"/>
        </w:rPr>
        <w:t>℃～＋3</w:t>
      </w:r>
      <w:r>
        <w:rPr>
          <w:rFonts w:ascii="宋体" w:hAnsi="宋体"/>
          <w:bCs/>
          <w:sz w:val="24"/>
          <w:highlight w:val="none"/>
        </w:rPr>
        <w:t>0</w:t>
      </w:r>
      <w:r>
        <w:rPr>
          <w:rFonts w:hint="eastAsia" w:ascii="宋体" w:hAnsi="宋体"/>
          <w:bCs/>
          <w:sz w:val="24"/>
          <w:highlight w:val="none"/>
        </w:rPr>
        <w:t>℃和相对湿度小于</w:t>
      </w:r>
      <w:r>
        <w:rPr>
          <w:rFonts w:ascii="宋体" w:hAnsi="宋体"/>
          <w:bCs/>
          <w:sz w:val="24"/>
          <w:highlight w:val="none"/>
        </w:rPr>
        <w:t>8</w:t>
      </w:r>
      <w:r>
        <w:rPr>
          <w:rFonts w:hint="eastAsia" w:ascii="宋体" w:hAnsi="宋体"/>
          <w:bCs/>
          <w:sz w:val="24"/>
          <w:highlight w:val="none"/>
        </w:rPr>
        <w:t>0％的环境条件下运行。能够连续正常工作。</w:t>
      </w:r>
    </w:p>
    <w:p w14:paraId="6041BEB2">
      <w:pPr>
        <w:spacing w:line="360" w:lineRule="auto"/>
        <w:rPr>
          <w:rFonts w:hint="eastAsia" w:ascii="宋体" w:hAnsi="宋体"/>
          <w:bCs/>
          <w:sz w:val="24"/>
          <w:highlight w:val="none"/>
        </w:rPr>
      </w:pPr>
      <w:r>
        <w:rPr>
          <w:rFonts w:hint="eastAsia" w:ascii="宋体" w:hAnsi="宋体"/>
          <w:bCs/>
          <w:sz w:val="24"/>
          <w:highlight w:val="none"/>
        </w:rPr>
        <w:t>3.3  配置符合中国有关标准要求的插头，如果没有这样的插头，则需提供适当的转换插座。</w:t>
      </w:r>
    </w:p>
    <w:p w14:paraId="0AAB344E">
      <w:pPr>
        <w:spacing w:line="360" w:lineRule="auto"/>
        <w:rPr>
          <w:rFonts w:ascii="宋体" w:hAnsi="宋体"/>
          <w:bCs/>
          <w:sz w:val="24"/>
          <w:highlight w:val="none"/>
        </w:rPr>
      </w:pPr>
      <w:r>
        <w:rPr>
          <w:rFonts w:hint="eastAsia" w:ascii="宋体" w:hAnsi="宋体"/>
          <w:bCs/>
          <w:sz w:val="24"/>
          <w:highlight w:val="none"/>
        </w:rPr>
        <w:t>3.4  如产品达不到上述要求，投标人应注明其偏差。如仪器设备需要特殊工作条件（如水、电源、磁场强度、温度、湿度、动强度等）投标人应在投标书中加以说明。</w:t>
      </w:r>
    </w:p>
    <w:p w14:paraId="650BFF6F">
      <w:pPr>
        <w:spacing w:line="360" w:lineRule="auto"/>
        <w:rPr>
          <w:rFonts w:ascii="宋体" w:hAnsi="宋体"/>
          <w:bCs/>
          <w:sz w:val="24"/>
          <w:highlight w:val="none"/>
        </w:rPr>
      </w:pPr>
      <w:r>
        <w:rPr>
          <w:rFonts w:hint="eastAsia" w:ascii="宋体" w:hAnsi="宋体"/>
          <w:bCs/>
          <w:sz w:val="24"/>
          <w:highlight w:val="none"/>
        </w:rPr>
        <w:t>4、验收标准</w:t>
      </w:r>
    </w:p>
    <w:p w14:paraId="6DEC7FB2">
      <w:pPr>
        <w:spacing w:line="360" w:lineRule="auto"/>
        <w:rPr>
          <w:rFonts w:ascii="宋体" w:hAnsi="宋体"/>
          <w:bCs/>
          <w:sz w:val="24"/>
          <w:highlight w:val="none"/>
        </w:rPr>
      </w:pPr>
      <w:r>
        <w:rPr>
          <w:rFonts w:hint="eastAsia" w:ascii="宋体" w:hAnsi="宋体"/>
          <w:bCs/>
          <w:sz w:val="24"/>
          <w:highlight w:val="none"/>
        </w:rPr>
        <w:t xml:space="preserve">除非在技术规格中另有说明，所有货物和系统按下列要求进行验收： </w:t>
      </w:r>
    </w:p>
    <w:p w14:paraId="1E66FC9F">
      <w:pPr>
        <w:spacing w:line="360" w:lineRule="auto"/>
        <w:rPr>
          <w:rFonts w:ascii="宋体" w:hAnsi="宋体"/>
          <w:bCs/>
          <w:sz w:val="24"/>
          <w:highlight w:val="none"/>
        </w:rPr>
      </w:pPr>
      <w:r>
        <w:rPr>
          <w:rFonts w:hint="eastAsia" w:ascii="宋体" w:hAnsi="宋体"/>
          <w:bCs/>
          <w:sz w:val="24"/>
          <w:highlight w:val="none"/>
        </w:rPr>
        <w:t>4.1 货物运抵安装现场后，采购人将与中标人共同开箱验收,如中标人届时不派人来, 则验收结果应以采购人的验收报告为最终验收结果。验收时发现短缺、破损, 采购人有权要求中标人负责更换。</w:t>
      </w:r>
    </w:p>
    <w:p w14:paraId="0834C6CE">
      <w:pPr>
        <w:spacing w:line="360" w:lineRule="auto"/>
        <w:rPr>
          <w:rFonts w:ascii="宋体" w:hAnsi="宋体"/>
          <w:bCs/>
          <w:sz w:val="24"/>
          <w:highlight w:val="none"/>
        </w:rPr>
      </w:pPr>
      <w:r>
        <w:rPr>
          <w:rFonts w:hint="eastAsia" w:ascii="宋体" w:hAnsi="宋体"/>
          <w:bCs/>
          <w:sz w:val="24"/>
          <w:highlight w:val="none"/>
        </w:rPr>
        <w:t>4.2  验收标准以中标人提供的投标文件中所列的指标为准。任何虚假指标响应一经发现即作废标，中标人必须承担由此给采购人带来的一切经济损失和其它相关责任。</w:t>
      </w:r>
    </w:p>
    <w:p w14:paraId="48FA6DB4">
      <w:pPr>
        <w:spacing w:line="360" w:lineRule="auto"/>
        <w:rPr>
          <w:rFonts w:ascii="宋体" w:hAnsi="宋体"/>
          <w:bCs/>
          <w:sz w:val="24"/>
          <w:highlight w:val="none"/>
        </w:rPr>
      </w:pPr>
      <w:r>
        <w:rPr>
          <w:rFonts w:hint="eastAsia" w:ascii="宋体" w:hAnsi="宋体"/>
          <w:bCs/>
          <w:sz w:val="24"/>
          <w:highlight w:val="none"/>
        </w:rPr>
        <w:t>4.3  验收由采购人、中标人及相关人员依国家有关标准、合同及有关附件要求进行，验收完毕由采购人及中标人在验收报告上签名。</w:t>
      </w:r>
    </w:p>
    <w:p w14:paraId="6F937DD9">
      <w:pPr>
        <w:spacing w:line="360" w:lineRule="auto"/>
        <w:rPr>
          <w:rFonts w:ascii="宋体" w:hAnsi="宋体"/>
          <w:bCs/>
          <w:sz w:val="24"/>
          <w:highlight w:val="none"/>
        </w:rPr>
      </w:pPr>
    </w:p>
    <w:p w14:paraId="479D9488">
      <w:pPr>
        <w:spacing w:line="360" w:lineRule="auto"/>
        <w:rPr>
          <w:rFonts w:ascii="宋体" w:hAnsi="宋体"/>
          <w:b/>
          <w:sz w:val="24"/>
          <w:highlight w:val="none"/>
        </w:rPr>
      </w:pPr>
      <w:r>
        <w:rPr>
          <w:rFonts w:hint="eastAsia" w:ascii="宋体" w:hAnsi="宋体"/>
          <w:b/>
          <w:sz w:val="24"/>
          <w:highlight w:val="none"/>
        </w:rPr>
        <w:t>5、本项目需求中标注“★”号的为实质性要求，不满足其投标将被拒绝。</w:t>
      </w:r>
    </w:p>
    <w:p w14:paraId="1043AF7F">
      <w:pPr>
        <w:spacing w:line="360" w:lineRule="auto"/>
        <w:rPr>
          <w:rFonts w:ascii="宋体" w:hAnsi="宋体"/>
          <w:b/>
          <w:sz w:val="24"/>
          <w:highlight w:val="none"/>
        </w:rPr>
      </w:pPr>
    </w:p>
    <w:p w14:paraId="60064ED3">
      <w:pPr>
        <w:spacing w:before="120" w:beforeLines="50" w:after="120" w:afterLines="50" w:line="360" w:lineRule="auto"/>
        <w:ind w:left="601" w:hanging="601"/>
        <w:rPr>
          <w:rFonts w:hint="eastAsia" w:ascii="宋体" w:hAnsi="宋体" w:cs="宋体"/>
          <w:b/>
          <w:sz w:val="24"/>
          <w:highlight w:val="none"/>
        </w:rPr>
      </w:pPr>
      <w:r>
        <w:rPr>
          <w:rFonts w:hint="eastAsia" w:ascii="宋体" w:hAnsi="宋体"/>
          <w:b/>
          <w:sz w:val="24"/>
          <w:highlight w:val="none"/>
        </w:rPr>
        <w:t>6、如在具体要求中有本总则不一致之处，以具体要求中的要求内容为准。</w:t>
      </w:r>
    </w:p>
    <w:p w14:paraId="1CD2A2B4">
      <w:pPr>
        <w:spacing w:after="120" w:afterLines="50" w:line="360" w:lineRule="auto"/>
        <w:rPr>
          <w:rFonts w:hint="eastAsia" w:ascii="宋体" w:hAnsi="宋体" w:cs="宋体"/>
          <w:b/>
          <w:sz w:val="24"/>
          <w:highlight w:val="none"/>
        </w:rPr>
      </w:pPr>
      <w:r>
        <w:rPr>
          <w:rFonts w:hint="eastAsia" w:ascii="宋体" w:hAnsi="宋体" w:cs="宋体"/>
          <w:b/>
          <w:sz w:val="24"/>
          <w:highlight w:val="none"/>
        </w:rPr>
        <w:br w:type="page"/>
      </w:r>
      <w:r>
        <w:rPr>
          <w:rFonts w:hint="eastAsia" w:ascii="宋体" w:hAnsi="宋体" w:cs="宋体"/>
          <w:b/>
          <w:sz w:val="24"/>
          <w:highlight w:val="none"/>
        </w:rPr>
        <w:t>三、具体技术规格</w:t>
      </w:r>
    </w:p>
    <w:p w14:paraId="1430F2A3">
      <w:pPr>
        <w:spacing w:line="360" w:lineRule="auto"/>
        <w:outlineLvl w:val="1"/>
        <w:rPr>
          <w:rFonts w:ascii="宋体" w:hAnsi="宋体" w:cs="宋体"/>
          <w:b/>
          <w:sz w:val="24"/>
          <w:highlight w:val="none"/>
        </w:rPr>
      </w:pPr>
      <w:r>
        <w:rPr>
          <w:rFonts w:hint="eastAsia" w:ascii="宋体" w:hAnsi="宋体" w:cs="宋体"/>
          <w:b/>
          <w:sz w:val="24"/>
          <w:highlight w:val="none"/>
        </w:rPr>
        <w:t>（一）技术要求：</w:t>
      </w:r>
    </w:p>
    <w:p w14:paraId="31F97385">
      <w:pPr>
        <w:numPr>
          <w:ilvl w:val="0"/>
          <w:numId w:val="1"/>
        </w:numPr>
        <w:spacing w:line="360" w:lineRule="auto"/>
        <w:rPr>
          <w:rFonts w:hint="eastAsia"/>
          <w:b/>
          <w:sz w:val="24"/>
          <w:highlight w:val="none"/>
        </w:rPr>
      </w:pPr>
      <w:r>
        <w:rPr>
          <w:rFonts w:hint="eastAsia"/>
          <w:b/>
          <w:sz w:val="24"/>
          <w:highlight w:val="none"/>
        </w:rPr>
        <w:t>工作条件：</w:t>
      </w:r>
    </w:p>
    <w:p w14:paraId="211716B1">
      <w:pPr>
        <w:spacing w:line="360" w:lineRule="auto"/>
        <w:rPr>
          <w:rFonts w:hint="eastAsia"/>
          <w:sz w:val="24"/>
          <w:highlight w:val="none"/>
        </w:rPr>
      </w:pPr>
      <w:r>
        <w:rPr>
          <w:rFonts w:hint="eastAsia"/>
          <w:sz w:val="24"/>
          <w:highlight w:val="none"/>
        </w:rPr>
        <w:t>1.1 电源：380V，50 Hz；</w:t>
      </w:r>
    </w:p>
    <w:p w14:paraId="22196401">
      <w:pPr>
        <w:spacing w:line="360" w:lineRule="auto"/>
        <w:rPr>
          <w:rFonts w:hint="eastAsia"/>
          <w:sz w:val="24"/>
          <w:highlight w:val="none"/>
        </w:rPr>
      </w:pPr>
      <w:r>
        <w:rPr>
          <w:rFonts w:hint="eastAsia"/>
          <w:sz w:val="24"/>
          <w:highlight w:val="none"/>
        </w:rPr>
        <w:t>1.2 工作环境温度：15～35℃；</w:t>
      </w:r>
    </w:p>
    <w:p w14:paraId="7F915E9D">
      <w:pPr>
        <w:spacing w:line="360" w:lineRule="auto"/>
        <w:rPr>
          <w:rFonts w:hint="eastAsia"/>
          <w:sz w:val="24"/>
          <w:highlight w:val="none"/>
        </w:rPr>
      </w:pPr>
      <w:r>
        <w:rPr>
          <w:rFonts w:hint="eastAsia"/>
          <w:sz w:val="24"/>
          <w:highlight w:val="none"/>
        </w:rPr>
        <w:t>1.3工作环境湿度：≤90%；</w:t>
      </w:r>
    </w:p>
    <w:p w14:paraId="44651442">
      <w:pPr>
        <w:spacing w:line="360" w:lineRule="auto"/>
        <w:rPr>
          <w:rFonts w:hint="eastAsia"/>
          <w:sz w:val="24"/>
          <w:highlight w:val="none"/>
        </w:rPr>
      </w:pPr>
    </w:p>
    <w:p w14:paraId="10EEE857">
      <w:pPr>
        <w:spacing w:line="360" w:lineRule="auto"/>
        <w:rPr>
          <w:rFonts w:hint="eastAsia"/>
          <w:b/>
          <w:sz w:val="24"/>
          <w:highlight w:val="none"/>
        </w:rPr>
      </w:pPr>
      <w:r>
        <w:rPr>
          <w:rFonts w:hint="eastAsia"/>
          <w:b/>
          <w:sz w:val="24"/>
          <w:highlight w:val="none"/>
        </w:rPr>
        <w:t>2.  设备用途：</w:t>
      </w:r>
    </w:p>
    <w:p w14:paraId="2DBA5E99">
      <w:pPr>
        <w:spacing w:line="360" w:lineRule="auto"/>
        <w:rPr>
          <w:color w:val="000000"/>
          <w:sz w:val="24"/>
          <w:highlight w:val="none"/>
        </w:rPr>
      </w:pPr>
      <w:r>
        <w:rPr>
          <w:rFonts w:hint="eastAsia"/>
          <w:sz w:val="24"/>
          <w:highlight w:val="none"/>
        </w:rPr>
        <w:t>2.1 用于动物的飞行行为研究，主要关注动物飞行状态下的空气动力学，通过快速或者实时测量动物飞行时的代谢参数了解和探索动物飞行过程中的生理变化过程，包括飞行时的糖代谢、脂代谢、蛋白代谢以及糖脂代谢转换等核心问题。</w:t>
      </w:r>
    </w:p>
    <w:p w14:paraId="3ECB2D96">
      <w:pPr>
        <w:spacing w:line="360" w:lineRule="auto"/>
        <w:rPr>
          <w:rFonts w:hint="eastAsia"/>
          <w:color w:val="000000"/>
          <w:sz w:val="24"/>
          <w:highlight w:val="none"/>
        </w:rPr>
      </w:pPr>
    </w:p>
    <w:p w14:paraId="43A89D82">
      <w:pPr>
        <w:spacing w:line="360" w:lineRule="auto"/>
        <w:contextualSpacing/>
        <w:rPr>
          <w:b/>
          <w:color w:val="000000"/>
          <w:sz w:val="24"/>
          <w:highlight w:val="none"/>
        </w:rPr>
      </w:pPr>
      <w:r>
        <w:rPr>
          <w:b/>
          <w:sz w:val="24"/>
          <w:highlight w:val="none"/>
        </w:rPr>
        <w:t xml:space="preserve">3. </w:t>
      </w:r>
      <w:r>
        <w:rPr>
          <w:b/>
          <w:color w:val="000000"/>
          <w:sz w:val="24"/>
          <w:highlight w:val="none"/>
        </w:rPr>
        <w:t>主要技术参数</w:t>
      </w:r>
    </w:p>
    <w:p w14:paraId="093B0170">
      <w:pPr>
        <w:spacing w:line="360" w:lineRule="auto"/>
        <w:contextualSpacing/>
        <w:rPr>
          <w:b/>
          <w:color w:val="000000"/>
          <w:sz w:val="24"/>
          <w:highlight w:val="none"/>
        </w:rPr>
      </w:pPr>
      <w:r>
        <w:rPr>
          <w:b/>
          <w:color w:val="000000"/>
          <w:sz w:val="24"/>
          <w:highlight w:val="none"/>
        </w:rPr>
        <w:t>3.1 主机</w:t>
      </w:r>
    </w:p>
    <w:p w14:paraId="52070E94">
      <w:pPr>
        <w:spacing w:line="360" w:lineRule="auto"/>
        <w:contextualSpacing/>
        <w:rPr>
          <w:b/>
          <w:color w:val="000000"/>
          <w:sz w:val="24"/>
          <w:highlight w:val="none"/>
        </w:rPr>
      </w:pPr>
      <w:r>
        <w:rPr>
          <w:rFonts w:hint="eastAsia"/>
          <w:bCs/>
          <w:color w:val="000000"/>
          <w:kern w:val="0"/>
          <w:sz w:val="24"/>
          <w:highlight w:val="none"/>
        </w:rPr>
        <w:t>▲</w:t>
      </w:r>
      <w:r>
        <w:rPr>
          <w:color w:val="000000"/>
          <w:sz w:val="24"/>
          <w:highlight w:val="none"/>
        </w:rPr>
        <w:t>3.1.1动力段：动力段调节精度0.01Hz，风量调节范围</w:t>
      </w:r>
      <w:r>
        <w:rPr>
          <w:sz w:val="24"/>
          <w:highlight w:val="none"/>
        </w:rPr>
        <w:t>（2100～9000）m</w:t>
      </w:r>
      <w:r>
        <w:rPr>
          <w:sz w:val="24"/>
          <w:highlight w:val="none"/>
          <w:vertAlign w:val="superscript"/>
        </w:rPr>
        <w:t>3</w:t>
      </w:r>
      <w:r>
        <w:rPr>
          <w:sz w:val="24"/>
          <w:highlight w:val="none"/>
        </w:rPr>
        <w:t>/h，风量波动范围±1%，风压范围1070Pa-750Pa，电机功率</w:t>
      </w:r>
      <w:r>
        <w:rPr>
          <w:rFonts w:hint="eastAsia"/>
          <w:highlight w:val="none"/>
        </w:rPr>
        <w:t>≥</w:t>
      </w:r>
      <w:r>
        <w:rPr>
          <w:sz w:val="24"/>
          <w:highlight w:val="none"/>
        </w:rPr>
        <w:t>37KW</w:t>
      </w:r>
      <w:r>
        <w:rPr>
          <w:rFonts w:hint="eastAsia"/>
          <w:sz w:val="24"/>
          <w:highlight w:val="none"/>
        </w:rPr>
        <w:t>，</w:t>
      </w:r>
      <w:r>
        <w:rPr>
          <w:sz w:val="24"/>
          <w:highlight w:val="none"/>
        </w:rPr>
        <w:t>噪声</w:t>
      </w:r>
      <w:r>
        <w:rPr>
          <w:rFonts w:hint="eastAsia"/>
          <w:highlight w:val="none"/>
        </w:rPr>
        <w:t>≤</w:t>
      </w:r>
      <w:r>
        <w:rPr>
          <w:sz w:val="24"/>
          <w:highlight w:val="none"/>
        </w:rPr>
        <w:t>94dB（A），配变频电机；</w:t>
      </w:r>
    </w:p>
    <w:p w14:paraId="2D4B8E6D">
      <w:pPr>
        <w:spacing w:line="360" w:lineRule="auto"/>
        <w:contextualSpacing/>
        <w:rPr>
          <w:b/>
          <w:color w:val="000000"/>
          <w:sz w:val="24"/>
          <w:highlight w:val="none"/>
        </w:rPr>
      </w:pPr>
      <w:r>
        <w:rPr>
          <w:rFonts w:hint="eastAsia"/>
          <w:bCs/>
          <w:color w:val="000000"/>
          <w:kern w:val="0"/>
          <w:sz w:val="24"/>
          <w:highlight w:val="none"/>
        </w:rPr>
        <w:t>▲</w:t>
      </w:r>
      <w:r>
        <w:rPr>
          <w:color w:val="000000"/>
          <w:sz w:val="24"/>
          <w:highlight w:val="none"/>
        </w:rPr>
        <w:t>3.1.2</w:t>
      </w:r>
      <w:r>
        <w:rPr>
          <w:sz w:val="24"/>
          <w:highlight w:val="none"/>
        </w:rPr>
        <w:t>试验段尺寸不低于1*1*2m。</w:t>
      </w:r>
    </w:p>
    <w:p w14:paraId="6E58B0E0">
      <w:pPr>
        <w:spacing w:line="360" w:lineRule="auto"/>
        <w:contextualSpacing/>
        <w:rPr>
          <w:b/>
          <w:color w:val="000000"/>
          <w:sz w:val="24"/>
          <w:highlight w:val="none"/>
        </w:rPr>
      </w:pPr>
      <w:r>
        <w:rPr>
          <w:color w:val="000000"/>
          <w:sz w:val="24"/>
          <w:highlight w:val="none"/>
        </w:rPr>
        <w:t>3.1.3风洞结构：集气口、稳定段、收缩段、试验段、扩散段、方圆转换段、动力段等</w:t>
      </w:r>
      <w:r>
        <w:rPr>
          <w:rFonts w:hint="eastAsia"/>
          <w:color w:val="000000"/>
          <w:sz w:val="24"/>
          <w:highlight w:val="none"/>
        </w:rPr>
        <w:t>；</w:t>
      </w:r>
      <w:r>
        <w:rPr>
          <w:color w:val="000000"/>
          <w:sz w:val="24"/>
          <w:highlight w:val="none"/>
        </w:rPr>
        <w:t>3.1.4试验段：包含一套皮托管，前后透明门窗，便于使用激光多普勒测速仪；</w:t>
      </w:r>
    </w:p>
    <w:p w14:paraId="29A21EC4">
      <w:pPr>
        <w:spacing w:line="360" w:lineRule="auto"/>
        <w:contextualSpacing/>
        <w:rPr>
          <w:b/>
          <w:color w:val="000000"/>
          <w:sz w:val="24"/>
          <w:highlight w:val="none"/>
        </w:rPr>
      </w:pPr>
      <w:r>
        <w:rPr>
          <w:color w:val="000000"/>
          <w:sz w:val="24"/>
          <w:highlight w:val="none"/>
        </w:rPr>
        <w:t>3.1.5稳定段：包含不锈钢六角形蜂窝器一套，不锈钢阻尼网3套（20目、30目40目各一套）。</w:t>
      </w:r>
    </w:p>
    <w:p w14:paraId="5258873B">
      <w:pPr>
        <w:spacing w:line="360" w:lineRule="auto"/>
        <w:contextualSpacing/>
        <w:rPr>
          <w:b/>
          <w:color w:val="000000"/>
          <w:sz w:val="24"/>
          <w:highlight w:val="none"/>
        </w:rPr>
      </w:pPr>
      <w:r>
        <w:rPr>
          <w:color w:val="000000"/>
          <w:sz w:val="24"/>
          <w:highlight w:val="none"/>
        </w:rPr>
        <w:t>3.1.6收缩段；采用双三次方曲线加工；</w:t>
      </w:r>
    </w:p>
    <w:p w14:paraId="4C4B0724">
      <w:pPr>
        <w:spacing w:line="360" w:lineRule="auto"/>
        <w:contextualSpacing/>
        <w:rPr>
          <w:b/>
          <w:color w:val="000000"/>
          <w:sz w:val="24"/>
          <w:highlight w:val="none"/>
        </w:rPr>
      </w:pPr>
      <w:r>
        <w:rPr>
          <w:color w:val="000000"/>
          <w:sz w:val="24"/>
          <w:highlight w:val="none"/>
        </w:rPr>
        <w:t>3.1.7 配套1个变频器，调节范围00.00-50.00Hz。</w:t>
      </w:r>
    </w:p>
    <w:p w14:paraId="1BF5136D">
      <w:pPr>
        <w:spacing w:line="360" w:lineRule="auto"/>
        <w:contextualSpacing/>
        <w:rPr>
          <w:b/>
          <w:color w:val="000000"/>
          <w:sz w:val="24"/>
          <w:highlight w:val="none"/>
        </w:rPr>
      </w:pPr>
      <w:r>
        <w:rPr>
          <w:color w:val="000000"/>
          <w:sz w:val="24"/>
          <w:highlight w:val="none"/>
        </w:rPr>
        <w:t>3.1.8 配备符合国标标准的温度变送器一台(量程0-50</w:t>
      </w:r>
      <w:r>
        <w:rPr>
          <w:rFonts w:hint="eastAsia" w:ascii="宋体" w:hAnsi="宋体" w:cs="宋体"/>
          <w:color w:val="000000"/>
          <w:sz w:val="24"/>
          <w:highlight w:val="none"/>
        </w:rPr>
        <w:t>℃</w:t>
      </w:r>
      <w:r>
        <w:rPr>
          <w:color w:val="000000"/>
          <w:sz w:val="24"/>
          <w:highlight w:val="none"/>
        </w:rPr>
        <w:t>，精度±0.2</w:t>
      </w:r>
      <w:r>
        <w:rPr>
          <w:rFonts w:hint="eastAsia" w:ascii="宋体" w:hAnsi="宋体" w:cs="宋体"/>
          <w:color w:val="000000"/>
          <w:sz w:val="24"/>
          <w:highlight w:val="none"/>
        </w:rPr>
        <w:t>℃</w:t>
      </w:r>
      <w:r>
        <w:rPr>
          <w:color w:val="000000"/>
          <w:sz w:val="24"/>
          <w:highlight w:val="none"/>
        </w:rPr>
        <w:t>）</w:t>
      </w:r>
    </w:p>
    <w:p w14:paraId="76AF74AC">
      <w:pPr>
        <w:spacing w:line="360" w:lineRule="auto"/>
        <w:contextualSpacing/>
        <w:rPr>
          <w:b/>
          <w:color w:val="000000"/>
          <w:sz w:val="24"/>
          <w:highlight w:val="none"/>
        </w:rPr>
      </w:pPr>
      <w:r>
        <w:rPr>
          <w:color w:val="000000"/>
          <w:sz w:val="24"/>
          <w:highlight w:val="none"/>
        </w:rPr>
        <w:t>3.1.9 配备符合国标标准的湿度变送器一台（量程0-100%，精度±3%）</w:t>
      </w:r>
    </w:p>
    <w:p w14:paraId="2F185759">
      <w:pPr>
        <w:spacing w:line="360" w:lineRule="auto"/>
        <w:contextualSpacing/>
        <w:rPr>
          <w:b/>
          <w:color w:val="000000"/>
          <w:sz w:val="24"/>
          <w:highlight w:val="none"/>
        </w:rPr>
      </w:pPr>
      <w:r>
        <w:rPr>
          <w:color w:val="000000"/>
          <w:sz w:val="24"/>
          <w:highlight w:val="none"/>
        </w:rPr>
        <w:t>3.1.10 配备大气压力变送器一台（量程800-1200hPa，精度0.04%）</w:t>
      </w:r>
    </w:p>
    <w:p w14:paraId="2EF067C5">
      <w:pPr>
        <w:spacing w:line="360" w:lineRule="auto"/>
        <w:contextualSpacing/>
        <w:rPr>
          <w:b/>
          <w:color w:val="000000"/>
          <w:sz w:val="24"/>
          <w:highlight w:val="none"/>
        </w:rPr>
      </w:pPr>
      <w:r>
        <w:rPr>
          <w:b/>
          <w:color w:val="000000"/>
          <w:sz w:val="24"/>
          <w:highlight w:val="none"/>
        </w:rPr>
        <w:t>3.2  技术</w:t>
      </w:r>
      <w:r>
        <w:rPr>
          <w:rFonts w:hint="eastAsia"/>
          <w:b/>
          <w:color w:val="000000"/>
          <w:sz w:val="24"/>
          <w:highlight w:val="none"/>
        </w:rPr>
        <w:t>指标</w:t>
      </w:r>
      <w:r>
        <w:rPr>
          <w:b/>
          <w:color w:val="000000"/>
          <w:sz w:val="24"/>
          <w:highlight w:val="none"/>
        </w:rPr>
        <w:t>要求：</w:t>
      </w:r>
      <w:r>
        <w:rPr>
          <w:rFonts w:hint="eastAsia"/>
          <w:b/>
          <w:bCs/>
          <w:color w:val="000000"/>
          <w:sz w:val="24"/>
          <w:highlight w:val="none"/>
        </w:rPr>
        <w:t>【</w:t>
      </w:r>
      <w:r>
        <w:rPr>
          <w:rFonts w:hint="eastAsia"/>
          <w:b/>
          <w:bCs/>
          <w:color w:val="000000"/>
          <w:sz w:val="24"/>
          <w:highlight w:val="none"/>
          <w:lang w:val="en-US" w:eastAsia="zh-CN"/>
        </w:rPr>
        <w:t>以下技术指标要求均需</w:t>
      </w:r>
      <w:r>
        <w:rPr>
          <w:rFonts w:hint="eastAsia"/>
          <w:b/>
          <w:bCs/>
          <w:color w:val="000000"/>
          <w:sz w:val="24"/>
          <w:highlight w:val="none"/>
        </w:rPr>
        <w:t>提供制造商公开发布的印刷资料（彩页或产品白皮书或Datasheet）或检测机构出具的检测报告】</w:t>
      </w:r>
    </w:p>
    <w:p w14:paraId="257264CA">
      <w:pPr>
        <w:spacing w:line="360" w:lineRule="auto"/>
        <w:contextualSpacing/>
        <w:rPr>
          <w:rFonts w:hint="eastAsia"/>
          <w:bCs/>
          <w:color w:val="000000"/>
          <w:kern w:val="0"/>
          <w:sz w:val="24"/>
          <w:highlight w:val="none"/>
        </w:rPr>
      </w:pPr>
      <w:r>
        <w:rPr>
          <w:rFonts w:hint="eastAsia" w:ascii="宋体" w:hAnsi="宋体" w:cs="宋体"/>
          <w:b/>
          <w:sz w:val="22"/>
          <w:szCs w:val="22"/>
          <w:highlight w:val="none"/>
        </w:rPr>
        <w:t>★</w:t>
      </w:r>
      <w:r>
        <w:rPr>
          <w:bCs/>
          <w:color w:val="000000"/>
          <w:kern w:val="0"/>
          <w:sz w:val="24"/>
          <w:highlight w:val="none"/>
        </w:rPr>
        <w:t>3</w:t>
      </w:r>
      <w:r>
        <w:rPr>
          <w:color w:val="000000"/>
          <w:sz w:val="24"/>
          <w:highlight w:val="none"/>
        </w:rPr>
        <w:t>.2.1</w:t>
      </w:r>
      <w:r>
        <w:rPr>
          <w:bCs/>
          <w:color w:val="000000"/>
          <w:kern w:val="0"/>
          <w:sz w:val="24"/>
          <w:highlight w:val="none"/>
        </w:rPr>
        <w:t>风速范围覆盖0.6-25m/s</w:t>
      </w:r>
      <w:r>
        <w:rPr>
          <w:rFonts w:hint="eastAsia"/>
          <w:bCs/>
          <w:color w:val="000000"/>
          <w:kern w:val="0"/>
          <w:sz w:val="24"/>
          <w:highlight w:val="none"/>
        </w:rPr>
        <w:t>；</w:t>
      </w:r>
    </w:p>
    <w:p w14:paraId="1215D41A">
      <w:pPr>
        <w:spacing w:line="360" w:lineRule="auto"/>
        <w:contextualSpacing/>
        <w:rPr>
          <w:color w:val="000000"/>
          <w:sz w:val="24"/>
          <w:highlight w:val="none"/>
        </w:rPr>
      </w:pPr>
      <w:r>
        <w:rPr>
          <w:rFonts w:hint="eastAsia"/>
          <w:bCs/>
          <w:color w:val="000000"/>
          <w:kern w:val="0"/>
          <w:sz w:val="24"/>
          <w:highlight w:val="none"/>
        </w:rPr>
        <w:t>▲</w:t>
      </w:r>
      <w:r>
        <w:rPr>
          <w:bCs/>
          <w:color w:val="000000"/>
          <w:kern w:val="0"/>
          <w:sz w:val="24"/>
          <w:highlight w:val="none"/>
        </w:rPr>
        <w:t>3</w:t>
      </w:r>
      <w:r>
        <w:rPr>
          <w:color w:val="000000"/>
          <w:sz w:val="24"/>
          <w:highlight w:val="none"/>
        </w:rPr>
        <w:t>.2.2</w:t>
      </w:r>
      <w:r>
        <w:rPr>
          <w:rFonts w:hint="eastAsia"/>
          <w:color w:val="000000"/>
          <w:sz w:val="24"/>
          <w:highlight w:val="none"/>
        </w:rPr>
        <w:t>试验</w:t>
      </w:r>
      <w:r>
        <w:rPr>
          <w:color w:val="000000"/>
          <w:sz w:val="24"/>
          <w:highlight w:val="none"/>
        </w:rPr>
        <w:t>段尺寸不小于1m*1m*2m；</w:t>
      </w:r>
    </w:p>
    <w:p w14:paraId="3487D4B8">
      <w:pPr>
        <w:widowControl/>
        <w:spacing w:line="360" w:lineRule="auto"/>
        <w:contextualSpacing/>
        <w:jc w:val="left"/>
        <w:rPr>
          <w:rFonts w:hint="eastAsia"/>
          <w:color w:val="000000"/>
          <w:sz w:val="24"/>
          <w:highlight w:val="none"/>
        </w:rPr>
      </w:pPr>
      <w:r>
        <w:rPr>
          <w:rFonts w:hint="eastAsia"/>
          <w:bCs/>
          <w:color w:val="000000"/>
          <w:kern w:val="0"/>
          <w:sz w:val="24"/>
          <w:highlight w:val="none"/>
        </w:rPr>
        <w:t>▲</w:t>
      </w:r>
      <w:r>
        <w:rPr>
          <w:bCs/>
          <w:color w:val="000000"/>
          <w:kern w:val="0"/>
          <w:sz w:val="24"/>
          <w:highlight w:val="none"/>
        </w:rPr>
        <w:t>3</w:t>
      </w:r>
      <w:r>
        <w:rPr>
          <w:color w:val="000000"/>
          <w:sz w:val="24"/>
          <w:highlight w:val="none"/>
        </w:rPr>
        <w:t>.2.3流场均匀性偏差:≤1.5%</w:t>
      </w:r>
      <w:r>
        <w:rPr>
          <w:rFonts w:hint="eastAsia"/>
          <w:color w:val="000000"/>
          <w:sz w:val="24"/>
          <w:highlight w:val="none"/>
        </w:rPr>
        <w:t>；</w:t>
      </w:r>
    </w:p>
    <w:p w14:paraId="0311A650">
      <w:pPr>
        <w:spacing w:line="360" w:lineRule="auto"/>
        <w:contextualSpacing/>
        <w:rPr>
          <w:rFonts w:hint="eastAsia"/>
          <w:color w:val="000000"/>
          <w:sz w:val="24"/>
          <w:highlight w:val="none"/>
        </w:rPr>
      </w:pPr>
      <w:r>
        <w:rPr>
          <w:rFonts w:hint="eastAsia"/>
          <w:bCs/>
          <w:color w:val="000000"/>
          <w:kern w:val="0"/>
          <w:sz w:val="24"/>
          <w:highlight w:val="none"/>
        </w:rPr>
        <w:t>▲</w:t>
      </w:r>
      <w:r>
        <w:rPr>
          <w:bCs/>
          <w:color w:val="000000"/>
          <w:kern w:val="0"/>
          <w:sz w:val="24"/>
          <w:highlight w:val="none"/>
        </w:rPr>
        <w:t>3</w:t>
      </w:r>
      <w:r>
        <w:rPr>
          <w:color w:val="000000"/>
          <w:sz w:val="24"/>
          <w:highlight w:val="none"/>
        </w:rPr>
        <w:t>.2.4</w:t>
      </w:r>
      <w:r>
        <w:rPr>
          <w:rFonts w:hint="eastAsia"/>
          <w:color w:val="000000"/>
          <w:sz w:val="24"/>
          <w:highlight w:val="none"/>
        </w:rPr>
        <w:t>风</w:t>
      </w:r>
      <w:r>
        <w:rPr>
          <w:color w:val="000000"/>
          <w:sz w:val="24"/>
          <w:highlight w:val="none"/>
        </w:rPr>
        <w:t>速</w:t>
      </w:r>
      <w:r>
        <w:rPr>
          <w:rFonts w:hint="eastAsia"/>
          <w:color w:val="000000"/>
          <w:sz w:val="24"/>
          <w:highlight w:val="none"/>
        </w:rPr>
        <w:t>不</w:t>
      </w:r>
      <w:r>
        <w:rPr>
          <w:color w:val="000000"/>
          <w:sz w:val="24"/>
          <w:highlight w:val="none"/>
        </w:rPr>
        <w:t>稳定性:</w:t>
      </w:r>
      <w:r>
        <w:rPr>
          <w:rFonts w:hint="eastAsia" w:ascii="宋体" w:hAnsi="宋体" w:cs="宋体"/>
          <w:color w:val="000000"/>
          <w:sz w:val="24"/>
          <w:highlight w:val="none"/>
        </w:rPr>
        <w:t>≦</w:t>
      </w:r>
      <w:r>
        <w:rPr>
          <w:color w:val="000000"/>
          <w:sz w:val="24"/>
          <w:highlight w:val="none"/>
        </w:rPr>
        <w:t>0.8%</w:t>
      </w:r>
      <w:r>
        <w:rPr>
          <w:rFonts w:hint="eastAsia"/>
          <w:color w:val="000000"/>
          <w:sz w:val="24"/>
          <w:highlight w:val="none"/>
        </w:rPr>
        <w:t>；</w:t>
      </w:r>
    </w:p>
    <w:p w14:paraId="35438AAC">
      <w:pPr>
        <w:spacing w:line="360" w:lineRule="auto"/>
        <w:contextualSpacing/>
        <w:rPr>
          <w:color w:val="000000"/>
          <w:sz w:val="24"/>
          <w:highlight w:val="none"/>
        </w:rPr>
      </w:pPr>
      <w:r>
        <w:rPr>
          <w:rFonts w:hint="eastAsia"/>
          <w:bCs/>
          <w:color w:val="000000"/>
          <w:kern w:val="0"/>
          <w:sz w:val="24"/>
          <w:highlight w:val="none"/>
        </w:rPr>
        <w:t>▲</w:t>
      </w:r>
      <w:r>
        <w:rPr>
          <w:bCs/>
          <w:color w:val="000000"/>
          <w:kern w:val="0"/>
          <w:sz w:val="24"/>
          <w:highlight w:val="none"/>
        </w:rPr>
        <w:t>3</w:t>
      </w:r>
      <w:r>
        <w:rPr>
          <w:color w:val="000000"/>
          <w:sz w:val="24"/>
          <w:highlight w:val="none"/>
        </w:rPr>
        <w:t>.2.5</w:t>
      </w:r>
      <w:r>
        <w:rPr>
          <w:rFonts w:hint="eastAsia"/>
          <w:color w:val="000000"/>
          <w:sz w:val="24"/>
          <w:highlight w:val="none"/>
        </w:rPr>
        <w:t>风速</w:t>
      </w:r>
      <w:r>
        <w:rPr>
          <w:color w:val="000000"/>
          <w:sz w:val="24"/>
          <w:highlight w:val="none"/>
        </w:rPr>
        <w:t>紊流度:3m/s以下</w:t>
      </w:r>
      <w:r>
        <w:rPr>
          <w:rFonts w:hint="eastAsia" w:ascii="宋体" w:hAnsi="宋体" w:cs="宋体"/>
          <w:color w:val="000000"/>
          <w:sz w:val="24"/>
          <w:highlight w:val="none"/>
        </w:rPr>
        <w:t>≦</w:t>
      </w:r>
      <w:r>
        <w:rPr>
          <w:color w:val="000000"/>
          <w:sz w:val="24"/>
          <w:highlight w:val="none"/>
        </w:rPr>
        <w:t>1.5%，3.1m/s以上</w:t>
      </w:r>
      <w:r>
        <w:rPr>
          <w:rFonts w:hint="eastAsia" w:ascii="宋体" w:hAnsi="宋体" w:cs="宋体"/>
          <w:color w:val="000000"/>
          <w:sz w:val="24"/>
          <w:highlight w:val="none"/>
        </w:rPr>
        <w:t>≦</w:t>
      </w:r>
      <w:r>
        <w:rPr>
          <w:color w:val="000000"/>
          <w:sz w:val="24"/>
          <w:highlight w:val="none"/>
        </w:rPr>
        <w:t>1%</w:t>
      </w:r>
      <w:r>
        <w:rPr>
          <w:rFonts w:hint="eastAsia"/>
          <w:color w:val="000000"/>
          <w:sz w:val="24"/>
          <w:highlight w:val="none"/>
        </w:rPr>
        <w:t>；</w:t>
      </w:r>
    </w:p>
    <w:p w14:paraId="04E12A58">
      <w:pPr>
        <w:widowControl/>
        <w:spacing w:line="360" w:lineRule="auto"/>
        <w:contextualSpacing/>
        <w:jc w:val="left"/>
        <w:rPr>
          <w:rFonts w:hint="eastAsia"/>
          <w:color w:val="000000"/>
          <w:sz w:val="24"/>
          <w:highlight w:val="none"/>
        </w:rPr>
      </w:pPr>
      <w:r>
        <w:rPr>
          <w:rFonts w:hint="eastAsia"/>
          <w:bCs/>
          <w:color w:val="000000"/>
          <w:kern w:val="0"/>
          <w:sz w:val="24"/>
          <w:highlight w:val="none"/>
        </w:rPr>
        <w:t>▲</w:t>
      </w:r>
      <w:r>
        <w:rPr>
          <w:bCs/>
          <w:color w:val="000000"/>
          <w:kern w:val="0"/>
          <w:sz w:val="24"/>
          <w:highlight w:val="none"/>
        </w:rPr>
        <w:t>3</w:t>
      </w:r>
      <w:r>
        <w:rPr>
          <w:color w:val="000000"/>
          <w:sz w:val="24"/>
          <w:highlight w:val="none"/>
        </w:rPr>
        <w:t>.2.6响应时间≤20s</w:t>
      </w:r>
      <w:r>
        <w:rPr>
          <w:rFonts w:hint="eastAsia"/>
          <w:color w:val="000000"/>
          <w:sz w:val="24"/>
          <w:highlight w:val="none"/>
        </w:rPr>
        <w:t>；</w:t>
      </w:r>
    </w:p>
    <w:p w14:paraId="72F5A015">
      <w:pPr>
        <w:widowControl/>
        <w:spacing w:line="360" w:lineRule="auto"/>
        <w:contextualSpacing/>
        <w:jc w:val="left"/>
        <w:rPr>
          <w:rFonts w:hint="eastAsia"/>
          <w:color w:val="000000"/>
          <w:sz w:val="24"/>
          <w:highlight w:val="none"/>
        </w:rPr>
      </w:pPr>
      <w:r>
        <w:rPr>
          <w:rFonts w:hint="eastAsia"/>
          <w:bCs/>
          <w:color w:val="000000"/>
          <w:kern w:val="0"/>
          <w:sz w:val="24"/>
          <w:highlight w:val="none"/>
        </w:rPr>
        <w:t>▲</w:t>
      </w:r>
      <w:r>
        <w:rPr>
          <w:bCs/>
          <w:color w:val="000000"/>
          <w:kern w:val="0"/>
          <w:sz w:val="24"/>
          <w:highlight w:val="none"/>
        </w:rPr>
        <w:t>3</w:t>
      </w:r>
      <w:r>
        <w:rPr>
          <w:color w:val="000000"/>
          <w:sz w:val="24"/>
          <w:highlight w:val="none"/>
        </w:rPr>
        <w:t>.2.7稳定持续时间≥8h</w:t>
      </w:r>
      <w:r>
        <w:rPr>
          <w:rFonts w:hint="eastAsia"/>
          <w:color w:val="000000"/>
          <w:sz w:val="24"/>
          <w:highlight w:val="none"/>
        </w:rPr>
        <w:t>；</w:t>
      </w:r>
    </w:p>
    <w:p w14:paraId="6C93ABA4">
      <w:pPr>
        <w:widowControl/>
        <w:spacing w:line="360" w:lineRule="auto"/>
        <w:contextualSpacing/>
        <w:jc w:val="left"/>
        <w:rPr>
          <w:rFonts w:hint="eastAsia"/>
          <w:color w:val="000000"/>
          <w:sz w:val="24"/>
          <w:highlight w:val="none"/>
        </w:rPr>
      </w:pPr>
      <w:r>
        <w:rPr>
          <w:rFonts w:hint="eastAsia" w:ascii="宋体" w:hAnsi="宋体" w:cs="宋体"/>
          <w:b/>
          <w:sz w:val="22"/>
          <w:szCs w:val="22"/>
          <w:highlight w:val="none"/>
        </w:rPr>
        <w:t>★</w:t>
      </w:r>
      <w:r>
        <w:rPr>
          <w:color w:val="000000"/>
          <w:sz w:val="24"/>
          <w:highlight w:val="none"/>
        </w:rPr>
        <w:t>3.2.8皮托管系数0.998-1.002</w:t>
      </w:r>
      <w:r>
        <w:rPr>
          <w:rFonts w:hint="eastAsia"/>
          <w:color w:val="000000"/>
          <w:sz w:val="24"/>
          <w:highlight w:val="none"/>
        </w:rPr>
        <w:t>；</w:t>
      </w:r>
    </w:p>
    <w:p w14:paraId="2271A7FB">
      <w:pPr>
        <w:widowControl/>
        <w:spacing w:line="360" w:lineRule="auto"/>
        <w:contextualSpacing/>
        <w:jc w:val="left"/>
        <w:rPr>
          <w:rFonts w:hint="eastAsia"/>
          <w:color w:val="000000"/>
          <w:sz w:val="24"/>
          <w:highlight w:val="none"/>
        </w:rPr>
      </w:pPr>
      <w:r>
        <w:rPr>
          <w:rFonts w:hint="eastAsia" w:ascii="宋体" w:hAnsi="宋体" w:cs="宋体"/>
          <w:b/>
          <w:sz w:val="22"/>
          <w:szCs w:val="22"/>
          <w:highlight w:val="none"/>
        </w:rPr>
        <w:t>★</w:t>
      </w:r>
      <w:r>
        <w:rPr>
          <w:color w:val="000000"/>
          <w:sz w:val="24"/>
          <w:highlight w:val="none"/>
        </w:rPr>
        <w:t>3.2.9微压计测量分辩率0.01Pa，精度＜0.05%</w:t>
      </w:r>
      <w:r>
        <w:rPr>
          <w:rFonts w:hint="eastAsia"/>
          <w:color w:val="000000"/>
          <w:sz w:val="24"/>
          <w:highlight w:val="none"/>
        </w:rPr>
        <w:t>；</w:t>
      </w:r>
    </w:p>
    <w:p w14:paraId="6BBB5C82">
      <w:pPr>
        <w:widowControl/>
        <w:spacing w:line="360" w:lineRule="auto"/>
        <w:contextualSpacing/>
        <w:jc w:val="left"/>
        <w:rPr>
          <w:rFonts w:hint="eastAsia"/>
          <w:color w:val="000000"/>
          <w:sz w:val="24"/>
          <w:highlight w:val="none"/>
        </w:rPr>
      </w:pPr>
      <w:r>
        <w:rPr>
          <w:sz w:val="24"/>
          <w:highlight w:val="none"/>
        </w:rPr>
        <w:t>3.2.10 收缩比：4</w:t>
      </w:r>
      <w:r>
        <w:rPr>
          <w:rFonts w:hint="eastAsia"/>
          <w:sz w:val="24"/>
          <w:highlight w:val="none"/>
        </w:rPr>
        <w:t>。</w:t>
      </w:r>
    </w:p>
    <w:p w14:paraId="4D9EA389">
      <w:pPr>
        <w:widowControl/>
        <w:spacing w:line="360" w:lineRule="auto"/>
        <w:contextualSpacing/>
        <w:jc w:val="left"/>
        <w:rPr>
          <w:rFonts w:hint="eastAsia"/>
          <w:sz w:val="24"/>
          <w:highlight w:val="none"/>
        </w:rPr>
      </w:pPr>
    </w:p>
    <w:p w14:paraId="534744CD">
      <w:pPr>
        <w:spacing w:line="360" w:lineRule="auto"/>
        <w:contextualSpacing/>
        <w:rPr>
          <w:b/>
          <w:color w:val="000000"/>
          <w:sz w:val="24"/>
          <w:highlight w:val="none"/>
        </w:rPr>
      </w:pPr>
      <w:r>
        <w:rPr>
          <w:b/>
          <w:color w:val="000000"/>
          <w:sz w:val="24"/>
          <w:highlight w:val="none"/>
        </w:rPr>
        <w:t>3.3控制系统功能</w:t>
      </w:r>
    </w:p>
    <w:p w14:paraId="59A80243">
      <w:pPr>
        <w:spacing w:line="360" w:lineRule="auto"/>
        <w:contextualSpacing/>
        <w:rPr>
          <w:color w:val="000000"/>
          <w:sz w:val="24"/>
          <w:highlight w:val="none"/>
        </w:rPr>
      </w:pPr>
      <w:r>
        <w:rPr>
          <w:color w:val="000000"/>
          <w:sz w:val="24"/>
          <w:highlight w:val="none"/>
        </w:rPr>
        <w:t>3.3.1调节风机转速</w:t>
      </w:r>
    </w:p>
    <w:p w14:paraId="00D7F35B">
      <w:pPr>
        <w:spacing w:line="360" w:lineRule="auto"/>
        <w:contextualSpacing/>
        <w:rPr>
          <w:color w:val="000000"/>
          <w:sz w:val="24"/>
          <w:highlight w:val="none"/>
        </w:rPr>
      </w:pPr>
      <w:r>
        <w:rPr>
          <w:color w:val="000000"/>
          <w:sz w:val="24"/>
          <w:highlight w:val="none"/>
        </w:rPr>
        <w:t>3.3.2数据采集和数据计算并控制连续风洞工作</w:t>
      </w:r>
    </w:p>
    <w:p w14:paraId="1CA38D83">
      <w:pPr>
        <w:spacing w:line="360" w:lineRule="auto"/>
        <w:contextualSpacing/>
        <w:rPr>
          <w:color w:val="000000"/>
          <w:sz w:val="24"/>
          <w:highlight w:val="none"/>
        </w:rPr>
      </w:pPr>
      <w:r>
        <w:rPr>
          <w:color w:val="000000"/>
          <w:sz w:val="24"/>
          <w:highlight w:val="none"/>
        </w:rPr>
        <w:t>3.3.3风速设定：0-25m/s。</w:t>
      </w:r>
    </w:p>
    <w:p w14:paraId="14A61CB1">
      <w:pPr>
        <w:spacing w:line="360" w:lineRule="auto"/>
        <w:contextualSpacing/>
        <w:rPr>
          <w:color w:val="000000"/>
          <w:sz w:val="24"/>
          <w:highlight w:val="none"/>
        </w:rPr>
      </w:pPr>
      <w:r>
        <w:rPr>
          <w:color w:val="000000"/>
          <w:sz w:val="24"/>
          <w:highlight w:val="none"/>
        </w:rPr>
        <w:t>3.3.4数字式电子气路控制保证设备测量精度及自动工作。</w:t>
      </w:r>
    </w:p>
    <w:p w14:paraId="1F5915E1">
      <w:pPr>
        <w:spacing w:line="360" w:lineRule="auto"/>
        <w:contextualSpacing/>
        <w:rPr>
          <w:color w:val="000000"/>
          <w:sz w:val="24"/>
          <w:highlight w:val="none"/>
        </w:rPr>
      </w:pPr>
      <w:r>
        <w:rPr>
          <w:color w:val="000000"/>
          <w:sz w:val="24"/>
          <w:highlight w:val="none"/>
        </w:rPr>
        <w:t>3.3.5可按预存参数快速设定自动检测功能。</w:t>
      </w:r>
    </w:p>
    <w:p w14:paraId="5FC6853E">
      <w:pPr>
        <w:spacing w:line="360" w:lineRule="auto"/>
        <w:contextualSpacing/>
        <w:rPr>
          <w:color w:val="000000"/>
          <w:sz w:val="24"/>
          <w:highlight w:val="none"/>
        </w:rPr>
      </w:pPr>
      <w:r>
        <w:rPr>
          <w:color w:val="000000"/>
          <w:sz w:val="24"/>
          <w:highlight w:val="none"/>
        </w:rPr>
        <w:t>3.3.6数据记录与存贮，标定时风速、温度、湿度、大气压力实时显示。</w:t>
      </w:r>
    </w:p>
    <w:p w14:paraId="09864BD1">
      <w:pPr>
        <w:spacing w:line="360" w:lineRule="auto"/>
        <w:contextualSpacing/>
        <w:rPr>
          <w:color w:val="000000"/>
          <w:sz w:val="24"/>
          <w:highlight w:val="none"/>
        </w:rPr>
      </w:pPr>
      <w:r>
        <w:rPr>
          <w:color w:val="000000"/>
          <w:sz w:val="24"/>
          <w:highlight w:val="none"/>
        </w:rPr>
        <w:t>3.3.7电机温度监测预警，超温自动断电。</w:t>
      </w:r>
    </w:p>
    <w:p w14:paraId="6D4A73A7">
      <w:pPr>
        <w:spacing w:line="360" w:lineRule="auto"/>
        <w:contextualSpacing/>
        <w:rPr>
          <w:color w:val="000000"/>
          <w:sz w:val="24"/>
          <w:highlight w:val="none"/>
        </w:rPr>
      </w:pPr>
      <w:r>
        <w:rPr>
          <w:color w:val="000000"/>
          <w:sz w:val="24"/>
          <w:highlight w:val="none"/>
        </w:rPr>
        <w:t>3.3.8风速过低预警，超时自动停止。</w:t>
      </w:r>
    </w:p>
    <w:p w14:paraId="56471027">
      <w:pPr>
        <w:spacing w:line="360" w:lineRule="auto"/>
        <w:contextualSpacing/>
        <w:rPr>
          <w:b/>
          <w:color w:val="000000"/>
          <w:sz w:val="24"/>
          <w:highlight w:val="none"/>
        </w:rPr>
      </w:pPr>
      <w:r>
        <w:rPr>
          <w:rFonts w:hint="eastAsia" w:ascii="宋体" w:hAnsi="宋体"/>
          <w:b/>
          <w:sz w:val="24"/>
          <w:highlight w:val="none"/>
        </w:rPr>
        <w:t>★</w:t>
      </w:r>
      <w:r>
        <w:rPr>
          <w:b/>
          <w:color w:val="000000"/>
          <w:sz w:val="24"/>
          <w:highlight w:val="none"/>
        </w:rPr>
        <w:t>3.4 电缆套件</w:t>
      </w:r>
    </w:p>
    <w:p w14:paraId="55FF4CB4">
      <w:pPr>
        <w:spacing w:line="360" w:lineRule="auto"/>
        <w:contextualSpacing/>
        <w:rPr>
          <w:color w:val="000000"/>
          <w:sz w:val="24"/>
          <w:highlight w:val="none"/>
        </w:rPr>
      </w:pPr>
      <w:r>
        <w:rPr>
          <w:color w:val="000000"/>
          <w:sz w:val="24"/>
          <w:highlight w:val="none"/>
        </w:rPr>
        <w:t>配套电源线，数据线和测试连接线等；</w:t>
      </w:r>
    </w:p>
    <w:p w14:paraId="4D734E54">
      <w:pPr>
        <w:spacing w:line="360" w:lineRule="auto"/>
        <w:contextualSpacing/>
        <w:rPr>
          <w:color w:val="000000"/>
          <w:sz w:val="24"/>
          <w:highlight w:val="none"/>
        </w:rPr>
      </w:pPr>
      <w:r>
        <w:rPr>
          <w:rFonts w:hint="eastAsia" w:ascii="宋体" w:hAnsi="宋体"/>
          <w:b/>
          <w:sz w:val="24"/>
          <w:highlight w:val="none"/>
        </w:rPr>
        <w:t>★</w:t>
      </w:r>
      <w:r>
        <w:rPr>
          <w:b/>
          <w:color w:val="000000"/>
          <w:sz w:val="24"/>
          <w:highlight w:val="none"/>
        </w:rPr>
        <w:t>4配置要求：</w:t>
      </w:r>
    </w:p>
    <w:p w14:paraId="7E2B2569">
      <w:pPr>
        <w:adjustRightInd w:val="0"/>
        <w:spacing w:line="360" w:lineRule="auto"/>
        <w:contextualSpacing/>
        <w:rPr>
          <w:color w:val="000000"/>
          <w:sz w:val="24"/>
          <w:highlight w:val="none"/>
        </w:rPr>
      </w:pPr>
      <w:r>
        <w:rPr>
          <w:color w:val="000000"/>
          <w:sz w:val="24"/>
          <w:highlight w:val="none"/>
        </w:rPr>
        <w:t xml:space="preserve">4.1主机   1台 </w:t>
      </w:r>
    </w:p>
    <w:p w14:paraId="2CAEC26E">
      <w:pPr>
        <w:adjustRightInd w:val="0"/>
        <w:spacing w:line="360" w:lineRule="auto"/>
        <w:contextualSpacing/>
        <w:rPr>
          <w:color w:val="000000"/>
          <w:sz w:val="24"/>
          <w:highlight w:val="none"/>
        </w:rPr>
      </w:pPr>
      <w:r>
        <w:rPr>
          <w:color w:val="000000"/>
          <w:sz w:val="24"/>
          <w:highlight w:val="none"/>
        </w:rPr>
        <w:t>4.2控制柜 1套</w:t>
      </w:r>
    </w:p>
    <w:p w14:paraId="54BE330C">
      <w:pPr>
        <w:numPr>
          <w:ilvl w:val="1"/>
          <w:numId w:val="2"/>
        </w:numPr>
        <w:adjustRightInd w:val="0"/>
        <w:spacing w:line="360" w:lineRule="auto"/>
        <w:contextualSpacing/>
        <w:rPr>
          <w:color w:val="000000"/>
          <w:sz w:val="24"/>
          <w:highlight w:val="none"/>
        </w:rPr>
      </w:pPr>
      <w:r>
        <w:rPr>
          <w:color w:val="000000"/>
          <w:sz w:val="24"/>
          <w:highlight w:val="none"/>
        </w:rPr>
        <w:t>控制系统 1套</w:t>
      </w:r>
    </w:p>
    <w:p w14:paraId="21EE7DFF">
      <w:pPr>
        <w:tabs>
          <w:tab w:val="left" w:pos="540"/>
        </w:tabs>
        <w:spacing w:line="360" w:lineRule="auto"/>
        <w:rPr>
          <w:b/>
          <w:sz w:val="24"/>
          <w:highlight w:val="none"/>
        </w:rPr>
      </w:pPr>
      <w:r>
        <w:rPr>
          <w:rFonts w:hint="eastAsia"/>
          <w:b/>
          <w:sz w:val="24"/>
          <w:highlight w:val="none"/>
        </w:rPr>
        <w:t>5</w:t>
      </w:r>
      <w:r>
        <w:rPr>
          <w:b/>
          <w:sz w:val="24"/>
          <w:highlight w:val="none"/>
        </w:rPr>
        <w:t>.  技术文件：</w:t>
      </w:r>
    </w:p>
    <w:p w14:paraId="4151DC76">
      <w:pPr>
        <w:spacing w:line="360" w:lineRule="auto"/>
        <w:rPr>
          <w:rFonts w:hint="eastAsia"/>
          <w:sz w:val="24"/>
          <w:highlight w:val="none"/>
        </w:rPr>
      </w:pPr>
      <w:r>
        <w:rPr>
          <w:rFonts w:hint="eastAsia"/>
          <w:sz w:val="24"/>
          <w:highlight w:val="none"/>
        </w:rPr>
        <w:t>5.1 请参考总则第1.2条。</w:t>
      </w:r>
    </w:p>
    <w:p w14:paraId="1A6030DE">
      <w:pPr>
        <w:spacing w:line="360" w:lineRule="auto"/>
        <w:ind w:left="420" w:hanging="420" w:hangingChars="175"/>
        <w:rPr>
          <w:rFonts w:hint="eastAsia"/>
          <w:sz w:val="24"/>
          <w:highlight w:val="none"/>
        </w:rPr>
      </w:pPr>
      <w:r>
        <w:rPr>
          <w:rFonts w:hint="eastAsia"/>
          <w:sz w:val="24"/>
          <w:highlight w:val="none"/>
        </w:rPr>
        <w:t>5.2</w:t>
      </w:r>
      <w:r>
        <w:rPr>
          <w:rFonts w:hint="eastAsia"/>
          <w:color w:val="000000"/>
          <w:sz w:val="24"/>
          <w:highlight w:val="none"/>
        </w:rPr>
        <w:t>一套中文或英文说明书在合同签定后</w:t>
      </w:r>
      <w:r>
        <w:rPr>
          <w:color w:val="000000"/>
          <w:sz w:val="24"/>
          <w:highlight w:val="none"/>
        </w:rPr>
        <w:t>45</w:t>
      </w:r>
      <w:r>
        <w:rPr>
          <w:rFonts w:hint="eastAsia"/>
          <w:color w:val="000000"/>
          <w:sz w:val="24"/>
          <w:highlight w:val="none"/>
        </w:rPr>
        <w:t>天内提供给用户。另一套完整的中文或英文</w:t>
      </w:r>
      <w:r>
        <w:rPr>
          <w:rFonts w:hint="eastAsia"/>
          <w:sz w:val="24"/>
          <w:highlight w:val="none"/>
        </w:rPr>
        <w:t>产品操作手册、产品维修手册、产品原理框图、部件的结构图、电气线路图、各种应用参数等与应用、操作、维护有关的资料</w:t>
      </w:r>
      <w:r>
        <w:rPr>
          <w:rFonts w:hint="eastAsia"/>
          <w:color w:val="000000"/>
          <w:sz w:val="24"/>
          <w:highlight w:val="none"/>
        </w:rPr>
        <w:t>随仪器包装提供给用户。</w:t>
      </w:r>
    </w:p>
    <w:p w14:paraId="1C8A191F">
      <w:pPr>
        <w:spacing w:line="360" w:lineRule="auto"/>
        <w:rPr>
          <w:sz w:val="24"/>
          <w:highlight w:val="none"/>
        </w:rPr>
      </w:pPr>
      <w:r>
        <w:rPr>
          <w:rFonts w:hint="eastAsia"/>
          <w:sz w:val="24"/>
          <w:highlight w:val="none"/>
        </w:rPr>
        <w:t>5.3 请参考总则第2.3条。</w:t>
      </w:r>
    </w:p>
    <w:p w14:paraId="5FB2A8E6">
      <w:pPr>
        <w:spacing w:line="360" w:lineRule="auto"/>
        <w:rPr>
          <w:rFonts w:hint="eastAsia" w:ascii="宋体" w:hAnsi="宋体" w:cs="宋体"/>
          <w:b/>
          <w:sz w:val="24"/>
          <w:highlight w:val="none"/>
        </w:rPr>
      </w:pPr>
    </w:p>
    <w:p w14:paraId="1FF99351">
      <w:pPr>
        <w:widowControl/>
        <w:snapToGrid w:val="0"/>
        <w:spacing w:before="120" w:beforeLines="50" w:line="360" w:lineRule="auto"/>
        <w:outlineLvl w:val="1"/>
        <w:rPr>
          <w:rFonts w:ascii="宋体" w:hAnsi="宋体"/>
          <w:b/>
          <w:sz w:val="24"/>
          <w:szCs w:val="20"/>
          <w:highlight w:val="none"/>
        </w:rPr>
      </w:pPr>
      <w:r>
        <w:rPr>
          <w:rFonts w:hint="eastAsia" w:ascii="宋体" w:hAnsi="宋体"/>
          <w:b/>
          <w:sz w:val="24"/>
          <w:szCs w:val="20"/>
          <w:highlight w:val="none"/>
        </w:rPr>
        <w:t>（二）商务要求：</w:t>
      </w:r>
    </w:p>
    <w:p w14:paraId="40B6ED61">
      <w:pPr>
        <w:spacing w:line="360" w:lineRule="auto"/>
        <w:rPr>
          <w:rFonts w:hint="eastAsia" w:ascii="宋体" w:hAnsi="宋体"/>
          <w:b/>
          <w:sz w:val="24"/>
          <w:highlight w:val="none"/>
        </w:rPr>
      </w:pPr>
      <w:r>
        <w:rPr>
          <w:rFonts w:hint="eastAsia" w:ascii="宋体" w:hAnsi="宋体"/>
          <w:b/>
          <w:sz w:val="24"/>
          <w:highlight w:val="none"/>
        </w:rPr>
        <w:t>1.技术服务：</w:t>
      </w:r>
    </w:p>
    <w:p w14:paraId="5930B2F7">
      <w:pPr>
        <w:spacing w:line="360" w:lineRule="auto"/>
        <w:rPr>
          <w:rFonts w:hint="eastAsia" w:ascii="宋体" w:hAnsi="宋体"/>
          <w:bCs/>
          <w:sz w:val="24"/>
          <w:highlight w:val="none"/>
        </w:rPr>
      </w:pPr>
      <w:r>
        <w:rPr>
          <w:rFonts w:hint="eastAsia" w:ascii="宋体" w:hAnsi="宋体"/>
          <w:bCs/>
          <w:sz w:val="24"/>
          <w:highlight w:val="none"/>
        </w:rPr>
        <w:t>1、技术培训：在甲方所在地对甲方进行甲方指定人数、为期3个工作日的免费培训。培训内容包括：基本原理、仪器结构、硬件操作、软件使用、数据处理、维护保养及简单故障排除等。仪器使用一段时间视甲方需要，再进行提高培训。培训期内乙方人员的差旅费、食宿及其它费用应由乙方自理。</w:t>
      </w:r>
    </w:p>
    <w:p w14:paraId="6C436AC5">
      <w:pPr>
        <w:spacing w:line="360" w:lineRule="auto"/>
        <w:rPr>
          <w:rFonts w:hint="eastAsia" w:ascii="宋体" w:hAnsi="宋体"/>
          <w:bCs/>
          <w:sz w:val="24"/>
          <w:highlight w:val="none"/>
        </w:rPr>
      </w:pPr>
      <w:r>
        <w:rPr>
          <w:rFonts w:hint="eastAsia" w:ascii="宋体" w:hAnsi="宋体"/>
          <w:bCs/>
          <w:sz w:val="24"/>
          <w:highlight w:val="none"/>
        </w:rPr>
        <w:t>2、软、硬件升级：乙方应免费向甲方提供自验收之后未来3年的仪器软件升级和7折提供与之相关的硬件升级。</w:t>
      </w:r>
    </w:p>
    <w:p w14:paraId="30C5523A">
      <w:pPr>
        <w:spacing w:line="360" w:lineRule="auto"/>
        <w:rPr>
          <w:rFonts w:hint="eastAsia" w:ascii="宋体" w:hAnsi="宋体"/>
          <w:bCs/>
          <w:sz w:val="24"/>
          <w:highlight w:val="none"/>
        </w:rPr>
      </w:pPr>
      <w:r>
        <w:rPr>
          <w:rFonts w:hint="eastAsia" w:ascii="宋体" w:hAnsi="宋体"/>
          <w:b/>
          <w:sz w:val="24"/>
          <w:highlight w:val="none"/>
        </w:rPr>
        <w:t>★</w:t>
      </w:r>
      <w:r>
        <w:rPr>
          <w:rFonts w:hint="eastAsia" w:ascii="宋体" w:hAnsi="宋体"/>
          <w:bCs/>
          <w:sz w:val="24"/>
          <w:highlight w:val="none"/>
        </w:rPr>
        <w:t>3、仪器设备自甲方验收之日起整机免费保修18个月。保修期内仪器设备本身所发生的任何质量问题（人为使用不当损坏除外），乙方负责免费提供、更换新的原产配件，并承担维修过程中发生的一切包括但不限于人工费、运输费、交通费等费用，如配件涉及进口，由乙方承担配件相应的一切外贸费用。保修期满后，若更换配件，乙方以7折收取配件费，维修人工费免收。</w:t>
      </w:r>
    </w:p>
    <w:p w14:paraId="2C81D57E">
      <w:pPr>
        <w:spacing w:line="360" w:lineRule="auto"/>
        <w:rPr>
          <w:rFonts w:hint="eastAsia" w:ascii="宋体" w:hAnsi="宋体"/>
          <w:bCs/>
          <w:sz w:val="24"/>
          <w:highlight w:val="none"/>
          <w:lang w:val="zh-CN"/>
        </w:rPr>
      </w:pPr>
      <w:r>
        <w:rPr>
          <w:rFonts w:hint="eastAsia" w:ascii="宋体" w:hAnsi="宋体"/>
          <w:bCs/>
          <w:sz w:val="24"/>
          <w:highlight w:val="none"/>
        </w:rPr>
        <w:t>4、接到报修后，乙方</w:t>
      </w:r>
      <w:r>
        <w:rPr>
          <w:rFonts w:hint="eastAsia" w:ascii="宋体" w:hAnsi="宋体"/>
          <w:bCs/>
          <w:sz w:val="24"/>
          <w:highlight w:val="none"/>
          <w:lang w:val="zh-CN"/>
        </w:rPr>
        <w:t>应在24小时内对甲方的服务要求作出响应，一般问题应在48小时内解决。重大紧急情况售后服务工程师应在6小时内到场，并及时排除故障（所产生的费用由乙方承担），否则乙方应赔偿相应损失。乙方维修时间不得超过15天，因设备故障耽搁的时间，保修期顺延。</w:t>
      </w:r>
    </w:p>
    <w:p w14:paraId="36E5201B">
      <w:pPr>
        <w:spacing w:line="360" w:lineRule="auto"/>
        <w:rPr>
          <w:rFonts w:hint="eastAsia" w:ascii="宋体" w:hAnsi="宋体"/>
          <w:bCs/>
          <w:sz w:val="24"/>
          <w:highlight w:val="none"/>
          <w:lang w:val="zh-CN"/>
        </w:rPr>
      </w:pPr>
      <w:r>
        <w:rPr>
          <w:rFonts w:hint="eastAsia" w:ascii="宋体" w:hAnsi="宋体"/>
          <w:bCs/>
          <w:sz w:val="24"/>
          <w:highlight w:val="none"/>
          <w:lang w:val="zh-CN"/>
        </w:rPr>
        <w:t>5、保修期内如出现无法维修或无维修价值的情况，乙方应赔偿甲方因此所遭受的损失（计算方式：按照设备尚未使用年限占设备使用寿命的比例乘以设备的总价款）。</w:t>
      </w:r>
    </w:p>
    <w:p w14:paraId="4B172EF4">
      <w:pPr>
        <w:spacing w:line="360" w:lineRule="auto"/>
        <w:rPr>
          <w:rFonts w:hint="eastAsia" w:ascii="宋体" w:hAnsi="宋体"/>
          <w:bCs/>
          <w:sz w:val="24"/>
          <w:highlight w:val="none"/>
        </w:rPr>
      </w:pPr>
      <w:r>
        <w:rPr>
          <w:rFonts w:hint="eastAsia" w:ascii="宋体" w:hAnsi="宋体"/>
          <w:bCs/>
          <w:sz w:val="24"/>
          <w:highlight w:val="none"/>
        </w:rPr>
        <w:t>6、乙方应按时提供全新、原厂生产、未经使用的设备以及原产地证明材料，否则应保证更换并向甲方支付相关损失。</w:t>
      </w:r>
    </w:p>
    <w:p w14:paraId="7F313F92">
      <w:pPr>
        <w:spacing w:line="360" w:lineRule="auto"/>
        <w:contextualSpacing/>
        <w:rPr>
          <w:color w:val="000000"/>
          <w:sz w:val="24"/>
          <w:highlight w:val="none"/>
        </w:rPr>
      </w:pPr>
      <w:r>
        <w:rPr>
          <w:rFonts w:hint="eastAsia" w:ascii="宋体" w:hAnsi="宋体"/>
          <w:bCs/>
          <w:sz w:val="24"/>
          <w:highlight w:val="none"/>
        </w:rPr>
        <w:t>7、乙方应向甲方免费提供：中文版的产品说明书、设备使用说明书、操作手册、产品合格证、保修卡及本合同设备所有的相关配件和资料及其他按照要求和约定须提供的资料。</w:t>
      </w:r>
    </w:p>
    <w:p w14:paraId="54C4157F">
      <w:pPr>
        <w:spacing w:line="360" w:lineRule="auto"/>
        <w:rPr>
          <w:rFonts w:hint="eastAsia"/>
          <w:sz w:val="24"/>
          <w:highlight w:val="none"/>
        </w:rPr>
      </w:pPr>
      <w:r>
        <w:rPr>
          <w:rFonts w:hint="eastAsia" w:ascii="宋体" w:hAnsi="宋体"/>
          <w:b/>
          <w:sz w:val="24"/>
          <w:highlight w:val="none"/>
        </w:rPr>
        <w:t>★</w:t>
      </w:r>
      <w:r>
        <w:rPr>
          <w:rFonts w:hint="eastAsia"/>
          <w:b/>
          <w:sz w:val="24"/>
          <w:highlight w:val="none"/>
        </w:rPr>
        <w:t>2. 订货数量：</w:t>
      </w:r>
      <w:r>
        <w:rPr>
          <w:rFonts w:hint="eastAsia"/>
          <w:bCs/>
          <w:sz w:val="24"/>
          <w:highlight w:val="none"/>
        </w:rPr>
        <w:t>一台</w:t>
      </w:r>
    </w:p>
    <w:p w14:paraId="38003093">
      <w:pPr>
        <w:spacing w:line="360" w:lineRule="auto"/>
        <w:rPr>
          <w:rFonts w:hint="eastAsia"/>
          <w:sz w:val="24"/>
          <w:highlight w:val="none"/>
        </w:rPr>
      </w:pPr>
      <w:r>
        <w:rPr>
          <w:rFonts w:hint="eastAsia" w:ascii="宋体" w:hAnsi="宋体"/>
          <w:b/>
          <w:sz w:val="24"/>
          <w:highlight w:val="none"/>
        </w:rPr>
        <w:t>★</w:t>
      </w:r>
      <w:r>
        <w:rPr>
          <w:rFonts w:hint="eastAsia"/>
          <w:b/>
          <w:sz w:val="24"/>
          <w:highlight w:val="none"/>
        </w:rPr>
        <w:t>3. 交货地点：</w:t>
      </w:r>
      <w:r>
        <w:rPr>
          <w:rFonts w:hint="eastAsia"/>
          <w:sz w:val="24"/>
          <w:highlight w:val="none"/>
        </w:rPr>
        <w:t>中国科学院动物研究所指定地点</w:t>
      </w:r>
    </w:p>
    <w:p w14:paraId="1809E4CF">
      <w:pPr>
        <w:spacing w:line="360" w:lineRule="auto"/>
        <w:jc w:val="left"/>
        <w:rPr>
          <w:rFonts w:hint="eastAsia"/>
          <w:sz w:val="24"/>
          <w:highlight w:val="none"/>
        </w:rPr>
      </w:pPr>
      <w:r>
        <w:rPr>
          <w:rFonts w:hint="eastAsia" w:ascii="宋体" w:hAnsi="宋体"/>
          <w:b/>
          <w:sz w:val="24"/>
          <w:highlight w:val="none"/>
        </w:rPr>
        <w:t>★</w:t>
      </w:r>
      <w:r>
        <w:rPr>
          <w:rFonts w:hint="eastAsia"/>
          <w:b/>
          <w:sz w:val="24"/>
          <w:highlight w:val="none"/>
        </w:rPr>
        <w:t>4. 交货日期：</w:t>
      </w:r>
      <w:r>
        <w:rPr>
          <w:rFonts w:hint="eastAsia"/>
          <w:sz w:val="24"/>
          <w:highlight w:val="none"/>
        </w:rPr>
        <w:t>合同生效后6个月内</w:t>
      </w:r>
    </w:p>
    <w:p w14:paraId="60D2ABF6">
      <w:pPr>
        <w:widowControl/>
        <w:spacing w:before="120" w:beforeLines="50" w:line="360" w:lineRule="auto"/>
        <w:rPr>
          <w:rFonts w:ascii="宋体" w:hAnsi="宋体"/>
          <w:b/>
          <w:sz w:val="24"/>
          <w:szCs w:val="20"/>
          <w:highlight w:val="none"/>
        </w:rPr>
      </w:pPr>
      <w:r>
        <w:rPr>
          <w:rFonts w:hint="eastAsia" w:ascii="宋体" w:hAnsi="宋体"/>
          <w:b/>
          <w:sz w:val="24"/>
          <w:szCs w:val="20"/>
          <w:highlight w:val="none"/>
        </w:rPr>
        <w:t>5.包装要求：</w:t>
      </w:r>
    </w:p>
    <w:p w14:paraId="57E5DF42">
      <w:pPr>
        <w:widowControl/>
        <w:spacing w:before="120" w:beforeLines="50" w:line="360" w:lineRule="auto"/>
        <w:rPr>
          <w:rFonts w:ascii="宋体" w:hAnsi="宋体"/>
          <w:sz w:val="24"/>
          <w:szCs w:val="20"/>
          <w:highlight w:val="none"/>
        </w:rPr>
      </w:pPr>
      <w:r>
        <w:rPr>
          <w:rFonts w:hint="eastAsia" w:ascii="宋体" w:hAnsi="宋体"/>
          <w:sz w:val="24"/>
          <w:szCs w:val="20"/>
          <w:highlight w:val="none"/>
        </w:rPr>
        <w:t>应使用崭新坚固的包装（标准包装），适合于空运、或陆运等长途运输方式；适合气候变化；投标商应对任何由于不当包装或防护措施不利而导致的商品损坏、损失、费用增长等后果负责。</w:t>
      </w:r>
    </w:p>
    <w:p w14:paraId="3194C774">
      <w:pPr>
        <w:widowControl/>
        <w:snapToGrid w:val="0"/>
        <w:spacing w:before="120" w:beforeLines="50" w:line="360" w:lineRule="auto"/>
        <w:rPr>
          <w:rFonts w:ascii="宋体" w:hAnsi="宋体"/>
          <w:b/>
          <w:sz w:val="24"/>
          <w:szCs w:val="20"/>
          <w:highlight w:val="none"/>
        </w:rPr>
      </w:pPr>
      <w:r>
        <w:rPr>
          <w:rFonts w:hint="eastAsia" w:ascii="宋体" w:hAnsi="宋体"/>
          <w:b/>
          <w:sz w:val="24"/>
          <w:szCs w:val="20"/>
          <w:highlight w:val="none"/>
        </w:rPr>
        <w:t>6.验收标准：</w:t>
      </w:r>
    </w:p>
    <w:p w14:paraId="04B3FC1D">
      <w:pPr>
        <w:spacing w:line="360" w:lineRule="auto"/>
        <w:ind w:firstLine="480" w:firstLineChars="200"/>
        <w:jc w:val="left"/>
        <w:rPr>
          <w:rFonts w:ascii="宋体" w:hAnsi="宋体"/>
          <w:sz w:val="24"/>
          <w:highlight w:val="none"/>
        </w:rPr>
      </w:pPr>
      <w:r>
        <w:rPr>
          <w:rFonts w:ascii="宋体" w:hAnsi="宋体"/>
          <w:bCs/>
          <w:sz w:val="24"/>
          <w:highlight w:val="none"/>
        </w:rPr>
        <w:t>1</w:t>
      </w:r>
      <w:r>
        <w:rPr>
          <w:rFonts w:hint="eastAsia" w:ascii="宋体" w:hAnsi="宋体"/>
          <w:bCs/>
          <w:sz w:val="24"/>
          <w:highlight w:val="none"/>
        </w:rPr>
        <w:t>、</w:t>
      </w:r>
      <w:r>
        <w:rPr>
          <w:rFonts w:hint="eastAsia" w:ascii="宋体" w:hAnsi="宋体"/>
          <w:sz w:val="24"/>
          <w:highlight w:val="none"/>
        </w:rPr>
        <w:t>质量标准：</w:t>
      </w:r>
      <w:r>
        <w:rPr>
          <w:rFonts w:ascii="宋体" w:hAnsi="宋体"/>
          <w:sz w:val="24"/>
          <w:highlight w:val="none"/>
        </w:rPr>
        <w:t>到货仪器设备送达中</w:t>
      </w:r>
      <w:r>
        <w:rPr>
          <w:rFonts w:hint="eastAsia" w:ascii="宋体" w:hAnsi="宋体"/>
          <w:sz w:val="24"/>
          <w:highlight w:val="none"/>
        </w:rPr>
        <w:t>国</w:t>
      </w:r>
      <w:r>
        <w:rPr>
          <w:rFonts w:ascii="宋体" w:hAnsi="宋体"/>
          <w:sz w:val="24"/>
          <w:highlight w:val="none"/>
        </w:rPr>
        <w:t>科</w:t>
      </w:r>
      <w:r>
        <w:rPr>
          <w:rFonts w:hint="eastAsia" w:ascii="宋体" w:hAnsi="宋体"/>
          <w:sz w:val="24"/>
          <w:highlight w:val="none"/>
        </w:rPr>
        <w:t>学</w:t>
      </w:r>
      <w:r>
        <w:rPr>
          <w:rFonts w:ascii="宋体" w:hAnsi="宋体"/>
          <w:sz w:val="24"/>
          <w:highlight w:val="none"/>
        </w:rPr>
        <w:t>院</w:t>
      </w:r>
      <w:r>
        <w:rPr>
          <w:rFonts w:hint="eastAsia" w:ascii="宋体" w:hAnsi="宋体"/>
          <w:sz w:val="24"/>
          <w:highlight w:val="none"/>
        </w:rPr>
        <w:t>动物研究</w:t>
      </w:r>
      <w:r>
        <w:rPr>
          <w:rFonts w:ascii="宋体" w:hAnsi="宋体"/>
          <w:sz w:val="24"/>
          <w:highlight w:val="none"/>
        </w:rPr>
        <w:t>所时应是全新</w:t>
      </w:r>
      <w:r>
        <w:rPr>
          <w:rFonts w:hint="eastAsia" w:ascii="宋体" w:hAnsi="宋体"/>
          <w:sz w:val="24"/>
          <w:highlight w:val="none"/>
        </w:rPr>
        <w:t>、</w:t>
      </w:r>
      <w:r>
        <w:rPr>
          <w:rFonts w:ascii="宋体" w:hAnsi="宋体"/>
          <w:sz w:val="24"/>
          <w:highlight w:val="none"/>
        </w:rPr>
        <w:t>未使用的</w:t>
      </w:r>
      <w:r>
        <w:rPr>
          <w:rFonts w:hint="eastAsia" w:ascii="宋体" w:hAnsi="宋体"/>
          <w:sz w:val="24"/>
          <w:highlight w:val="none"/>
        </w:rPr>
        <w:t>、</w:t>
      </w:r>
      <w:r>
        <w:rPr>
          <w:rFonts w:ascii="宋体" w:hAnsi="宋体"/>
          <w:sz w:val="24"/>
          <w:highlight w:val="none"/>
        </w:rPr>
        <w:t>包装完好、未折封（商检原因除外），</w:t>
      </w:r>
      <w:r>
        <w:rPr>
          <w:rFonts w:hint="eastAsia" w:ascii="宋体" w:hAnsi="宋体"/>
          <w:sz w:val="24"/>
          <w:highlight w:val="none"/>
        </w:rPr>
        <w:t>货物指标符合国际相关专业的要求，符合国内有关标准及行业规定以及甲方的使用要求，符合生产合格标准（符合厂家技术说明书）,乙方提供原厂合格证明。</w:t>
      </w:r>
    </w:p>
    <w:p w14:paraId="3C3A0163">
      <w:pPr>
        <w:spacing w:line="360" w:lineRule="auto"/>
        <w:ind w:firstLine="480" w:firstLineChars="200"/>
        <w:jc w:val="left"/>
        <w:rPr>
          <w:rFonts w:hint="eastAsia" w:ascii="宋体" w:hAnsi="宋体"/>
          <w:sz w:val="24"/>
          <w:highlight w:val="none"/>
        </w:rPr>
      </w:pPr>
      <w:r>
        <w:rPr>
          <w:rFonts w:hint="eastAsia" w:ascii="宋体" w:hAnsi="宋体"/>
          <w:sz w:val="24"/>
          <w:highlight w:val="none"/>
        </w:rPr>
        <w:t>2、</w:t>
      </w:r>
      <w:r>
        <w:rPr>
          <w:rFonts w:ascii="宋体" w:hAnsi="宋体"/>
          <w:sz w:val="24"/>
          <w:highlight w:val="none"/>
        </w:rPr>
        <w:t>由甲方人员、乙方工程师或</w:t>
      </w:r>
      <w:r>
        <w:rPr>
          <w:rFonts w:hint="eastAsia" w:ascii="宋体" w:hAnsi="宋体"/>
          <w:sz w:val="24"/>
          <w:highlight w:val="none"/>
        </w:rPr>
        <w:t>北京市</w:t>
      </w:r>
      <w:r>
        <w:rPr>
          <w:rFonts w:ascii="宋体" w:hAnsi="宋体"/>
          <w:sz w:val="24"/>
          <w:highlight w:val="none"/>
        </w:rPr>
        <w:t>商检局工作人员共同开箱拆封、验货</w:t>
      </w:r>
      <w:r>
        <w:rPr>
          <w:rFonts w:hint="eastAsia" w:ascii="宋体" w:hAnsi="宋体"/>
          <w:sz w:val="24"/>
          <w:highlight w:val="none"/>
        </w:rPr>
        <w:t>并对设备的数量、品质进行逐项检查</w:t>
      </w:r>
      <w:r>
        <w:rPr>
          <w:rFonts w:ascii="宋体" w:hAnsi="宋体"/>
          <w:sz w:val="24"/>
          <w:highlight w:val="none"/>
        </w:rPr>
        <w:t>，不得自行拆箱验货。</w:t>
      </w:r>
      <w:r>
        <w:rPr>
          <w:rFonts w:hint="eastAsia" w:ascii="宋体" w:hAnsi="宋体"/>
          <w:sz w:val="24"/>
          <w:highlight w:val="none"/>
        </w:rPr>
        <w:t>乙方负责拆除设备包装，自备拆箱过程中所需要的工具。所产生的一切风险与费用由乙方承担。甲方和乙方双方如发现所提供设备的品质和技术规范不符合合同要求时，或有明显损坏，甲方有权向厂商或乙方提出退、换和索赔。如延误甲方工作进度，甲方有权向乙方提出索赔。</w:t>
      </w:r>
    </w:p>
    <w:p w14:paraId="79DE44BD">
      <w:pPr>
        <w:spacing w:line="360" w:lineRule="auto"/>
        <w:ind w:firstLine="480" w:firstLineChars="200"/>
        <w:jc w:val="left"/>
        <w:rPr>
          <w:rFonts w:ascii="宋体" w:hAnsi="宋体"/>
          <w:sz w:val="24"/>
          <w:highlight w:val="none"/>
        </w:rPr>
      </w:pPr>
      <w:r>
        <w:rPr>
          <w:rFonts w:ascii="宋体" w:hAnsi="宋体"/>
          <w:sz w:val="24"/>
          <w:highlight w:val="none"/>
        </w:rPr>
        <w:t>3</w:t>
      </w:r>
      <w:r>
        <w:rPr>
          <w:rFonts w:hint="eastAsia" w:ascii="宋体" w:hAnsi="宋体"/>
          <w:sz w:val="24"/>
          <w:highlight w:val="none"/>
        </w:rPr>
        <w:t>、</w:t>
      </w:r>
      <w:r>
        <w:rPr>
          <w:rFonts w:ascii="宋体" w:hAnsi="宋体"/>
          <w:sz w:val="24"/>
          <w:highlight w:val="none"/>
        </w:rPr>
        <w:t>安装调试前15天，乙方应向甲方提供安装所需的外部条件说明和相关图纸，</w:t>
      </w:r>
      <w:r>
        <w:rPr>
          <w:rFonts w:hint="eastAsia" w:ascii="宋体" w:hAnsi="宋体"/>
          <w:sz w:val="24"/>
          <w:highlight w:val="none"/>
        </w:rPr>
        <w:t>如设备安装有特殊要求，乙方或厂商应在设备安装之前30天以书面形式向甲方提出安装场地环境要求，并对甲方就安装场地环境的咨询提供技术支持。</w:t>
      </w:r>
      <w:r>
        <w:rPr>
          <w:rFonts w:ascii="宋体" w:hAnsi="宋体"/>
          <w:sz w:val="24"/>
          <w:highlight w:val="none"/>
        </w:rPr>
        <w:t>乙方在接到甲方通知后7天内指派专业工程师到甲方指定地点免费进行调试，安装直到正常运行，并对相关人员培训。乙方安装人员对现场安装安全负有责任。与甲方或</w:t>
      </w:r>
      <w:r>
        <w:rPr>
          <w:rFonts w:hint="eastAsia" w:ascii="宋体" w:hAnsi="宋体"/>
          <w:sz w:val="24"/>
          <w:highlight w:val="none"/>
        </w:rPr>
        <w:t>北京市</w:t>
      </w:r>
      <w:r>
        <w:rPr>
          <w:rFonts w:ascii="宋体" w:hAnsi="宋体"/>
          <w:sz w:val="24"/>
          <w:highlight w:val="none"/>
        </w:rPr>
        <w:t>商检局工作人员共同开箱检验，检查仪器设备及随机附件是否全新、完整无损；技术资料与图纸是否与甲方的要求相符。如发生破损、缺件等问题，乙方应及时地提出解决方案，并尽快地给以解决，造成的延误损失由乙方负责。</w:t>
      </w:r>
    </w:p>
    <w:p w14:paraId="185F9D6C">
      <w:pPr>
        <w:spacing w:line="360" w:lineRule="auto"/>
        <w:ind w:firstLine="480" w:firstLineChars="200"/>
        <w:jc w:val="left"/>
        <w:rPr>
          <w:rFonts w:ascii="宋体" w:hAnsi="宋体"/>
          <w:sz w:val="24"/>
          <w:highlight w:val="none"/>
        </w:rPr>
      </w:pPr>
      <w:r>
        <w:rPr>
          <w:rFonts w:ascii="宋体" w:hAnsi="宋体"/>
          <w:sz w:val="24"/>
          <w:highlight w:val="none"/>
        </w:rPr>
        <w:t>4</w:t>
      </w:r>
      <w:r>
        <w:rPr>
          <w:rFonts w:hint="eastAsia" w:ascii="宋体" w:hAnsi="宋体"/>
          <w:sz w:val="24"/>
          <w:highlight w:val="none"/>
        </w:rPr>
        <w:t>、</w:t>
      </w:r>
      <w:r>
        <w:rPr>
          <w:rFonts w:ascii="宋体" w:hAnsi="宋体"/>
          <w:sz w:val="24"/>
          <w:highlight w:val="none"/>
        </w:rPr>
        <w:t>技术验收以</w:t>
      </w:r>
      <w:r>
        <w:rPr>
          <w:rFonts w:hint="eastAsia" w:ascii="宋体" w:hAnsi="宋体"/>
          <w:sz w:val="24"/>
          <w:highlight w:val="none"/>
        </w:rPr>
        <w:t>乙方提交的</w:t>
      </w:r>
      <w:r>
        <w:rPr>
          <w:rFonts w:ascii="宋体" w:hAnsi="宋体"/>
          <w:sz w:val="24"/>
          <w:highlight w:val="none"/>
        </w:rPr>
        <w:t>中标资料技术参数及乙方公开的该设备的技术资料指标为准（该指标应不低于招标标书所要求的指标）。任何虚假指标响应一经发现即作废标，乙方必须承担由此给甲方带来的一切经济损失和其它相关责任。</w:t>
      </w:r>
    </w:p>
    <w:p w14:paraId="4BE68764">
      <w:pPr>
        <w:widowControl/>
        <w:tabs>
          <w:tab w:val="left" w:pos="1500"/>
        </w:tabs>
        <w:spacing w:before="120" w:beforeLines="50" w:line="360" w:lineRule="auto"/>
        <w:ind w:firstLine="480" w:firstLineChars="200"/>
        <w:jc w:val="left"/>
        <w:rPr>
          <w:rFonts w:ascii="宋体" w:hAnsi="宋体"/>
          <w:sz w:val="24"/>
          <w:szCs w:val="20"/>
          <w:highlight w:val="none"/>
        </w:rPr>
      </w:pPr>
      <w:r>
        <w:rPr>
          <w:rFonts w:ascii="宋体" w:hAnsi="宋体"/>
          <w:sz w:val="24"/>
          <w:highlight w:val="none"/>
        </w:rPr>
        <w:t>5</w:t>
      </w:r>
      <w:r>
        <w:rPr>
          <w:rFonts w:hint="eastAsia" w:ascii="宋体" w:hAnsi="宋体"/>
          <w:sz w:val="24"/>
          <w:highlight w:val="none"/>
        </w:rPr>
        <w:t>、</w:t>
      </w:r>
      <w:r>
        <w:rPr>
          <w:rFonts w:ascii="宋体" w:hAnsi="宋体"/>
          <w:sz w:val="24"/>
          <w:highlight w:val="none"/>
        </w:rPr>
        <w:t>乙方工程师完成仪器安装调试合格后，作为技术验收的一部分，乙方还须完成由甲方提供的标准物质及分析样品的测试，技术参数指标必须合格。</w:t>
      </w:r>
      <w:r>
        <w:rPr>
          <w:rFonts w:hint="eastAsia" w:ascii="宋体" w:hAnsi="宋体"/>
          <w:sz w:val="24"/>
          <w:szCs w:val="20"/>
          <w:highlight w:val="none"/>
        </w:rPr>
        <w:t xml:space="preserve"> </w:t>
      </w:r>
    </w:p>
    <w:p w14:paraId="11016CB1">
      <w:pPr>
        <w:spacing w:line="360" w:lineRule="auto"/>
        <w:rPr>
          <w:rFonts w:hint="eastAsia" w:ascii="宋体" w:hAnsi="宋体"/>
          <w:b/>
          <w:sz w:val="24"/>
          <w:highlight w:val="none"/>
        </w:rPr>
      </w:pPr>
      <w:r>
        <w:rPr>
          <w:rFonts w:hint="eastAsia" w:ascii="宋体" w:hAnsi="宋体"/>
          <w:b/>
          <w:sz w:val="24"/>
          <w:highlight w:val="none"/>
        </w:rPr>
        <w:t>★7.付款方式：</w:t>
      </w:r>
    </w:p>
    <w:p w14:paraId="396DB6B2">
      <w:pPr>
        <w:spacing w:line="360" w:lineRule="auto"/>
        <w:ind w:firstLine="480" w:firstLineChars="200"/>
        <w:rPr>
          <w:rFonts w:hint="eastAsia" w:ascii="宋体" w:hAnsi="Calibri"/>
          <w:sz w:val="24"/>
          <w:highlight w:val="none"/>
        </w:rPr>
      </w:pPr>
      <w:r>
        <w:rPr>
          <w:rFonts w:hint="eastAsia" w:ascii="宋体" w:hAnsi="Calibri"/>
          <w:sz w:val="24"/>
          <w:highlight w:val="none"/>
        </w:rPr>
        <w:t>甲乙双方政府采购合同生效后5个工作日内，乙方向甲方提交合同额10%作为本合同的履约保证金。甲方收到乙方提交的履约保证金和合同金额的发票后15个工作日内，向乙方支付合同总价100%的价款。供应商自主选择以支票、汇票、本票、保函等非现金形式缴纳或提交履约保证金，有效期至验收合格之日。履约保证金在中标人履行完成合同约定权利义务事项在合同期满之日起30日内按原方式退还，不计利息。采购人逾期退还履约保证金的，向中标人每日偿付履约保证金的0.5‰的利息。因中标人原因而未能达到本项目验收标准或验收不通过的，履约保证金不予退还。</w:t>
      </w:r>
    </w:p>
    <w:p w14:paraId="0ED4BD9F">
      <w:pPr>
        <w:spacing w:line="360" w:lineRule="auto"/>
        <w:rPr>
          <w:rFonts w:ascii="宋体" w:hAnsi="宋体"/>
          <w:b/>
          <w:sz w:val="24"/>
          <w:highlight w:val="none"/>
        </w:rPr>
      </w:pPr>
      <w:r>
        <w:rPr>
          <w:rFonts w:hint="eastAsia"/>
          <w:b/>
          <w:bCs/>
          <w:sz w:val="24"/>
          <w:highlight w:val="none"/>
          <w:lang w:val="zh-CN"/>
        </w:rPr>
        <w:t>★</w:t>
      </w:r>
      <w:r>
        <w:rPr>
          <w:rFonts w:hint="eastAsia" w:ascii="宋体" w:hAnsi="宋体"/>
          <w:b/>
          <w:sz w:val="24"/>
          <w:highlight w:val="none"/>
        </w:rPr>
        <w:t>8.投标报价方式</w:t>
      </w:r>
    </w:p>
    <w:p w14:paraId="24A8A568">
      <w:pPr>
        <w:spacing w:line="360" w:lineRule="auto"/>
        <w:rPr>
          <w:rFonts w:hint="eastAsia" w:ascii="宋体" w:hAnsi="宋体"/>
          <w:sz w:val="24"/>
          <w:highlight w:val="none"/>
        </w:rPr>
      </w:pPr>
      <w:r>
        <w:rPr>
          <w:rFonts w:hint="eastAsia" w:ascii="宋体" w:hAnsi="宋体"/>
          <w:sz w:val="24"/>
          <w:highlight w:val="none"/>
        </w:rPr>
        <w:t>1）</w:t>
      </w:r>
      <w:r>
        <w:rPr>
          <w:rFonts w:hint="eastAsia" w:ascii="宋体" w:hAnsi="宋体" w:cs="宋体"/>
          <w:color w:val="000000"/>
          <w:sz w:val="24"/>
          <w:highlight w:val="none"/>
        </w:rPr>
        <w:t>本项目不允许采购进口产品参与投标。（进口产品是指通过中国海关报关验放进入中国境内且产自关境外的产品）</w:t>
      </w:r>
    </w:p>
    <w:p w14:paraId="7C403BC9">
      <w:pPr>
        <w:spacing w:line="360" w:lineRule="auto"/>
        <w:rPr>
          <w:rFonts w:hint="eastAsia" w:ascii="宋体" w:hAnsi="宋体"/>
          <w:sz w:val="24"/>
          <w:highlight w:val="none"/>
        </w:rPr>
      </w:pPr>
      <w:r>
        <w:rPr>
          <w:rFonts w:hint="eastAsia" w:ascii="宋体" w:hAnsi="宋体"/>
          <w:sz w:val="24"/>
          <w:highlight w:val="none"/>
        </w:rPr>
        <w:t>2）国产产品与服务报项目现场人民币含税价。报价中需包括制造、装配和发运货物所使用的材料、部件及货物本身已支付或将支付的产品税、销售税和其它税费。国内供货的国外货物与服务报项目现场交货人民币含税价（报价中需包括制造、装配和发运货物所使用的材料、部件及货物本身已支付或将支付的产品税、销售税和其它税费）。</w:t>
      </w:r>
    </w:p>
    <w:p w14:paraId="59A341F6">
      <w:pPr>
        <w:spacing w:line="360" w:lineRule="auto"/>
        <w:rPr>
          <w:rFonts w:hint="eastAsia" w:ascii="宋体" w:hAnsi="宋体"/>
          <w:sz w:val="24"/>
          <w:highlight w:val="none"/>
        </w:rPr>
      </w:pPr>
      <w:r>
        <w:rPr>
          <w:rFonts w:hint="eastAsia" w:ascii="宋体" w:hAnsi="宋体"/>
          <w:sz w:val="24"/>
          <w:highlight w:val="none"/>
        </w:rPr>
        <w:t>3）上述价格的构成须按在分项报价表中格式要求详细列出。</w:t>
      </w:r>
    </w:p>
    <w:p w14:paraId="5A9060F7">
      <w:pPr>
        <w:spacing w:line="360" w:lineRule="auto"/>
        <w:rPr>
          <w:rFonts w:hint="eastAsia" w:ascii="宋体" w:hAnsi="宋体"/>
          <w:sz w:val="24"/>
          <w:highlight w:val="none"/>
        </w:rPr>
      </w:pPr>
      <w:r>
        <w:rPr>
          <w:rFonts w:hint="eastAsia" w:ascii="宋体" w:hAnsi="宋体"/>
          <w:sz w:val="24"/>
          <w:highlight w:val="none"/>
        </w:rPr>
        <w:t>4）投标人需就整个包进行响应，不完整的投标将被拒绝。</w:t>
      </w:r>
    </w:p>
    <w:p w14:paraId="0AE6353A">
      <w:pPr>
        <w:spacing w:line="360" w:lineRule="auto"/>
        <w:rPr>
          <w:rFonts w:hint="eastAsia" w:ascii="宋体" w:hAnsi="宋体"/>
          <w:sz w:val="24"/>
          <w:highlight w:val="none"/>
        </w:rPr>
      </w:pPr>
      <w:r>
        <w:rPr>
          <w:rFonts w:hint="eastAsia" w:ascii="宋体" w:hAnsi="宋体"/>
          <w:sz w:val="24"/>
          <w:highlight w:val="none"/>
        </w:rPr>
        <w:t>5）投标报价不得超出最高限价，否则投标将被拒绝。</w:t>
      </w:r>
    </w:p>
    <w:p w14:paraId="3C16CDB9">
      <w:pPr>
        <w:spacing w:before="120" w:beforeLines="50" w:after="120" w:afterLines="50" w:line="480" w:lineRule="exact"/>
        <w:jc w:val="left"/>
        <w:rPr>
          <w:rFonts w:ascii="宋体" w:hAnsi="宋体"/>
          <w:b/>
          <w:sz w:val="24"/>
          <w:highlight w:val="none"/>
        </w:rPr>
      </w:pPr>
      <w:r>
        <w:rPr>
          <w:rFonts w:hint="eastAsia" w:ascii="宋体" w:hAnsi="宋体"/>
          <w:b/>
          <w:sz w:val="24"/>
          <w:highlight w:val="none"/>
        </w:rPr>
        <w:t>9.</w:t>
      </w:r>
      <w:r>
        <w:rPr>
          <w:rFonts w:ascii="宋体" w:hAnsi="宋体"/>
          <w:b/>
          <w:sz w:val="24"/>
          <w:highlight w:val="none"/>
        </w:rPr>
        <w:t>违约索赔</w:t>
      </w:r>
    </w:p>
    <w:p w14:paraId="3E9097CC">
      <w:pPr>
        <w:spacing w:line="360" w:lineRule="auto"/>
        <w:ind w:firstLine="480" w:firstLineChars="200"/>
        <w:jc w:val="left"/>
        <w:rPr>
          <w:rFonts w:ascii="宋体" w:hAnsi="宋体"/>
          <w:sz w:val="24"/>
          <w:highlight w:val="none"/>
        </w:rPr>
      </w:pPr>
      <w:r>
        <w:rPr>
          <w:rFonts w:ascii="宋体" w:hAnsi="宋体"/>
          <w:sz w:val="24"/>
          <w:highlight w:val="none"/>
        </w:rPr>
        <w:t>1</w:t>
      </w:r>
      <w:r>
        <w:rPr>
          <w:rFonts w:hint="eastAsia" w:ascii="宋体" w:hAnsi="宋体"/>
          <w:sz w:val="24"/>
          <w:highlight w:val="none"/>
        </w:rPr>
        <w:t>、</w:t>
      </w:r>
      <w:r>
        <w:rPr>
          <w:rFonts w:ascii="宋体" w:hAnsi="宋体"/>
          <w:sz w:val="24"/>
          <w:highlight w:val="none"/>
        </w:rPr>
        <w:t>本合同一经双方签字，即时生效，任何一方擅自取消或终止合同，将承担全部责任，违约方将赔偿守约方合同货款总价5 %的违约金。</w:t>
      </w:r>
    </w:p>
    <w:p w14:paraId="2686C2F0">
      <w:pPr>
        <w:spacing w:line="360" w:lineRule="auto"/>
        <w:ind w:firstLine="480" w:firstLineChars="200"/>
        <w:jc w:val="left"/>
        <w:rPr>
          <w:rFonts w:ascii="宋体" w:hAnsi="宋体"/>
          <w:sz w:val="24"/>
          <w:highlight w:val="none"/>
        </w:rPr>
      </w:pPr>
      <w:r>
        <w:rPr>
          <w:rFonts w:ascii="宋体" w:hAnsi="宋体"/>
          <w:sz w:val="24"/>
          <w:highlight w:val="none"/>
        </w:rPr>
        <w:t>2</w:t>
      </w:r>
      <w:r>
        <w:rPr>
          <w:rFonts w:hint="eastAsia" w:ascii="宋体" w:hAnsi="宋体"/>
          <w:sz w:val="24"/>
          <w:highlight w:val="none"/>
        </w:rPr>
        <w:t>、</w:t>
      </w:r>
      <w:r>
        <w:rPr>
          <w:rFonts w:ascii="宋体" w:hAnsi="宋体"/>
          <w:sz w:val="24"/>
          <w:highlight w:val="none"/>
        </w:rPr>
        <w:t>合同生效后开始计算供货期限，乙方逾期交付物品</w:t>
      </w:r>
      <w:r>
        <w:rPr>
          <w:rFonts w:hint="eastAsia" w:ascii="宋体" w:hAnsi="宋体"/>
          <w:sz w:val="24"/>
          <w:highlight w:val="none"/>
        </w:rPr>
        <w:t>（不可抗力因素除外）</w:t>
      </w:r>
      <w:r>
        <w:rPr>
          <w:rFonts w:ascii="宋体" w:hAnsi="宋体"/>
          <w:sz w:val="24"/>
          <w:highlight w:val="none"/>
        </w:rPr>
        <w:t>，</w:t>
      </w:r>
      <w:r>
        <w:rPr>
          <w:rFonts w:hint="eastAsia" w:ascii="宋体" w:hAnsi="宋体"/>
          <w:sz w:val="24"/>
          <w:highlight w:val="none"/>
        </w:rPr>
        <w:t>乙方每周按合同总价的  5‰支付逾期违约金，不足一星期的作为一星期计算。超过 3 个月仍不能交付设备的或者验收不合格的，乙方返还甲方所有的预付款项（如有），并支付合同总额30%的违约金，同时甲方有权单方面解除合同。</w:t>
      </w:r>
    </w:p>
    <w:p w14:paraId="07FEC49C">
      <w:pPr>
        <w:spacing w:line="360" w:lineRule="auto"/>
        <w:ind w:firstLine="480" w:firstLineChars="200"/>
        <w:jc w:val="left"/>
        <w:rPr>
          <w:rFonts w:ascii="宋体" w:hAnsi="宋体"/>
          <w:sz w:val="24"/>
          <w:highlight w:val="none"/>
        </w:rPr>
      </w:pPr>
      <w:r>
        <w:rPr>
          <w:rFonts w:hint="eastAsia" w:ascii="宋体" w:hAnsi="宋体"/>
          <w:sz w:val="24"/>
          <w:highlight w:val="none"/>
        </w:rPr>
        <w:t>3、甲方应按合同约定支付货款，不得拒付、拖欠，否则因延期付款产生的后果由甲方承担。</w:t>
      </w:r>
    </w:p>
    <w:p w14:paraId="30976523">
      <w:pPr>
        <w:spacing w:line="360" w:lineRule="auto"/>
        <w:ind w:firstLine="480" w:firstLineChars="200"/>
        <w:jc w:val="left"/>
        <w:rPr>
          <w:rFonts w:hint="eastAsia" w:ascii="宋体" w:hAnsi="宋体"/>
          <w:sz w:val="24"/>
          <w:highlight w:val="none"/>
        </w:rPr>
      </w:pPr>
      <w:r>
        <w:rPr>
          <w:rFonts w:hint="eastAsia" w:ascii="宋体" w:hAnsi="宋体"/>
          <w:sz w:val="24"/>
          <w:highlight w:val="none"/>
        </w:rPr>
        <w:t>4、甲乙双方承诺本合同内容不得向第三方透露，双方均负有为对方保密的义务。</w:t>
      </w:r>
    </w:p>
    <w:p w14:paraId="4B7BB09E">
      <w:pPr>
        <w:spacing w:line="360" w:lineRule="auto"/>
        <w:ind w:firstLine="480" w:firstLineChars="200"/>
        <w:jc w:val="left"/>
        <w:rPr>
          <w:rFonts w:hint="eastAsia" w:ascii="宋体" w:hAnsi="宋体"/>
          <w:sz w:val="24"/>
          <w:highlight w:val="none"/>
        </w:rPr>
      </w:pPr>
      <w:r>
        <w:rPr>
          <w:rFonts w:hint="eastAsia" w:ascii="宋体" w:hAnsi="宋体"/>
          <w:sz w:val="24"/>
          <w:highlight w:val="none"/>
        </w:rPr>
        <w:t>5、质量验收不合格或一年内同一故障累计出现两次以上（含两次）维修</w:t>
      </w:r>
      <w:r>
        <w:rPr>
          <w:rFonts w:ascii="宋体" w:hAnsi="宋体"/>
          <w:sz w:val="24"/>
          <w:highlight w:val="none"/>
        </w:rPr>
        <w:t>后仍不能使用</w:t>
      </w:r>
      <w:r>
        <w:rPr>
          <w:rFonts w:hint="eastAsia" w:ascii="宋体" w:hAnsi="宋体"/>
          <w:sz w:val="24"/>
          <w:highlight w:val="none"/>
        </w:rPr>
        <w:t>或检定结果未能通过技术监督鉴定标准，甲方有权要求乙方退货或更换新品，由此而产生的费用</w:t>
      </w:r>
      <w:r>
        <w:rPr>
          <w:rFonts w:ascii="宋体" w:hAnsi="宋体"/>
          <w:sz w:val="24"/>
          <w:highlight w:val="none"/>
        </w:rPr>
        <w:t>及</w:t>
      </w:r>
      <w:r>
        <w:rPr>
          <w:rFonts w:hint="eastAsia" w:ascii="宋体" w:hAnsi="宋体"/>
          <w:sz w:val="24"/>
          <w:highlight w:val="none"/>
        </w:rPr>
        <w:t>经济损失由乙方全部负责。若更换，更换一次后仍不合格，甲方要求退货的，乙方应当负责退货，并赔偿给甲方造成的损失，同时甲方有权解除合同，此外甲方有权要求乙方支付合同总金额30% 的违约金。</w:t>
      </w:r>
    </w:p>
    <w:p w14:paraId="1917D924">
      <w:pPr>
        <w:spacing w:line="360" w:lineRule="auto"/>
        <w:ind w:firstLine="480" w:firstLineChars="200"/>
        <w:jc w:val="left"/>
        <w:rPr>
          <w:rFonts w:hint="eastAsia" w:ascii="宋体" w:hAnsi="宋体"/>
          <w:sz w:val="24"/>
          <w:highlight w:val="none"/>
        </w:rPr>
      </w:pPr>
      <w:r>
        <w:rPr>
          <w:rFonts w:hint="eastAsia" w:ascii="宋体" w:hAnsi="宋体"/>
          <w:sz w:val="24"/>
          <w:highlight w:val="none"/>
        </w:rPr>
        <w:t>6、乙方交付的货物数量不符，甲方有权拒绝接收货物，并要求乙方在五个工作日内按照合同约定的数量交付货物，乙方拒不交付的，甲方有权解除合同，不予支付任何费用，并要求乙方承担本合同总金额的30% 违约金。</w:t>
      </w:r>
    </w:p>
    <w:p w14:paraId="503CFC33">
      <w:pPr>
        <w:spacing w:line="360" w:lineRule="auto"/>
        <w:ind w:firstLine="480" w:firstLineChars="200"/>
        <w:jc w:val="left"/>
        <w:rPr>
          <w:rFonts w:hint="eastAsia" w:ascii="宋体" w:hAnsi="宋体"/>
          <w:sz w:val="24"/>
          <w:highlight w:val="none"/>
        </w:rPr>
      </w:pPr>
      <w:r>
        <w:rPr>
          <w:rFonts w:hint="eastAsia" w:ascii="宋体" w:hAnsi="宋体"/>
          <w:sz w:val="24"/>
          <w:highlight w:val="none"/>
        </w:rPr>
        <w:t>7、乙方交付的货物名称、型号、品牌、产地不符合甲方要求，若在验收阶段，甲方有权拒绝接受货物，并有权要求乙方在30 个工作日内重新交付符合标准的货物。若已经接受货物，甲方有权要求乙方在30 个工作日内更换货物。乙方拒绝更换或重新交付，甲方有权解除合同，并要求乙方承担本合同总金额的30% 违约金。</w:t>
      </w:r>
    </w:p>
    <w:p w14:paraId="7A1D0190">
      <w:pPr>
        <w:spacing w:line="360" w:lineRule="auto"/>
        <w:ind w:firstLine="480" w:firstLineChars="200"/>
        <w:jc w:val="left"/>
        <w:rPr>
          <w:rFonts w:hint="eastAsia" w:ascii="宋体" w:hAnsi="宋体"/>
          <w:sz w:val="24"/>
          <w:highlight w:val="none"/>
        </w:rPr>
      </w:pPr>
      <w:r>
        <w:rPr>
          <w:rFonts w:hint="eastAsia" w:ascii="宋体" w:hAnsi="宋体"/>
          <w:sz w:val="24"/>
          <w:highlight w:val="none"/>
        </w:rPr>
        <w:t>8、乙方应保证货物质量符合标准，如因设备质量问题造成甲乙双方任何一方或第三方人员伤亡或财产损失的，均由乙方承担全部赔偿责任，同时甲方有权解除合同。</w:t>
      </w:r>
    </w:p>
    <w:p w14:paraId="60FC4809">
      <w:pPr>
        <w:spacing w:line="360" w:lineRule="auto"/>
        <w:ind w:firstLine="480" w:firstLineChars="200"/>
        <w:jc w:val="left"/>
        <w:rPr>
          <w:rFonts w:hint="eastAsia" w:ascii="宋体" w:hAnsi="宋体"/>
          <w:sz w:val="24"/>
          <w:highlight w:val="none"/>
        </w:rPr>
      </w:pPr>
      <w:r>
        <w:rPr>
          <w:rFonts w:hint="eastAsia" w:ascii="宋体" w:hAnsi="宋体"/>
          <w:sz w:val="24"/>
          <w:highlight w:val="none"/>
        </w:rPr>
        <w:t>9、如乙方在搬运、安装设备的过程中造成甲乙双方或第三方人身财产遭受损害的，应由乙方承担全部责任，同时甲方有权视具体情况选择解除本合同。</w:t>
      </w:r>
    </w:p>
    <w:p w14:paraId="5AD76034">
      <w:pPr>
        <w:spacing w:line="360" w:lineRule="auto"/>
        <w:ind w:firstLine="480" w:firstLineChars="200"/>
        <w:jc w:val="left"/>
        <w:rPr>
          <w:rFonts w:hint="eastAsia" w:ascii="宋体" w:hAnsi="宋体"/>
          <w:sz w:val="24"/>
          <w:highlight w:val="none"/>
        </w:rPr>
      </w:pPr>
      <w:r>
        <w:rPr>
          <w:rFonts w:hint="eastAsia" w:ascii="宋体" w:hAnsi="宋体"/>
          <w:sz w:val="24"/>
          <w:highlight w:val="none"/>
        </w:rPr>
        <w:t>10、乙方未按约定提供售后服务的，甲方有权聘请第三方进行服务，费用由乙方承担，上述情况每出现一次，乙方应向甲方支付合同金额20% 的违约金，累计发生2次以上的（含2次），甲方有权解除合同，并有权要求乙方支付合同金额30% 的违约金。</w:t>
      </w:r>
    </w:p>
    <w:p w14:paraId="5E7CC91E">
      <w:pPr>
        <w:spacing w:line="360" w:lineRule="auto"/>
        <w:ind w:firstLine="480" w:firstLineChars="200"/>
        <w:jc w:val="left"/>
        <w:rPr>
          <w:rFonts w:hint="eastAsia" w:ascii="宋体" w:hAnsi="宋体"/>
          <w:sz w:val="24"/>
          <w:highlight w:val="none"/>
        </w:rPr>
      </w:pPr>
      <w:r>
        <w:rPr>
          <w:rFonts w:hint="eastAsia" w:ascii="宋体" w:hAnsi="宋体"/>
          <w:sz w:val="24"/>
          <w:highlight w:val="none"/>
        </w:rPr>
        <w:t>11、如乙方违反本合同第九条之约定，甲方有权解除合同，同时甲方有权要求乙方支付合同金额30% 的违约金。</w:t>
      </w:r>
    </w:p>
    <w:p w14:paraId="075F35E2">
      <w:pPr>
        <w:spacing w:line="360" w:lineRule="auto"/>
        <w:ind w:firstLine="480" w:firstLineChars="200"/>
        <w:jc w:val="left"/>
        <w:rPr>
          <w:rFonts w:hint="eastAsia" w:ascii="宋体" w:hAnsi="宋体"/>
          <w:sz w:val="24"/>
          <w:highlight w:val="none"/>
        </w:rPr>
      </w:pPr>
      <w:r>
        <w:rPr>
          <w:rFonts w:hint="eastAsia" w:ascii="宋体" w:hAnsi="宋体"/>
          <w:sz w:val="24"/>
          <w:highlight w:val="none"/>
        </w:rPr>
        <w:t>12、本合同所约定的违约金不足以弥补因乙方违约致使甲方所遭受的损失的，甲方有权要求乙方补足差额。</w:t>
      </w:r>
    </w:p>
    <w:p w14:paraId="76BA52E1">
      <w:pPr>
        <w:spacing w:line="360" w:lineRule="auto"/>
        <w:ind w:firstLine="480" w:firstLineChars="200"/>
        <w:jc w:val="left"/>
      </w:pPr>
      <w:bookmarkStart w:id="0" w:name="_GoBack"/>
      <w:bookmarkEnd w:id="0"/>
      <w:r>
        <w:rPr>
          <w:rFonts w:hint="eastAsia" w:ascii="宋体" w:hAnsi="宋体"/>
          <w:sz w:val="24"/>
          <w:highlight w:val="none"/>
        </w:rPr>
        <w:t>13、甲方按照合同约定向乙方发出解除合同的通知时，合同解除。合同解除后，乙方需退回甲方已付货款，并自行将设备运回，所发生费用由乙方自行承担，若乙方在收到甲方解除通知后15 日内未将设备运回，视为乙方同意甲方自行处理，所发生的费用和损失由乙方承担，合同解除后乙方仍然需按照本合同规定承担相应的违约责任。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641C7D"/>
    <w:multiLevelType w:val="multilevel"/>
    <w:tmpl w:val="1A641C7D"/>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zMzRmZmU4NGY3NGViMWYyOWQyY2M0ZjViZjdlNDcifQ=="/>
  </w:docVars>
  <w:rsids>
    <w:rsidRoot w:val="2DA13D38"/>
    <w:rsid w:val="2DA13D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left="420" w:firstLine="420" w:firstLineChars="200"/>
    </w:pPr>
  </w:style>
  <w:style w:type="paragraph" w:styleId="3">
    <w:name w:val="Body Text Indent"/>
    <w:basedOn w:val="1"/>
    <w:next w:val="4"/>
    <w:qFormat/>
    <w:uiPriority w:val="0"/>
    <w:pPr>
      <w:spacing w:line="360" w:lineRule="auto"/>
      <w:ind w:firstLine="425"/>
    </w:pPr>
    <w:rPr>
      <w:sz w:val="28"/>
    </w:rPr>
  </w:style>
  <w:style w:type="paragraph" w:styleId="4">
    <w:name w:val="envelope return"/>
    <w:basedOn w:val="1"/>
    <w:unhideWhenUsed/>
    <w:qFormat/>
    <w:uiPriority w:val="99"/>
    <w:pPr>
      <w:snapToGrid w:val="0"/>
    </w:pPr>
    <w:rPr>
      <w:rFonts w:ascii="Arial" w:hAnsi="Aria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2024-09-14T04:09:00Z</dcterms:created>
  <dc:creator>逆夢</dc:creator>
  <cp:lastModifiedBy>逆夢</cp:lastModifiedBy>
  <dcterms:modified xsi:type="dcterms:W3CDTF">2024-09-14T04:09:54Z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E5E7051A0BFB4754B1824CEA745E3A05_11</vt:lpwstr>
  </property>
</Properties>
</file>