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50B22">
      <w:pPr>
        <w:pStyle w:val="4"/>
        <w:bidi w:val="0"/>
        <w:rPr>
          <w:rFonts w:hint="eastAsia"/>
          <w:lang w:val="en-US" w:eastAsia="zh-CN"/>
        </w:rPr>
      </w:pPr>
      <w:r>
        <w:rPr>
          <w:rFonts w:hint="eastAsia"/>
          <w:lang w:val="en-US" w:eastAsia="zh-CN"/>
        </w:rPr>
        <w:t>公告附件：</w:t>
      </w:r>
    </w:p>
    <w:p w14:paraId="090E77A8">
      <w:pPr>
        <w:autoSpaceDE w:val="0"/>
        <w:autoSpaceDN w:val="0"/>
        <w:adjustRightInd w:val="0"/>
        <w:snapToGrid w:val="0"/>
        <w:spacing w:line="360" w:lineRule="auto"/>
        <w:ind w:right="34" w:firstLine="562"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rPr>
        <w:t>（一）</w:t>
      </w:r>
      <w:r>
        <w:rPr>
          <w:rFonts w:hint="eastAsia" w:ascii="仿宋" w:hAnsi="仿宋" w:eastAsia="仿宋" w:cs="仿宋"/>
          <w:b/>
          <w:bCs/>
          <w:color w:val="auto"/>
          <w:sz w:val="28"/>
          <w:szCs w:val="28"/>
          <w:highlight w:val="none"/>
          <w:lang w:eastAsia="zh-CN"/>
        </w:rPr>
        <w:t>检测范围：</w:t>
      </w:r>
      <w:r>
        <w:rPr>
          <w:rFonts w:hint="eastAsia" w:ascii="仿宋" w:hAnsi="仿宋" w:eastAsia="仿宋" w:cs="仿宋"/>
          <w:b w:val="0"/>
          <w:bCs w:val="0"/>
          <w:color w:val="auto"/>
          <w:sz w:val="28"/>
          <w:szCs w:val="28"/>
          <w:highlight w:val="none"/>
          <w:lang w:val="en-US" w:eastAsia="zh-CN"/>
        </w:rPr>
        <w:t>2024年蓉江新区房屋建筑及市政工程.</w:t>
      </w:r>
    </w:p>
    <w:p w14:paraId="167FCE19">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2" w:firstLineChars="200"/>
        <w:textAlignment w:val="auto"/>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二</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检测内容：</w:t>
      </w:r>
    </w:p>
    <w:p w14:paraId="0D8A2C5F">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lang w:eastAsia="zh-CN"/>
        </w:rPr>
        <w:t>工程现场钢筋原材料取样抽测；</w:t>
      </w:r>
    </w:p>
    <w:p w14:paraId="17750DF0">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2、住宅工程实体质量检测</w:t>
      </w:r>
      <w:r>
        <w:rPr>
          <w:rFonts w:hint="eastAsia" w:ascii="仿宋" w:hAnsi="仿宋" w:eastAsia="仿宋" w:cs="仿宋"/>
          <w:b w:val="0"/>
          <w:bCs w:val="0"/>
          <w:color w:val="auto"/>
          <w:sz w:val="28"/>
          <w:szCs w:val="28"/>
          <w:highlight w:val="none"/>
          <w:lang w:eastAsia="zh-CN"/>
        </w:rPr>
        <w:t>。</w:t>
      </w:r>
    </w:p>
    <w:p w14:paraId="719E3E27">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（三）技术规范：</w:t>
      </w:r>
    </w:p>
    <w:p w14:paraId="7A829F18">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按设计的施工图纸、已完工的工程内容及国家现行的检测规范和标准进行建设工程质量检测，出具国家及江西省地方相关部门认可的检测报告，所有检测工作须符合国家法律、法规及省、市有关文件要求，包括但不限于以下技术规范标准（若有更新，以最新现行的技术规范为准）：</w:t>
      </w:r>
    </w:p>
    <w:p w14:paraId="0CFD6758">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1、桩基检测技术规范：执行《建筑基桩检测技术规范》（JGJ106-2014）及江西省建筑工程安全质量监督管理局{赣建质监字【2011】16号文件}及其他现行国家、省、市有关部门的相关规定；</w:t>
      </w:r>
    </w:p>
    <w:p w14:paraId="53FEF778">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2、主体结构检测技术规范：执行《建筑结构检测技术标准》（GB/T 50344-2019）及其他现行国家、省、市有关部门的相关规定；</w:t>
      </w:r>
    </w:p>
    <w:p w14:paraId="1BEF04A3">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3、常规材料检测技术</w:t>
      </w:r>
      <w:bookmarkStart w:id="0" w:name="_GoBack"/>
      <w:bookmarkEnd w:id="0"/>
      <w:r>
        <w:rPr>
          <w:rFonts w:hint="eastAsia" w:ascii="仿宋" w:hAnsi="仿宋" w:eastAsia="仿宋" w:cs="仿宋"/>
          <w:color w:val="auto"/>
          <w:sz w:val="28"/>
          <w:szCs w:val="28"/>
          <w:highlight w:val="none"/>
          <w:lang w:eastAsia="zh-CN"/>
        </w:rPr>
        <w:t>规范：执行国家建设部《房屋建筑工程和市政基础设施工程实行见证取样和送检的规定》（建建【2000】211号文件）及其他现行国家、省、市有关部门的相关规定。</w:t>
      </w:r>
    </w:p>
    <w:p w14:paraId="42663DC0">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（四）检测要求</w:t>
      </w:r>
    </w:p>
    <w:p w14:paraId="45AAD9CD">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1、须具有有工程现场钢筋取样抽测资质和住宅工程实体质量检测有资质抽测的能力。</w:t>
      </w:r>
    </w:p>
    <w:p w14:paraId="129B030E">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、成交供应商必须按时按质按量向采购人提供建设工程质量检测成果文件，否则，采购人对成交供应商予以每次1000元违约金。</w:t>
      </w:r>
    </w:p>
    <w:p w14:paraId="63BA3F20">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成交供应商因渎职、徇私舞弊、中饱私囊等原因给采购人造成损害，采购人对成交供应商予以造成经济损失的双倍罚款；造成重大损失，采购人有权没收成交供应商的履约保证金，直至终止合同，并依法追究法律责任。</w:t>
      </w:r>
    </w:p>
    <w:p w14:paraId="457151AB">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、若发生以上费用，可以在建设工程质量检测费阶段性支付或尾款中扣除。</w:t>
      </w:r>
    </w:p>
    <w:p w14:paraId="134A7F71">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、若由于成交供应商的原因造成合同终止，采购人将没收成交供应商的履约保证金，并停止支付剩余的建设工程质量检测费。</w:t>
      </w:r>
    </w:p>
    <w:p w14:paraId="523C6904">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 xml:space="preserve">、成交供应商派驻到工程现场进行试验检测任务的人员，应能够胜任合同约定的工作，重要岗位人员的职称、专业、年龄、资格、资历、业绩、数量等须满足项目要求。 </w:t>
      </w:r>
    </w:p>
    <w:p w14:paraId="22EC0FDE">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采购人有权根据施工现场情况及采购人求确定具体的检测方式（方法），发生的所有费用（含进出场费等）均包含在该项检测子目的单价中，不另行计费。响应供应商应充分考虑此风险，一旦中标，成交供应商应无条件执行。</w:t>
      </w:r>
    </w:p>
    <w:p w14:paraId="19E3EC10">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lang w:eastAsia="zh-CN"/>
        </w:rPr>
        <w:t>、成交供应商应单独解决本单位派出人员的就餐事宜，不得到施工单位搭伙。</w:t>
      </w:r>
    </w:p>
    <w:p w14:paraId="12EA0987">
      <w:pPr>
        <w:pStyle w:val="5"/>
        <w:keepNext w:val="0"/>
        <w:keepLines w:val="0"/>
        <w:pageBreakBefore w:val="0"/>
        <w:kinsoku/>
        <w:wordWrap/>
        <w:overflowPunct/>
        <w:topLinePunct w:val="0"/>
        <w:autoSpaceDE/>
        <w:autoSpaceDN/>
        <w:bidi w:val="0"/>
        <w:adjustRightInd/>
        <w:snapToGrid/>
        <w:spacing w:line="480" w:lineRule="exact"/>
        <w:ind w:left="0" w:firstLine="560" w:firstLineChars="200"/>
        <w:textAlignment w:val="auto"/>
        <w:rPr>
          <w:rFonts w:hint="eastAsia" w:ascii="仿宋" w:hAnsi="仿宋" w:eastAsia="仿宋" w:cs="仿宋"/>
          <w:color w:val="auto"/>
          <w:spacing w:val="0"/>
          <w:kern w:val="2"/>
          <w:sz w:val="28"/>
          <w:szCs w:val="28"/>
          <w:highlight w:val="none"/>
          <w:lang w:val="en-US" w:eastAsia="zh-CN" w:bidi="ar-SA"/>
        </w:rPr>
      </w:pPr>
      <w:r>
        <w:rPr>
          <w:rFonts w:hint="eastAsia" w:ascii="仿宋" w:hAnsi="仿宋" w:eastAsia="仿宋" w:cs="仿宋"/>
          <w:color w:val="auto"/>
          <w:spacing w:val="0"/>
          <w:kern w:val="2"/>
          <w:sz w:val="28"/>
          <w:szCs w:val="28"/>
          <w:highlight w:val="none"/>
          <w:lang w:val="en-US" w:eastAsia="zh-CN" w:bidi="ar-SA"/>
        </w:rPr>
        <w:t>9、实际建设过程中，采购人有权增加或减少工程项目，成交供应商须无条件接受。</w:t>
      </w:r>
    </w:p>
    <w:p w14:paraId="3EEDCF77">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成交供应商必须严格按照相关规范进行检测，服从采购人的管理。否则，一次警告，二次以后（含二次）按次承担3000元的违约金，三次以上（含三次）同时报相应行政主管部门对其不良行为记录予以公示。采购人有权要求成交供应商撤换工作不负责任、管理不力、贻误工期和造成严重的安全事故和工程质量事故、违法乱纪的专业检测人员，直至采购人满意为止。</w:t>
      </w:r>
    </w:p>
    <w:p w14:paraId="499530E5">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五</w:t>
      </w:r>
      <w:r>
        <w:rPr>
          <w:rFonts w:hint="eastAsia" w:ascii="仿宋" w:hAnsi="仿宋" w:eastAsia="仿宋" w:cs="仿宋"/>
          <w:b/>
          <w:bCs/>
          <w:color w:val="auto"/>
          <w:sz w:val="28"/>
          <w:szCs w:val="28"/>
          <w:highlight w:val="none"/>
        </w:rPr>
        <w:t>）服务</w:t>
      </w:r>
      <w:r>
        <w:rPr>
          <w:rFonts w:hint="eastAsia" w:ascii="仿宋" w:hAnsi="仿宋" w:eastAsia="仿宋" w:cs="仿宋"/>
          <w:b/>
          <w:bCs/>
          <w:color w:val="auto"/>
          <w:sz w:val="28"/>
          <w:szCs w:val="28"/>
          <w:highlight w:val="none"/>
          <w:lang w:eastAsia="zh-CN"/>
        </w:rPr>
        <w:t>期限</w:t>
      </w:r>
      <w:r>
        <w:rPr>
          <w:rFonts w:hint="eastAsia" w:ascii="仿宋" w:hAnsi="仿宋" w:eastAsia="仿宋" w:cs="仿宋"/>
          <w:b/>
          <w:bCs/>
          <w:color w:val="auto"/>
          <w:sz w:val="28"/>
          <w:szCs w:val="28"/>
          <w:highlight w:val="none"/>
        </w:rPr>
        <w:t>：</w:t>
      </w:r>
    </w:p>
    <w:p w14:paraId="50843DD3">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自签订合同之日起至2024年12月31日。</w:t>
      </w:r>
    </w:p>
    <w:p w14:paraId="5945086F">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2" w:firstLineChars="200"/>
        <w:textAlignment w:val="auto"/>
        <w:rPr>
          <w:rFonts w:hint="eastAsia" w:ascii="仿宋" w:hAnsi="仿宋" w:eastAsia="仿宋" w:cs="仿宋"/>
          <w:b/>
          <w:bCs w:val="0"/>
          <w:color w:val="auto"/>
          <w:kern w:val="0"/>
          <w:sz w:val="28"/>
          <w:szCs w:val="28"/>
          <w:highlight w:val="none"/>
          <w:lang w:val="en-US" w:eastAsia="zh-CN"/>
        </w:rPr>
      </w:pPr>
      <w:r>
        <w:rPr>
          <w:rFonts w:hint="eastAsia" w:ascii="仿宋" w:hAnsi="仿宋" w:eastAsia="仿宋" w:cs="仿宋"/>
          <w:b/>
          <w:bCs w:val="0"/>
          <w:color w:val="auto"/>
          <w:kern w:val="0"/>
          <w:sz w:val="28"/>
          <w:szCs w:val="28"/>
          <w:highlight w:val="none"/>
          <w:lang w:val="en-US" w:eastAsia="zh-CN"/>
        </w:rPr>
        <w:t>（六）其他要求</w:t>
      </w:r>
    </w:p>
    <w:p w14:paraId="2975B950">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2" w:firstLineChars="200"/>
        <w:textAlignment w:val="auto"/>
        <w:rPr>
          <w:rFonts w:hint="eastAsia" w:ascii="仿宋" w:hAnsi="仿宋" w:eastAsia="仿宋" w:cs="仿宋"/>
          <w:b w:val="0"/>
          <w:bCs/>
          <w:color w:val="auto"/>
          <w:kern w:val="0"/>
          <w:sz w:val="28"/>
          <w:szCs w:val="28"/>
          <w:highlight w:val="none"/>
          <w:lang w:val="en-US" w:eastAsia="zh-CN"/>
        </w:rPr>
      </w:pPr>
      <w:r>
        <w:rPr>
          <w:rFonts w:hint="eastAsia" w:ascii="仿宋" w:hAnsi="仿宋" w:eastAsia="仿宋" w:cs="仿宋"/>
          <w:b/>
          <w:bCs w:val="0"/>
          <w:color w:val="auto"/>
          <w:kern w:val="0"/>
          <w:sz w:val="28"/>
          <w:szCs w:val="28"/>
          <w:highlight w:val="none"/>
          <w:lang w:val="en-US" w:eastAsia="zh-CN"/>
        </w:rPr>
        <w:t>1、</w:t>
      </w:r>
      <w:r>
        <w:rPr>
          <w:rFonts w:hint="eastAsia" w:ascii="仿宋" w:hAnsi="仿宋" w:eastAsia="仿宋" w:cs="仿宋"/>
          <w:b/>
          <w:bCs w:val="0"/>
          <w:color w:val="auto"/>
          <w:kern w:val="0"/>
          <w:sz w:val="28"/>
          <w:szCs w:val="28"/>
          <w:highlight w:val="none"/>
        </w:rPr>
        <w:t>响应文件中需提供</w:t>
      </w:r>
      <w:r>
        <w:rPr>
          <w:rFonts w:hint="eastAsia" w:ascii="仿宋" w:hAnsi="仿宋" w:eastAsia="仿宋" w:cs="仿宋"/>
          <w:b/>
          <w:bCs w:val="0"/>
          <w:color w:val="auto"/>
          <w:kern w:val="0"/>
          <w:sz w:val="28"/>
          <w:szCs w:val="28"/>
          <w:highlight w:val="none"/>
          <w:lang w:eastAsia="zh-CN"/>
        </w:rPr>
        <w:t>以下后续服务要求的承诺书（格式自拟），</w:t>
      </w:r>
      <w:r>
        <w:rPr>
          <w:rFonts w:hint="eastAsia" w:ascii="仿宋" w:hAnsi="仿宋" w:eastAsia="仿宋" w:cs="仿宋"/>
          <w:b/>
          <w:bCs w:val="0"/>
          <w:color w:val="auto"/>
          <w:kern w:val="0"/>
          <w:sz w:val="28"/>
          <w:szCs w:val="28"/>
          <w:highlight w:val="none"/>
        </w:rPr>
        <w:t>否则，作无效响应处理</w:t>
      </w:r>
      <w:r>
        <w:rPr>
          <w:rFonts w:hint="eastAsia" w:ascii="仿宋" w:hAnsi="仿宋" w:eastAsia="仿宋" w:cs="仿宋"/>
          <w:b/>
          <w:bCs w:val="0"/>
          <w:color w:val="auto"/>
          <w:kern w:val="0"/>
          <w:sz w:val="28"/>
          <w:szCs w:val="28"/>
          <w:highlight w:val="none"/>
          <w:lang w:val="en-US" w:eastAsia="zh-CN"/>
        </w:rPr>
        <w:t>。</w:t>
      </w:r>
    </w:p>
    <w:p w14:paraId="67BC2904">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b w:val="0"/>
          <w:bCs/>
          <w:color w:val="auto"/>
          <w:kern w:val="0"/>
          <w:sz w:val="28"/>
          <w:szCs w:val="28"/>
          <w:highlight w:val="none"/>
          <w:lang w:val="en-US" w:eastAsia="zh-CN"/>
        </w:rPr>
      </w:pPr>
      <w:r>
        <w:rPr>
          <w:rFonts w:hint="eastAsia" w:ascii="仿宋" w:hAnsi="仿宋" w:eastAsia="仿宋" w:cs="仿宋"/>
          <w:b w:val="0"/>
          <w:bCs/>
          <w:color w:val="auto"/>
          <w:kern w:val="0"/>
          <w:sz w:val="28"/>
          <w:szCs w:val="28"/>
          <w:highlight w:val="none"/>
          <w:lang w:val="en-US" w:eastAsia="zh-CN"/>
        </w:rPr>
        <w:t>①成交供应商必须在成交通知书发出之日起15天内根据赣州市建设行政主管部门要求，纳入赣州市检测管理信息系统管理，确保所有设备、软件等与监管系统平台互联互通（包含见证取样检测设备）；</w:t>
      </w:r>
    </w:p>
    <w:p w14:paraId="5E76B47A">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b w:val="0"/>
          <w:bCs/>
          <w:color w:val="auto"/>
          <w:kern w:val="0"/>
          <w:sz w:val="28"/>
          <w:szCs w:val="28"/>
          <w:highlight w:val="none"/>
          <w:lang w:val="en-US" w:eastAsia="zh-CN"/>
        </w:rPr>
      </w:pPr>
      <w:r>
        <w:rPr>
          <w:rFonts w:hint="eastAsia" w:ascii="仿宋" w:hAnsi="仿宋" w:eastAsia="仿宋" w:cs="仿宋"/>
          <w:b w:val="0"/>
          <w:bCs/>
          <w:color w:val="auto"/>
          <w:kern w:val="0"/>
          <w:sz w:val="28"/>
          <w:szCs w:val="28"/>
          <w:highlight w:val="none"/>
          <w:lang w:val="en-US" w:eastAsia="zh-CN"/>
        </w:rPr>
        <w:t>②成交供应商必须根据工程进度开展各项检测工作，并按要求出具合格、有效的检测报告。若因成交供应商导致进度延误的，每延误一天缴纳500元违约金，延误超过五天以上（不含五天）的，采购人申报监督机构并取消其成交资格。成交供应商设立检验检测机构（实验室）的，必须符合国家认监委《关于实施&lt;检验检测机构资质认定管理办法&gt;的若干意见》（国认实[2015]49号）文件及相关法律、法规的要求。若相关法律、法规文件有更新的，以最新的文件为准。</w:t>
      </w:r>
    </w:p>
    <w:p w14:paraId="6771119E">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0" w:firstLineChars="200"/>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2、成交供应商</w:t>
      </w:r>
      <w:r>
        <w:rPr>
          <w:rFonts w:hint="eastAsia" w:ascii="仿宋" w:hAnsi="仿宋" w:eastAsia="仿宋" w:cs="仿宋"/>
          <w:bCs/>
          <w:color w:val="auto"/>
          <w:kern w:val="0"/>
          <w:sz w:val="28"/>
          <w:szCs w:val="28"/>
          <w:highlight w:val="none"/>
          <w:lang w:val="zh-CN" w:eastAsia="zh-CN"/>
        </w:rPr>
        <w:t>提供检测报告的份数要求应按照赣</w:t>
      </w:r>
      <w:r>
        <w:rPr>
          <w:rFonts w:hint="eastAsia" w:ascii="仿宋" w:hAnsi="仿宋" w:eastAsia="仿宋" w:cs="仿宋"/>
          <w:bCs/>
          <w:color w:val="auto"/>
          <w:kern w:val="0"/>
          <w:sz w:val="28"/>
          <w:szCs w:val="28"/>
          <w:highlight w:val="none"/>
          <w:lang w:val="en-US" w:eastAsia="zh-CN"/>
        </w:rPr>
        <w:t>州市有关规定出具检测报告的份数为准。</w:t>
      </w:r>
    </w:p>
    <w:p w14:paraId="4552076A">
      <w:pPr>
        <w:keepNext w:val="0"/>
        <w:keepLines w:val="0"/>
        <w:pageBreakBefore w:val="0"/>
        <w:widowControl w:val="0"/>
        <w:kinsoku/>
        <w:wordWrap/>
        <w:overflowPunct/>
        <w:topLinePunct w:val="0"/>
        <w:autoSpaceDE w:val="0"/>
        <w:autoSpaceDN w:val="0"/>
        <w:bidi w:val="0"/>
        <w:adjustRightInd w:val="0"/>
        <w:snapToGrid w:val="0"/>
        <w:spacing w:line="360" w:lineRule="auto"/>
        <w:ind w:right="34" w:firstLine="562" w:firstLineChars="200"/>
        <w:textAlignment w:val="auto"/>
        <w:rPr>
          <w:rFonts w:hint="eastAsia" w:ascii="仿宋" w:hAnsi="仿宋" w:eastAsia="仿宋" w:cs="仿宋"/>
          <w:b/>
          <w:bCs/>
          <w:color w:val="auto"/>
          <w:kern w:val="0"/>
          <w:sz w:val="28"/>
          <w:szCs w:val="28"/>
          <w:highlight w:val="none"/>
          <w:lang w:eastAsia="zh-CN"/>
        </w:rPr>
      </w:pPr>
      <w:r>
        <w:rPr>
          <w:rFonts w:hint="eastAsia" w:ascii="仿宋" w:hAnsi="仿宋" w:eastAsia="仿宋" w:cs="仿宋"/>
          <w:b/>
          <w:bCs/>
          <w:color w:val="auto"/>
          <w:sz w:val="28"/>
          <w:szCs w:val="28"/>
          <w:highlight w:val="none"/>
          <w:lang w:eastAsia="zh-CN"/>
        </w:rPr>
        <w:t>（七）</w:t>
      </w:r>
      <w:r>
        <w:rPr>
          <w:rFonts w:hint="eastAsia" w:ascii="仿宋" w:hAnsi="仿宋" w:eastAsia="仿宋" w:cs="仿宋"/>
          <w:b/>
          <w:bCs/>
          <w:color w:val="auto"/>
          <w:kern w:val="0"/>
          <w:sz w:val="28"/>
          <w:szCs w:val="28"/>
          <w:highlight w:val="none"/>
          <w:lang w:eastAsia="zh-CN"/>
        </w:rPr>
        <w:t>检测清单</w:t>
      </w:r>
    </w:p>
    <w:tbl>
      <w:tblPr>
        <w:tblStyle w:val="6"/>
        <w:tblW w:w="9558" w:type="dxa"/>
        <w:jc w:val="center"/>
        <w:tblLayout w:type="fixed"/>
        <w:tblCellMar>
          <w:top w:w="0" w:type="dxa"/>
          <w:left w:w="108" w:type="dxa"/>
          <w:bottom w:w="0" w:type="dxa"/>
          <w:right w:w="108" w:type="dxa"/>
        </w:tblCellMar>
      </w:tblPr>
      <w:tblGrid>
        <w:gridCol w:w="830"/>
        <w:gridCol w:w="2299"/>
        <w:gridCol w:w="2593"/>
        <w:gridCol w:w="1918"/>
        <w:gridCol w:w="1918"/>
      </w:tblGrid>
      <w:tr w14:paraId="4261B8B7">
        <w:tblPrEx>
          <w:tblCellMar>
            <w:top w:w="0" w:type="dxa"/>
            <w:left w:w="108" w:type="dxa"/>
            <w:bottom w:w="0" w:type="dxa"/>
            <w:right w:w="108" w:type="dxa"/>
          </w:tblCellMar>
        </w:tblPrEx>
        <w:trPr>
          <w:trHeight w:val="645" w:hRule="atLeast"/>
          <w:jc w:val="center"/>
        </w:trPr>
        <w:tc>
          <w:tcPr>
            <w:tcW w:w="830" w:type="dxa"/>
            <w:tcBorders>
              <w:top w:val="single" w:color="auto" w:sz="4" w:space="0"/>
              <w:left w:val="single" w:color="auto" w:sz="4" w:space="0"/>
              <w:bottom w:val="single" w:color="auto" w:sz="4" w:space="0"/>
              <w:right w:val="single" w:color="auto" w:sz="4" w:space="0"/>
            </w:tcBorders>
            <w:noWrap w:val="0"/>
            <w:vAlign w:val="center"/>
          </w:tcPr>
          <w:p w14:paraId="349B14A4">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序号</w:t>
            </w:r>
          </w:p>
        </w:tc>
        <w:tc>
          <w:tcPr>
            <w:tcW w:w="2299" w:type="dxa"/>
            <w:tcBorders>
              <w:top w:val="single" w:color="auto" w:sz="4" w:space="0"/>
              <w:left w:val="nil"/>
              <w:bottom w:val="single" w:color="auto" w:sz="4" w:space="0"/>
              <w:right w:val="single" w:color="auto" w:sz="4" w:space="0"/>
            </w:tcBorders>
            <w:noWrap w:val="0"/>
            <w:vAlign w:val="center"/>
          </w:tcPr>
          <w:p w14:paraId="4CA85EB9">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检测类别</w:t>
            </w:r>
          </w:p>
        </w:tc>
        <w:tc>
          <w:tcPr>
            <w:tcW w:w="2593" w:type="dxa"/>
            <w:tcBorders>
              <w:top w:val="single" w:color="auto" w:sz="4" w:space="0"/>
              <w:left w:val="nil"/>
              <w:bottom w:val="single" w:color="auto" w:sz="4" w:space="0"/>
              <w:right w:val="single" w:color="auto" w:sz="4" w:space="0"/>
            </w:tcBorders>
            <w:noWrap w:val="0"/>
            <w:vAlign w:val="center"/>
          </w:tcPr>
          <w:p w14:paraId="7F3A07B1">
            <w:pPr>
              <w:widowControl/>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检测内容</w:t>
            </w:r>
          </w:p>
        </w:tc>
        <w:tc>
          <w:tcPr>
            <w:tcW w:w="1918" w:type="dxa"/>
            <w:tcBorders>
              <w:top w:val="single" w:color="auto" w:sz="4" w:space="0"/>
              <w:left w:val="nil"/>
              <w:bottom w:val="single" w:color="auto" w:sz="4" w:space="0"/>
              <w:right w:val="single" w:color="auto" w:sz="4" w:space="0"/>
            </w:tcBorders>
            <w:noWrap w:val="0"/>
            <w:vAlign w:val="center"/>
          </w:tcPr>
          <w:p w14:paraId="25A12847">
            <w:pPr>
              <w:widowControl/>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检测数量</w:t>
            </w:r>
          </w:p>
        </w:tc>
        <w:tc>
          <w:tcPr>
            <w:tcW w:w="1918" w:type="dxa"/>
            <w:tcBorders>
              <w:top w:val="single" w:color="auto" w:sz="4" w:space="0"/>
              <w:left w:val="nil"/>
              <w:bottom w:val="single" w:color="auto" w:sz="4" w:space="0"/>
              <w:right w:val="single" w:color="auto" w:sz="4" w:space="0"/>
            </w:tcBorders>
            <w:noWrap w:val="0"/>
            <w:vAlign w:val="center"/>
          </w:tcPr>
          <w:p w14:paraId="7101ED07">
            <w:pPr>
              <w:widowControl/>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单价（元）</w:t>
            </w:r>
          </w:p>
        </w:tc>
      </w:tr>
      <w:tr w14:paraId="3FD832AF">
        <w:tblPrEx>
          <w:tblCellMar>
            <w:top w:w="0" w:type="dxa"/>
            <w:left w:w="108" w:type="dxa"/>
            <w:bottom w:w="0" w:type="dxa"/>
            <w:right w:w="108" w:type="dxa"/>
          </w:tblCellMar>
        </w:tblPrEx>
        <w:trPr>
          <w:trHeight w:val="637" w:hRule="atLeast"/>
          <w:jc w:val="center"/>
        </w:trPr>
        <w:tc>
          <w:tcPr>
            <w:tcW w:w="830" w:type="dxa"/>
            <w:vMerge w:val="restart"/>
            <w:tcBorders>
              <w:top w:val="single" w:color="auto" w:sz="4" w:space="0"/>
              <w:left w:val="single" w:color="auto" w:sz="4" w:space="0"/>
              <w:right w:val="single" w:color="auto" w:sz="4" w:space="0"/>
            </w:tcBorders>
            <w:noWrap w:val="0"/>
            <w:vAlign w:val="center"/>
          </w:tcPr>
          <w:p w14:paraId="6E8B341F">
            <w:pPr>
              <w:widowControl/>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w:t>
            </w:r>
          </w:p>
        </w:tc>
        <w:tc>
          <w:tcPr>
            <w:tcW w:w="2299" w:type="dxa"/>
            <w:vMerge w:val="restart"/>
            <w:tcBorders>
              <w:top w:val="single" w:color="auto" w:sz="4" w:space="0"/>
              <w:left w:val="nil"/>
              <w:right w:val="single" w:color="auto" w:sz="4" w:space="0"/>
            </w:tcBorders>
            <w:noWrap w:val="0"/>
            <w:vAlign w:val="center"/>
          </w:tcPr>
          <w:p w14:paraId="580B624B">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主体结构</w:t>
            </w:r>
          </w:p>
        </w:tc>
        <w:tc>
          <w:tcPr>
            <w:tcW w:w="2593" w:type="dxa"/>
            <w:tcBorders>
              <w:top w:val="single" w:color="auto" w:sz="4" w:space="0"/>
              <w:left w:val="nil"/>
              <w:bottom w:val="single" w:color="auto" w:sz="4" w:space="0"/>
              <w:right w:val="single" w:color="auto" w:sz="4" w:space="0"/>
            </w:tcBorders>
            <w:noWrap w:val="0"/>
            <w:vAlign w:val="center"/>
          </w:tcPr>
          <w:p w14:paraId="374D5430">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回弹法</w:t>
            </w:r>
          </w:p>
        </w:tc>
        <w:tc>
          <w:tcPr>
            <w:tcW w:w="1918" w:type="dxa"/>
            <w:tcBorders>
              <w:top w:val="single" w:color="auto" w:sz="4" w:space="0"/>
              <w:left w:val="nil"/>
              <w:bottom w:val="single" w:color="auto" w:sz="4" w:space="0"/>
              <w:right w:val="single" w:color="auto" w:sz="4" w:space="0"/>
            </w:tcBorders>
            <w:noWrap w:val="0"/>
            <w:vAlign w:val="center"/>
          </w:tcPr>
          <w:p w14:paraId="65DC29C9">
            <w:pPr>
              <w:widowControl/>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eastAsia="zh-CN" w:bidi="ar"/>
              </w:rPr>
              <w:t>约</w:t>
            </w:r>
            <w:r>
              <w:rPr>
                <w:rFonts w:hint="eastAsia" w:ascii="仿宋" w:hAnsi="仿宋" w:eastAsia="仿宋" w:cs="仿宋"/>
                <w:color w:val="auto"/>
                <w:sz w:val="24"/>
                <w:szCs w:val="24"/>
                <w:highlight w:val="none"/>
                <w:lang w:val="en-US" w:eastAsia="zh-CN" w:bidi="ar"/>
              </w:rPr>
              <w:t>120个构件</w:t>
            </w:r>
          </w:p>
        </w:tc>
        <w:tc>
          <w:tcPr>
            <w:tcW w:w="1918" w:type="dxa"/>
            <w:tcBorders>
              <w:top w:val="single" w:color="auto" w:sz="4" w:space="0"/>
              <w:left w:val="nil"/>
              <w:bottom w:val="single" w:color="auto" w:sz="4" w:space="0"/>
              <w:right w:val="single" w:color="auto" w:sz="4" w:space="0"/>
            </w:tcBorders>
            <w:noWrap w:val="0"/>
            <w:vAlign w:val="center"/>
          </w:tcPr>
          <w:p w14:paraId="0FB420F6">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150</w:t>
            </w:r>
            <w:r>
              <w:rPr>
                <w:rFonts w:hint="eastAsia" w:ascii="仿宋" w:hAnsi="仿宋" w:eastAsia="仿宋" w:cs="仿宋"/>
                <w:color w:val="auto"/>
                <w:sz w:val="24"/>
                <w:szCs w:val="24"/>
                <w:highlight w:val="none"/>
                <w:lang w:bidi="ar"/>
              </w:rPr>
              <w:t>元/构件</w:t>
            </w:r>
          </w:p>
        </w:tc>
      </w:tr>
      <w:tr w14:paraId="2E1A879C">
        <w:tblPrEx>
          <w:tblCellMar>
            <w:top w:w="0" w:type="dxa"/>
            <w:left w:w="108" w:type="dxa"/>
            <w:bottom w:w="0" w:type="dxa"/>
            <w:right w:w="108" w:type="dxa"/>
          </w:tblCellMar>
        </w:tblPrEx>
        <w:trPr>
          <w:trHeight w:val="645" w:hRule="atLeast"/>
          <w:jc w:val="center"/>
        </w:trPr>
        <w:tc>
          <w:tcPr>
            <w:tcW w:w="830" w:type="dxa"/>
            <w:vMerge w:val="continue"/>
            <w:tcBorders>
              <w:left w:val="single" w:color="auto" w:sz="4" w:space="0"/>
              <w:right w:val="single" w:color="auto" w:sz="4" w:space="0"/>
            </w:tcBorders>
            <w:noWrap w:val="0"/>
            <w:vAlign w:val="center"/>
          </w:tcPr>
          <w:p w14:paraId="5166CA49">
            <w:pPr>
              <w:widowControl/>
              <w:jc w:val="center"/>
              <w:rPr>
                <w:rFonts w:hint="eastAsia" w:ascii="仿宋" w:hAnsi="仿宋" w:eastAsia="仿宋" w:cs="仿宋"/>
                <w:color w:val="auto"/>
                <w:sz w:val="24"/>
                <w:szCs w:val="24"/>
                <w:highlight w:val="none"/>
                <w:lang w:bidi="ar"/>
              </w:rPr>
            </w:pPr>
          </w:p>
        </w:tc>
        <w:tc>
          <w:tcPr>
            <w:tcW w:w="2299" w:type="dxa"/>
            <w:vMerge w:val="continue"/>
            <w:tcBorders>
              <w:left w:val="nil"/>
              <w:right w:val="single" w:color="auto" w:sz="4" w:space="0"/>
            </w:tcBorders>
            <w:noWrap w:val="0"/>
            <w:vAlign w:val="center"/>
          </w:tcPr>
          <w:p w14:paraId="3B6A30AF">
            <w:pPr>
              <w:widowControl/>
              <w:jc w:val="center"/>
              <w:rPr>
                <w:rFonts w:hint="eastAsia" w:ascii="仿宋" w:hAnsi="仿宋" w:eastAsia="仿宋" w:cs="仿宋"/>
                <w:color w:val="auto"/>
                <w:sz w:val="24"/>
                <w:szCs w:val="24"/>
                <w:highlight w:val="none"/>
                <w:lang w:bidi="ar"/>
              </w:rPr>
            </w:pPr>
          </w:p>
        </w:tc>
        <w:tc>
          <w:tcPr>
            <w:tcW w:w="2593" w:type="dxa"/>
            <w:tcBorders>
              <w:top w:val="single" w:color="auto" w:sz="4" w:space="0"/>
              <w:left w:val="nil"/>
              <w:bottom w:val="single" w:color="auto" w:sz="4" w:space="0"/>
              <w:right w:val="single" w:color="auto" w:sz="4" w:space="0"/>
            </w:tcBorders>
            <w:noWrap w:val="0"/>
            <w:vAlign w:val="center"/>
          </w:tcPr>
          <w:p w14:paraId="0CE030DA">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楼板厚度</w:t>
            </w:r>
          </w:p>
        </w:tc>
        <w:tc>
          <w:tcPr>
            <w:tcW w:w="1918" w:type="dxa"/>
            <w:tcBorders>
              <w:top w:val="single" w:color="auto" w:sz="4" w:space="0"/>
              <w:left w:val="nil"/>
              <w:bottom w:val="single" w:color="auto" w:sz="4" w:space="0"/>
              <w:right w:val="single" w:color="auto" w:sz="4" w:space="0"/>
            </w:tcBorders>
            <w:noWrap w:val="0"/>
            <w:vAlign w:val="center"/>
          </w:tcPr>
          <w:p w14:paraId="0530A3E5">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eastAsia="zh-CN" w:bidi="ar"/>
              </w:rPr>
              <w:t>约</w:t>
            </w:r>
            <w:r>
              <w:rPr>
                <w:rFonts w:hint="eastAsia" w:ascii="仿宋" w:hAnsi="仿宋" w:eastAsia="仿宋" w:cs="仿宋"/>
                <w:color w:val="auto"/>
                <w:sz w:val="24"/>
                <w:szCs w:val="24"/>
                <w:highlight w:val="none"/>
                <w:lang w:val="en-US" w:eastAsia="zh-CN" w:bidi="ar"/>
              </w:rPr>
              <w:t>120个构件</w:t>
            </w:r>
          </w:p>
        </w:tc>
        <w:tc>
          <w:tcPr>
            <w:tcW w:w="1918" w:type="dxa"/>
            <w:tcBorders>
              <w:top w:val="single" w:color="auto" w:sz="4" w:space="0"/>
              <w:left w:val="nil"/>
              <w:bottom w:val="single" w:color="auto" w:sz="4" w:space="0"/>
              <w:right w:val="single" w:color="auto" w:sz="4" w:space="0"/>
            </w:tcBorders>
            <w:noWrap w:val="0"/>
            <w:vAlign w:val="center"/>
          </w:tcPr>
          <w:p w14:paraId="6206CE9C">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150</w:t>
            </w:r>
            <w:r>
              <w:rPr>
                <w:rFonts w:hint="eastAsia" w:ascii="仿宋" w:hAnsi="仿宋" w:eastAsia="仿宋" w:cs="仿宋"/>
                <w:color w:val="auto"/>
                <w:sz w:val="24"/>
                <w:szCs w:val="24"/>
                <w:highlight w:val="none"/>
                <w:lang w:bidi="ar"/>
              </w:rPr>
              <w:t>元/构件</w:t>
            </w:r>
          </w:p>
        </w:tc>
      </w:tr>
      <w:tr w14:paraId="14B14573">
        <w:tblPrEx>
          <w:tblCellMar>
            <w:top w:w="0" w:type="dxa"/>
            <w:left w:w="108" w:type="dxa"/>
            <w:bottom w:w="0" w:type="dxa"/>
            <w:right w:w="108" w:type="dxa"/>
          </w:tblCellMar>
        </w:tblPrEx>
        <w:trPr>
          <w:trHeight w:val="645" w:hRule="atLeast"/>
          <w:jc w:val="center"/>
        </w:trPr>
        <w:tc>
          <w:tcPr>
            <w:tcW w:w="830" w:type="dxa"/>
            <w:vMerge w:val="continue"/>
            <w:tcBorders>
              <w:left w:val="single" w:color="auto" w:sz="4" w:space="0"/>
              <w:bottom w:val="single" w:color="auto" w:sz="4" w:space="0"/>
              <w:right w:val="single" w:color="auto" w:sz="4" w:space="0"/>
            </w:tcBorders>
            <w:noWrap w:val="0"/>
            <w:vAlign w:val="center"/>
          </w:tcPr>
          <w:p w14:paraId="4B2554CF">
            <w:pPr>
              <w:widowControl/>
              <w:jc w:val="center"/>
              <w:rPr>
                <w:rFonts w:hint="eastAsia" w:ascii="仿宋" w:hAnsi="仿宋" w:eastAsia="仿宋" w:cs="仿宋"/>
                <w:color w:val="auto"/>
                <w:sz w:val="24"/>
                <w:szCs w:val="24"/>
                <w:highlight w:val="none"/>
                <w:lang w:bidi="ar"/>
              </w:rPr>
            </w:pPr>
          </w:p>
        </w:tc>
        <w:tc>
          <w:tcPr>
            <w:tcW w:w="2299" w:type="dxa"/>
            <w:vMerge w:val="continue"/>
            <w:tcBorders>
              <w:left w:val="nil"/>
              <w:bottom w:val="single" w:color="auto" w:sz="4" w:space="0"/>
              <w:right w:val="single" w:color="auto" w:sz="4" w:space="0"/>
            </w:tcBorders>
            <w:noWrap w:val="0"/>
            <w:vAlign w:val="center"/>
          </w:tcPr>
          <w:p w14:paraId="49851D4E">
            <w:pPr>
              <w:widowControl/>
              <w:jc w:val="center"/>
              <w:rPr>
                <w:rFonts w:hint="eastAsia" w:ascii="仿宋" w:hAnsi="仿宋" w:eastAsia="仿宋" w:cs="仿宋"/>
                <w:color w:val="auto"/>
                <w:sz w:val="24"/>
                <w:szCs w:val="24"/>
                <w:highlight w:val="none"/>
                <w:lang w:bidi="ar"/>
              </w:rPr>
            </w:pPr>
          </w:p>
        </w:tc>
        <w:tc>
          <w:tcPr>
            <w:tcW w:w="2593" w:type="dxa"/>
            <w:tcBorders>
              <w:top w:val="single" w:color="auto" w:sz="4" w:space="0"/>
              <w:left w:val="nil"/>
              <w:bottom w:val="single" w:color="auto" w:sz="4" w:space="0"/>
              <w:right w:val="single" w:color="auto" w:sz="4" w:space="0"/>
            </w:tcBorders>
            <w:noWrap w:val="0"/>
            <w:vAlign w:val="center"/>
          </w:tcPr>
          <w:p w14:paraId="054244D5">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钢筋扫描</w:t>
            </w:r>
          </w:p>
        </w:tc>
        <w:tc>
          <w:tcPr>
            <w:tcW w:w="1918" w:type="dxa"/>
            <w:tcBorders>
              <w:top w:val="single" w:color="auto" w:sz="4" w:space="0"/>
              <w:left w:val="nil"/>
              <w:bottom w:val="single" w:color="auto" w:sz="4" w:space="0"/>
              <w:right w:val="single" w:color="auto" w:sz="4" w:space="0"/>
            </w:tcBorders>
            <w:noWrap w:val="0"/>
            <w:vAlign w:val="center"/>
          </w:tcPr>
          <w:p w14:paraId="7F3E7D6A">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eastAsia="zh-CN" w:bidi="ar"/>
              </w:rPr>
              <w:t>约</w:t>
            </w:r>
            <w:r>
              <w:rPr>
                <w:rFonts w:hint="eastAsia" w:ascii="仿宋" w:hAnsi="仿宋" w:eastAsia="仿宋" w:cs="仿宋"/>
                <w:color w:val="auto"/>
                <w:sz w:val="24"/>
                <w:szCs w:val="24"/>
                <w:highlight w:val="none"/>
                <w:lang w:val="en-US" w:eastAsia="zh-CN" w:bidi="ar"/>
              </w:rPr>
              <w:t>20个构件</w:t>
            </w:r>
          </w:p>
        </w:tc>
        <w:tc>
          <w:tcPr>
            <w:tcW w:w="1918" w:type="dxa"/>
            <w:tcBorders>
              <w:top w:val="single" w:color="auto" w:sz="4" w:space="0"/>
              <w:left w:val="nil"/>
              <w:bottom w:val="single" w:color="auto" w:sz="4" w:space="0"/>
              <w:right w:val="single" w:color="auto" w:sz="4" w:space="0"/>
            </w:tcBorders>
            <w:noWrap w:val="0"/>
            <w:vAlign w:val="center"/>
          </w:tcPr>
          <w:p w14:paraId="68CB324F">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150</w:t>
            </w:r>
            <w:r>
              <w:rPr>
                <w:rFonts w:hint="eastAsia" w:ascii="仿宋" w:hAnsi="仿宋" w:eastAsia="仿宋" w:cs="仿宋"/>
                <w:color w:val="auto"/>
                <w:sz w:val="24"/>
                <w:szCs w:val="24"/>
                <w:highlight w:val="none"/>
                <w:lang w:bidi="ar"/>
              </w:rPr>
              <w:t>元/构件</w:t>
            </w:r>
          </w:p>
        </w:tc>
      </w:tr>
      <w:tr w14:paraId="2FC780D7">
        <w:tblPrEx>
          <w:tblCellMar>
            <w:top w:w="0" w:type="dxa"/>
            <w:left w:w="108" w:type="dxa"/>
            <w:bottom w:w="0" w:type="dxa"/>
            <w:right w:w="108" w:type="dxa"/>
          </w:tblCellMar>
        </w:tblPrEx>
        <w:trPr>
          <w:trHeight w:val="665" w:hRule="atLeast"/>
          <w:jc w:val="center"/>
        </w:trPr>
        <w:tc>
          <w:tcPr>
            <w:tcW w:w="830" w:type="dxa"/>
            <w:tcBorders>
              <w:top w:val="single" w:color="auto" w:sz="4" w:space="0"/>
              <w:left w:val="single" w:color="auto" w:sz="4" w:space="0"/>
              <w:bottom w:val="single" w:color="auto" w:sz="4" w:space="0"/>
              <w:right w:val="single" w:color="auto" w:sz="4" w:space="0"/>
            </w:tcBorders>
            <w:noWrap w:val="0"/>
            <w:vAlign w:val="center"/>
          </w:tcPr>
          <w:p w14:paraId="685B6780">
            <w:pPr>
              <w:widowControl/>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w:t>
            </w:r>
          </w:p>
        </w:tc>
        <w:tc>
          <w:tcPr>
            <w:tcW w:w="2299" w:type="dxa"/>
            <w:tcBorders>
              <w:top w:val="single" w:color="auto" w:sz="4" w:space="0"/>
              <w:left w:val="nil"/>
              <w:bottom w:val="single" w:color="auto" w:sz="4" w:space="0"/>
              <w:right w:val="single" w:color="auto" w:sz="4" w:space="0"/>
            </w:tcBorders>
            <w:noWrap w:val="0"/>
            <w:vAlign w:val="center"/>
          </w:tcPr>
          <w:p w14:paraId="486A084D">
            <w:pPr>
              <w:widowControl/>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建筑节能</w:t>
            </w:r>
          </w:p>
        </w:tc>
        <w:tc>
          <w:tcPr>
            <w:tcW w:w="2593" w:type="dxa"/>
            <w:tcBorders>
              <w:top w:val="single" w:color="auto" w:sz="4" w:space="0"/>
              <w:left w:val="nil"/>
              <w:bottom w:val="single" w:color="auto" w:sz="4" w:space="0"/>
              <w:right w:val="single" w:color="auto" w:sz="4" w:space="0"/>
            </w:tcBorders>
            <w:noWrap w:val="0"/>
            <w:vAlign w:val="center"/>
          </w:tcPr>
          <w:p w14:paraId="1166A85D">
            <w:pPr>
              <w:widowControl/>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现场节能构造取芯</w:t>
            </w:r>
          </w:p>
        </w:tc>
        <w:tc>
          <w:tcPr>
            <w:tcW w:w="1918" w:type="dxa"/>
            <w:tcBorders>
              <w:top w:val="single" w:color="auto" w:sz="4" w:space="0"/>
              <w:left w:val="nil"/>
              <w:bottom w:val="single" w:color="auto" w:sz="4" w:space="0"/>
              <w:right w:val="single" w:color="auto" w:sz="4" w:space="0"/>
            </w:tcBorders>
            <w:noWrap w:val="0"/>
            <w:vAlign w:val="center"/>
          </w:tcPr>
          <w:p w14:paraId="296F3330">
            <w:pPr>
              <w:widowControl/>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约</w:t>
            </w:r>
            <w:r>
              <w:rPr>
                <w:rFonts w:hint="eastAsia" w:ascii="仿宋" w:hAnsi="仿宋" w:eastAsia="仿宋" w:cs="仿宋"/>
                <w:color w:val="auto"/>
                <w:sz w:val="24"/>
                <w:szCs w:val="24"/>
                <w:highlight w:val="none"/>
                <w:lang w:val="en-US" w:eastAsia="zh-CN" w:bidi="ar"/>
              </w:rPr>
              <w:t>120个点</w:t>
            </w:r>
          </w:p>
        </w:tc>
        <w:tc>
          <w:tcPr>
            <w:tcW w:w="1918" w:type="dxa"/>
            <w:tcBorders>
              <w:top w:val="single" w:color="auto" w:sz="4" w:space="0"/>
              <w:left w:val="nil"/>
              <w:bottom w:val="single" w:color="auto" w:sz="4" w:space="0"/>
              <w:right w:val="single" w:color="auto" w:sz="4" w:space="0"/>
            </w:tcBorders>
            <w:noWrap w:val="0"/>
            <w:vAlign w:val="center"/>
          </w:tcPr>
          <w:p w14:paraId="056D0775">
            <w:pPr>
              <w:widowControl/>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150元/点</w:t>
            </w:r>
          </w:p>
        </w:tc>
      </w:tr>
      <w:tr w14:paraId="18CD155A">
        <w:tblPrEx>
          <w:tblCellMar>
            <w:top w:w="0" w:type="dxa"/>
            <w:left w:w="108" w:type="dxa"/>
            <w:bottom w:w="0" w:type="dxa"/>
            <w:right w:w="108" w:type="dxa"/>
          </w:tblCellMar>
        </w:tblPrEx>
        <w:trPr>
          <w:trHeight w:val="665" w:hRule="atLeast"/>
          <w:jc w:val="center"/>
        </w:trPr>
        <w:tc>
          <w:tcPr>
            <w:tcW w:w="830" w:type="dxa"/>
            <w:vMerge w:val="restart"/>
            <w:tcBorders>
              <w:top w:val="single" w:color="auto" w:sz="4" w:space="0"/>
              <w:left w:val="single" w:color="auto" w:sz="4" w:space="0"/>
              <w:right w:val="single" w:color="auto" w:sz="4" w:space="0"/>
            </w:tcBorders>
            <w:noWrap w:val="0"/>
            <w:vAlign w:val="center"/>
          </w:tcPr>
          <w:p w14:paraId="22C6E1ED">
            <w:pPr>
              <w:widowControl/>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3</w:t>
            </w:r>
          </w:p>
        </w:tc>
        <w:tc>
          <w:tcPr>
            <w:tcW w:w="2299" w:type="dxa"/>
            <w:vMerge w:val="restart"/>
            <w:tcBorders>
              <w:top w:val="single" w:color="auto" w:sz="4" w:space="0"/>
              <w:left w:val="nil"/>
              <w:right w:val="single" w:color="auto" w:sz="4" w:space="0"/>
            </w:tcBorders>
            <w:noWrap w:val="0"/>
            <w:vAlign w:val="center"/>
          </w:tcPr>
          <w:p w14:paraId="4090986C">
            <w:pPr>
              <w:widowControl/>
              <w:ind w:firstLine="480" w:firstLineChars="200"/>
              <w:jc w:val="both"/>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常规材料</w:t>
            </w:r>
          </w:p>
        </w:tc>
        <w:tc>
          <w:tcPr>
            <w:tcW w:w="2593" w:type="dxa"/>
            <w:tcBorders>
              <w:top w:val="single" w:color="auto" w:sz="4" w:space="0"/>
              <w:left w:val="nil"/>
              <w:bottom w:val="single" w:color="auto" w:sz="4" w:space="0"/>
              <w:right w:val="single" w:color="auto" w:sz="4" w:space="0"/>
            </w:tcBorders>
            <w:noWrap w:val="0"/>
            <w:vAlign w:val="center"/>
          </w:tcPr>
          <w:p w14:paraId="6E68962D">
            <w:pPr>
              <w:widowControl/>
              <w:jc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sz w:val="24"/>
                <w:szCs w:val="24"/>
                <w:highlight w:val="none"/>
                <w:lang w:bidi="ar"/>
              </w:rPr>
              <w:t>水泥安定性</w:t>
            </w:r>
          </w:p>
        </w:tc>
        <w:tc>
          <w:tcPr>
            <w:tcW w:w="1918" w:type="dxa"/>
            <w:tcBorders>
              <w:top w:val="single" w:color="auto" w:sz="4" w:space="0"/>
              <w:left w:val="nil"/>
              <w:bottom w:val="single" w:color="auto" w:sz="4" w:space="0"/>
              <w:right w:val="single" w:color="auto" w:sz="4" w:space="0"/>
            </w:tcBorders>
            <w:noWrap w:val="0"/>
            <w:vAlign w:val="center"/>
          </w:tcPr>
          <w:p w14:paraId="39F7435D">
            <w:pPr>
              <w:widowControl/>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约10组</w:t>
            </w:r>
          </w:p>
        </w:tc>
        <w:tc>
          <w:tcPr>
            <w:tcW w:w="1918" w:type="dxa"/>
            <w:tcBorders>
              <w:top w:val="single" w:color="auto" w:sz="4" w:space="0"/>
              <w:left w:val="nil"/>
              <w:bottom w:val="single" w:color="auto" w:sz="4" w:space="0"/>
              <w:right w:val="single" w:color="auto" w:sz="4" w:space="0"/>
            </w:tcBorders>
            <w:noWrap w:val="0"/>
            <w:vAlign w:val="center"/>
          </w:tcPr>
          <w:p w14:paraId="79966E6B">
            <w:pPr>
              <w:widowControl/>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300元/组</w:t>
            </w:r>
          </w:p>
        </w:tc>
      </w:tr>
      <w:tr w14:paraId="40F89B2E">
        <w:tblPrEx>
          <w:tblCellMar>
            <w:top w:w="0" w:type="dxa"/>
            <w:left w:w="108" w:type="dxa"/>
            <w:bottom w:w="0" w:type="dxa"/>
            <w:right w:w="108" w:type="dxa"/>
          </w:tblCellMar>
        </w:tblPrEx>
        <w:trPr>
          <w:trHeight w:val="665" w:hRule="atLeast"/>
          <w:jc w:val="center"/>
        </w:trPr>
        <w:tc>
          <w:tcPr>
            <w:tcW w:w="830" w:type="dxa"/>
            <w:vMerge w:val="continue"/>
            <w:tcBorders>
              <w:left w:val="single" w:color="auto" w:sz="4" w:space="0"/>
              <w:right w:val="single" w:color="auto" w:sz="4" w:space="0"/>
            </w:tcBorders>
            <w:noWrap w:val="0"/>
            <w:vAlign w:val="center"/>
          </w:tcPr>
          <w:p w14:paraId="02398CA3">
            <w:pPr>
              <w:widowControl/>
              <w:jc w:val="center"/>
              <w:rPr>
                <w:rFonts w:hint="eastAsia" w:ascii="仿宋" w:hAnsi="仿宋" w:eastAsia="仿宋" w:cs="仿宋"/>
                <w:color w:val="auto"/>
                <w:kern w:val="0"/>
                <w:sz w:val="24"/>
                <w:szCs w:val="24"/>
                <w:highlight w:val="none"/>
                <w:lang w:val="en-US" w:eastAsia="zh-CN" w:bidi="ar"/>
              </w:rPr>
            </w:pPr>
          </w:p>
        </w:tc>
        <w:tc>
          <w:tcPr>
            <w:tcW w:w="2299" w:type="dxa"/>
            <w:vMerge w:val="continue"/>
            <w:tcBorders>
              <w:left w:val="nil"/>
              <w:right w:val="single" w:color="auto" w:sz="4" w:space="0"/>
            </w:tcBorders>
            <w:noWrap w:val="0"/>
            <w:vAlign w:val="center"/>
          </w:tcPr>
          <w:p w14:paraId="00CDA324">
            <w:pPr>
              <w:widowControl/>
              <w:jc w:val="center"/>
              <w:rPr>
                <w:rFonts w:hint="eastAsia" w:ascii="仿宋" w:hAnsi="仿宋" w:eastAsia="仿宋" w:cs="仿宋"/>
                <w:color w:val="auto"/>
                <w:kern w:val="0"/>
                <w:sz w:val="24"/>
                <w:szCs w:val="24"/>
                <w:highlight w:val="none"/>
                <w:lang w:bidi="ar"/>
              </w:rPr>
            </w:pPr>
          </w:p>
        </w:tc>
        <w:tc>
          <w:tcPr>
            <w:tcW w:w="2593" w:type="dxa"/>
            <w:tcBorders>
              <w:top w:val="single" w:color="auto" w:sz="4" w:space="0"/>
              <w:left w:val="nil"/>
              <w:bottom w:val="single" w:color="auto" w:sz="4" w:space="0"/>
              <w:right w:val="single" w:color="auto" w:sz="4" w:space="0"/>
            </w:tcBorders>
            <w:noWrap w:val="0"/>
            <w:vAlign w:val="center"/>
          </w:tcPr>
          <w:p w14:paraId="34D98BFF">
            <w:pPr>
              <w:widowControl/>
              <w:jc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sz w:val="24"/>
                <w:szCs w:val="24"/>
                <w:highlight w:val="none"/>
                <w:lang w:val="en-US" w:eastAsia="zh-CN" w:bidi="ar"/>
              </w:rPr>
              <w:t>钢筋</w:t>
            </w:r>
            <w:r>
              <w:rPr>
                <w:rFonts w:hint="eastAsia" w:ascii="仿宋" w:hAnsi="仿宋" w:eastAsia="仿宋" w:cs="仿宋"/>
                <w:color w:val="auto"/>
                <w:sz w:val="24"/>
                <w:szCs w:val="24"/>
                <w:highlight w:val="none"/>
                <w:lang w:bidi="ar"/>
              </w:rPr>
              <w:t>抗拉、冷弯</w:t>
            </w:r>
          </w:p>
        </w:tc>
        <w:tc>
          <w:tcPr>
            <w:tcW w:w="1918" w:type="dxa"/>
            <w:tcBorders>
              <w:top w:val="single" w:color="auto" w:sz="4" w:space="0"/>
              <w:left w:val="nil"/>
              <w:bottom w:val="single" w:color="auto" w:sz="4" w:space="0"/>
              <w:right w:val="single" w:color="auto" w:sz="4" w:space="0"/>
            </w:tcBorders>
            <w:noWrap w:val="0"/>
            <w:vAlign w:val="center"/>
          </w:tcPr>
          <w:p w14:paraId="7E29AEEF">
            <w:pPr>
              <w:widowControl/>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约200组</w:t>
            </w:r>
          </w:p>
        </w:tc>
        <w:tc>
          <w:tcPr>
            <w:tcW w:w="1918" w:type="dxa"/>
            <w:tcBorders>
              <w:top w:val="single" w:color="auto" w:sz="4" w:space="0"/>
              <w:left w:val="nil"/>
              <w:bottom w:val="single" w:color="auto" w:sz="4" w:space="0"/>
              <w:right w:val="single" w:color="auto" w:sz="4" w:space="0"/>
            </w:tcBorders>
            <w:noWrap w:val="0"/>
            <w:vAlign w:val="center"/>
          </w:tcPr>
          <w:p w14:paraId="4208CD87">
            <w:pPr>
              <w:widowControl/>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100元/组</w:t>
            </w:r>
          </w:p>
        </w:tc>
      </w:tr>
      <w:tr w14:paraId="4763E48B">
        <w:tblPrEx>
          <w:tblCellMar>
            <w:top w:w="0" w:type="dxa"/>
            <w:left w:w="108" w:type="dxa"/>
            <w:bottom w:w="0" w:type="dxa"/>
            <w:right w:w="108" w:type="dxa"/>
          </w:tblCellMar>
        </w:tblPrEx>
        <w:trPr>
          <w:trHeight w:val="665" w:hRule="atLeast"/>
          <w:jc w:val="center"/>
        </w:trPr>
        <w:tc>
          <w:tcPr>
            <w:tcW w:w="830" w:type="dxa"/>
            <w:vMerge w:val="continue"/>
            <w:tcBorders>
              <w:left w:val="single" w:color="auto" w:sz="4" w:space="0"/>
              <w:bottom w:val="single" w:color="auto" w:sz="4" w:space="0"/>
              <w:right w:val="single" w:color="auto" w:sz="4" w:space="0"/>
            </w:tcBorders>
            <w:noWrap w:val="0"/>
            <w:vAlign w:val="center"/>
          </w:tcPr>
          <w:p w14:paraId="18046C76">
            <w:pPr>
              <w:widowControl/>
              <w:jc w:val="center"/>
              <w:rPr>
                <w:rFonts w:hint="eastAsia" w:ascii="仿宋" w:hAnsi="仿宋" w:eastAsia="仿宋" w:cs="仿宋"/>
                <w:color w:val="auto"/>
                <w:kern w:val="0"/>
                <w:sz w:val="24"/>
                <w:szCs w:val="24"/>
                <w:highlight w:val="none"/>
                <w:lang w:val="en-US" w:eastAsia="zh-CN" w:bidi="ar"/>
              </w:rPr>
            </w:pPr>
          </w:p>
        </w:tc>
        <w:tc>
          <w:tcPr>
            <w:tcW w:w="2299" w:type="dxa"/>
            <w:vMerge w:val="continue"/>
            <w:tcBorders>
              <w:left w:val="nil"/>
              <w:bottom w:val="single" w:color="auto" w:sz="4" w:space="0"/>
              <w:right w:val="single" w:color="auto" w:sz="4" w:space="0"/>
            </w:tcBorders>
            <w:noWrap w:val="0"/>
            <w:vAlign w:val="center"/>
          </w:tcPr>
          <w:p w14:paraId="12FAAAF3">
            <w:pPr>
              <w:widowControl/>
              <w:jc w:val="center"/>
              <w:rPr>
                <w:rFonts w:hint="eastAsia" w:ascii="仿宋" w:hAnsi="仿宋" w:eastAsia="仿宋" w:cs="仿宋"/>
                <w:color w:val="auto"/>
                <w:kern w:val="0"/>
                <w:sz w:val="24"/>
                <w:szCs w:val="24"/>
                <w:highlight w:val="none"/>
                <w:lang w:bidi="ar"/>
              </w:rPr>
            </w:pPr>
          </w:p>
        </w:tc>
        <w:tc>
          <w:tcPr>
            <w:tcW w:w="2593" w:type="dxa"/>
            <w:tcBorders>
              <w:top w:val="single" w:color="auto" w:sz="4" w:space="0"/>
              <w:left w:val="nil"/>
              <w:bottom w:val="single" w:color="auto" w:sz="4" w:space="0"/>
              <w:right w:val="single" w:color="auto" w:sz="4" w:space="0"/>
            </w:tcBorders>
            <w:noWrap w:val="0"/>
            <w:vAlign w:val="center"/>
          </w:tcPr>
          <w:p w14:paraId="3409D1F0">
            <w:pPr>
              <w:widowControl/>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lang w:bidi="ar"/>
              </w:rPr>
              <w:t>防水材料</w:t>
            </w:r>
          </w:p>
        </w:tc>
        <w:tc>
          <w:tcPr>
            <w:tcW w:w="1918" w:type="dxa"/>
            <w:tcBorders>
              <w:top w:val="single" w:color="auto" w:sz="4" w:space="0"/>
              <w:left w:val="nil"/>
              <w:bottom w:val="single" w:color="auto" w:sz="4" w:space="0"/>
              <w:right w:val="single" w:color="auto" w:sz="4" w:space="0"/>
            </w:tcBorders>
            <w:noWrap w:val="0"/>
            <w:vAlign w:val="center"/>
          </w:tcPr>
          <w:p w14:paraId="032A3ACB">
            <w:pPr>
              <w:widowControl/>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约5组</w:t>
            </w:r>
          </w:p>
        </w:tc>
        <w:tc>
          <w:tcPr>
            <w:tcW w:w="1918" w:type="dxa"/>
            <w:tcBorders>
              <w:top w:val="single" w:color="auto" w:sz="4" w:space="0"/>
              <w:left w:val="nil"/>
              <w:bottom w:val="single" w:color="auto" w:sz="4" w:space="0"/>
              <w:right w:val="single" w:color="auto" w:sz="4" w:space="0"/>
            </w:tcBorders>
            <w:noWrap w:val="0"/>
            <w:vAlign w:val="center"/>
          </w:tcPr>
          <w:p w14:paraId="2FC4E601">
            <w:pPr>
              <w:widowControl/>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800元/组</w:t>
            </w:r>
          </w:p>
        </w:tc>
      </w:tr>
    </w:tbl>
    <w:p w14:paraId="339A466B">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BjOWEzMWQ1NjY2MDMyYzI4OTM1NTlmY2ZlMTcyNDYifQ=="/>
  </w:docVars>
  <w:rsids>
    <w:rsidRoot w:val="00000000"/>
    <w:rsid w:val="046E71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Body Text Indent"/>
    <w:basedOn w:val="1"/>
    <w:qFormat/>
    <w:uiPriority w:val="0"/>
    <w:pPr>
      <w:tabs>
        <w:tab w:val="left" w:pos="720"/>
      </w:tabs>
      <w:spacing w:line="490" w:lineRule="exact"/>
      <w:ind w:firstLine="570"/>
    </w:pPr>
    <w:rPr>
      <w:rFonts w:ascii="宋体" w:hAnsi="宋体"/>
      <w:spacing w:val="8"/>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2024-08-26T01:25:22Z</dcterms:created>
  <dc:creator>Administrator</dc:creator>
  <cp:lastModifiedBy>╯别来无恙</cp:lastModifiedBy>
  <dcterms:modified xsi:type="dcterms:W3CDTF">2024-08-26T01:26:21Z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4B9772C6B0DB4AD38E7BE72E8898DCC1_12</vt:lpwstr>
  </property>
</Properties>
</file>