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pStyle w:val="25"/>
        <w:jc w:val="center"/>
        <w:rPr>
          <w:rFonts w:hint="eastAsia" w:asciiTheme="minorEastAsia" w:hAnsiTheme="minorEastAsia" w:eastAsiaTheme="minorEastAsia" w:cstheme="minorEastAsia"/>
          <w:b/>
          <w:bCs/>
          <w:sz w:val="84"/>
          <w:szCs w:val="84"/>
          <w:lang w:val="en-US" w:eastAsia="zh-CN"/>
        </w:rPr>
      </w:pPr>
      <w:r>
        <w:rPr>
          <w:rFonts w:hint="eastAsia" w:asciiTheme="minorEastAsia" w:hAnsiTheme="minorEastAsia" w:eastAsiaTheme="minorEastAsia" w:cstheme="minorEastAsia"/>
          <w:b/>
          <w:sz w:val="84"/>
          <w:szCs w:val="84"/>
        </w:rPr>
        <w:t>采购</w:t>
      </w:r>
      <w:r>
        <w:rPr>
          <w:rFonts w:hint="eastAsia" w:asciiTheme="minorEastAsia" w:hAnsiTheme="minorEastAsia" w:eastAsiaTheme="minorEastAsia" w:cstheme="minorEastAsia"/>
          <w:b/>
          <w:sz w:val="84"/>
          <w:szCs w:val="84"/>
          <w:lang w:val="en-US" w:eastAsia="zh-CN"/>
        </w:rPr>
        <w:t>项目</w:t>
      </w:r>
    </w:p>
    <w:p>
      <w:pPr>
        <w:pStyle w:val="25"/>
        <w:adjustRightInd w:val="0"/>
        <w:snapToGrid w:val="0"/>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竞争性磋商文件</w:t>
      </w:r>
    </w:p>
    <w:p>
      <w:pPr>
        <w:pStyle w:val="25"/>
        <w:adjustRightInd w:val="0"/>
        <w:snapToGrid w:val="0"/>
        <w:spacing w:beforeLines="50"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drawing>
          <wp:inline distT="0" distB="0" distL="114300" distR="114300">
            <wp:extent cx="1684020" cy="1554480"/>
            <wp:effectExtent l="0" t="0" r="7620" b="0"/>
            <wp:docPr id="5" name="图片 5" descr="6f0abc9eebc7f3729d8753356d4e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f0abc9eebc7f3729d8753356d4ee48"/>
                    <pic:cNvPicPr>
                      <a:picLocks noChangeAspect="1"/>
                    </pic:cNvPicPr>
                  </pic:nvPicPr>
                  <pic:blipFill>
                    <a:blip r:embed="rId8"/>
                    <a:stretch>
                      <a:fillRect/>
                    </a:stretch>
                  </pic:blipFill>
                  <pic:spPr>
                    <a:xfrm>
                      <a:off x="0" y="0"/>
                      <a:ext cx="1684020" cy="1554480"/>
                    </a:xfrm>
                    <a:prstGeom prst="rect">
                      <a:avLst/>
                    </a:prstGeom>
                  </pic:spPr>
                </pic:pic>
              </a:graphicData>
            </a:graphic>
          </wp:inline>
        </w:drawing>
      </w: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spacing w:line="360" w:lineRule="auto"/>
        <w:ind w:firstLine="964" w:firstLineChars="300"/>
        <w:rPr>
          <w:rFonts w:ascii="宋体" w:hAnsi="宋体"/>
          <w:b/>
          <w:sz w:val="32"/>
          <w:szCs w:val="32"/>
        </w:rPr>
      </w:pPr>
    </w:p>
    <w:p>
      <w:pPr>
        <w:spacing w:line="360" w:lineRule="auto"/>
        <w:ind w:firstLine="964" w:firstLineChars="300"/>
        <w:rPr>
          <w:rFonts w:ascii="宋体" w:hAnsi="宋体"/>
          <w:b/>
          <w:sz w:val="32"/>
          <w:szCs w:val="32"/>
        </w:rPr>
      </w:pPr>
      <w:r>
        <w:rPr>
          <w:rFonts w:hint="eastAsia" w:ascii="宋体" w:hAnsi="宋体"/>
          <w:b/>
          <w:sz w:val="32"/>
          <w:szCs w:val="32"/>
        </w:rPr>
        <w:t>项目名称：临湘市</w:t>
      </w:r>
      <w:r>
        <w:rPr>
          <w:rFonts w:hint="eastAsia" w:ascii="宋体" w:hAnsi="宋体" w:cs="Times New Roman"/>
          <w:b/>
          <w:sz w:val="32"/>
          <w:szCs w:val="32"/>
          <w:lang w:val="en-US" w:eastAsia="zh-CN"/>
        </w:rPr>
        <w:t>第九完全小学食堂大宗食材定点采购</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采 购 人：临湘市</w:t>
      </w:r>
      <w:r>
        <w:rPr>
          <w:rFonts w:hint="eastAsia" w:ascii="宋体" w:hAnsi="宋体"/>
          <w:b/>
          <w:sz w:val="32"/>
          <w:szCs w:val="32"/>
          <w:lang w:eastAsia="zh-CN"/>
        </w:rPr>
        <w:t>第九完全小学</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代理机构：</w:t>
      </w:r>
      <w:r>
        <w:rPr>
          <w:rFonts w:hint="eastAsia" w:ascii="宋体" w:hAnsi="宋体"/>
          <w:b/>
          <w:sz w:val="32"/>
          <w:szCs w:val="32"/>
          <w:lang w:eastAsia="zh-CN"/>
        </w:rPr>
        <w:t>中采联合招标有限公司</w:t>
      </w:r>
    </w:p>
    <w:p>
      <w:pPr>
        <w:spacing w:line="360" w:lineRule="auto"/>
        <w:ind w:firstLine="2891" w:firstLineChars="900"/>
        <w:jc w:val="left"/>
        <w:rPr>
          <w:rFonts w:asciiTheme="minorEastAsia" w:hAnsiTheme="minorEastAsia" w:eastAsiaTheme="minorEastAsia" w:cstheme="minorEastAsia"/>
          <w:b/>
          <w:sz w:val="28"/>
          <w:szCs w:val="28"/>
        </w:rPr>
      </w:pPr>
      <w:r>
        <w:rPr>
          <w:rFonts w:hint="eastAsia" w:ascii="宋体" w:hAnsi="宋体"/>
          <w:b/>
          <w:sz w:val="32"/>
          <w:szCs w:val="32"/>
        </w:rPr>
        <w:t>日期：202</w:t>
      </w:r>
      <w:r>
        <w:rPr>
          <w:rFonts w:hint="eastAsia" w:ascii="宋体" w:hAnsi="宋体"/>
          <w:b/>
          <w:sz w:val="32"/>
          <w:szCs w:val="32"/>
          <w:lang w:val="en-US" w:eastAsia="zh-CN"/>
        </w:rPr>
        <w:t>4</w:t>
      </w:r>
      <w:r>
        <w:rPr>
          <w:rFonts w:hint="eastAsia" w:ascii="宋体" w:hAnsi="宋体"/>
          <w:b/>
          <w:sz w:val="32"/>
          <w:szCs w:val="32"/>
        </w:rPr>
        <w:t>年</w:t>
      </w:r>
      <w:r>
        <w:rPr>
          <w:rFonts w:hint="eastAsia" w:ascii="宋体" w:hAnsi="宋体"/>
          <w:b/>
          <w:sz w:val="32"/>
          <w:szCs w:val="32"/>
          <w:lang w:val="en-US" w:eastAsia="zh-CN"/>
        </w:rPr>
        <w:t>08</w:t>
      </w:r>
      <w:r>
        <w:rPr>
          <w:rFonts w:hint="eastAsia" w:ascii="宋体" w:hAnsi="宋体"/>
          <w:b/>
          <w:sz w:val="32"/>
          <w:szCs w:val="32"/>
        </w:rPr>
        <w:t>月</w:t>
      </w:r>
    </w:p>
    <w:sdt>
      <w:sdtPr>
        <w:rPr>
          <w:rFonts w:ascii="宋体" w:hAnsi="宋体"/>
        </w:rPr>
        <w:id w:val="147452475"/>
      </w:sdtPr>
      <w:sdtEndPr>
        <w:rPr>
          <w:rFonts w:hint="eastAsia" w:asciiTheme="minorEastAsia" w:hAnsiTheme="minorEastAsia" w:eastAsiaTheme="minorEastAsia" w:cstheme="minorEastAsia"/>
          <w:b/>
        </w:rPr>
      </w:sdtEndPr>
      <w:sdtContent>
        <w:p>
          <w:pPr>
            <w:jc w:val="center"/>
            <w:rPr>
              <w:rFonts w:ascii="宋体" w:hAnsi="宋体"/>
            </w:rPr>
          </w:pPr>
        </w:p>
        <w:p>
          <w:pPr>
            <w:jc w:val="center"/>
            <w:rPr>
              <w:rFonts w:ascii="宋体" w:hAnsi="宋体"/>
            </w:rPr>
          </w:pPr>
        </w:p>
        <w:p>
          <w:pPr>
            <w:jc w:val="center"/>
            <w:rPr>
              <w:rFonts w:ascii="宋体" w:hAnsi="宋体"/>
              <w:b/>
              <w:bCs/>
              <w:sz w:val="28"/>
              <w:szCs w:val="28"/>
            </w:rPr>
          </w:pPr>
          <w:r>
            <w:rPr>
              <w:rFonts w:ascii="宋体" w:hAnsi="宋体"/>
              <w:b/>
              <w:bCs/>
              <w:sz w:val="28"/>
              <w:szCs w:val="28"/>
            </w:rPr>
            <w:t>目录</w:t>
          </w:r>
        </w:p>
        <w:p>
          <w:pPr>
            <w:pStyle w:val="2"/>
          </w:pPr>
        </w:p>
        <w:p>
          <w:pPr>
            <w:pStyle w:val="32"/>
            <w:tabs>
              <w:tab w:val="right" w:leader="dot" w:pos="8844"/>
            </w:tabs>
            <w:rPr>
              <w:rFonts w:hint="eastAsia" w:eastAsia="华文中宋"/>
              <w:sz w:val="21"/>
              <w:szCs w:val="21"/>
              <w:lang w:val="en-US" w:eastAsia="zh-CN"/>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"1-2" \h \u </w:instrText>
          </w:r>
          <w:r>
            <w:rPr>
              <w:rFonts w:hint="eastAsia" w:asciiTheme="minorEastAsia" w:hAnsiTheme="minorEastAsia" w:eastAsiaTheme="minorEastAsia" w:cstheme="minorEastAsia"/>
              <w:sz w:val="24"/>
            </w:rPr>
            <w:fldChar w:fldCharType="separate"/>
          </w:r>
          <w:r>
            <w:fldChar w:fldCharType="begin"/>
          </w:r>
          <w:r>
            <w:instrText xml:space="preserve"> HYPERLINK \l "_Toc27458" </w:instrText>
          </w:r>
          <w:r>
            <w:fldChar w:fldCharType="separate"/>
          </w:r>
          <w:r>
            <w:rPr>
              <w:rFonts w:hint="eastAsia" w:asciiTheme="minorEastAsia" w:hAnsiTheme="minorEastAsia" w:eastAsiaTheme="minorEastAsia" w:cstheme="minorEastAsia"/>
              <w:sz w:val="21"/>
              <w:szCs w:val="21"/>
            </w:rPr>
            <w:t>第一章  磋商邀请</w:t>
          </w:r>
          <w:r>
            <w:rPr>
              <w:sz w:val="21"/>
              <w:szCs w:val="21"/>
            </w:rPr>
            <w:tab/>
          </w:r>
          <w:r>
            <w:rPr>
              <w:rFonts w:hint="eastAsia"/>
              <w:sz w:val="21"/>
              <w:szCs w:val="21"/>
            </w:rPr>
            <w:fldChar w:fldCharType="end"/>
          </w:r>
          <w:r>
            <w:rPr>
              <w:rFonts w:hint="eastAsia"/>
              <w:sz w:val="21"/>
              <w:szCs w:val="21"/>
              <w:lang w:val="en-US" w:eastAsia="zh-CN"/>
            </w:rPr>
            <w:t>3</w:t>
          </w:r>
        </w:p>
        <w:p>
          <w:pPr>
            <w:pStyle w:val="32"/>
            <w:tabs>
              <w:tab w:val="right" w:leader="dot" w:pos="8844"/>
            </w:tabs>
            <w:rPr>
              <w:rFonts w:hint="eastAsia" w:eastAsia="华文中宋"/>
              <w:sz w:val="21"/>
              <w:szCs w:val="21"/>
              <w:lang w:val="en-US" w:eastAsia="zh-CN"/>
            </w:rPr>
          </w:pPr>
          <w:r>
            <w:fldChar w:fldCharType="begin"/>
          </w:r>
          <w:r>
            <w:instrText xml:space="preserve"> HYPERLINK \l "_Toc15656" </w:instrText>
          </w:r>
          <w:r>
            <w:fldChar w:fldCharType="separate"/>
          </w:r>
          <w:r>
            <w:rPr>
              <w:rFonts w:hint="eastAsia" w:asciiTheme="minorEastAsia" w:hAnsiTheme="minorEastAsia" w:eastAsiaTheme="minorEastAsia" w:cstheme="minorEastAsia"/>
              <w:sz w:val="21"/>
              <w:szCs w:val="21"/>
            </w:rPr>
            <w:t>第二章 磋商须知</w:t>
          </w:r>
          <w:r>
            <w:rPr>
              <w:sz w:val="21"/>
              <w:szCs w:val="21"/>
            </w:rPr>
            <w:tab/>
          </w:r>
          <w:r>
            <w:rPr>
              <w:rFonts w:hint="eastAsia"/>
              <w:sz w:val="21"/>
              <w:szCs w:val="21"/>
            </w:rPr>
            <w:fldChar w:fldCharType="end"/>
          </w:r>
          <w:r>
            <w:rPr>
              <w:rFonts w:hint="eastAsia"/>
              <w:sz w:val="21"/>
              <w:szCs w:val="21"/>
              <w:lang w:val="en-US" w:eastAsia="zh-CN"/>
            </w:rPr>
            <w:t>8</w:t>
          </w:r>
        </w:p>
        <w:p>
          <w:pPr>
            <w:pStyle w:val="32"/>
            <w:tabs>
              <w:tab w:val="right" w:leader="dot" w:pos="8844"/>
            </w:tabs>
            <w:rPr>
              <w:rFonts w:eastAsiaTheme="minorEastAsia"/>
              <w:sz w:val="21"/>
              <w:szCs w:val="21"/>
            </w:rPr>
          </w:pPr>
          <w:r>
            <w:fldChar w:fldCharType="begin"/>
          </w:r>
          <w:r>
            <w:instrText xml:space="preserve"> HYPERLINK \l "_Toc27256" </w:instrText>
          </w:r>
          <w:r>
            <w:fldChar w:fldCharType="separate"/>
          </w:r>
          <w:r>
            <w:rPr>
              <w:rFonts w:hint="eastAsia" w:asciiTheme="minorEastAsia" w:hAnsiTheme="minorEastAsia" w:eastAsiaTheme="minorEastAsia" w:cstheme="minorEastAsia"/>
              <w:sz w:val="21"/>
              <w:szCs w:val="21"/>
            </w:rPr>
            <w:t xml:space="preserve">第三章 </w:t>
          </w:r>
          <w:r>
            <w:rPr>
              <w:rFonts w:hint="eastAsia" w:asciiTheme="minorEastAsia" w:hAnsiTheme="minorEastAsia" w:eastAsiaTheme="minorEastAsia" w:cstheme="minorEastAsia"/>
              <w:sz w:val="21"/>
              <w:szCs w:val="21"/>
              <w:lang w:eastAsia="zh-CN"/>
            </w:rPr>
            <w:t>采购需求</w:t>
          </w:r>
          <w:r>
            <w:rPr>
              <w:sz w:val="21"/>
              <w:szCs w:val="21"/>
            </w:rPr>
            <w:tab/>
          </w:r>
          <w:r>
            <w:rPr>
              <w:rFonts w:hint="eastAsia"/>
              <w:sz w:val="21"/>
              <w:szCs w:val="21"/>
              <w:lang w:val="en-US" w:eastAsia="zh-CN"/>
            </w:rPr>
            <w:t>2</w:t>
          </w:r>
          <w:r>
            <w:rPr>
              <w:rFonts w:hint="eastAsia"/>
              <w:sz w:val="21"/>
              <w:szCs w:val="21"/>
            </w:rPr>
            <w:fldChar w:fldCharType="end"/>
          </w:r>
          <w:r>
            <w:rPr>
              <w:rFonts w:hint="eastAsia"/>
              <w:sz w:val="21"/>
              <w:szCs w:val="21"/>
              <w:lang w:val="en-US" w:eastAsia="zh-CN"/>
            </w:rPr>
            <w:t>5</w:t>
          </w:r>
        </w:p>
        <w:p>
          <w:pPr>
            <w:pStyle w:val="32"/>
            <w:tabs>
              <w:tab w:val="right" w:leader="dot" w:pos="8844"/>
            </w:tabs>
            <w:rPr>
              <w:rFonts w:hint="default" w:eastAsia="华文中宋"/>
              <w:sz w:val="21"/>
              <w:szCs w:val="21"/>
              <w:lang w:val="en-US" w:eastAsia="zh-CN"/>
            </w:rPr>
          </w:pPr>
          <w:r>
            <w:fldChar w:fldCharType="begin"/>
          </w:r>
          <w:r>
            <w:instrText xml:space="preserve"> HYPERLINK \l "_Toc8865" </w:instrText>
          </w:r>
          <w:r>
            <w:fldChar w:fldCharType="separate"/>
          </w:r>
          <w:r>
            <w:rPr>
              <w:rFonts w:hint="eastAsia" w:asciiTheme="minorEastAsia" w:hAnsiTheme="minorEastAsia" w:eastAsiaTheme="minorEastAsia" w:cstheme="minorEastAsia"/>
              <w:bCs/>
              <w:sz w:val="21"/>
              <w:szCs w:val="21"/>
            </w:rPr>
            <w:t xml:space="preserve">第四章 </w:t>
          </w:r>
          <w:r>
            <w:rPr>
              <w:rFonts w:hint="eastAsia" w:asciiTheme="minorEastAsia" w:hAnsiTheme="minorEastAsia" w:eastAsiaTheme="minorEastAsia" w:cstheme="minorEastAsia"/>
              <w:bCs/>
              <w:sz w:val="21"/>
              <w:szCs w:val="21"/>
              <w:lang w:eastAsia="zh-CN"/>
            </w:rPr>
            <w:t>响应文件组成</w:t>
          </w:r>
          <w:r>
            <w:rPr>
              <w:sz w:val="21"/>
              <w:szCs w:val="21"/>
            </w:rPr>
            <w:tab/>
          </w:r>
          <w:r>
            <w:rPr>
              <w:rFonts w:hint="eastAsia"/>
              <w:sz w:val="21"/>
              <w:szCs w:val="21"/>
            </w:rPr>
            <w:fldChar w:fldCharType="end"/>
          </w:r>
          <w:r>
            <w:rPr>
              <w:rFonts w:hint="eastAsia"/>
              <w:sz w:val="21"/>
              <w:szCs w:val="21"/>
              <w:lang w:val="en-US" w:eastAsia="zh-CN"/>
            </w:rPr>
            <w:t>26</w:t>
          </w:r>
        </w:p>
        <w:p>
          <w:pPr>
            <w:pStyle w:val="32"/>
            <w:tabs>
              <w:tab w:val="right" w:leader="dot" w:pos="8844"/>
            </w:tabs>
            <w:rPr>
              <w:sz w:val="21"/>
              <w:szCs w:val="21"/>
            </w:rPr>
          </w:pPr>
          <w:r>
            <w:fldChar w:fldCharType="begin"/>
          </w:r>
          <w:r>
            <w:instrText xml:space="preserve"> HYPERLINK \l "_Toc16060" </w:instrText>
          </w:r>
          <w:r>
            <w:fldChar w:fldCharType="separate"/>
          </w:r>
          <w:r>
            <w:rPr>
              <w:sz w:val="21"/>
              <w:szCs w:val="21"/>
            </w:rPr>
            <w:fldChar w:fldCharType="end"/>
          </w:r>
        </w:p>
        <w:p>
          <w:pPr>
            <w:pStyle w:val="32"/>
            <w:tabs>
              <w:tab w:val="right" w:leader="dot" w:pos="8844"/>
            </w:tabs>
            <w:rPr>
              <w:sz w:val="21"/>
              <w:szCs w:val="21"/>
            </w:rPr>
          </w:pPr>
        </w:p>
        <w:p>
          <w:pPr>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rPr>
            <w:fldChar w:fldCharType="end"/>
          </w:r>
        </w:p>
      </w:sdtContent>
    </w:sdt>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pStyle w:val="5"/>
        <w:rPr>
          <w:rFonts w:asciiTheme="minorEastAsia" w:hAnsiTheme="minorEastAsia" w:eastAsiaTheme="minorEastAsia" w:cstheme="minorEastAsia"/>
          <w:sz w:val="32"/>
          <w:szCs w:val="32"/>
        </w:rPr>
      </w:pPr>
    </w:p>
    <w:p>
      <w:pPr>
        <w:rPr>
          <w:rFonts w:asciiTheme="minorEastAsia" w:hAnsiTheme="minorEastAsia" w:eastAsiaTheme="minorEastAsia" w:cstheme="minorEastAsia"/>
          <w:sz w:val="32"/>
          <w:szCs w:val="32"/>
        </w:rPr>
      </w:pPr>
    </w:p>
    <w:p>
      <w:pPr>
        <w:rPr>
          <w:rFonts w:asciiTheme="minorEastAsia" w:hAnsiTheme="minorEastAsia" w:eastAsiaTheme="minorEastAsia" w:cstheme="minorEastAsia"/>
          <w:b/>
          <w:sz w:val="32"/>
          <w:szCs w:val="32"/>
        </w:rPr>
      </w:pPr>
      <w:bookmarkStart w:id="0" w:name="_Toc17038_WPSOffice_Level1"/>
      <w:r>
        <w:rPr>
          <w:rFonts w:hint="eastAsia" w:asciiTheme="minorEastAsia" w:hAnsiTheme="minorEastAsia" w:eastAsiaTheme="minorEastAsia" w:cstheme="minorEastAsia"/>
          <w:b/>
          <w:sz w:val="32"/>
          <w:szCs w:val="32"/>
        </w:rPr>
        <w:br w:type="page"/>
      </w:r>
    </w:p>
    <w:p>
      <w:pPr>
        <w:jc w:val="center"/>
        <w:outlineLvl w:val="0"/>
        <w:rPr>
          <w:rFonts w:asciiTheme="minorEastAsia" w:hAnsiTheme="minorEastAsia" w:eastAsiaTheme="minorEastAsia" w:cstheme="minorEastAsia"/>
          <w:b/>
          <w:sz w:val="32"/>
          <w:szCs w:val="32"/>
        </w:rPr>
      </w:pPr>
      <w:bookmarkStart w:id="1" w:name="_Toc27458"/>
      <w:r>
        <w:rPr>
          <w:rFonts w:hint="eastAsia" w:asciiTheme="minorEastAsia" w:hAnsiTheme="minorEastAsia" w:eastAsiaTheme="minorEastAsia" w:cstheme="minorEastAsia"/>
          <w:b/>
          <w:sz w:val="32"/>
          <w:szCs w:val="32"/>
        </w:rPr>
        <w:t>第一章  磋商邀请</w:t>
      </w:r>
      <w:bookmarkEnd w:id="0"/>
      <w:bookmarkEnd w:id="1"/>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临湘市</w:t>
      </w:r>
      <w:r>
        <w:rPr>
          <w:rFonts w:hint="eastAsia" w:ascii="宋体" w:hAnsi="宋体" w:cs="宋体"/>
          <w:color w:val="000000"/>
          <w:kern w:val="0"/>
          <w:sz w:val="24"/>
          <w:lang w:eastAsia="zh-CN"/>
        </w:rPr>
        <w:t>第九完全小学</w:t>
      </w:r>
      <w:r>
        <w:rPr>
          <w:rFonts w:hint="eastAsia" w:ascii="宋体" w:hAnsi="宋体" w:cs="宋体"/>
          <w:color w:val="000000"/>
          <w:kern w:val="0"/>
          <w:sz w:val="24"/>
        </w:rPr>
        <w:t>的</w:t>
      </w:r>
      <w:r>
        <w:rPr>
          <w:rFonts w:hint="eastAsia" w:ascii="宋体" w:hAnsi="宋体" w:cs="宋体"/>
          <w:color w:val="000000"/>
          <w:kern w:val="0"/>
          <w:sz w:val="24"/>
          <w:lang w:eastAsia="zh-CN"/>
        </w:rPr>
        <w:t>食堂大宗食材定点采购</w:t>
      </w:r>
      <w:r>
        <w:rPr>
          <w:rFonts w:hint="eastAsia" w:ascii="宋体" w:hAnsi="宋体" w:cs="宋体"/>
          <w:color w:val="000000"/>
          <w:kern w:val="0"/>
          <w:sz w:val="24"/>
        </w:rPr>
        <w:t>项目进行采购，现邀请合格</w:t>
      </w:r>
      <w:r>
        <w:rPr>
          <w:rFonts w:hint="eastAsia" w:ascii="宋体" w:hAnsi="宋体" w:cs="宋体"/>
          <w:color w:val="000000"/>
          <w:kern w:val="0"/>
          <w:sz w:val="24"/>
          <w:lang w:eastAsia="zh-CN"/>
        </w:rPr>
        <w:t>供应商</w:t>
      </w:r>
      <w:r>
        <w:rPr>
          <w:rFonts w:hint="eastAsia" w:ascii="宋体" w:hAnsi="宋体" w:cs="宋体"/>
          <w:color w:val="000000"/>
          <w:kern w:val="0"/>
          <w:sz w:val="24"/>
        </w:rPr>
        <w:t>参加投标。</w:t>
      </w:r>
    </w:p>
    <w:p>
      <w:pPr>
        <w:pStyle w:val="7"/>
        <w:keepNext w:val="0"/>
        <w:keepLines w:val="0"/>
        <w:widowControl/>
        <w:spacing w:before="75" w:after="0" w:line="460" w:lineRule="atLeast"/>
        <w:ind w:firstLine="420"/>
        <w:rPr>
          <w:rFonts w:ascii="宋体" w:hAnsi="宋体" w:cs="宋体"/>
          <w:color w:val="000000"/>
          <w:sz w:val="24"/>
          <w:szCs w:val="24"/>
        </w:rPr>
      </w:pPr>
      <w:r>
        <w:rPr>
          <w:rFonts w:hint="eastAsia" w:ascii="宋体" w:hAnsi="宋体" w:cs="宋体"/>
          <w:color w:val="000000"/>
          <w:sz w:val="24"/>
          <w:szCs w:val="24"/>
        </w:rPr>
        <w:t>一、采购项目基本信息</w:t>
      </w:r>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1、采购项目名称：临湘市</w:t>
      </w:r>
      <w:r>
        <w:rPr>
          <w:rFonts w:hint="eastAsia" w:ascii="宋体" w:hAnsi="宋体" w:cs="宋体"/>
          <w:color w:val="000000"/>
          <w:kern w:val="0"/>
          <w:sz w:val="24"/>
          <w:lang w:eastAsia="zh-CN"/>
        </w:rPr>
        <w:t>第九完全小学食堂大宗食材定点采购</w:t>
      </w:r>
      <w:r>
        <w:rPr>
          <w:rFonts w:hint="eastAsia" w:ascii="宋体" w:hAnsi="宋体" w:cs="宋体"/>
          <w:color w:val="000000"/>
          <w:kern w:val="0"/>
          <w:sz w:val="24"/>
        </w:rPr>
        <w:t>项目</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cs="宋体"/>
          <w:color w:val="000000"/>
          <w:kern w:val="0"/>
          <w:sz w:val="24"/>
        </w:rPr>
        <w:t>2、</w:t>
      </w:r>
      <w:r>
        <w:rPr>
          <w:rFonts w:hint="eastAsia" w:ascii="宋体" w:hAnsi="宋体" w:cs="宋体"/>
          <w:color w:val="auto"/>
          <w:kern w:val="0"/>
          <w:sz w:val="24"/>
        </w:rPr>
        <w:t>委托代理编号：ZCLX(CG)-202</w:t>
      </w:r>
      <w:r>
        <w:rPr>
          <w:rFonts w:hint="eastAsia" w:ascii="宋体" w:hAnsi="宋体" w:cs="宋体"/>
          <w:color w:val="auto"/>
          <w:kern w:val="0"/>
          <w:sz w:val="24"/>
          <w:lang w:val="en-US" w:eastAsia="zh-CN"/>
        </w:rPr>
        <w:t>4018</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3.评标方法：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（1）本次采购项目的评标方法为综合评分法；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（2）评标委员会依据《政府采购法》及其它相关法规进行综合评审，按得分高低排序择优确定</w:t>
      </w:r>
      <w:r>
        <w:rPr>
          <w:rFonts w:hint="eastAsia" w:ascii="宋体" w:hAnsi="宋体" w:cs="宋体"/>
          <w:color w:val="000000"/>
          <w:kern w:val="0"/>
          <w:sz w:val="24"/>
          <w:lang w:val="en-US" w:eastAsia="zh-CN"/>
        </w:rPr>
        <w:t>中标</w:t>
      </w:r>
      <w:r>
        <w:rPr>
          <w:rFonts w:hint="eastAsia" w:ascii="宋体" w:hAnsi="宋体" w:cs="宋体"/>
          <w:color w:val="000000"/>
          <w:kern w:val="0"/>
          <w:sz w:val="24"/>
        </w:rPr>
        <w:t>候选人；</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000000"/>
          <w:kern w:val="0"/>
          <w:sz w:val="24"/>
        </w:rPr>
        <w:t>（3）推荐中标候选人：本次评标采取综合评分法，在资格性与符合性审查合格基础上，本着“公开、公正、择优”原则，</w:t>
      </w:r>
      <w:r>
        <w:rPr>
          <w:rFonts w:hint="eastAsia" w:ascii="宋体" w:hAnsi="宋体" w:cs="宋体"/>
          <w:color w:val="auto"/>
          <w:kern w:val="0"/>
          <w:sz w:val="24"/>
          <w:lang w:val="en-US" w:eastAsia="zh-CN"/>
        </w:rPr>
        <w:t>每个包</w:t>
      </w:r>
      <w:r>
        <w:rPr>
          <w:rFonts w:hint="eastAsia" w:ascii="宋体" w:hAnsi="宋体" w:cs="宋体"/>
          <w:color w:val="auto"/>
          <w:kern w:val="0"/>
          <w:sz w:val="24"/>
        </w:rPr>
        <w:t>从高分到低分择优录取（最后名额中分数与排位相同的随机抽取确定）。</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4.本项目对应的中小企业划分标准所属行业：其他未列明行业</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000000"/>
          <w:kern w:val="0"/>
          <w:sz w:val="24"/>
        </w:rPr>
        <w:t>5.</w:t>
      </w:r>
      <w:r>
        <w:rPr>
          <w:rFonts w:hint="eastAsia" w:ascii="宋体" w:hAnsi="宋体" w:cs="宋体"/>
          <w:color w:val="auto"/>
          <w:kern w:val="0"/>
          <w:sz w:val="24"/>
        </w:rPr>
        <w:t>合同履行期限：一</w:t>
      </w:r>
      <w:r>
        <w:rPr>
          <w:rFonts w:hint="eastAsia" w:ascii="宋体" w:hAnsi="宋体" w:cs="宋体"/>
          <w:color w:val="auto"/>
          <w:kern w:val="0"/>
          <w:sz w:val="24"/>
          <w:lang w:val="en-US" w:eastAsia="zh-CN"/>
        </w:rPr>
        <w:t>学年度</w:t>
      </w:r>
      <w:r>
        <w:rPr>
          <w:rFonts w:hint="eastAsia" w:ascii="宋体" w:hAnsi="宋体" w:cs="宋体"/>
          <w:color w:val="auto"/>
          <w:kern w:val="0"/>
          <w:sz w:val="24"/>
        </w:rPr>
        <w:t>。</w:t>
      </w: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二、采购人的采购需求</w:t>
      </w:r>
    </w:p>
    <w:tbl>
      <w:tblPr>
        <w:tblStyle w:val="45"/>
        <w:tblW w:w="900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1"/>
        <w:gridCol w:w="1779"/>
        <w:gridCol w:w="1267"/>
        <w:gridCol w:w="996"/>
        <w:gridCol w:w="1903"/>
        <w:gridCol w:w="203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5" w:hRule="atLeast"/>
        </w:trPr>
        <w:tc>
          <w:tcPr>
            <w:tcW w:w="1031"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包号</w:t>
            </w:r>
          </w:p>
        </w:tc>
        <w:tc>
          <w:tcPr>
            <w:tcW w:w="1779"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包名称</w:t>
            </w:r>
          </w:p>
        </w:tc>
        <w:tc>
          <w:tcPr>
            <w:tcW w:w="1267"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简要技术</w:t>
            </w:r>
          </w:p>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要求</w:t>
            </w:r>
          </w:p>
        </w:tc>
        <w:tc>
          <w:tcPr>
            <w:tcW w:w="996"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数量</w:t>
            </w:r>
          </w:p>
        </w:tc>
        <w:tc>
          <w:tcPr>
            <w:tcW w:w="1903"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标的预算</w:t>
            </w:r>
          </w:p>
        </w:tc>
        <w:tc>
          <w:tcPr>
            <w:tcW w:w="2033" w:type="dxa"/>
            <w:noWrap w:val="0"/>
            <w:vAlign w:val="center"/>
          </w:tcPr>
          <w:p>
            <w:pPr>
              <w:adjustRightInd w:val="0"/>
              <w:snapToGrid w:val="0"/>
              <w:jc w:val="center"/>
              <w:rPr>
                <w:rFonts w:hint="eastAsia" w:cs="Times New Roman"/>
                <w:color w:val="auto"/>
                <w:szCs w:val="21"/>
                <w:lang w:eastAsia="zh-CN"/>
              </w:rPr>
            </w:pPr>
            <w:r>
              <w:rPr>
                <w:rFonts w:hint="eastAsia" w:cs="Times New Roman"/>
                <w:color w:val="auto"/>
                <w:szCs w:val="21"/>
                <w:lang w:eastAsia="zh-CN"/>
              </w:rPr>
              <w:t>成交供应商</w:t>
            </w:r>
          </w:p>
          <w:p>
            <w:pPr>
              <w:adjustRightInd w:val="0"/>
              <w:snapToGrid w:val="0"/>
              <w:jc w:val="center"/>
              <w:rPr>
                <w:rFonts w:hint="eastAsia" w:ascii="Times New Roman" w:hAnsi="Times New Roman" w:eastAsia="宋体" w:cs="Times New Roman"/>
                <w:color w:val="auto"/>
                <w:szCs w:val="21"/>
                <w:lang w:eastAsia="zh-CN"/>
              </w:rPr>
            </w:pPr>
            <w:r>
              <w:rPr>
                <w:rFonts w:hint="eastAsia" w:cs="Times New Roman"/>
                <w:color w:val="auto"/>
                <w:szCs w:val="21"/>
                <w:lang w:eastAsia="zh-CN"/>
              </w:rPr>
              <w:t>选定名额（名）</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21" w:hRule="atLeast"/>
        </w:trPr>
        <w:tc>
          <w:tcPr>
            <w:tcW w:w="1031" w:type="dxa"/>
            <w:noWrap w:val="0"/>
            <w:vAlign w:val="center"/>
          </w:tcPr>
          <w:p>
            <w:pPr>
              <w:adjustRightInd w:val="0"/>
              <w:snapToGrid w:val="0"/>
              <w:spacing w:before="156" w:beforeLines="50" w:line="360" w:lineRule="auto"/>
              <w:jc w:val="center"/>
              <w:rPr>
                <w:rFonts w:hint="eastAsia" w:eastAsia="宋体"/>
                <w:color w:val="auto"/>
                <w:szCs w:val="21"/>
                <w:lang w:val="en-US" w:eastAsia="zh-CN"/>
              </w:rPr>
            </w:pPr>
            <w:r>
              <w:rPr>
                <w:rFonts w:hint="eastAsia"/>
                <w:color w:val="auto"/>
                <w:szCs w:val="21"/>
                <w:lang w:val="en-US" w:eastAsia="zh-CN"/>
              </w:rPr>
              <w:t>包1</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大米</w:t>
            </w:r>
          </w:p>
        </w:tc>
        <w:tc>
          <w:tcPr>
            <w:tcW w:w="1267" w:type="dxa"/>
            <w:vMerge w:val="restart"/>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eastAsia="zh-CN"/>
              </w:rPr>
              <w:t>详见</w:t>
            </w:r>
            <w:r>
              <w:rPr>
                <w:rFonts w:hint="eastAsia" w:ascii="Times New Roman" w:hAnsi="Times New Roman" w:eastAsia="宋体" w:cs="Times New Roman"/>
                <w:color w:val="auto"/>
                <w:szCs w:val="21"/>
                <w:lang w:val="en-US" w:eastAsia="zh-CN"/>
              </w:rPr>
              <w:t>磋商</w:t>
            </w:r>
          </w:p>
          <w:p>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文件</w:t>
            </w:r>
          </w:p>
        </w:tc>
        <w:tc>
          <w:tcPr>
            <w:tcW w:w="996" w:type="dxa"/>
            <w:vMerge w:val="restart"/>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一批</w:t>
            </w:r>
          </w:p>
        </w:tc>
        <w:tc>
          <w:tcPr>
            <w:tcW w:w="1903" w:type="dxa"/>
            <w:vMerge w:val="restart"/>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参照文件及合同</w:t>
            </w:r>
          </w:p>
        </w:tc>
        <w:tc>
          <w:tcPr>
            <w:tcW w:w="2033"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63"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包2</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食用油</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7"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包3</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面粉</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包4</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猪肉</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包5</w:t>
            </w:r>
          </w:p>
        </w:tc>
        <w:tc>
          <w:tcPr>
            <w:tcW w:w="1779" w:type="dxa"/>
            <w:noWrap w:val="0"/>
            <w:vAlign w:val="center"/>
          </w:tcPr>
          <w:p>
            <w:pPr>
              <w:adjustRightInd w:val="0"/>
              <w:snapToGrid w:val="0"/>
              <w:jc w:val="center"/>
              <w:rPr>
                <w:rFonts w:hint="eastAsia" w:cs="Times New Roman"/>
                <w:color w:val="auto"/>
                <w:szCs w:val="21"/>
                <w:lang w:val="en-US" w:eastAsia="zh-CN"/>
              </w:rPr>
            </w:pPr>
            <w:r>
              <w:rPr>
                <w:rFonts w:hint="eastAsia" w:cs="Times New Roman"/>
                <w:color w:val="auto"/>
                <w:szCs w:val="21"/>
                <w:lang w:val="en-US" w:eastAsia="zh-CN"/>
              </w:rPr>
              <w:t>牛肉</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包6</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鲜禽类</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包7</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蔬菜</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包8</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干货类</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包9</w:t>
            </w:r>
          </w:p>
        </w:tc>
        <w:tc>
          <w:tcPr>
            <w:tcW w:w="1779" w:type="dxa"/>
            <w:noWrap w:val="0"/>
            <w:vAlign w:val="center"/>
          </w:tcPr>
          <w:p>
            <w:pPr>
              <w:adjustRightInd w:val="0"/>
              <w:snapToGrid w:val="0"/>
              <w:jc w:val="center"/>
              <w:rPr>
                <w:rFonts w:hint="eastAsia" w:cs="Times New Roman"/>
                <w:color w:val="auto"/>
                <w:szCs w:val="21"/>
                <w:lang w:val="en-US" w:eastAsia="zh-CN"/>
              </w:rPr>
            </w:pPr>
            <w:r>
              <w:rPr>
                <w:rFonts w:hint="eastAsia" w:cs="Times New Roman"/>
                <w:color w:val="auto"/>
                <w:szCs w:val="21"/>
                <w:lang w:val="en-US" w:eastAsia="zh-CN"/>
              </w:rPr>
              <w:t>鸡蛋</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包10</w:t>
            </w:r>
          </w:p>
        </w:tc>
        <w:tc>
          <w:tcPr>
            <w:tcW w:w="1779" w:type="dxa"/>
            <w:noWrap w:val="0"/>
            <w:vAlign w:val="center"/>
          </w:tcPr>
          <w:p>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奶制品</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3</w:t>
            </w:r>
          </w:p>
        </w:tc>
      </w:tr>
    </w:tbl>
    <w:p>
      <w:pPr>
        <w:widowControl/>
        <w:spacing w:before="75" w:line="460" w:lineRule="atLeast"/>
        <w:ind w:firstLine="420"/>
        <w:jc w:val="left"/>
        <w:rPr>
          <w:rFonts w:hint="eastAsia" w:ascii="宋体" w:hAnsi="宋体" w:cs="宋体"/>
          <w:b/>
          <w:bCs/>
          <w:color w:val="auto"/>
          <w:kern w:val="0"/>
          <w:sz w:val="24"/>
        </w:rPr>
      </w:pP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三、</w:t>
      </w:r>
      <w:r>
        <w:rPr>
          <w:rFonts w:hint="eastAsia" w:ascii="宋体" w:hAnsi="宋体" w:cs="宋体"/>
          <w:b/>
          <w:bCs/>
          <w:color w:val="auto"/>
          <w:kern w:val="0"/>
          <w:sz w:val="24"/>
          <w:lang w:val="en-US" w:eastAsia="zh-CN"/>
        </w:rPr>
        <w:t>供应商</w:t>
      </w:r>
      <w:r>
        <w:rPr>
          <w:rFonts w:hint="eastAsia" w:ascii="宋体" w:hAnsi="宋体" w:cs="宋体"/>
          <w:b/>
          <w:bCs/>
          <w:color w:val="auto"/>
          <w:kern w:val="0"/>
          <w:sz w:val="24"/>
        </w:rPr>
        <w:t>的资格要求</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eastAsia="zh-CN"/>
        </w:rPr>
        <w:t>、供应商</w:t>
      </w:r>
      <w:r>
        <w:rPr>
          <w:rFonts w:hint="eastAsia" w:ascii="宋体" w:hAnsi="宋体" w:cs="宋体"/>
          <w:color w:val="auto"/>
          <w:kern w:val="0"/>
          <w:sz w:val="24"/>
        </w:rPr>
        <w:t>的基本资格条件：</w:t>
      </w:r>
      <w:r>
        <w:rPr>
          <w:rFonts w:hint="eastAsia" w:ascii="宋体" w:hAnsi="宋体" w:cs="宋体"/>
          <w:color w:val="auto"/>
          <w:kern w:val="0"/>
          <w:sz w:val="24"/>
          <w:lang w:eastAsia="zh-CN"/>
        </w:rPr>
        <w:t>供应商</w:t>
      </w:r>
      <w:r>
        <w:rPr>
          <w:rFonts w:hint="eastAsia" w:ascii="宋体" w:hAnsi="宋体" w:cs="宋体"/>
          <w:color w:val="auto"/>
          <w:kern w:val="0"/>
          <w:sz w:val="24"/>
        </w:rPr>
        <w:t>必须是在中华人民共和国境内注册登记的法人、其他组织或者自然人，且应当符合《</w:t>
      </w:r>
      <w:r>
        <w:rPr>
          <w:rFonts w:hint="eastAsia" w:ascii="宋体" w:hAnsi="宋体" w:eastAsia="宋体" w:cs="宋体"/>
          <w:color w:val="auto"/>
          <w:kern w:val="0"/>
          <w:sz w:val="24"/>
        </w:rPr>
        <w:t>中华人民共和国政府采购法》第二十二条</w:t>
      </w:r>
      <w:r>
        <w:rPr>
          <w:rFonts w:hint="eastAsia" w:ascii="宋体" w:hAnsi="宋体" w:cs="宋体"/>
          <w:color w:val="auto"/>
          <w:kern w:val="0"/>
          <w:sz w:val="24"/>
        </w:rPr>
        <w:t>第一款的规定。</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auto"/>
          <w:kern w:val="0"/>
          <w:sz w:val="24"/>
          <w:lang w:val="en-US" w:eastAsia="zh-CN"/>
        </w:rPr>
        <w:t>2</w:t>
      </w:r>
      <w:r>
        <w:rPr>
          <w:rFonts w:hint="eastAsia" w:ascii="宋体" w:hAnsi="宋体" w:cs="宋体"/>
          <w:color w:val="auto"/>
          <w:kern w:val="0"/>
          <w:sz w:val="24"/>
          <w:lang w:eastAsia="zh-CN"/>
        </w:rPr>
        <w:t>、</w:t>
      </w:r>
      <w:r>
        <w:rPr>
          <w:rFonts w:hint="eastAsia" w:ascii="宋体" w:hAnsi="宋体" w:cs="宋体"/>
          <w:color w:val="auto"/>
          <w:kern w:val="0"/>
          <w:sz w:val="24"/>
        </w:rPr>
        <w:t>供应商特定资格条件：</w:t>
      </w: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包1</w:t>
      </w:r>
      <w:r>
        <w:rPr>
          <w:rFonts w:hint="eastAsia" w:ascii="宋体" w:hAnsi="宋体" w:cs="宋体"/>
          <w:b/>
          <w:bCs/>
          <w:color w:val="auto"/>
          <w:kern w:val="0"/>
          <w:sz w:val="24"/>
          <w:lang w:eastAsia="zh-CN"/>
        </w:rPr>
        <w:t>、包</w:t>
      </w:r>
      <w:r>
        <w:rPr>
          <w:rFonts w:hint="eastAsia" w:ascii="宋体" w:hAnsi="宋体" w:cs="宋体"/>
          <w:b/>
          <w:bCs/>
          <w:color w:val="auto"/>
          <w:kern w:val="0"/>
          <w:sz w:val="24"/>
          <w:lang w:val="en-US" w:eastAsia="zh-CN"/>
        </w:rPr>
        <w:t>2、包3、包4、包5、包6、包7、包8、包9、包10</w:t>
      </w:r>
      <w:r>
        <w:rPr>
          <w:rFonts w:hint="eastAsia" w:ascii="宋体" w:hAnsi="宋体" w:cs="宋体"/>
          <w:b/>
          <w:bCs/>
          <w:color w:val="auto"/>
          <w:kern w:val="0"/>
          <w:sz w:val="24"/>
        </w:rPr>
        <w:t>：</w:t>
      </w:r>
    </w:p>
    <w:p>
      <w:pPr>
        <w:widowControl/>
        <w:numPr>
          <w:ilvl w:val="0"/>
          <w:numId w:val="0"/>
        </w:numPr>
        <w:spacing w:before="75" w:line="460" w:lineRule="atLeast"/>
        <w:ind w:firstLine="480" w:firstLineChars="200"/>
        <w:jc w:val="left"/>
        <w:rPr>
          <w:rFonts w:hint="eastAsia"/>
          <w:color w:val="auto"/>
          <w:lang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1）</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须</w:t>
      </w:r>
      <w:r>
        <w:rPr>
          <w:rFonts w:hint="eastAsia" w:ascii="宋体" w:hAnsi="宋体" w:eastAsia="宋体" w:cs="宋体"/>
          <w:color w:val="auto"/>
          <w:kern w:val="0"/>
          <w:sz w:val="24"/>
          <w:lang w:val="en-US" w:eastAsia="zh-CN"/>
        </w:rPr>
        <w:t>提供营业执照</w:t>
      </w:r>
      <w:r>
        <w:rPr>
          <w:rFonts w:hint="eastAsia" w:ascii="宋体" w:hAnsi="宋体" w:eastAsia="宋体" w:cs="宋体"/>
          <w:color w:val="auto"/>
          <w:kern w:val="0"/>
          <w:sz w:val="24"/>
        </w:rPr>
        <w:t>（经营范围须包含</w:t>
      </w:r>
      <w:r>
        <w:rPr>
          <w:rFonts w:hint="eastAsia" w:ascii="宋体" w:hAnsi="宋体" w:eastAsia="宋体" w:cs="宋体"/>
          <w:color w:val="auto"/>
          <w:kern w:val="0"/>
          <w:sz w:val="24"/>
          <w:lang w:val="en-US" w:eastAsia="zh-CN"/>
        </w:rPr>
        <w:t>所供应的</w:t>
      </w:r>
      <w:r>
        <w:rPr>
          <w:rFonts w:hint="eastAsia" w:ascii="宋体" w:hAnsi="宋体" w:eastAsia="宋体" w:cs="宋体"/>
          <w:color w:val="auto"/>
          <w:kern w:val="0"/>
          <w:sz w:val="24"/>
        </w:rPr>
        <w:t>食材</w:t>
      </w:r>
      <w:r>
        <w:rPr>
          <w:rFonts w:hint="eastAsia" w:ascii="宋体" w:hAnsi="宋体" w:eastAsia="宋体" w:cs="宋体"/>
          <w:color w:val="auto"/>
          <w:kern w:val="0"/>
          <w:sz w:val="24"/>
          <w:lang w:val="en-US" w:eastAsia="zh-CN"/>
        </w:rPr>
        <w:t>品种</w:t>
      </w:r>
      <w:r>
        <w:rPr>
          <w:rFonts w:hint="eastAsia" w:ascii="宋体" w:hAnsi="宋体" w:eastAsia="宋体" w:cs="宋体"/>
          <w:color w:val="auto"/>
          <w:kern w:val="0"/>
          <w:sz w:val="24"/>
        </w:rPr>
        <w:t>）</w:t>
      </w:r>
      <w:r>
        <w:rPr>
          <w:rFonts w:hint="eastAsia" w:ascii="宋体" w:hAnsi="宋体" w:cs="宋体"/>
          <w:color w:val="auto"/>
          <w:kern w:val="0"/>
          <w:sz w:val="24"/>
          <w:lang w:val="en-US" w:eastAsia="zh-CN"/>
        </w:rPr>
        <w:t>；</w:t>
      </w:r>
      <w:r>
        <w:rPr>
          <w:rFonts w:hint="eastAsia" w:ascii="宋体" w:hAnsi="宋体" w:eastAsia="宋体" w:cs="宋体"/>
          <w:color w:val="auto"/>
          <w:kern w:val="0"/>
          <w:sz w:val="24"/>
        </w:rPr>
        <w:t>食品生产许可证或食品经营许可证，且证书处于有效期内</w:t>
      </w:r>
      <w:r>
        <w:rPr>
          <w:rFonts w:hint="eastAsia" w:ascii="宋体" w:hAnsi="宋体" w:eastAsia="宋体" w:cs="宋体"/>
          <w:color w:val="auto"/>
          <w:kern w:val="0"/>
          <w:sz w:val="24"/>
          <w:lang w:eastAsia="zh-CN"/>
        </w:rPr>
        <w:t>；</w:t>
      </w:r>
      <w:r>
        <w:rPr>
          <w:rFonts w:hint="eastAsia" w:ascii="宋体" w:hAnsi="宋体" w:cs="宋体"/>
          <w:color w:val="auto"/>
          <w:kern w:val="0"/>
          <w:sz w:val="24"/>
          <w:lang w:eastAsia="zh-CN"/>
        </w:rPr>
        <w:t>生猪定点屠宰资格证；</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2）</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授权代表应携带法人授权委托书及本人身份证（法定代表人参加可只提供</w:t>
      </w:r>
      <w:r>
        <w:rPr>
          <w:rFonts w:hint="eastAsia" w:ascii="宋体" w:hAnsi="宋体" w:eastAsia="宋体" w:cs="宋体"/>
          <w:color w:val="auto"/>
          <w:kern w:val="0"/>
          <w:sz w:val="24"/>
          <w:lang w:val="en-US" w:eastAsia="zh-CN"/>
        </w:rPr>
        <w:t>法人</w:t>
      </w:r>
      <w:r>
        <w:rPr>
          <w:rFonts w:hint="eastAsia" w:ascii="宋体" w:hAnsi="宋体" w:eastAsia="宋体" w:cs="宋体"/>
          <w:color w:val="auto"/>
          <w:kern w:val="0"/>
          <w:sz w:val="24"/>
        </w:rPr>
        <w:t>身份证</w:t>
      </w:r>
      <w:r>
        <w:rPr>
          <w:rFonts w:hint="eastAsia" w:ascii="宋体" w:hAnsi="宋体" w:eastAsia="宋体" w:cs="宋体"/>
          <w:color w:val="auto"/>
          <w:kern w:val="0"/>
          <w:sz w:val="24"/>
          <w:lang w:val="en-US" w:eastAsia="zh-CN"/>
        </w:rPr>
        <w:t>明</w:t>
      </w:r>
      <w:r>
        <w:rPr>
          <w:rFonts w:hint="eastAsia" w:ascii="宋体" w:hAnsi="宋体" w:eastAsia="宋体" w:cs="宋体"/>
          <w:color w:val="auto"/>
          <w:kern w:val="0"/>
          <w:sz w:val="24"/>
        </w:rPr>
        <w:t>）；</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3）供应商</w:t>
      </w:r>
      <w:r>
        <w:rPr>
          <w:rFonts w:hint="eastAsia" w:ascii="宋体" w:hAnsi="宋体" w:cs="宋体"/>
          <w:color w:val="auto"/>
          <w:kern w:val="0"/>
          <w:sz w:val="24"/>
          <w:lang w:val="en-US" w:eastAsia="zh-CN"/>
        </w:rPr>
        <w:t>从业人员</w:t>
      </w:r>
      <w:r>
        <w:rPr>
          <w:rFonts w:hint="eastAsia" w:ascii="宋体" w:hAnsi="宋体" w:eastAsia="宋体" w:cs="宋体"/>
          <w:color w:val="auto"/>
          <w:kern w:val="0"/>
          <w:sz w:val="24"/>
          <w:lang w:val="en-US" w:eastAsia="zh-CN"/>
        </w:rPr>
        <w:t>健康证；</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）本项目专门面向中小企业采购，采购标的对应的中小企业划分标准所属行业为：其他未列明行业。须提供《湖南省政府采购供应商资格承诺函》</w:t>
      </w:r>
      <w:r>
        <w:rPr>
          <w:rFonts w:hint="eastAsia" w:ascii="宋体" w:hAnsi="宋体" w:cs="宋体"/>
          <w:color w:val="auto"/>
          <w:kern w:val="0"/>
          <w:sz w:val="24"/>
        </w:rPr>
        <w:t>（格式见磋商文件）</w:t>
      </w:r>
      <w:r>
        <w:rPr>
          <w:rFonts w:hint="eastAsia" w:ascii="宋体" w:hAnsi="宋体" w:eastAsia="宋体" w:cs="宋体"/>
          <w:color w:val="auto"/>
          <w:kern w:val="0"/>
          <w:sz w:val="24"/>
        </w:rPr>
        <w:t>，否则视为无效投标（如供应商提供的《湖南省政府采购供应商资格承诺函》内容不实的，属于提供虚假材料谋取成交，依照《中华人民共和国政府采购法》等国家有关规定追究相应责任。）</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未被列入失信被执行人及重大税收违法案件当事人名单</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6）有固定的经营场所。</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3</w:t>
      </w:r>
      <w:r>
        <w:rPr>
          <w:rFonts w:hint="eastAsia" w:ascii="宋体" w:hAnsi="宋体" w:cs="宋体"/>
          <w:color w:val="auto"/>
          <w:kern w:val="0"/>
          <w:sz w:val="24"/>
        </w:rPr>
        <w:t>、单位负责人为同一人或者存在直接控股、管理关系的不同</w:t>
      </w:r>
      <w:r>
        <w:rPr>
          <w:rFonts w:hint="eastAsia" w:ascii="宋体" w:hAnsi="宋体" w:cs="宋体"/>
          <w:color w:val="auto"/>
          <w:kern w:val="0"/>
          <w:sz w:val="24"/>
          <w:lang w:eastAsia="zh-CN"/>
        </w:rPr>
        <w:t>供应商</w:t>
      </w:r>
      <w:r>
        <w:rPr>
          <w:rFonts w:hint="eastAsia" w:ascii="宋体" w:hAnsi="宋体" w:cs="宋体"/>
          <w:color w:val="auto"/>
          <w:kern w:val="0"/>
          <w:sz w:val="24"/>
        </w:rPr>
        <w:t>，不得参加同一合同项下的政府采购活动。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4</w:t>
      </w:r>
      <w:r>
        <w:rPr>
          <w:rFonts w:hint="eastAsia" w:ascii="宋体" w:hAnsi="宋体" w:cs="宋体"/>
          <w:color w:val="auto"/>
          <w:kern w:val="0"/>
          <w:sz w:val="24"/>
        </w:rPr>
        <w:t>、为本采购项目提供整体设计、规范编制或者项目管理、监理、检测等服务的，不得再参加此项目的其他采购活动。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5</w:t>
      </w:r>
      <w:r>
        <w:rPr>
          <w:rFonts w:hint="eastAsia" w:ascii="宋体" w:hAnsi="宋体" w:cs="宋体"/>
          <w:color w:val="auto"/>
          <w:kern w:val="0"/>
          <w:sz w:val="24"/>
        </w:rPr>
        <w:t>、列入失信被执行人、重大税收违法失信主体名单、政府采购严重违法失信行为记录名单的，拒绝其参与政府采购活动。</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、联合体投标</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本次招标不接受联合体投标。</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7、</w:t>
      </w:r>
      <w:r>
        <w:rPr>
          <w:rFonts w:hint="eastAsia" w:ascii="宋体" w:hAnsi="宋体" w:eastAsia="宋体" w:cs="宋体"/>
          <w:color w:val="auto"/>
          <w:kern w:val="0"/>
          <w:sz w:val="24"/>
        </w:rPr>
        <w:t>每个投标</w:t>
      </w:r>
      <w:r>
        <w:rPr>
          <w:rFonts w:hint="eastAsia" w:ascii="宋体" w:hAnsi="宋体" w:eastAsia="宋体" w:cs="宋体"/>
          <w:color w:val="auto"/>
          <w:kern w:val="0"/>
          <w:sz w:val="24"/>
          <w:lang w:val="en-US" w:eastAsia="zh-CN"/>
        </w:rPr>
        <w:t>供应商</w:t>
      </w:r>
      <w:r>
        <w:rPr>
          <w:rFonts w:hint="eastAsia" w:ascii="宋体" w:hAnsi="宋体" w:eastAsia="宋体" w:cs="宋体"/>
          <w:color w:val="auto"/>
          <w:kern w:val="0"/>
          <w:sz w:val="24"/>
        </w:rPr>
        <w:t>只允许对其中1个包进行投标，如投</w:t>
      </w:r>
      <w:r>
        <w:rPr>
          <w:rFonts w:hint="eastAsia" w:ascii="宋体" w:hAnsi="宋体" w:eastAsia="宋体" w:cs="宋体"/>
          <w:color w:val="auto"/>
          <w:kern w:val="0"/>
          <w:sz w:val="24"/>
          <w:lang w:val="en-US" w:eastAsia="zh-CN"/>
        </w:rPr>
        <w:t>多</w:t>
      </w:r>
      <w:r>
        <w:rPr>
          <w:rFonts w:hint="eastAsia" w:ascii="宋体" w:hAnsi="宋体" w:eastAsia="宋体" w:cs="宋体"/>
          <w:color w:val="auto"/>
          <w:kern w:val="0"/>
          <w:sz w:val="24"/>
        </w:rPr>
        <w:t>个包</w:t>
      </w:r>
      <w:r>
        <w:rPr>
          <w:rFonts w:hint="eastAsia" w:ascii="宋体" w:hAnsi="宋体" w:eastAsia="宋体" w:cs="宋体"/>
          <w:color w:val="auto"/>
          <w:kern w:val="0"/>
          <w:sz w:val="24"/>
          <w:lang w:val="en-US" w:eastAsia="zh-CN"/>
        </w:rPr>
        <w:t>则</w:t>
      </w:r>
      <w:r>
        <w:rPr>
          <w:rFonts w:hint="eastAsia" w:ascii="宋体" w:hAnsi="宋体" w:eastAsia="宋体" w:cs="宋体"/>
          <w:color w:val="auto"/>
          <w:kern w:val="0"/>
          <w:sz w:val="24"/>
        </w:rPr>
        <w:t>视为无效投标</w:t>
      </w:r>
      <w:r>
        <w:rPr>
          <w:rFonts w:hint="eastAsia" w:ascii="宋体" w:hAnsi="宋体" w:eastAsia="宋体" w:cs="宋体"/>
          <w:color w:val="auto"/>
          <w:kern w:val="0"/>
          <w:sz w:val="24"/>
          <w:lang w:val="en-US" w:eastAsia="zh-CN"/>
        </w:rPr>
        <w:t>供应商</w:t>
      </w:r>
      <w:r>
        <w:rPr>
          <w:rFonts w:hint="eastAsia" w:ascii="宋体" w:hAnsi="宋体" w:eastAsia="宋体" w:cs="宋体"/>
          <w:color w:val="auto"/>
          <w:kern w:val="0"/>
          <w:sz w:val="24"/>
        </w:rPr>
        <w:t>。</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lang w:val="en-US" w:eastAsia="zh-CN"/>
        </w:rPr>
        <w:t>四</w:t>
      </w:r>
      <w:r>
        <w:rPr>
          <w:rFonts w:hint="eastAsia" w:ascii="宋体" w:hAnsi="宋体" w:cs="宋体"/>
          <w:color w:val="auto"/>
          <w:sz w:val="24"/>
          <w:szCs w:val="24"/>
        </w:rPr>
        <w:t>、获取招标文件的时间、期限、地点及方式</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有意参加投标者，于202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08</w:t>
      </w:r>
      <w:r>
        <w:rPr>
          <w:rFonts w:hint="eastAsia" w:ascii="宋体" w:hAnsi="宋体" w:cs="宋体"/>
          <w:color w:val="auto"/>
          <w:kern w:val="0"/>
          <w:sz w:val="24"/>
        </w:rPr>
        <w:t>月</w:t>
      </w:r>
      <w:r>
        <w:rPr>
          <w:rFonts w:hint="eastAsia" w:ascii="宋体" w:hAnsi="宋体" w:cs="宋体"/>
          <w:color w:val="auto"/>
          <w:kern w:val="0"/>
          <w:sz w:val="24"/>
          <w:lang w:val="en-US" w:eastAsia="zh-CN"/>
        </w:rPr>
        <w:t>26</w:t>
      </w:r>
      <w:r>
        <w:rPr>
          <w:rFonts w:hint="eastAsia" w:ascii="宋体" w:hAnsi="宋体" w:cs="宋体"/>
          <w:color w:val="auto"/>
          <w:kern w:val="0"/>
          <w:sz w:val="24"/>
        </w:rPr>
        <w:t>日至202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08</w:t>
      </w:r>
      <w:r>
        <w:rPr>
          <w:rFonts w:hint="eastAsia" w:ascii="宋体" w:hAnsi="宋体" w:cs="宋体"/>
          <w:color w:val="auto"/>
          <w:kern w:val="0"/>
          <w:sz w:val="24"/>
        </w:rPr>
        <w:t>月</w:t>
      </w:r>
      <w:r>
        <w:rPr>
          <w:rFonts w:hint="eastAsia" w:ascii="宋体" w:hAnsi="宋体" w:cs="宋体"/>
          <w:color w:val="auto"/>
          <w:kern w:val="0"/>
          <w:sz w:val="24"/>
          <w:lang w:val="en-US" w:eastAsia="zh-CN"/>
        </w:rPr>
        <w:t>30</w:t>
      </w:r>
      <w:r>
        <w:rPr>
          <w:rFonts w:hint="eastAsia" w:ascii="宋体" w:hAnsi="宋体" w:cs="宋体"/>
          <w:color w:val="auto"/>
          <w:kern w:val="0"/>
          <w:sz w:val="24"/>
        </w:rPr>
        <w:t xml:space="preserve">日，上午9:00 ～ 12:00 ，下午 15:00 </w:t>
      </w:r>
      <w:r>
        <w:rPr>
          <w:rFonts w:hint="eastAsia" w:ascii="宋体" w:hAnsi="宋体" w:cs="宋体"/>
          <w:color w:val="auto"/>
          <w:kern w:val="0"/>
          <w:sz w:val="24"/>
          <w:lang w:eastAsia="zh-CN"/>
        </w:rPr>
        <w:t>～ 17:00， 持本人身份证原件、法定代表人身份证明(或者授权委托书并附法定代表人身份证明)、营业执照副本复印件加盖公章</w:t>
      </w:r>
      <w:r>
        <w:rPr>
          <w:rFonts w:hint="eastAsia" w:ascii="宋体" w:hAnsi="宋体" w:cs="宋体"/>
          <w:color w:val="auto"/>
          <w:kern w:val="0"/>
          <w:sz w:val="24"/>
          <w:lang w:val="en-US" w:eastAsia="zh-CN"/>
        </w:rPr>
        <w:t>在</w:t>
      </w:r>
      <w:r>
        <w:rPr>
          <w:rFonts w:hint="eastAsia" w:ascii="宋体" w:hAnsi="宋体" w:cs="宋体"/>
          <w:color w:val="auto"/>
          <w:kern w:val="0"/>
          <w:sz w:val="24"/>
          <w:lang w:eastAsia="zh-CN"/>
        </w:rPr>
        <w:t>中采联合招标有限公司（岳阳市临湘市连</w:t>
      </w:r>
      <w:r>
        <w:rPr>
          <w:rFonts w:hint="eastAsia" w:ascii="宋体" w:hAnsi="宋体" w:cs="宋体"/>
          <w:color w:val="auto"/>
          <w:kern w:val="0"/>
          <w:sz w:val="24"/>
        </w:rPr>
        <w:t>心路110号3楼）获取招标文件。</w:t>
      </w:r>
    </w:p>
    <w:p>
      <w:pPr>
        <w:pStyle w:val="7"/>
        <w:keepNext w:val="0"/>
        <w:keepLines w:val="0"/>
        <w:widowControl/>
        <w:spacing w:before="150" w:after="0" w:line="460" w:lineRule="atLeast"/>
        <w:ind w:firstLine="420"/>
        <w:rPr>
          <w:rFonts w:ascii="宋体" w:hAnsi="宋体" w:cs="宋体"/>
          <w:b w:val="0"/>
          <w:bCs w:val="0"/>
          <w:color w:val="auto"/>
          <w:sz w:val="24"/>
          <w:szCs w:val="24"/>
        </w:rPr>
      </w:pPr>
      <w:r>
        <w:rPr>
          <w:rFonts w:hint="eastAsia" w:ascii="宋体" w:hAnsi="宋体" w:cs="宋体"/>
          <w:color w:val="auto"/>
          <w:sz w:val="24"/>
          <w:szCs w:val="24"/>
        </w:rPr>
        <w:t>六、投标截止时间、开标时间及地点</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1、提交投标文件的截止时间：202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9月3日</w:t>
      </w:r>
      <w:r>
        <w:rPr>
          <w:rFonts w:hint="eastAsia" w:ascii="宋体" w:hAnsi="宋体" w:cs="宋体"/>
          <w:color w:val="auto"/>
          <w:kern w:val="0"/>
          <w:sz w:val="24"/>
        </w:rPr>
        <w:t>上午</w:t>
      </w:r>
      <w:r>
        <w:rPr>
          <w:rFonts w:hint="eastAsia" w:ascii="宋体" w:hAnsi="宋体" w:cs="宋体"/>
          <w:color w:val="auto"/>
          <w:kern w:val="0"/>
          <w:sz w:val="24"/>
          <w:lang w:val="en-US" w:eastAsia="zh-CN"/>
        </w:rPr>
        <w:t>9</w:t>
      </w: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0（北京时间）</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2、提交投标文件地点：</w:t>
      </w:r>
      <w:r>
        <w:rPr>
          <w:rFonts w:hint="eastAsia" w:ascii="宋体" w:hAnsi="宋体" w:cs="宋体"/>
          <w:color w:val="auto"/>
          <w:kern w:val="0"/>
          <w:sz w:val="24"/>
          <w:lang w:eastAsia="zh-CN"/>
        </w:rPr>
        <w:t>中采联合招标有限公司</w:t>
      </w:r>
      <w:r>
        <w:rPr>
          <w:rFonts w:hint="eastAsia" w:ascii="宋体" w:hAnsi="宋体" w:cs="宋体"/>
          <w:color w:val="auto"/>
          <w:kern w:val="0"/>
          <w:sz w:val="24"/>
        </w:rPr>
        <w:t>（岳阳市临湘市连心路110号3楼301室）</w:t>
      </w:r>
      <w:bookmarkStart w:id="36" w:name="_GoBack"/>
      <w:bookmarkEnd w:id="36"/>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3、开标时间：202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3</w:t>
      </w:r>
      <w:r>
        <w:rPr>
          <w:rFonts w:hint="eastAsia" w:ascii="宋体" w:hAnsi="宋体" w:cs="宋体"/>
          <w:color w:val="auto"/>
          <w:kern w:val="0"/>
          <w:sz w:val="24"/>
        </w:rPr>
        <w:t>日上午</w:t>
      </w:r>
      <w:r>
        <w:rPr>
          <w:rFonts w:hint="eastAsia" w:ascii="宋体" w:hAnsi="宋体" w:cs="宋体"/>
          <w:color w:val="auto"/>
          <w:kern w:val="0"/>
          <w:sz w:val="24"/>
          <w:lang w:val="en-US" w:eastAsia="zh-CN"/>
        </w:rPr>
        <w:t>9</w:t>
      </w: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0（北京时间）</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cs="宋体"/>
          <w:color w:val="auto"/>
          <w:kern w:val="0"/>
          <w:sz w:val="24"/>
        </w:rPr>
        <w:t>4、开标地点：</w:t>
      </w:r>
      <w:r>
        <w:rPr>
          <w:rFonts w:hint="eastAsia" w:ascii="宋体" w:hAnsi="宋体" w:cs="宋体"/>
          <w:color w:val="auto"/>
          <w:kern w:val="0"/>
          <w:sz w:val="24"/>
          <w:lang w:eastAsia="zh-CN"/>
        </w:rPr>
        <w:t>中采联合招标有限公司</w:t>
      </w:r>
      <w:r>
        <w:rPr>
          <w:rFonts w:hint="eastAsia" w:ascii="宋体" w:hAnsi="宋体" w:cs="宋体"/>
          <w:color w:val="auto"/>
          <w:kern w:val="0"/>
          <w:sz w:val="24"/>
        </w:rPr>
        <w:t>（岳阳市临湘市连心路110号3楼301室）</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rPr>
        <w:t>八、询问及质疑</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1、</w:t>
      </w:r>
      <w:r>
        <w:rPr>
          <w:rFonts w:hint="eastAsia" w:ascii="宋体" w:hAnsi="宋体" w:cs="宋体"/>
          <w:color w:val="auto"/>
          <w:kern w:val="0"/>
          <w:sz w:val="24"/>
          <w:lang w:eastAsia="zh-CN"/>
        </w:rPr>
        <w:t>供应商</w:t>
      </w:r>
      <w:r>
        <w:rPr>
          <w:rFonts w:hint="eastAsia" w:ascii="宋体" w:hAnsi="宋体" w:cs="宋体"/>
          <w:color w:val="auto"/>
          <w:kern w:val="0"/>
          <w:sz w:val="24"/>
        </w:rPr>
        <w:t>对政府采购活动事项如有疑问的，可以向采购人、采购代理机构提出询问。采购人、采购代理机构将在3个工作日内作出答复。</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2</w:t>
      </w:r>
      <w:r>
        <w:rPr>
          <w:rFonts w:hint="eastAsia" w:ascii="宋体" w:hAnsi="宋体" w:cs="宋体"/>
          <w:color w:val="auto"/>
          <w:kern w:val="0"/>
          <w:sz w:val="24"/>
        </w:rPr>
        <w:t>、潜在</w:t>
      </w:r>
      <w:r>
        <w:rPr>
          <w:rFonts w:hint="eastAsia" w:ascii="宋体" w:hAnsi="宋体" w:cs="宋体"/>
          <w:color w:val="auto"/>
          <w:kern w:val="0"/>
          <w:sz w:val="24"/>
          <w:lang w:eastAsia="zh-CN"/>
        </w:rPr>
        <w:t>供应商</w:t>
      </w:r>
      <w:r>
        <w:rPr>
          <w:rFonts w:hint="eastAsia" w:ascii="宋体" w:hAnsi="宋体" w:cs="宋体"/>
          <w:color w:val="auto"/>
          <w:kern w:val="0"/>
          <w:sz w:val="24"/>
        </w:rPr>
        <w:t>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rPr>
        <w:t>十、采购项目联系人姓名和电话</w:t>
      </w:r>
    </w:p>
    <w:p>
      <w:pPr>
        <w:widowControl/>
        <w:spacing w:before="75" w:line="460" w:lineRule="atLeast"/>
        <w:ind w:firstLine="420"/>
        <w:jc w:val="left"/>
        <w:rPr>
          <w:rFonts w:hint="default" w:ascii="宋体" w:hAnsi="宋体" w:cs="宋体"/>
          <w:color w:val="auto"/>
          <w:sz w:val="24"/>
          <w:lang w:val="en-US"/>
        </w:rPr>
      </w:pPr>
      <w:r>
        <w:rPr>
          <w:rFonts w:hint="eastAsia" w:ascii="宋体" w:hAnsi="宋体" w:cs="宋体"/>
          <w:color w:val="auto"/>
          <w:kern w:val="0"/>
          <w:sz w:val="24"/>
        </w:rPr>
        <w:t>1、联系人姓名：</w:t>
      </w:r>
      <w:r>
        <w:rPr>
          <w:rFonts w:hint="eastAsia" w:ascii="宋体" w:hAnsi="宋体" w:cs="宋体"/>
          <w:color w:val="auto"/>
          <w:kern w:val="0"/>
          <w:sz w:val="24"/>
          <w:lang w:val="en-US" w:eastAsia="zh-CN"/>
        </w:rPr>
        <w:t>闾先生</w:t>
      </w:r>
    </w:p>
    <w:p>
      <w:pPr>
        <w:widowControl/>
        <w:spacing w:before="75" w:line="460" w:lineRule="atLeast"/>
        <w:ind w:firstLine="420"/>
        <w:jc w:val="left"/>
        <w:rPr>
          <w:rFonts w:hint="default" w:ascii="宋体" w:hAnsi="宋体" w:cs="宋体"/>
          <w:color w:val="auto"/>
          <w:kern w:val="0"/>
          <w:sz w:val="24"/>
          <w:lang w:val="en-US" w:eastAsia="zh-CN"/>
        </w:rPr>
      </w:pPr>
      <w:r>
        <w:rPr>
          <w:rFonts w:hint="eastAsia" w:ascii="宋体" w:hAnsi="宋体" w:cs="宋体"/>
          <w:color w:val="auto"/>
          <w:kern w:val="0"/>
          <w:sz w:val="24"/>
        </w:rPr>
        <w:t>2、电话：</w:t>
      </w:r>
      <w:r>
        <w:rPr>
          <w:rFonts w:hint="eastAsia" w:ascii="宋体" w:hAnsi="宋体" w:cs="宋体"/>
          <w:color w:val="auto"/>
          <w:kern w:val="0"/>
          <w:sz w:val="24"/>
          <w:lang w:val="en-US" w:eastAsia="zh-CN"/>
        </w:rPr>
        <w:t>13974034488</w:t>
      </w:r>
    </w:p>
    <w:p>
      <w:pPr>
        <w:widowControl/>
        <w:spacing w:before="75" w:line="460" w:lineRule="atLeast"/>
        <w:ind w:firstLine="420"/>
        <w:jc w:val="left"/>
        <w:rPr>
          <w:rFonts w:ascii="宋体" w:hAnsi="宋体" w:cs="宋体"/>
          <w:color w:val="auto"/>
          <w:kern w:val="0"/>
          <w:sz w:val="24"/>
        </w:rPr>
      </w:pPr>
      <w:r>
        <w:rPr>
          <w:rFonts w:hint="eastAsia" w:ascii="宋体" w:hAnsi="宋体" w:cs="宋体"/>
          <w:b/>
          <w:bCs/>
          <w:color w:val="auto"/>
          <w:kern w:val="0"/>
          <w:sz w:val="24"/>
        </w:rPr>
        <w:t>十一、采购人、采购代理机构的名称、地址和联系方法</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cs="宋体"/>
          <w:color w:val="auto"/>
          <w:kern w:val="0"/>
          <w:sz w:val="24"/>
        </w:rPr>
        <w:t>采购人名称：临湘市</w:t>
      </w:r>
      <w:r>
        <w:rPr>
          <w:rFonts w:hint="eastAsia" w:ascii="宋体" w:hAnsi="宋体" w:cs="宋体"/>
          <w:color w:val="auto"/>
          <w:kern w:val="0"/>
          <w:sz w:val="24"/>
          <w:lang w:eastAsia="zh-CN"/>
        </w:rPr>
        <w:t>第九完全小学</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cs="宋体"/>
          <w:color w:val="auto"/>
          <w:kern w:val="0"/>
          <w:sz w:val="24"/>
        </w:rPr>
        <w:t>单位地址：临湘市</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联 系 人：</w:t>
      </w:r>
      <w:r>
        <w:rPr>
          <w:rFonts w:hint="eastAsia" w:ascii="宋体" w:hAnsi="宋体" w:cs="宋体"/>
          <w:color w:val="auto"/>
          <w:kern w:val="0"/>
          <w:sz w:val="24"/>
          <w:lang w:val="en-US" w:eastAsia="zh-CN"/>
        </w:rPr>
        <w:t>闾先生</w:t>
      </w:r>
      <w:r>
        <w:rPr>
          <w:rFonts w:hint="eastAsia" w:ascii="宋体" w:hAnsi="宋体" w:cs="宋体"/>
          <w:color w:val="auto"/>
          <w:kern w:val="0"/>
          <w:sz w:val="24"/>
        </w:rPr>
        <w:tab/>
      </w:r>
    </w:p>
    <w:p>
      <w:pPr>
        <w:widowControl/>
        <w:spacing w:before="75" w:line="460" w:lineRule="atLeast"/>
        <w:ind w:firstLine="420"/>
        <w:jc w:val="left"/>
        <w:rPr>
          <w:rFonts w:hint="default" w:ascii="宋体" w:hAnsi="宋体" w:cs="宋体"/>
          <w:color w:val="auto"/>
          <w:kern w:val="0"/>
          <w:sz w:val="24"/>
          <w:lang w:val="en-US"/>
        </w:rPr>
      </w:pPr>
      <w:r>
        <w:rPr>
          <w:rFonts w:hint="eastAsia" w:ascii="宋体" w:hAnsi="宋体" w:cs="宋体"/>
          <w:color w:val="auto"/>
          <w:kern w:val="0"/>
          <w:sz w:val="24"/>
        </w:rPr>
        <w:t>联系电话：</w:t>
      </w:r>
      <w:r>
        <w:rPr>
          <w:rFonts w:hint="eastAsia" w:ascii="宋体" w:hAnsi="宋体" w:cs="宋体"/>
          <w:color w:val="auto"/>
          <w:kern w:val="0"/>
          <w:sz w:val="24"/>
          <w:lang w:val="en-US" w:eastAsia="zh-CN"/>
        </w:rPr>
        <w:t>13974034488</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cs="宋体"/>
          <w:color w:val="auto"/>
          <w:kern w:val="0"/>
          <w:sz w:val="24"/>
        </w:rPr>
        <w:t>采购代理：</w:t>
      </w:r>
      <w:r>
        <w:rPr>
          <w:rFonts w:hint="eastAsia" w:ascii="宋体" w:hAnsi="宋体" w:cs="宋体"/>
          <w:color w:val="auto"/>
          <w:kern w:val="0"/>
          <w:sz w:val="24"/>
          <w:lang w:eastAsia="zh-CN"/>
        </w:rPr>
        <w:t>中采联合招标有限公司</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单位地址：湖南省岳阳市临湘市连心路110号</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 xml:space="preserve">联 系 人：李女士        </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联系电话：0730-3795833、18073041333</w:t>
      </w:r>
    </w:p>
    <w:p>
      <w:pPr>
        <w:rPr>
          <w:rFonts w:ascii="宋体" w:hAnsi="宋体"/>
          <w:b/>
          <w:bCs/>
          <w:color w:val="auto"/>
          <w:sz w:val="28"/>
          <w:szCs w:val="28"/>
        </w:rPr>
      </w:pPr>
      <w:r>
        <w:rPr>
          <w:rFonts w:hint="eastAsia" w:ascii="宋体" w:hAnsi="宋体" w:cs="微软雅黑"/>
          <w:color w:val="auto"/>
          <w:kern w:val="0"/>
          <w:szCs w:val="21"/>
        </w:rPr>
        <w:br w:type="page"/>
      </w:r>
      <w:r>
        <w:rPr>
          <w:rFonts w:hint="eastAsia" w:ascii="宋体" w:hAnsi="宋体" w:cs="微软雅黑"/>
          <w:color w:val="auto"/>
          <w:kern w:val="0"/>
          <w:szCs w:val="21"/>
          <w:lang w:val="en-US" w:eastAsia="zh-CN"/>
        </w:rPr>
        <w:t>附件</w:t>
      </w:r>
      <w:r>
        <w:rPr>
          <w:rFonts w:hint="eastAsia" w:ascii="宋体" w:hAnsi="宋体"/>
          <w:b/>
          <w:bCs/>
          <w:color w:val="auto"/>
          <w:sz w:val="28"/>
          <w:szCs w:val="28"/>
        </w:rPr>
        <w:t>：</w:t>
      </w:r>
    </w:p>
    <w:p>
      <w:pPr>
        <w:spacing w:line="621" w:lineRule="exact"/>
        <w:ind w:left="1934" w:right="1935"/>
        <w:jc w:val="center"/>
        <w:rPr>
          <w:rFonts w:ascii="宋体" w:hAnsi="宋体"/>
          <w:b/>
          <w:bCs/>
          <w:color w:val="auto"/>
          <w:sz w:val="28"/>
          <w:szCs w:val="28"/>
        </w:rPr>
      </w:pPr>
      <w:r>
        <w:rPr>
          <w:rFonts w:hint="eastAsia" w:ascii="宋体" w:hAnsi="宋体"/>
          <w:b/>
          <w:bCs/>
          <w:color w:val="auto"/>
          <w:sz w:val="28"/>
          <w:szCs w:val="28"/>
        </w:rPr>
        <w:t>湖南省政府采购供应商资格承诺函</w:t>
      </w:r>
    </w:p>
    <w:p>
      <w:pPr>
        <w:pStyle w:val="20"/>
        <w:spacing w:before="16"/>
        <w:rPr>
          <w:color w:val="auto"/>
        </w:rPr>
      </w:pPr>
    </w:p>
    <w:p>
      <w:pPr>
        <w:pStyle w:val="20"/>
        <w:spacing w:line="326" w:lineRule="auto"/>
        <w:ind w:right="229" w:firstLine="640"/>
        <w:rPr>
          <w:rFonts w:ascii="宋体" w:hAnsi="宋体"/>
          <w:color w:val="auto"/>
          <w:sz w:val="24"/>
        </w:rPr>
      </w:pPr>
      <w:r>
        <w:rPr>
          <w:rFonts w:hint="eastAsia" w:ascii="宋体" w:hAnsi="宋体"/>
          <w:color w:val="auto"/>
          <w:sz w:val="24"/>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pStyle w:val="20"/>
        <w:spacing w:line="560" w:lineRule="exact"/>
        <w:ind w:firstLine="360" w:firstLineChars="150"/>
        <w:rPr>
          <w:rFonts w:ascii="宋体" w:hAnsi="宋体"/>
          <w:color w:val="auto"/>
          <w:sz w:val="24"/>
        </w:rPr>
      </w:pPr>
      <w:r>
        <w:rPr>
          <w:rFonts w:hint="eastAsia" w:ascii="宋体" w:hAnsi="宋体"/>
          <w:color w:val="auto"/>
          <w:sz w:val="24"/>
        </w:rPr>
        <w:t>按照《政府采购促进中小企业发展管理办法》（财库〔</w:t>
      </w:r>
      <w:r>
        <w:rPr>
          <w:rFonts w:ascii="宋体" w:hAnsi="宋体"/>
          <w:color w:val="auto"/>
          <w:sz w:val="24"/>
        </w:rPr>
        <w:t>2020</w:t>
      </w:r>
      <w:r>
        <w:rPr>
          <w:rFonts w:hint="eastAsia" w:ascii="宋体" w:hAnsi="宋体"/>
          <w:color w:val="auto"/>
          <w:sz w:val="24"/>
        </w:rPr>
        <w:t>〕</w:t>
      </w:r>
      <w:r>
        <w:rPr>
          <w:rFonts w:ascii="宋体" w:hAnsi="宋体"/>
          <w:color w:val="auto"/>
          <w:sz w:val="24"/>
        </w:rPr>
        <w:t>46</w:t>
      </w:r>
      <w:r>
        <w:rPr>
          <w:rFonts w:hint="eastAsia" w:ascii="宋体" w:hAnsi="宋体"/>
          <w:color w:val="auto"/>
          <w:sz w:val="24"/>
        </w:rPr>
        <w:t>号），本公司企业规模为：大型□中型□小型□微型□</w:t>
      </w:r>
    </w:p>
    <w:p>
      <w:pPr>
        <w:pStyle w:val="20"/>
        <w:spacing w:line="560" w:lineRule="exact"/>
        <w:ind w:firstLine="360" w:firstLineChars="150"/>
        <w:rPr>
          <w:rFonts w:ascii="宋体" w:hAnsi="宋体"/>
          <w:color w:val="auto"/>
          <w:sz w:val="24"/>
        </w:rPr>
      </w:pPr>
      <w:r>
        <w:rPr>
          <w:rFonts w:hint="eastAsia" w:ascii="宋体" w:hAnsi="宋体"/>
          <w:color w:val="auto"/>
          <w:sz w:val="24"/>
        </w:rPr>
        <w:t>□本公司自愿入驻湖南省政府采购电子卖场，遵守《湖南省政府采购电子卖场管理办法》（湘财购〔</w:t>
      </w:r>
      <w:r>
        <w:rPr>
          <w:rFonts w:ascii="宋体" w:hAnsi="宋体"/>
          <w:color w:val="auto"/>
          <w:sz w:val="24"/>
        </w:rPr>
        <w:t>2019</w:t>
      </w:r>
      <w:r>
        <w:rPr>
          <w:rFonts w:hint="eastAsia" w:ascii="宋体" w:hAnsi="宋体"/>
          <w:color w:val="auto"/>
          <w:sz w:val="24"/>
        </w:rPr>
        <w:t>〕</w:t>
      </w:r>
      <w:r>
        <w:rPr>
          <w:rFonts w:ascii="宋体" w:hAnsi="宋体"/>
          <w:color w:val="auto"/>
          <w:sz w:val="24"/>
        </w:rPr>
        <w:t xml:space="preserve">27 </w:t>
      </w:r>
      <w:r>
        <w:rPr>
          <w:rFonts w:hint="eastAsia" w:ascii="宋体" w:hAnsi="宋体"/>
          <w:color w:val="auto"/>
          <w:sz w:val="24"/>
        </w:rPr>
        <w:t>号），如违反承诺，同意金融机构将增信保证划缴国库（非电子卖场采购活动项目不需勾选）。</w:t>
      </w:r>
    </w:p>
    <w:p>
      <w:pPr>
        <w:pStyle w:val="20"/>
        <w:spacing w:before="3"/>
        <w:rPr>
          <w:rFonts w:ascii="宋体" w:hAnsi="宋体"/>
          <w:color w:val="auto"/>
          <w:sz w:val="24"/>
        </w:rPr>
      </w:pPr>
    </w:p>
    <w:p>
      <w:pPr>
        <w:pStyle w:val="20"/>
        <w:ind w:left="4596"/>
        <w:rPr>
          <w:rFonts w:ascii="宋体" w:hAnsi="宋体"/>
          <w:color w:val="auto"/>
          <w:sz w:val="24"/>
        </w:rPr>
      </w:pPr>
    </w:p>
    <w:p>
      <w:pPr>
        <w:pStyle w:val="20"/>
        <w:ind w:left="4596"/>
        <w:rPr>
          <w:rFonts w:ascii="宋体" w:hAnsi="宋体"/>
          <w:color w:val="auto"/>
          <w:sz w:val="24"/>
        </w:rPr>
      </w:pPr>
    </w:p>
    <w:p>
      <w:pPr>
        <w:pStyle w:val="20"/>
        <w:ind w:left="4596"/>
        <w:rPr>
          <w:rFonts w:ascii="宋体" w:hAnsi="宋体"/>
          <w:color w:val="auto"/>
          <w:sz w:val="24"/>
        </w:rPr>
      </w:pPr>
      <w:r>
        <w:rPr>
          <w:rFonts w:hint="eastAsia" w:ascii="宋体" w:hAnsi="宋体"/>
          <w:color w:val="auto"/>
          <w:sz w:val="24"/>
        </w:rPr>
        <w:t>公司（单位）名称（盖章）</w:t>
      </w:r>
    </w:p>
    <w:p>
      <w:pPr>
        <w:pStyle w:val="20"/>
        <w:rPr>
          <w:rFonts w:ascii="宋体" w:hAnsi="宋体"/>
          <w:color w:val="auto"/>
          <w:sz w:val="24"/>
        </w:rPr>
      </w:pPr>
    </w:p>
    <w:p>
      <w:pPr>
        <w:pStyle w:val="20"/>
        <w:spacing w:before="198"/>
        <w:ind w:left="4916"/>
        <w:rPr>
          <w:rFonts w:ascii="宋体" w:hAnsi="宋体"/>
          <w:color w:val="auto"/>
          <w:sz w:val="24"/>
        </w:rPr>
      </w:pPr>
      <w:r>
        <w:rPr>
          <w:rFonts w:ascii="宋体" w:hAnsi="宋体"/>
          <w:color w:val="auto"/>
          <w:sz w:val="24"/>
        </w:rPr>
        <w:tab/>
      </w:r>
      <w:r>
        <w:rPr>
          <w:rFonts w:hint="eastAsia" w:ascii="宋体" w:hAnsi="宋体"/>
          <w:color w:val="auto"/>
          <w:sz w:val="24"/>
        </w:rPr>
        <w:t xml:space="preserve">年 </w:t>
      </w:r>
      <w:r>
        <w:rPr>
          <w:rFonts w:hint="eastAsia" w:ascii="宋体" w:hAnsi="宋体"/>
          <w:color w:val="auto"/>
          <w:sz w:val="24"/>
        </w:rPr>
        <w:tab/>
      </w:r>
      <w:r>
        <w:rPr>
          <w:rFonts w:hint="eastAsia" w:ascii="宋体" w:hAnsi="宋体"/>
          <w:color w:val="auto"/>
          <w:sz w:val="24"/>
        </w:rPr>
        <w:t xml:space="preserve">月 </w:t>
      </w:r>
      <w:r>
        <w:rPr>
          <w:rFonts w:hint="eastAsia" w:ascii="宋体" w:hAnsi="宋体"/>
          <w:color w:val="auto"/>
          <w:sz w:val="24"/>
        </w:rPr>
        <w:tab/>
      </w:r>
      <w:r>
        <w:rPr>
          <w:rFonts w:hint="eastAsia" w:ascii="宋体" w:hAnsi="宋体"/>
          <w:color w:val="auto"/>
          <w:sz w:val="24"/>
        </w:rPr>
        <w:t>日</w:t>
      </w:r>
    </w:p>
    <w:p>
      <w:pPr>
        <w:pStyle w:val="20"/>
        <w:rPr>
          <w:color w:val="auto"/>
          <w:sz w:val="24"/>
        </w:rPr>
      </w:pPr>
    </w:p>
    <w:p>
      <w:pPr>
        <w:pStyle w:val="20"/>
        <w:spacing w:before="273" w:line="326" w:lineRule="auto"/>
        <w:ind w:right="116"/>
        <w:rPr>
          <w:rFonts w:ascii="宋体" w:hAnsi="宋体"/>
          <w:color w:val="auto"/>
          <w:sz w:val="24"/>
        </w:rPr>
      </w:pPr>
    </w:p>
    <w:p>
      <w:pPr>
        <w:pStyle w:val="20"/>
        <w:spacing w:before="273" w:line="326" w:lineRule="auto"/>
        <w:ind w:right="116"/>
        <w:rPr>
          <w:rFonts w:ascii="宋体" w:hAnsi="宋体"/>
          <w:color w:val="auto"/>
          <w:sz w:val="24"/>
        </w:rPr>
      </w:pPr>
      <w:r>
        <w:rPr>
          <w:rFonts w:hint="eastAsia" w:ascii="宋体" w:hAnsi="宋体"/>
          <w:color w:val="auto"/>
          <w:sz w:val="24"/>
        </w:rPr>
        <w:t>机构代码、注册登记机构、日期、有效期、注册资本、地址、经 济行业、经济性质</w:t>
      </w:r>
    </w:p>
    <w:p>
      <w:pPr>
        <w:pStyle w:val="20"/>
        <w:spacing w:line="324" w:lineRule="auto"/>
        <w:ind w:right="1028"/>
        <w:rPr>
          <w:rFonts w:ascii="宋体" w:hAnsi="宋体"/>
          <w:color w:val="auto"/>
          <w:sz w:val="24"/>
        </w:rPr>
      </w:pPr>
      <w:r>
        <w:rPr>
          <w:rFonts w:hint="eastAsia" w:ascii="宋体" w:hAnsi="宋体"/>
          <w:color w:val="auto"/>
          <w:sz w:val="24"/>
        </w:rPr>
        <w:t xml:space="preserve">法定代表人（负责人）姓名（签字）、身份证号、手机号： </w:t>
      </w:r>
    </w:p>
    <w:p>
      <w:pPr>
        <w:pStyle w:val="20"/>
        <w:spacing w:line="324" w:lineRule="auto"/>
        <w:ind w:right="1028"/>
        <w:rPr>
          <w:rFonts w:ascii="宋体" w:hAnsi="宋体"/>
          <w:color w:val="auto"/>
          <w:sz w:val="28"/>
          <w:szCs w:val="28"/>
        </w:rPr>
      </w:pPr>
      <w:r>
        <w:rPr>
          <w:rFonts w:hint="eastAsia" w:ascii="宋体" w:hAnsi="宋体"/>
          <w:color w:val="auto"/>
          <w:sz w:val="24"/>
        </w:rPr>
        <w:t>授权代表人姓名（签字）、身份证号、手机号：</w:t>
      </w:r>
    </w:p>
    <w:p>
      <w:pPr>
        <w:pStyle w:val="2"/>
        <w:rPr>
          <w:rFonts w:asciiTheme="minorEastAsia" w:hAnsiTheme="minorEastAsia" w:eastAsiaTheme="minorEastAsia" w:cstheme="minorEastAsia"/>
          <w:color w:val="auto"/>
          <w:szCs w:val="21"/>
        </w:rPr>
      </w:pPr>
    </w:p>
    <w:p>
      <w:pPr>
        <w:pStyle w:val="4"/>
        <w:rPr>
          <w:rFonts w:asciiTheme="minorEastAsia" w:hAnsiTheme="minorEastAsia" w:eastAsiaTheme="minorEastAsia" w:cstheme="minorEastAsia"/>
          <w:color w:val="auto"/>
          <w:szCs w:val="21"/>
        </w:rPr>
      </w:pPr>
    </w:p>
    <w:p>
      <w:pPr>
        <w:pStyle w:val="4"/>
        <w:rPr>
          <w:rFonts w:asciiTheme="minorEastAsia" w:hAnsiTheme="minorEastAsia" w:eastAsiaTheme="minorEastAsia" w:cstheme="minorEastAsia"/>
          <w:color w:val="auto"/>
          <w:szCs w:val="21"/>
        </w:rPr>
      </w:pPr>
    </w:p>
    <w:p>
      <w:pPr>
        <w:pStyle w:val="2"/>
        <w:rPr>
          <w:rFonts w:asciiTheme="minorEastAsia" w:hAnsiTheme="minorEastAsia" w:eastAsiaTheme="minorEastAsia" w:cstheme="minorEastAsia"/>
          <w:color w:val="auto"/>
          <w:szCs w:val="21"/>
        </w:rPr>
      </w:pPr>
    </w:p>
    <w:p>
      <w:pPr>
        <w:pStyle w:val="2"/>
        <w:rPr>
          <w:rFonts w:asciiTheme="minorEastAsia" w:hAnsiTheme="minorEastAsia" w:eastAsiaTheme="minorEastAsia" w:cstheme="minorEastAsia"/>
          <w:color w:val="auto"/>
          <w:szCs w:val="21"/>
        </w:rPr>
      </w:pPr>
    </w:p>
    <w:p>
      <w:pPr>
        <w:pStyle w:val="2"/>
        <w:rPr>
          <w:rFonts w:asciiTheme="minorEastAsia" w:hAnsiTheme="minorEastAsia" w:eastAsiaTheme="minorEastAsia" w:cstheme="minorEastAsia"/>
          <w:color w:val="auto"/>
          <w:szCs w:val="21"/>
        </w:rPr>
      </w:pPr>
    </w:p>
    <w:p>
      <w:pPr>
        <w:adjustRightInd w:val="0"/>
        <w:snapToGrid w:val="0"/>
        <w:spacing w:line="360" w:lineRule="auto"/>
        <w:ind w:firstLine="3534" w:firstLineChars="1100"/>
        <w:rPr>
          <w:rFonts w:asciiTheme="minorEastAsia" w:hAnsiTheme="minorEastAsia" w:eastAsiaTheme="minorEastAsia" w:cstheme="minorEastAsia"/>
          <w:b/>
          <w:color w:val="auto"/>
          <w:sz w:val="32"/>
          <w:szCs w:val="32"/>
        </w:rPr>
      </w:pPr>
      <w:bookmarkStart w:id="2" w:name="_Toc6636_WPSOffice_Level1"/>
      <w:bookmarkStart w:id="3" w:name="_Toc15656"/>
      <w:r>
        <w:rPr>
          <w:rFonts w:hint="eastAsia" w:asciiTheme="minorEastAsia" w:hAnsiTheme="minorEastAsia" w:eastAsiaTheme="minorEastAsia" w:cstheme="minorEastAsia"/>
          <w:b/>
          <w:color w:val="auto"/>
          <w:sz w:val="32"/>
          <w:szCs w:val="32"/>
        </w:rPr>
        <w:t>第二章 磋商须知</w:t>
      </w:r>
      <w:bookmarkEnd w:id="2"/>
      <w:bookmarkEnd w:id="3"/>
    </w:p>
    <w:p>
      <w:pPr>
        <w:pStyle w:val="25"/>
        <w:jc w:val="left"/>
        <w:outlineLvl w:val="1"/>
        <w:rPr>
          <w:rFonts w:asciiTheme="minorEastAsia" w:hAnsiTheme="minorEastAsia" w:eastAsiaTheme="minorEastAsia" w:cstheme="minorEastAsia"/>
          <w:b/>
          <w:color w:val="auto"/>
          <w:sz w:val="24"/>
          <w:szCs w:val="24"/>
        </w:rPr>
      </w:pPr>
      <w:bookmarkStart w:id="4" w:name="_Toc31520"/>
      <w:r>
        <w:rPr>
          <w:rFonts w:hint="eastAsia" w:asciiTheme="minorEastAsia" w:hAnsiTheme="minorEastAsia" w:eastAsiaTheme="minorEastAsia" w:cstheme="minorEastAsia"/>
          <w:b/>
          <w:color w:val="auto"/>
          <w:sz w:val="24"/>
          <w:szCs w:val="24"/>
        </w:rPr>
        <w:t>磋商须知前附表</w:t>
      </w:r>
      <w:bookmarkEnd w:id="4"/>
    </w:p>
    <w:p>
      <w:pPr>
        <w:pStyle w:val="2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 请在方框□内划√选择，在“条款号”内限选一项。（本项目采用的条款用“■”标示）</w:t>
      </w:r>
    </w:p>
    <w:tbl>
      <w:tblPr>
        <w:tblStyle w:val="45"/>
        <w:tblW w:w="10460"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17"/>
        <w:gridCol w:w="1808"/>
        <w:gridCol w:w="703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13" w:hRule="atLeast"/>
          <w:tblHeader/>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条款号</w:t>
            </w:r>
          </w:p>
        </w:tc>
        <w:tc>
          <w:tcPr>
            <w:tcW w:w="1808" w:type="dxa"/>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条款名称</w:t>
            </w:r>
          </w:p>
        </w:tc>
        <w:tc>
          <w:tcPr>
            <w:tcW w:w="7035" w:type="dxa"/>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8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424"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采购项目</w:t>
            </w:r>
          </w:p>
        </w:tc>
        <w:tc>
          <w:tcPr>
            <w:tcW w:w="7035" w:type="dxa"/>
            <w:vAlign w:val="center"/>
          </w:tcPr>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临湘市</w:t>
            </w:r>
            <w:r>
              <w:rPr>
                <w:rFonts w:hint="eastAsia" w:asciiTheme="minorEastAsia" w:hAnsiTheme="minorEastAsia" w:eastAsiaTheme="minorEastAsia" w:cstheme="minorEastAsia"/>
                <w:color w:val="auto"/>
                <w:szCs w:val="21"/>
                <w:lang w:eastAsia="zh-CN"/>
              </w:rPr>
              <w:t>第九完全小学食堂大宗食材定点采购</w:t>
            </w:r>
            <w:r>
              <w:rPr>
                <w:rFonts w:hint="eastAsia" w:asciiTheme="minorEastAsia" w:hAnsiTheme="minorEastAsia" w:eastAsiaTheme="minorEastAsia" w:cstheme="minorEastAsia"/>
                <w:color w:val="auto"/>
                <w:szCs w:val="21"/>
              </w:rPr>
              <w:t>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817"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w:t>
            </w:r>
          </w:p>
        </w:tc>
        <w:tc>
          <w:tcPr>
            <w:tcW w:w="7035" w:type="dxa"/>
            <w:vAlign w:val="center"/>
          </w:tcPr>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采购人：临湘市</w:t>
            </w:r>
            <w:r>
              <w:rPr>
                <w:rFonts w:hint="eastAsia" w:asciiTheme="minorEastAsia" w:hAnsiTheme="minorEastAsia" w:eastAsiaTheme="minorEastAsia" w:cstheme="minorEastAsia"/>
                <w:color w:val="auto"/>
                <w:szCs w:val="21"/>
                <w:lang w:eastAsia="zh-CN"/>
              </w:rPr>
              <w:t>第九完全小学</w:t>
            </w:r>
            <w:r>
              <w:rPr>
                <w:rFonts w:hint="eastAsia" w:asciiTheme="minorEastAsia" w:hAnsiTheme="minorEastAsia" w:eastAsiaTheme="minorEastAsia" w:cstheme="minorEastAsia"/>
                <w:color w:val="auto"/>
                <w:szCs w:val="21"/>
              </w:rPr>
              <w:t xml:space="preserve">   </w:t>
            </w:r>
          </w:p>
          <w:p>
            <w:pPr>
              <w:adjustRightInd w:val="0"/>
              <w:snapToGrid w:val="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联系人：</w:t>
            </w:r>
            <w:r>
              <w:rPr>
                <w:rFonts w:hint="eastAsia" w:asciiTheme="minorEastAsia" w:hAnsiTheme="minorEastAsia" w:eastAsiaTheme="minorEastAsia" w:cstheme="minorEastAsia"/>
                <w:color w:val="auto"/>
                <w:szCs w:val="21"/>
                <w:lang w:val="en-US" w:eastAsia="zh-CN"/>
              </w:rPr>
              <w:t>闾先生</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联系电话：</w:t>
            </w:r>
            <w:r>
              <w:rPr>
                <w:rFonts w:hint="eastAsia" w:asciiTheme="minorEastAsia" w:hAnsiTheme="minorEastAsia" w:eastAsiaTheme="minorEastAsia" w:cstheme="minorEastAsia"/>
                <w:color w:val="auto"/>
                <w:szCs w:val="21"/>
                <w:lang w:val="en-US" w:eastAsia="zh-CN"/>
              </w:rPr>
              <w:t>13974034488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14"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w:t>
            </w:r>
          </w:p>
        </w:tc>
        <w:tc>
          <w:tcPr>
            <w:tcW w:w="7035" w:type="dxa"/>
            <w:vAlign w:val="center"/>
          </w:tcPr>
          <w:p>
            <w:pPr>
              <w:adjustRightInd w:val="0"/>
              <w:snapToGrid w:val="0"/>
              <w:jc w:val="left"/>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招标代理机构：</w:t>
            </w:r>
            <w:r>
              <w:rPr>
                <w:rFonts w:hint="eastAsia" w:asciiTheme="minorEastAsia" w:hAnsiTheme="minorEastAsia" w:eastAsiaTheme="minorEastAsia" w:cstheme="minorEastAsia"/>
                <w:color w:val="auto"/>
                <w:szCs w:val="21"/>
                <w:lang w:eastAsia="zh-CN"/>
              </w:rPr>
              <w:t>中采联合招标有限公司</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地址：岳阳市</w:t>
            </w:r>
            <w:r>
              <w:rPr>
                <w:rFonts w:hint="eastAsia" w:ascii="宋体" w:hAnsi="宋体" w:cs="宋体"/>
                <w:color w:val="auto"/>
                <w:szCs w:val="21"/>
              </w:rPr>
              <w:t>临湘市连心路110号</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联系人：李女士</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联系电话：</w:t>
            </w:r>
            <w:r>
              <w:rPr>
                <w:rFonts w:hint="eastAsia" w:ascii="宋体" w:hAnsi="宋体" w:cs="宋体"/>
                <w:color w:val="auto"/>
                <w:szCs w:val="21"/>
              </w:rPr>
              <w:t>0730-3795833、18073041333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847"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第二章第2.3款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供应商的邀请方式</w:t>
            </w:r>
          </w:p>
        </w:tc>
        <w:tc>
          <w:tcPr>
            <w:tcW w:w="7035" w:type="dxa"/>
            <w:vAlign w:val="center"/>
          </w:tcPr>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 xml:space="preserve"> 发布公告</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从省级以上财政部门建立的供应商库中随机抽取</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2" w:char="0052"/>
            </w:r>
            <w:r>
              <w:rPr>
                <w:rFonts w:hint="eastAsia" w:asciiTheme="minorEastAsia" w:hAnsiTheme="minorEastAsia" w:eastAsiaTheme="minorEastAsia" w:cstheme="minorEastAsia"/>
                <w:color w:val="auto"/>
                <w:szCs w:val="21"/>
              </w:rPr>
              <w:t xml:space="preserve"> 采购人和评审专家分别书面推荐的方式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第二章第3.1款</w:t>
            </w:r>
          </w:p>
          <w:p>
            <w:pPr>
              <w:adjustRightInd w:val="0"/>
              <w:snapToGrid w:val="0"/>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供应商资格条件（★）</w:t>
            </w:r>
          </w:p>
          <w:p>
            <w:pPr>
              <w:adjustRightInd w:val="0"/>
              <w:snapToGrid w:val="0"/>
              <w:jc w:val="center"/>
              <w:rPr>
                <w:rFonts w:asciiTheme="minorEastAsia" w:hAnsiTheme="minorEastAsia" w:eastAsiaTheme="minorEastAsia" w:cstheme="minorEastAsia"/>
                <w:color w:val="auto"/>
                <w:szCs w:val="21"/>
              </w:rPr>
            </w:pPr>
          </w:p>
        </w:tc>
        <w:tc>
          <w:tcPr>
            <w:tcW w:w="7035" w:type="dxa"/>
            <w:vAlign w:val="center"/>
          </w:tcPr>
          <w:p>
            <w:pPr>
              <w:adjustRightInd w:val="0"/>
              <w:snapToGrid w:val="0"/>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val="en-US" w:eastAsia="zh-CN"/>
              </w:rPr>
              <w:t>1、</w:t>
            </w:r>
            <w:r>
              <w:rPr>
                <w:rFonts w:hint="eastAsia" w:asciiTheme="minorEastAsia" w:hAnsiTheme="minorEastAsia" w:eastAsiaTheme="minorEastAsia" w:cstheme="minorEastAsia"/>
                <w:b/>
                <w:bCs/>
                <w:color w:val="auto"/>
                <w:szCs w:val="21"/>
              </w:rPr>
              <w:t>供应商的基本资格条件：</w:t>
            </w:r>
          </w:p>
          <w:p>
            <w:pPr>
              <w:adjustRightInd w:val="0"/>
              <w:snapToGrid w:val="0"/>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供应商必须是在中华人民共和国境内注册登记的法人、其他组织或者自然人，且应当符合《政府采购法》第二十二条第一款的规定；</w:t>
            </w:r>
          </w:p>
          <w:p>
            <w:pPr>
              <w:adjustRightInd w:val="0"/>
              <w:snapToGrid w:val="0"/>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2、采购项目的特定资格条件：</w:t>
            </w:r>
          </w:p>
          <w:p>
            <w:p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包1</w:t>
            </w:r>
            <w:r>
              <w:rPr>
                <w:rFonts w:hint="eastAsia" w:asciiTheme="minorEastAsia" w:hAnsiTheme="minorEastAsia" w:eastAsiaTheme="minorEastAsia" w:cstheme="minorEastAsia"/>
                <w:color w:val="auto"/>
                <w:szCs w:val="21"/>
                <w:lang w:eastAsia="zh-CN"/>
              </w:rPr>
              <w:t>、包</w:t>
            </w:r>
            <w:r>
              <w:rPr>
                <w:rFonts w:hint="eastAsia" w:asciiTheme="minorEastAsia" w:hAnsiTheme="minorEastAsia" w:eastAsiaTheme="minorEastAsia" w:cstheme="minorEastAsia"/>
                <w:color w:val="auto"/>
                <w:szCs w:val="21"/>
                <w:lang w:val="en-US" w:eastAsia="zh-CN"/>
              </w:rPr>
              <w:t>2、包3、包4、包5、包6、包7、包8、包9、包10</w:t>
            </w:r>
            <w:r>
              <w:rPr>
                <w:rFonts w:hint="eastAsia" w:asciiTheme="minorEastAsia" w:hAnsiTheme="minorEastAsia" w:eastAsiaTheme="minorEastAsia" w:cstheme="minorEastAsia"/>
                <w:color w:val="auto"/>
                <w:szCs w:val="21"/>
              </w:rPr>
              <w:t>：</w:t>
            </w:r>
          </w:p>
          <w:p>
            <w:pPr>
              <w:adjustRightInd w:val="0"/>
              <w:snapToGrid w:val="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须</w:t>
            </w:r>
            <w:r>
              <w:rPr>
                <w:rFonts w:hint="eastAsia" w:asciiTheme="minorEastAsia" w:hAnsiTheme="minorEastAsia" w:eastAsiaTheme="minorEastAsia" w:cstheme="minorEastAsia"/>
                <w:color w:val="auto"/>
                <w:szCs w:val="21"/>
                <w:lang w:val="en-US" w:eastAsia="zh-CN"/>
              </w:rPr>
              <w:t>提供营业执照</w:t>
            </w:r>
            <w:r>
              <w:rPr>
                <w:rFonts w:hint="eastAsia" w:asciiTheme="minorEastAsia" w:hAnsiTheme="minorEastAsia" w:eastAsiaTheme="minorEastAsia" w:cstheme="minorEastAsia"/>
                <w:color w:val="auto"/>
                <w:szCs w:val="21"/>
              </w:rPr>
              <w:t>（经营范围须包含</w:t>
            </w:r>
            <w:r>
              <w:rPr>
                <w:rFonts w:hint="eastAsia" w:asciiTheme="minorEastAsia" w:hAnsiTheme="minorEastAsia" w:eastAsiaTheme="minorEastAsia" w:cstheme="minorEastAsia"/>
                <w:color w:val="auto"/>
                <w:szCs w:val="21"/>
                <w:lang w:val="en-US" w:eastAsia="zh-CN"/>
              </w:rPr>
              <w:t>所供应的</w:t>
            </w:r>
            <w:r>
              <w:rPr>
                <w:rFonts w:hint="eastAsia" w:asciiTheme="minorEastAsia" w:hAnsiTheme="minorEastAsia" w:eastAsiaTheme="minorEastAsia" w:cstheme="minorEastAsia"/>
                <w:color w:val="auto"/>
                <w:szCs w:val="21"/>
              </w:rPr>
              <w:t>食材</w:t>
            </w:r>
            <w:r>
              <w:rPr>
                <w:rFonts w:hint="eastAsia" w:asciiTheme="minorEastAsia" w:hAnsiTheme="minorEastAsia" w:eastAsiaTheme="minorEastAsia" w:cstheme="minorEastAsia"/>
                <w:color w:val="auto"/>
                <w:szCs w:val="21"/>
                <w:lang w:val="en-US" w:eastAsia="zh-CN"/>
              </w:rPr>
              <w:t>品种</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食品生产许可证或食品经营许可证，且证书处于有效期内</w:t>
            </w:r>
            <w:r>
              <w:rPr>
                <w:rFonts w:hint="eastAsia" w:asciiTheme="minorEastAsia" w:hAnsiTheme="minorEastAsia" w:eastAsiaTheme="minorEastAsia" w:cstheme="minorEastAsia"/>
                <w:color w:val="auto"/>
                <w:szCs w:val="21"/>
                <w:lang w:eastAsia="zh-CN"/>
              </w:rPr>
              <w:t>；生猪定点屠宰资格证；</w:t>
            </w:r>
          </w:p>
          <w:p>
            <w:p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授权代表应携带法人授权委托书及本人身份证（法定代表人参加可只提供</w:t>
            </w:r>
            <w:r>
              <w:rPr>
                <w:rFonts w:hint="eastAsia" w:asciiTheme="minorEastAsia" w:hAnsiTheme="minorEastAsia" w:eastAsiaTheme="minorEastAsia" w:cstheme="minorEastAsia"/>
                <w:color w:val="auto"/>
                <w:szCs w:val="21"/>
                <w:lang w:val="en-US" w:eastAsia="zh-CN"/>
              </w:rPr>
              <w:t>法人</w:t>
            </w:r>
            <w:r>
              <w:rPr>
                <w:rFonts w:hint="eastAsia" w:asciiTheme="minorEastAsia" w:hAnsiTheme="minorEastAsia" w:eastAsiaTheme="minorEastAsia" w:cstheme="minorEastAsia"/>
                <w:color w:val="auto"/>
                <w:szCs w:val="21"/>
              </w:rPr>
              <w:t>身份证</w:t>
            </w:r>
            <w:r>
              <w:rPr>
                <w:rFonts w:hint="eastAsia" w:asciiTheme="minorEastAsia" w:hAnsiTheme="minorEastAsia" w:eastAsiaTheme="minorEastAsia" w:cstheme="minorEastAsia"/>
                <w:color w:val="auto"/>
                <w:szCs w:val="21"/>
                <w:lang w:val="en-US" w:eastAsia="zh-CN"/>
              </w:rPr>
              <w:t>明</w:t>
            </w:r>
            <w:r>
              <w:rPr>
                <w:rFonts w:hint="eastAsia" w:asciiTheme="minorEastAsia" w:hAnsiTheme="minorEastAsia" w:eastAsiaTheme="minorEastAsia" w:cstheme="minorEastAsia"/>
                <w:color w:val="auto"/>
                <w:szCs w:val="21"/>
              </w:rPr>
              <w:t>）；</w:t>
            </w:r>
          </w:p>
          <w:p>
            <w:pPr>
              <w:adjustRightInd w:val="0"/>
              <w:snapToGrid w:val="0"/>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3）供应商从业人员健康证；</w:t>
            </w:r>
          </w:p>
          <w:p>
            <w:pPr>
              <w:adjustRightInd w:val="0"/>
              <w:snapToGrid w:val="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r>
              <w:rPr>
                <w:rFonts w:hint="eastAsia" w:asciiTheme="minorEastAsia" w:hAnsiTheme="minorEastAsia" w:eastAsiaTheme="minorEastAsia" w:cstheme="minorEastAsia"/>
                <w:color w:val="auto"/>
                <w:szCs w:val="21"/>
                <w:lang w:eastAsia="zh-CN"/>
              </w:rPr>
              <w:t>；</w:t>
            </w:r>
          </w:p>
          <w:p>
            <w:pPr>
              <w:adjustRightInd w:val="0"/>
              <w:snapToGrid w:val="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未被列入失信被执行人及重大税收违法案件当事人名单</w:t>
            </w:r>
            <w:r>
              <w:rPr>
                <w:rFonts w:hint="eastAsia" w:asciiTheme="minorEastAsia" w:hAnsiTheme="minorEastAsia" w:eastAsiaTheme="minorEastAsia" w:cstheme="minorEastAsia"/>
                <w:color w:val="auto"/>
                <w:szCs w:val="21"/>
                <w:lang w:eastAsia="zh-CN"/>
              </w:rPr>
              <w:t>；</w:t>
            </w:r>
          </w:p>
          <w:p>
            <w:pPr>
              <w:adjustRightInd w:val="0"/>
              <w:snapToGrid w:val="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6）有固定的经营场所。</w:t>
            </w:r>
          </w:p>
          <w:p>
            <w:pPr>
              <w:adjustRightInd w:val="0"/>
              <w:snapToGrid w:val="0"/>
              <w:rPr>
                <w:rFonts w:hint="eastAsia" w:asciiTheme="minorEastAsia" w:hAnsiTheme="minorEastAsia" w:eastAsiaTheme="minorEastAsia" w:cs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第二章第6.1款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联合体形式</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不接受</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第二章第7.1款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现场勘察</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采购人不组织</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采购人组织，时间：地点：联系人：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第二章第8.1款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采购进口产品</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☑本项目拒绝采购进口产品</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□本项目已经财政部门审核同意购买进口产品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二、磋商文件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第二章第10.2款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磋商文件的可能实质性变动内容</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采购需求、技术、服务、合同条款</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磋商文件的实质性变动内容为磋商文件的组成部分，实质性变动内容</w:t>
            </w:r>
            <w:r>
              <w:rPr>
                <w:rFonts w:hint="eastAsia" w:asciiTheme="minorEastAsia" w:hAnsiTheme="minorEastAsia" w:eastAsiaTheme="minorEastAsia" w:cstheme="minorEastAsia"/>
                <w:color w:val="auto"/>
                <w:szCs w:val="21"/>
                <w:lang w:val="zh-CN"/>
              </w:rPr>
              <w:t>与</w:t>
            </w:r>
            <w:r>
              <w:rPr>
                <w:rFonts w:hint="eastAsia" w:asciiTheme="minorEastAsia" w:hAnsiTheme="minorEastAsia" w:eastAsiaTheme="minorEastAsia" w:cstheme="minorEastAsia"/>
                <w:color w:val="auto"/>
                <w:szCs w:val="21"/>
              </w:rPr>
              <w:t>磋商文件</w:t>
            </w:r>
            <w:r>
              <w:rPr>
                <w:rFonts w:hint="eastAsia" w:asciiTheme="minorEastAsia" w:hAnsiTheme="minorEastAsia" w:eastAsiaTheme="minorEastAsia" w:cstheme="minorEastAsia"/>
                <w:color w:val="auto"/>
                <w:szCs w:val="21"/>
                <w:lang w:val="zh-CN"/>
              </w:rPr>
              <w:t>不一致时，以</w:t>
            </w:r>
            <w:r>
              <w:rPr>
                <w:rFonts w:hint="eastAsia" w:asciiTheme="minorEastAsia" w:hAnsiTheme="minorEastAsia" w:eastAsiaTheme="minorEastAsia" w:cstheme="minorEastAsia"/>
                <w:color w:val="auto"/>
                <w:szCs w:val="21"/>
              </w:rPr>
              <w:t>实质性变动内容</w:t>
            </w:r>
            <w:r>
              <w:rPr>
                <w:rFonts w:hint="eastAsia" w:asciiTheme="minorEastAsia" w:hAnsiTheme="minorEastAsia" w:eastAsiaTheme="minorEastAsia" w:cstheme="minorEastAsia"/>
                <w:color w:val="auto"/>
                <w:szCs w:val="21"/>
                <w:lang w:val="zh-CN"/>
              </w:rPr>
              <w:t>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提供磋商文件期限</w:t>
            </w:r>
          </w:p>
        </w:tc>
        <w:tc>
          <w:tcPr>
            <w:tcW w:w="7035" w:type="dxa"/>
            <w:vAlign w:val="center"/>
          </w:tcPr>
          <w:p>
            <w:pPr>
              <w:adjustRightInd w:val="0"/>
              <w:snapToGrid w:val="0"/>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从202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26</w:t>
            </w:r>
            <w:r>
              <w:rPr>
                <w:rFonts w:hint="eastAsia" w:asciiTheme="minorEastAsia" w:hAnsiTheme="minorEastAsia" w:eastAsiaTheme="minorEastAsia" w:cstheme="minorEastAsia"/>
                <w:color w:val="auto"/>
                <w:szCs w:val="21"/>
              </w:rPr>
              <w:t>日起至202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日止，每天上午9：00至12：00、下午1</w:t>
            </w: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00</w:t>
            </w:r>
            <w:r>
              <w:rPr>
                <w:rFonts w:hint="eastAsia" w:asciiTheme="minorEastAsia" w:hAnsiTheme="minorEastAsia" w:eastAsiaTheme="minorEastAsia" w:cstheme="minorEastAsia"/>
                <w:color w:val="auto"/>
                <w:szCs w:val="21"/>
              </w:rPr>
              <w:t>至17：30(北京时间)，双休日及节假日除外。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第二章第11.2款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领取或购买磋商文件时应提供的资料</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本次招标只支持现场报名，领取磋商文件。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第二章第12.1款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提交首次响应文件的截止时间</w:t>
            </w:r>
          </w:p>
        </w:tc>
        <w:tc>
          <w:tcPr>
            <w:tcW w:w="7035" w:type="dxa"/>
            <w:vAlign w:val="center"/>
          </w:tcPr>
          <w:p>
            <w:pPr>
              <w:adjustRightInd w:val="0"/>
              <w:snapToGrid w:val="0"/>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202</w:t>
            </w:r>
            <w:r>
              <w:rPr>
                <w:rFonts w:hint="eastAsia" w:asciiTheme="minorEastAsia" w:hAnsiTheme="minorEastAsia" w:eastAsiaTheme="minorEastAsia" w:cstheme="minorEastAsia"/>
                <w:b/>
                <w:bCs/>
                <w:color w:val="auto"/>
                <w:szCs w:val="21"/>
                <w:lang w:val="en-US" w:eastAsia="zh-CN"/>
              </w:rPr>
              <w:t>4</w:t>
            </w:r>
            <w:r>
              <w:rPr>
                <w:rFonts w:hint="eastAsia" w:asciiTheme="minorEastAsia" w:hAnsiTheme="minorEastAsia" w:eastAsiaTheme="minorEastAsia" w:cstheme="minorEastAsia"/>
                <w:b/>
                <w:bCs/>
                <w:color w:val="auto"/>
                <w:szCs w:val="21"/>
              </w:rPr>
              <w:t>年</w:t>
            </w:r>
            <w:r>
              <w:rPr>
                <w:rFonts w:hint="eastAsia" w:asciiTheme="minorEastAsia" w:hAnsiTheme="minorEastAsia" w:eastAsiaTheme="minorEastAsia" w:cstheme="minorEastAsia"/>
                <w:b/>
                <w:bCs/>
                <w:color w:val="auto"/>
                <w:szCs w:val="21"/>
                <w:lang w:val="en-US" w:eastAsia="zh-CN"/>
              </w:rPr>
              <w:t>9月3日</w:t>
            </w:r>
            <w:r>
              <w:rPr>
                <w:rFonts w:hint="eastAsia" w:asciiTheme="minorEastAsia" w:hAnsiTheme="minorEastAsia" w:eastAsiaTheme="minorEastAsia" w:cstheme="minorEastAsia"/>
                <w:b/>
                <w:bCs/>
                <w:color w:val="auto"/>
                <w:szCs w:val="21"/>
              </w:rPr>
              <w:t>上午</w:t>
            </w:r>
            <w:r>
              <w:rPr>
                <w:rFonts w:hint="eastAsia" w:asciiTheme="minorEastAsia" w:hAnsiTheme="minorEastAsia" w:eastAsiaTheme="minorEastAsia" w:cstheme="minorEastAsia"/>
                <w:b/>
                <w:bCs/>
                <w:color w:val="auto"/>
                <w:szCs w:val="21"/>
                <w:lang w:val="en-US" w:eastAsia="zh-CN"/>
              </w:rPr>
              <w:t>9</w:t>
            </w:r>
            <w:r>
              <w:rPr>
                <w:rFonts w:hint="eastAsia" w:asciiTheme="minorEastAsia" w:hAnsiTheme="minorEastAsia" w:eastAsiaTheme="minorEastAsia" w:cstheme="minorEastAsia"/>
                <w:b/>
                <w:bCs/>
                <w:color w:val="auto"/>
                <w:szCs w:val="21"/>
              </w:rPr>
              <w:t>时</w:t>
            </w:r>
            <w:r>
              <w:rPr>
                <w:rFonts w:hint="eastAsia" w:asciiTheme="minorEastAsia" w:hAnsiTheme="minorEastAsia" w:eastAsiaTheme="minorEastAsia" w:cstheme="minorEastAsia"/>
                <w:b/>
                <w:bCs/>
                <w:color w:val="auto"/>
                <w:szCs w:val="21"/>
                <w:lang w:val="en-US" w:eastAsia="zh-CN"/>
              </w:rPr>
              <w:t>30分</w:t>
            </w:r>
            <w:r>
              <w:rPr>
                <w:rFonts w:hint="eastAsia" w:asciiTheme="minorEastAsia" w:hAnsiTheme="minorEastAsia" w:eastAsiaTheme="minorEastAsia" w:cstheme="minorEastAsia"/>
                <w:b/>
                <w:bCs/>
                <w:color w:val="auto"/>
                <w:szCs w:val="21"/>
              </w:rPr>
              <w:t>北京时间)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三、响应文件的编写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第二章第16.4款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采购项目预算</w:t>
            </w:r>
          </w:p>
        </w:tc>
        <w:tc>
          <w:tcPr>
            <w:tcW w:w="7035" w:type="dxa"/>
            <w:vAlign w:val="center"/>
          </w:tcPr>
          <w:p>
            <w:pPr>
              <w:adjustRightInd w:val="0"/>
              <w:snapToGrid w:val="0"/>
              <w:spacing w:line="360" w:lineRule="auto"/>
              <w:rPr>
                <w:rFonts w:asciiTheme="minorEastAsia" w:hAnsiTheme="minorEastAsia" w:eastAsiaTheme="minorEastAsia" w:cstheme="minorEastAsia"/>
                <w:color w:val="auto"/>
                <w:szCs w:val="21"/>
              </w:rPr>
            </w:pPr>
            <w:r>
              <w:rPr>
                <w:rFonts w:hint="eastAsia" w:ascii="Times New Roman" w:hAnsi="Times New Roman" w:eastAsia="宋体" w:cs="Times New Roman"/>
                <w:color w:val="auto"/>
                <w:szCs w:val="21"/>
                <w:lang w:val="en-US" w:eastAsia="zh-CN"/>
              </w:rPr>
              <w:t>参照文件及合同</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spacing w:line="360" w:lineRule="auto"/>
              <w:jc w:val="center"/>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服务期限</w:t>
            </w:r>
          </w:p>
        </w:tc>
        <w:tc>
          <w:tcPr>
            <w:tcW w:w="7035" w:type="dxa"/>
            <w:vAlign w:val="center"/>
          </w:tcPr>
          <w:p>
            <w:pPr>
              <w:adjustRightInd w:val="0"/>
              <w:snapToGrid w:val="0"/>
              <w:spacing w:line="360" w:lineRule="auto"/>
              <w:rPr>
                <w:rFonts w:hint="default" w:ascii="宋体" w:hAnsi="宋体" w:eastAsia="宋体" w:cs="宋体"/>
                <w:b/>
                <w:bCs/>
                <w:color w:val="auto"/>
                <w:szCs w:val="21"/>
                <w:lang w:val="en-US" w:eastAsia="zh-CN"/>
              </w:rPr>
            </w:pPr>
            <w:r>
              <w:rPr>
                <w:rFonts w:hint="eastAsia" w:ascii="宋体" w:hAnsi="宋体" w:cs="宋体"/>
                <w:color w:val="auto"/>
                <w:szCs w:val="21"/>
                <w:lang w:val="en-US" w:eastAsia="zh-CN"/>
              </w:rPr>
              <w:t>一学年度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第二章第20.1款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响应文件有效期</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90日（日历日）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响应文件份数</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3份（正本一份，副本二份）</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color w:val="auto"/>
                <w:szCs w:val="21"/>
              </w:rPr>
              <w:t>四、响应文件的递交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59" w:hRule="atLeast"/>
          <w:jc w:val="center"/>
        </w:trPr>
        <w:tc>
          <w:tcPr>
            <w:tcW w:w="1617"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第二章第22.2款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封套上应载明的信息</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u w:val="single"/>
              </w:rPr>
              <w:t xml:space="preserve">                      （项目名称）</w:t>
            </w:r>
            <w:r>
              <w:rPr>
                <w:rFonts w:hint="eastAsia" w:asciiTheme="minorEastAsia" w:hAnsiTheme="minorEastAsia" w:eastAsiaTheme="minorEastAsia" w:cstheme="minorEastAsia"/>
                <w:color w:val="auto"/>
                <w:szCs w:val="21"/>
              </w:rPr>
              <w:t>响应文件</w:t>
            </w:r>
          </w:p>
          <w:p>
            <w:pPr>
              <w:adjustRightInd w:val="0"/>
              <w:snapToGrid w:val="0"/>
              <w:rPr>
                <w:rFonts w:hint="default" w:asciiTheme="minorEastAsia" w:hAnsiTheme="minorEastAsia" w:eastAsiaTheme="minorEastAsia" w:cstheme="minorEastAsia"/>
                <w:color w:val="auto"/>
                <w:szCs w:val="21"/>
                <w:u w:val="single"/>
                <w:lang w:val="en-US" w:eastAsia="zh-CN"/>
              </w:rPr>
            </w:pPr>
            <w:r>
              <w:rPr>
                <w:rFonts w:hint="eastAsia" w:asciiTheme="minorEastAsia" w:hAnsiTheme="minorEastAsia" w:eastAsiaTheme="minorEastAsia" w:cstheme="minorEastAsia"/>
                <w:color w:val="auto"/>
                <w:szCs w:val="21"/>
              </w:rPr>
              <w:t>委托代理编号：</w:t>
            </w:r>
            <w:r>
              <w:rPr>
                <w:rFonts w:hint="eastAsia" w:asciiTheme="minorEastAsia" w:hAnsiTheme="minorEastAsia" w:eastAsiaTheme="minorEastAsia" w:cstheme="minorEastAsia"/>
                <w:color w:val="auto"/>
                <w:szCs w:val="21"/>
                <w:u w:val="single"/>
                <w:lang w:val="en-US" w:eastAsia="zh-CN"/>
              </w:rPr>
              <w:t xml:space="preserve">                   </w:t>
            </w:r>
          </w:p>
          <w:p>
            <w:pPr>
              <w:adjustRightInd w:val="0"/>
              <w:snapToGrid w:val="0"/>
              <w:rPr>
                <w:rFonts w:hint="default" w:asciiTheme="minorEastAsia" w:hAnsiTheme="minorEastAsia" w:eastAsiaTheme="minorEastAsia" w:cstheme="minorEastAsia"/>
                <w:color w:val="auto"/>
                <w:szCs w:val="21"/>
                <w:u w:val="single"/>
                <w:lang w:val="en-US" w:eastAsia="zh-CN"/>
              </w:rPr>
            </w:pPr>
            <w:r>
              <w:rPr>
                <w:rFonts w:hint="eastAsia" w:asciiTheme="minorEastAsia" w:hAnsiTheme="minorEastAsia" w:eastAsiaTheme="minorEastAsia" w:cstheme="minorEastAsia"/>
                <w:color w:val="auto"/>
                <w:szCs w:val="21"/>
              </w:rPr>
              <w:t>供应商名称：</w:t>
            </w:r>
            <w:r>
              <w:rPr>
                <w:rFonts w:hint="eastAsia" w:asciiTheme="minorEastAsia" w:hAnsiTheme="minorEastAsia" w:eastAsiaTheme="minorEastAsia" w:cstheme="minorEastAsia"/>
                <w:color w:val="auto"/>
                <w:szCs w:val="21"/>
                <w:u w:val="single"/>
                <w:lang w:val="en-US" w:eastAsia="zh-CN"/>
              </w:rPr>
              <w:t xml:space="preserve">                 </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u w:val="single"/>
              </w:rPr>
              <w:t>在 202</w:t>
            </w:r>
            <w:r>
              <w:rPr>
                <w:rFonts w:hint="eastAsia" w:asciiTheme="minorEastAsia" w:hAnsiTheme="minorEastAsia" w:eastAsiaTheme="minorEastAsia" w:cstheme="minorEastAsia"/>
                <w:color w:val="auto"/>
                <w:szCs w:val="21"/>
                <w:u w:val="single"/>
                <w:lang w:val="en-US" w:eastAsia="zh-CN"/>
              </w:rPr>
              <w:t>4</w:t>
            </w:r>
            <w:r>
              <w:rPr>
                <w:rFonts w:hint="eastAsia" w:asciiTheme="minorEastAsia" w:hAnsiTheme="minorEastAsia" w:eastAsiaTheme="minorEastAsia" w:cstheme="minorEastAsia"/>
                <w:color w:val="auto"/>
                <w:szCs w:val="21"/>
                <w:u w:val="single"/>
              </w:rPr>
              <w:t>年</w:t>
            </w:r>
            <w:r>
              <w:rPr>
                <w:rFonts w:hint="eastAsia" w:asciiTheme="minorEastAsia" w:hAnsiTheme="minorEastAsia" w:eastAsiaTheme="minorEastAsia" w:cstheme="minorEastAsia"/>
                <w:color w:val="auto"/>
                <w:szCs w:val="21"/>
                <w:u w:val="single"/>
                <w:lang w:val="en-US" w:eastAsia="zh-CN"/>
              </w:rPr>
              <w:t>9</w:t>
            </w:r>
            <w:r>
              <w:rPr>
                <w:rFonts w:hint="eastAsia" w:asciiTheme="minorEastAsia" w:hAnsiTheme="minorEastAsia" w:eastAsiaTheme="minorEastAsia" w:cstheme="minorEastAsia"/>
                <w:color w:val="auto"/>
                <w:szCs w:val="21"/>
                <w:u w:val="single"/>
              </w:rPr>
              <w:t>月</w:t>
            </w:r>
            <w:r>
              <w:rPr>
                <w:rFonts w:hint="eastAsia" w:asciiTheme="minorEastAsia" w:hAnsiTheme="minorEastAsia" w:eastAsiaTheme="minorEastAsia" w:cstheme="minorEastAsia"/>
                <w:color w:val="auto"/>
                <w:szCs w:val="21"/>
                <w:u w:val="single"/>
                <w:lang w:val="en-US" w:eastAsia="zh-CN"/>
              </w:rPr>
              <w:t xml:space="preserve">3 </w:t>
            </w:r>
            <w:r>
              <w:rPr>
                <w:rFonts w:hint="eastAsia" w:asciiTheme="minorEastAsia" w:hAnsiTheme="minorEastAsia" w:eastAsiaTheme="minorEastAsia" w:cstheme="minorEastAsia"/>
                <w:color w:val="auto"/>
                <w:szCs w:val="21"/>
                <w:u w:val="single"/>
              </w:rPr>
              <w:t>日</w:t>
            </w:r>
            <w:r>
              <w:rPr>
                <w:rFonts w:hint="eastAsia" w:asciiTheme="minorEastAsia" w:hAnsiTheme="minorEastAsia" w:eastAsiaTheme="minorEastAsia" w:cstheme="minorEastAsia"/>
                <w:color w:val="auto"/>
                <w:szCs w:val="21"/>
                <w:u w:val="single"/>
                <w:lang w:val="en-US" w:eastAsia="zh-CN"/>
              </w:rPr>
              <w:t>9</w:t>
            </w:r>
            <w:r>
              <w:rPr>
                <w:rFonts w:hint="eastAsia" w:asciiTheme="minorEastAsia" w:hAnsiTheme="minorEastAsia" w:eastAsiaTheme="minorEastAsia" w:cstheme="minorEastAsia"/>
                <w:color w:val="auto"/>
                <w:szCs w:val="21"/>
                <w:u w:val="single"/>
              </w:rPr>
              <w:t>时</w:t>
            </w:r>
            <w:r>
              <w:rPr>
                <w:rFonts w:hint="eastAsia" w:asciiTheme="minorEastAsia" w:hAnsiTheme="minorEastAsia" w:eastAsiaTheme="minorEastAsia" w:cstheme="minorEastAsia"/>
                <w:color w:val="auto"/>
                <w:szCs w:val="21"/>
                <w:u w:val="single"/>
                <w:lang w:val="en-US" w:eastAsia="zh-CN"/>
              </w:rPr>
              <w:t>30</w:t>
            </w:r>
            <w:r>
              <w:rPr>
                <w:rFonts w:hint="eastAsia" w:asciiTheme="minorEastAsia" w:hAnsiTheme="minorEastAsia" w:eastAsiaTheme="minorEastAsia" w:cstheme="minorEastAsia"/>
                <w:color w:val="auto"/>
                <w:szCs w:val="21"/>
                <w:u w:val="single"/>
              </w:rPr>
              <w:t>分之前</w:t>
            </w:r>
            <w:r>
              <w:rPr>
                <w:rFonts w:hint="eastAsia" w:asciiTheme="minorEastAsia" w:hAnsiTheme="minorEastAsia" w:eastAsiaTheme="minorEastAsia" w:cstheme="minorEastAsia"/>
                <w:color w:val="auto"/>
                <w:szCs w:val="21"/>
              </w:rPr>
              <w:t>不得启封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第二章第24.1款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响应文件的递交地点</w:t>
            </w:r>
          </w:p>
        </w:tc>
        <w:tc>
          <w:tcPr>
            <w:tcW w:w="7035" w:type="dxa"/>
            <w:vAlign w:val="center"/>
          </w:tcPr>
          <w:p>
            <w:pPr>
              <w:adjustRightInd w:val="0"/>
              <w:snapToGrid w:val="0"/>
              <w:rPr>
                <w:rFonts w:asciiTheme="minorEastAsia" w:hAnsiTheme="minorEastAsia" w:cstheme="minorEastAsia"/>
                <w:color w:val="auto"/>
                <w:szCs w:val="21"/>
              </w:rPr>
            </w:pPr>
            <w:r>
              <w:rPr>
                <w:rFonts w:hint="eastAsia" w:ascii="宋体" w:hAnsi="宋体"/>
                <w:color w:val="auto"/>
                <w:szCs w:val="21"/>
                <w:lang w:eastAsia="zh-CN"/>
              </w:rPr>
              <w:t>中采联合招标有限公司</w:t>
            </w:r>
            <w:r>
              <w:rPr>
                <w:rFonts w:hint="eastAsia" w:ascii="宋体" w:hAnsi="宋体"/>
                <w:color w:val="auto"/>
                <w:szCs w:val="21"/>
              </w:rPr>
              <w:t>（</w:t>
            </w:r>
            <w:r>
              <w:rPr>
                <w:rFonts w:hint="eastAsia" w:asciiTheme="minorEastAsia" w:hAnsiTheme="minorEastAsia" w:eastAsiaTheme="minorEastAsia" w:cstheme="minorEastAsia"/>
                <w:color w:val="auto"/>
                <w:szCs w:val="21"/>
              </w:rPr>
              <w:t>岳阳市</w:t>
            </w:r>
            <w:r>
              <w:rPr>
                <w:rFonts w:hint="eastAsia" w:ascii="宋体" w:hAnsi="宋体" w:cs="宋体"/>
                <w:color w:val="auto"/>
                <w:szCs w:val="21"/>
              </w:rPr>
              <w:t>临湘市连心路110号3楼301室</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五、响应文件的磋商与评审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第二章第31.2款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评审因素和标准</w:t>
            </w:r>
          </w:p>
        </w:tc>
        <w:tc>
          <w:tcPr>
            <w:tcW w:w="7035" w:type="dxa"/>
            <w:vAlign w:val="center"/>
          </w:tcPr>
          <w:p>
            <w:pPr>
              <w:adjustRightInd w:val="0"/>
              <w:snapToGrid w:val="0"/>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见附页4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41"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eastAsia="zh-CN"/>
              </w:rPr>
              <w:t>六</w:t>
            </w:r>
            <w:r>
              <w:rPr>
                <w:rFonts w:hint="eastAsia" w:asciiTheme="minorEastAsia" w:hAnsiTheme="minorEastAsia" w:eastAsiaTheme="minorEastAsia" w:cstheme="minorEastAsia"/>
                <w:b/>
                <w:color w:val="auto"/>
                <w:szCs w:val="21"/>
              </w:rPr>
              <w:t>、其他规定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28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第二章第41.1款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采购代理服务费及劳务费</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招标代理服务费支付方式：按招标代理协议约定支付。</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898" w:hRule="atLeast"/>
          <w:jc w:val="center"/>
        </w:trPr>
        <w:tc>
          <w:tcPr>
            <w:tcW w:w="1617" w:type="dxa"/>
            <w:vMerge w:val="restart"/>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第二章第42.1款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其他规定</w:t>
            </w:r>
          </w:p>
        </w:tc>
        <w:tc>
          <w:tcPr>
            <w:tcW w:w="7035" w:type="dxa"/>
            <w:vAlign w:val="center"/>
          </w:tcPr>
          <w:p>
            <w:pPr>
              <w:adjustRightInd w:val="0"/>
              <w:snapToGrid w:val="0"/>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1、信用信息查询的查询渠道：“信用中国”网站（www.creditchina.gov.cn）、中国政府采购网（www.ccgp.gov.cn）。</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2、信用信息查询的截止时点：至本项目投标截止时间止。</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3、信用信息查询记录的具体方式：采购人或采购代理机构在开标后在规定的查询渠道进行查询。</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4、信用信息查询记录证据留存的具体方式：查询记录的网上打印件。</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5、信用信息的使用规则：查询后交由评标委员会评定。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538"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无效响应的规定</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磋商小组在对资格性和符合性进行审查时，有下列情况之一的，属无效响应（★）：</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（1）供应商不具备磋商须知前附表第3.1款规定的供应商资格条件要求，或存在磋商须知正文第3.3款情形的；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（2）联合体不符合磋商须知正文第3.2款规定的；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（3）应交未交磋商保证金或金额不足、磋商保证金缴纳形式不符合磋商文件要求的；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（4）响应文件未按照磋商文件要求签署、盖章的；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（4）响应文件不满足磋商须知正文第27.1款规定的实质性要求的；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（5）报价超过采购项目预算的；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（6）响应文件有效期不足的；</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（7）响应文件不符合法律、规章、规范性文件和磋商文件规定及要求的。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43"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无效投标的规定</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有下列情形之一的，视为无效投标（★）：</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（1）有一项资格证明文件未提交的；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（2）提供不符合要求或虚假资格证明文件的；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（3）资格证明文件过了有效期的；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（4）资格证明文件资料未加盖</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公章的。</w:t>
            </w:r>
          </w:p>
          <w:p>
            <w:pP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（5）开标时未按文件要求提交原件证明资料的。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34"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废标的规定</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有下列情形之一时，评标委员会应予废标（★）：</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（1）符合专业条件的</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或者对招标文件作实质性响应的</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不足三家的；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（2）出现影响采购公正的违法、违规行为的；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的报价均超过了采购预算总价的；</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（4）因重大变故，采购任务取消的。</w:t>
            </w:r>
          </w:p>
        </w:tc>
      </w:tr>
    </w:tbl>
    <w:p>
      <w:pPr>
        <w:adjustRightInd w:val="0"/>
        <w:snapToGrid w:val="0"/>
        <w:spacing w:line="360" w:lineRule="auto"/>
        <w:rPr>
          <w:rFonts w:asciiTheme="minorEastAsia" w:hAnsiTheme="minorEastAsia" w:eastAsiaTheme="minorEastAsia" w:cstheme="minorEastAsia"/>
          <w:b/>
          <w:bCs/>
          <w:color w:val="auto"/>
          <w:szCs w:val="21"/>
        </w:rPr>
      </w:pPr>
    </w:p>
    <w:p>
      <w:pP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br w:type="page"/>
      </w:r>
    </w:p>
    <w:p>
      <w:pPr>
        <w:spacing w:line="360" w:lineRule="auto"/>
        <w:jc w:val="center"/>
        <w:rPr>
          <w:rFonts w:ascii="宋体" w:hAnsi="宋体"/>
          <w:b/>
          <w:color w:val="auto"/>
          <w:sz w:val="28"/>
          <w:szCs w:val="28"/>
        </w:rPr>
      </w:pPr>
      <w:r>
        <w:rPr>
          <w:rFonts w:hint="eastAsia" w:ascii="宋体" w:hAnsi="宋体"/>
          <w:b/>
          <w:color w:val="auto"/>
          <w:sz w:val="28"/>
          <w:szCs w:val="28"/>
        </w:rPr>
        <w:t>资格性审查表</w:t>
      </w:r>
    </w:p>
    <w:p>
      <w:pPr>
        <w:adjustRightInd w:val="0"/>
        <w:snapToGrid w:val="0"/>
        <w:spacing w:beforeLines="50" w:line="360" w:lineRule="auto"/>
        <w:ind w:firstLine="420"/>
        <w:rPr>
          <w:rFonts w:ascii="宋体" w:hAnsi="宋体"/>
          <w:color w:val="auto"/>
          <w:szCs w:val="21"/>
        </w:rPr>
      </w:pPr>
      <w:r>
        <w:rPr>
          <w:rFonts w:hint="eastAsia" w:ascii="宋体" w:hAnsi="宋体"/>
          <w:color w:val="auto"/>
          <w:szCs w:val="21"/>
        </w:rPr>
        <w:t>资格性检查。根据法律法规和招标文件的规定，对投标文件中的资格证明、投标保证金等进行审查，以确定</w:t>
      </w:r>
      <w:r>
        <w:rPr>
          <w:rFonts w:hint="eastAsia" w:ascii="宋体" w:hAnsi="宋体"/>
          <w:color w:val="auto"/>
          <w:szCs w:val="21"/>
          <w:lang w:eastAsia="zh-CN"/>
        </w:rPr>
        <w:t>供应商</w:t>
      </w:r>
      <w:r>
        <w:rPr>
          <w:rFonts w:hint="eastAsia" w:ascii="宋体" w:hAnsi="宋体"/>
          <w:color w:val="auto"/>
          <w:szCs w:val="21"/>
        </w:rPr>
        <w:t>是否具备投标资格。</w:t>
      </w:r>
    </w:p>
    <w:tbl>
      <w:tblPr>
        <w:tblStyle w:val="45"/>
        <w:tblW w:w="8991" w:type="dxa"/>
        <w:jc w:val="center"/>
        <w:tblInd w:w="0" w:type="dxa"/>
        <w:tblLayout w:type="fixed"/>
        <w:tblCellMar>
          <w:top w:w="0" w:type="dxa"/>
          <w:left w:w="108" w:type="dxa"/>
          <w:bottom w:w="0" w:type="dxa"/>
          <w:right w:w="108" w:type="dxa"/>
        </w:tblCellMar>
      </w:tblPr>
      <w:tblGrid>
        <w:gridCol w:w="641"/>
        <w:gridCol w:w="4137"/>
        <w:gridCol w:w="2360"/>
        <w:gridCol w:w="651"/>
        <w:gridCol w:w="587"/>
        <w:gridCol w:w="615"/>
      </w:tblGrid>
      <w:tr>
        <w:tblPrEx>
          <w:tblLayout w:type="fixed"/>
          <w:tblCellMar>
            <w:top w:w="0" w:type="dxa"/>
            <w:left w:w="108" w:type="dxa"/>
            <w:bottom w:w="0" w:type="dxa"/>
            <w:right w:w="108" w:type="dxa"/>
          </w:tblCellMar>
        </w:tblPrEx>
        <w:trPr>
          <w:trHeight w:val="249" w:hRule="atLeast"/>
          <w:jc w:val="center"/>
        </w:trPr>
        <w:tc>
          <w:tcPr>
            <w:tcW w:w="641" w:type="dxa"/>
            <w:vMerge w:val="restart"/>
            <w:tcBorders>
              <w:top w:val="double" w:color="auto" w:sz="4" w:space="0"/>
              <w:left w:val="double" w:color="auto" w:sz="4" w:space="0"/>
              <w:right w:val="single" w:color="auto" w:sz="4" w:space="0"/>
            </w:tcBorders>
            <w:noWrap/>
            <w:vAlign w:val="center"/>
          </w:tcPr>
          <w:p>
            <w:pPr>
              <w:jc w:val="center"/>
              <w:rPr>
                <w:b/>
                <w:color w:val="auto"/>
              </w:rPr>
            </w:pPr>
            <w:r>
              <w:rPr>
                <w:rFonts w:hint="eastAsia"/>
                <w:b/>
                <w:color w:val="auto"/>
              </w:rPr>
              <w:t>序号</w:t>
            </w:r>
          </w:p>
        </w:tc>
        <w:tc>
          <w:tcPr>
            <w:tcW w:w="4137" w:type="dxa"/>
            <w:vMerge w:val="restart"/>
            <w:tcBorders>
              <w:top w:val="double" w:color="auto" w:sz="4" w:space="0"/>
              <w:left w:val="nil"/>
              <w:right w:val="single" w:color="auto" w:sz="4" w:space="0"/>
            </w:tcBorders>
            <w:noWrap/>
            <w:vAlign w:val="center"/>
          </w:tcPr>
          <w:p>
            <w:pPr>
              <w:jc w:val="center"/>
              <w:rPr>
                <w:b/>
                <w:color w:val="auto"/>
              </w:rPr>
            </w:pPr>
            <w:r>
              <w:rPr>
                <w:rFonts w:hint="eastAsia"/>
                <w:b/>
                <w:color w:val="auto"/>
              </w:rPr>
              <w:t>资格性审查内容</w:t>
            </w:r>
          </w:p>
        </w:tc>
        <w:tc>
          <w:tcPr>
            <w:tcW w:w="2360" w:type="dxa"/>
            <w:vMerge w:val="restart"/>
            <w:tcBorders>
              <w:top w:val="double" w:color="auto" w:sz="4" w:space="0"/>
              <w:left w:val="nil"/>
              <w:right w:val="single" w:color="auto" w:sz="4" w:space="0"/>
            </w:tcBorders>
            <w:noWrap/>
            <w:vAlign w:val="center"/>
          </w:tcPr>
          <w:p>
            <w:pPr>
              <w:jc w:val="center"/>
              <w:rPr>
                <w:b/>
                <w:color w:val="auto"/>
              </w:rPr>
            </w:pPr>
            <w:r>
              <w:rPr>
                <w:rFonts w:hint="eastAsia"/>
                <w:b/>
                <w:color w:val="auto"/>
              </w:rPr>
              <w:t>合格标准</w:t>
            </w:r>
          </w:p>
        </w:tc>
        <w:tc>
          <w:tcPr>
            <w:tcW w:w="1853" w:type="dxa"/>
            <w:gridSpan w:val="3"/>
            <w:tcBorders>
              <w:top w:val="double" w:color="auto" w:sz="4" w:space="0"/>
              <w:left w:val="nil"/>
              <w:bottom w:val="single" w:color="auto" w:sz="4" w:space="0"/>
              <w:right w:val="double" w:color="auto" w:sz="4" w:space="0"/>
            </w:tcBorders>
            <w:noWrap/>
            <w:vAlign w:val="center"/>
          </w:tcPr>
          <w:p>
            <w:pPr>
              <w:jc w:val="center"/>
              <w:rPr>
                <w:rFonts w:hint="eastAsia" w:eastAsia="宋体"/>
                <w:b/>
                <w:color w:val="auto"/>
                <w:lang w:eastAsia="zh-CN"/>
              </w:rPr>
            </w:pPr>
            <w:r>
              <w:rPr>
                <w:rFonts w:hint="eastAsia"/>
                <w:b/>
                <w:color w:val="auto"/>
                <w:lang w:eastAsia="zh-CN"/>
              </w:rPr>
              <w:t>供应商</w:t>
            </w:r>
          </w:p>
        </w:tc>
      </w:tr>
      <w:tr>
        <w:tblPrEx>
          <w:tblLayout w:type="fixed"/>
          <w:tblCellMar>
            <w:top w:w="0" w:type="dxa"/>
            <w:left w:w="108" w:type="dxa"/>
            <w:bottom w:w="0" w:type="dxa"/>
            <w:right w:w="108" w:type="dxa"/>
          </w:tblCellMar>
        </w:tblPrEx>
        <w:trPr>
          <w:trHeight w:val="189" w:hRule="atLeast"/>
          <w:jc w:val="center"/>
        </w:trPr>
        <w:tc>
          <w:tcPr>
            <w:tcW w:w="641" w:type="dxa"/>
            <w:vMerge w:val="continue"/>
            <w:tcBorders>
              <w:left w:val="double" w:color="auto" w:sz="4" w:space="0"/>
              <w:bottom w:val="single" w:color="auto" w:sz="4" w:space="0"/>
              <w:right w:val="single" w:color="auto" w:sz="4" w:space="0"/>
            </w:tcBorders>
            <w:noWrap/>
            <w:vAlign w:val="center"/>
          </w:tcPr>
          <w:p>
            <w:pPr>
              <w:jc w:val="center"/>
              <w:rPr>
                <w:b/>
                <w:color w:val="auto"/>
              </w:rPr>
            </w:pPr>
          </w:p>
        </w:tc>
        <w:tc>
          <w:tcPr>
            <w:tcW w:w="4137" w:type="dxa"/>
            <w:vMerge w:val="continue"/>
            <w:tcBorders>
              <w:left w:val="nil"/>
              <w:bottom w:val="single" w:color="auto" w:sz="4" w:space="0"/>
              <w:right w:val="single" w:color="auto" w:sz="4" w:space="0"/>
            </w:tcBorders>
            <w:noWrap/>
            <w:vAlign w:val="center"/>
          </w:tcPr>
          <w:p>
            <w:pPr>
              <w:jc w:val="center"/>
              <w:rPr>
                <w:b/>
                <w:color w:val="auto"/>
              </w:rPr>
            </w:pPr>
          </w:p>
        </w:tc>
        <w:tc>
          <w:tcPr>
            <w:tcW w:w="2360" w:type="dxa"/>
            <w:vMerge w:val="continue"/>
            <w:tcBorders>
              <w:left w:val="nil"/>
              <w:bottom w:val="single" w:color="auto" w:sz="4" w:space="0"/>
              <w:right w:val="single" w:color="auto" w:sz="4" w:space="0"/>
            </w:tcBorders>
            <w:noWrap/>
            <w:vAlign w:val="center"/>
          </w:tcPr>
          <w:p>
            <w:pPr>
              <w:jc w:val="center"/>
              <w:rPr>
                <w:b/>
                <w:color w:val="auto"/>
              </w:rPr>
            </w:pPr>
          </w:p>
        </w:tc>
        <w:tc>
          <w:tcPr>
            <w:tcW w:w="651" w:type="dxa"/>
            <w:tcBorders>
              <w:top w:val="single" w:color="auto" w:sz="4" w:space="0"/>
              <w:left w:val="nil"/>
              <w:bottom w:val="single" w:color="auto" w:sz="4" w:space="0"/>
              <w:right w:val="single" w:color="auto" w:sz="4" w:space="0"/>
            </w:tcBorders>
            <w:noWrap/>
            <w:vAlign w:val="center"/>
          </w:tcPr>
          <w:p>
            <w:pPr>
              <w:jc w:val="center"/>
              <w:rPr>
                <w:b/>
                <w:color w:val="auto"/>
              </w:rPr>
            </w:pPr>
          </w:p>
        </w:tc>
        <w:tc>
          <w:tcPr>
            <w:tcW w:w="587" w:type="dxa"/>
            <w:tcBorders>
              <w:top w:val="single" w:color="auto" w:sz="4" w:space="0"/>
              <w:left w:val="nil"/>
              <w:bottom w:val="single" w:color="auto" w:sz="4" w:space="0"/>
              <w:right w:val="single" w:color="auto" w:sz="4" w:space="0"/>
            </w:tcBorders>
            <w:noWrap/>
            <w:vAlign w:val="center"/>
          </w:tcPr>
          <w:p>
            <w:pPr>
              <w:jc w:val="center"/>
              <w:rPr>
                <w:b/>
                <w:color w:val="auto"/>
              </w:rPr>
            </w:pPr>
          </w:p>
        </w:tc>
        <w:tc>
          <w:tcPr>
            <w:tcW w:w="615" w:type="dxa"/>
            <w:tcBorders>
              <w:top w:val="single" w:color="auto" w:sz="4" w:space="0"/>
              <w:left w:val="nil"/>
              <w:bottom w:val="single" w:color="auto" w:sz="4" w:space="0"/>
              <w:right w:val="double" w:color="auto" w:sz="4" w:space="0"/>
            </w:tcBorders>
            <w:noWrap/>
            <w:vAlign w:val="center"/>
          </w:tcPr>
          <w:p>
            <w:pPr>
              <w:jc w:val="center"/>
              <w:rPr>
                <w:b/>
                <w:color w:val="auto"/>
              </w:rPr>
            </w:pPr>
          </w:p>
        </w:tc>
      </w:tr>
      <w:tr>
        <w:tblPrEx>
          <w:tblLayout w:type="fixed"/>
          <w:tblCellMar>
            <w:top w:w="0" w:type="dxa"/>
            <w:left w:w="108" w:type="dxa"/>
            <w:bottom w:w="0" w:type="dxa"/>
            <w:right w:w="108" w:type="dxa"/>
          </w:tblCellMar>
        </w:tblPrEx>
        <w:trPr>
          <w:trHeight w:val="962"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auto"/>
              </w:rPr>
            </w:pPr>
            <w:r>
              <w:rPr>
                <w:rFonts w:hint="eastAsia"/>
                <w:color w:val="auto"/>
              </w:rPr>
              <w:t>1</w:t>
            </w:r>
          </w:p>
        </w:tc>
        <w:tc>
          <w:tcPr>
            <w:tcW w:w="4137"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供应商</w:t>
            </w:r>
            <w:r>
              <w:rPr>
                <w:rFonts w:hint="eastAsia" w:ascii="宋体" w:hAnsi="宋体"/>
                <w:color w:val="auto"/>
                <w:szCs w:val="21"/>
              </w:rPr>
              <w:t>授权代表应携带法人授权委托书及本人身份证（法定代表人参加可只提供</w:t>
            </w:r>
            <w:r>
              <w:rPr>
                <w:rFonts w:hint="eastAsia" w:ascii="宋体" w:hAnsi="宋体"/>
                <w:color w:val="auto"/>
                <w:szCs w:val="21"/>
                <w:lang w:val="en-US" w:eastAsia="zh-CN"/>
              </w:rPr>
              <w:t>法人</w:t>
            </w:r>
            <w:r>
              <w:rPr>
                <w:rFonts w:hint="eastAsia" w:ascii="宋体" w:hAnsi="宋体"/>
                <w:color w:val="auto"/>
                <w:szCs w:val="21"/>
              </w:rPr>
              <w:t>身份证</w:t>
            </w:r>
            <w:r>
              <w:rPr>
                <w:rFonts w:hint="eastAsia" w:ascii="宋体" w:hAnsi="宋体"/>
                <w:color w:val="auto"/>
                <w:szCs w:val="21"/>
                <w:lang w:val="en-US" w:eastAsia="zh-CN"/>
              </w:rPr>
              <w:t>明</w:t>
            </w:r>
            <w:r>
              <w:rPr>
                <w:rFonts w:hint="eastAsia" w:ascii="宋体" w:hAnsi="宋体"/>
                <w:color w:val="auto"/>
                <w:szCs w:val="21"/>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1278"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auto"/>
              </w:rPr>
            </w:pPr>
            <w:r>
              <w:rPr>
                <w:rFonts w:hint="eastAsia"/>
                <w:color w:val="auto"/>
              </w:rPr>
              <w:t>2</w:t>
            </w:r>
          </w:p>
        </w:tc>
        <w:tc>
          <w:tcPr>
            <w:tcW w:w="4137" w:type="dxa"/>
            <w:tcBorders>
              <w:left w:val="nil"/>
              <w:bottom w:val="single" w:color="auto" w:sz="4" w:space="0"/>
              <w:right w:val="single" w:color="auto" w:sz="4" w:space="0"/>
            </w:tcBorders>
            <w:noWrap/>
            <w:vAlign w:val="center"/>
          </w:tcPr>
          <w:p>
            <w:pPr>
              <w:rPr>
                <w:color w:val="auto"/>
              </w:rPr>
            </w:pP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须</w:t>
            </w:r>
            <w:r>
              <w:rPr>
                <w:rFonts w:hint="eastAsia" w:asciiTheme="minorEastAsia" w:hAnsiTheme="minorEastAsia" w:eastAsiaTheme="minorEastAsia" w:cstheme="minorEastAsia"/>
                <w:color w:val="auto"/>
                <w:szCs w:val="21"/>
                <w:lang w:val="en-US" w:eastAsia="zh-CN"/>
              </w:rPr>
              <w:t>提供营业执照</w:t>
            </w:r>
            <w:r>
              <w:rPr>
                <w:rFonts w:hint="eastAsia" w:asciiTheme="minorEastAsia" w:hAnsiTheme="minorEastAsia" w:eastAsiaTheme="minorEastAsia" w:cstheme="minorEastAsia"/>
                <w:color w:val="auto"/>
                <w:szCs w:val="21"/>
              </w:rPr>
              <w:t>（经营范围须包含</w:t>
            </w:r>
            <w:r>
              <w:rPr>
                <w:rFonts w:hint="eastAsia" w:asciiTheme="minorEastAsia" w:hAnsiTheme="minorEastAsia" w:eastAsiaTheme="minorEastAsia" w:cstheme="minorEastAsia"/>
                <w:color w:val="auto"/>
                <w:szCs w:val="21"/>
                <w:lang w:val="en-US" w:eastAsia="zh-CN"/>
              </w:rPr>
              <w:t>所供应的</w:t>
            </w:r>
            <w:r>
              <w:rPr>
                <w:rFonts w:hint="eastAsia" w:asciiTheme="minorEastAsia" w:hAnsiTheme="minorEastAsia" w:eastAsiaTheme="minorEastAsia" w:cstheme="minorEastAsia"/>
                <w:color w:val="auto"/>
                <w:szCs w:val="21"/>
              </w:rPr>
              <w:t>食材</w:t>
            </w:r>
            <w:r>
              <w:rPr>
                <w:rFonts w:hint="eastAsia" w:asciiTheme="minorEastAsia" w:hAnsiTheme="minorEastAsia" w:eastAsiaTheme="minorEastAsia" w:cstheme="minorEastAsia"/>
                <w:color w:val="auto"/>
                <w:szCs w:val="21"/>
                <w:lang w:val="en-US" w:eastAsia="zh-CN"/>
              </w:rPr>
              <w:t>品种</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食品生产许可证或食品经营许可证，且证书处于有效期内；</w:t>
            </w:r>
            <w:r>
              <w:rPr>
                <w:rFonts w:hint="eastAsia" w:asciiTheme="minorEastAsia" w:hAnsiTheme="minorEastAsia" w:eastAsiaTheme="minorEastAsia" w:cstheme="minorEastAsia"/>
                <w:color w:val="auto"/>
                <w:szCs w:val="21"/>
                <w:lang w:eastAsia="zh-CN"/>
              </w:rPr>
              <w:t>生猪定点屠宰资格证；</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716"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val="en-US" w:eastAsia="zh-CN"/>
              </w:rPr>
            </w:pPr>
            <w:r>
              <w:rPr>
                <w:rFonts w:hint="eastAsia"/>
                <w:color w:val="auto"/>
                <w:lang w:val="en-US" w:eastAsia="zh-CN"/>
              </w:rPr>
              <w:t>3</w:t>
            </w:r>
          </w:p>
        </w:tc>
        <w:tc>
          <w:tcPr>
            <w:tcW w:w="4137" w:type="dxa"/>
            <w:tcBorders>
              <w:left w:val="nil"/>
              <w:bottom w:val="single" w:color="auto" w:sz="4" w:space="0"/>
              <w:right w:val="single" w:color="auto" w:sz="4" w:space="0"/>
            </w:tcBorders>
            <w:noWrap/>
            <w:vAlign w:val="center"/>
          </w:tcPr>
          <w:p>
            <w:pP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供应商从业人员健康证；</w:t>
            </w:r>
          </w:p>
        </w:tc>
        <w:tc>
          <w:tcPr>
            <w:tcW w:w="2360" w:type="dxa"/>
            <w:tcBorders>
              <w:left w:val="nil"/>
              <w:bottom w:val="single" w:color="auto" w:sz="4" w:space="0"/>
              <w:right w:val="single" w:color="auto" w:sz="4" w:space="0"/>
            </w:tcBorders>
            <w:noWrap/>
            <w:vAlign w:val="center"/>
          </w:tcPr>
          <w:p>
            <w:pPr>
              <w:rPr>
                <w:rFonts w:hint="eastAsia"/>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660"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4</w:t>
            </w:r>
          </w:p>
        </w:tc>
        <w:tc>
          <w:tcPr>
            <w:tcW w:w="4137"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rPr>
              <w:t>《湖南省政府采购供应商资格承诺函》；</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775"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5</w:t>
            </w:r>
          </w:p>
        </w:tc>
        <w:tc>
          <w:tcPr>
            <w:tcW w:w="4137" w:type="dxa"/>
            <w:tcBorders>
              <w:left w:val="nil"/>
              <w:bottom w:val="single" w:color="auto" w:sz="4" w:space="0"/>
              <w:right w:val="single" w:color="auto" w:sz="4" w:space="0"/>
            </w:tcBorders>
            <w:noWrap/>
            <w:vAlign w:val="center"/>
          </w:tcPr>
          <w:p>
            <w:pPr>
              <w:rPr>
                <w:color w:val="auto"/>
              </w:rPr>
            </w:pPr>
            <w:r>
              <w:rPr>
                <w:rFonts w:hint="eastAsia" w:asciiTheme="minorEastAsia" w:hAnsiTheme="minorEastAsia" w:eastAsiaTheme="minorEastAsia" w:cstheme="minorEastAsia"/>
                <w:color w:val="auto"/>
                <w:szCs w:val="21"/>
                <w:lang w:val="en-US" w:eastAsia="zh-CN"/>
              </w:rPr>
              <w:t>未被列入失信被执行人及重大税收违法案件当事人名单</w:t>
            </w:r>
            <w:r>
              <w:rPr>
                <w:rFonts w:hint="eastAsia" w:ascii="宋体" w:hAnsi="宋体"/>
                <w:color w:val="auto"/>
                <w:szCs w:val="21"/>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907"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6</w:t>
            </w:r>
          </w:p>
        </w:tc>
        <w:tc>
          <w:tcPr>
            <w:tcW w:w="4137" w:type="dxa"/>
            <w:tcBorders>
              <w:left w:val="nil"/>
              <w:bottom w:val="single" w:color="auto" w:sz="4" w:space="0"/>
              <w:right w:val="single" w:color="auto" w:sz="4" w:space="0"/>
            </w:tcBorders>
            <w:noWrap/>
            <w:vAlign w:val="center"/>
          </w:tcPr>
          <w:p>
            <w:pPr>
              <w:rPr>
                <w:rFonts w:hint="eastAsia" w:ascii="宋体" w:hAnsi="宋体" w:eastAsiaTheme="minorEastAsia"/>
                <w:color w:val="auto"/>
                <w:szCs w:val="21"/>
                <w:lang w:eastAsia="zh-CN"/>
              </w:rPr>
            </w:pPr>
            <w:r>
              <w:rPr>
                <w:rFonts w:hint="eastAsia" w:asciiTheme="minorEastAsia" w:hAnsiTheme="minorEastAsia" w:eastAsiaTheme="minorEastAsia" w:cstheme="minorEastAsia"/>
                <w:color w:val="auto"/>
                <w:szCs w:val="21"/>
                <w:lang w:val="en-US" w:eastAsia="zh-CN"/>
              </w:rPr>
              <w:t>有固定的经营场所</w:t>
            </w:r>
            <w:r>
              <w:rPr>
                <w:rFonts w:hint="eastAsia" w:ascii="宋体" w:hAnsi="宋体" w:eastAsiaTheme="minorEastAsia"/>
                <w:color w:val="auto"/>
                <w:szCs w:val="21"/>
                <w:lang w:eastAsia="zh-CN"/>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502" w:hRule="atLeast"/>
          <w:jc w:val="center"/>
        </w:trPr>
        <w:tc>
          <w:tcPr>
            <w:tcW w:w="641" w:type="dxa"/>
            <w:tcBorders>
              <w:top w:val="nil"/>
              <w:left w:val="double" w:color="auto" w:sz="4" w:space="0"/>
              <w:bottom w:val="double" w:color="auto" w:sz="4" w:space="0"/>
              <w:right w:val="single" w:color="auto" w:sz="4" w:space="0"/>
            </w:tcBorders>
            <w:noWrap/>
            <w:vAlign w:val="center"/>
          </w:tcPr>
          <w:p>
            <w:pPr>
              <w:jc w:val="center"/>
              <w:rPr>
                <w:color w:val="auto"/>
              </w:rPr>
            </w:pPr>
          </w:p>
        </w:tc>
        <w:tc>
          <w:tcPr>
            <w:tcW w:w="6497" w:type="dxa"/>
            <w:gridSpan w:val="2"/>
            <w:tcBorders>
              <w:top w:val="nil"/>
              <w:left w:val="nil"/>
              <w:bottom w:val="double" w:color="auto" w:sz="4" w:space="0"/>
              <w:right w:val="single" w:color="auto" w:sz="4" w:space="0"/>
            </w:tcBorders>
            <w:noWrap/>
            <w:vAlign w:val="center"/>
          </w:tcPr>
          <w:p>
            <w:pPr>
              <w:jc w:val="center"/>
              <w:rPr>
                <w:color w:val="auto"/>
              </w:rPr>
            </w:pPr>
            <w:r>
              <w:rPr>
                <w:rFonts w:hint="eastAsia"/>
                <w:color w:val="auto"/>
              </w:rPr>
              <w:t>结论</w:t>
            </w:r>
          </w:p>
        </w:tc>
        <w:tc>
          <w:tcPr>
            <w:tcW w:w="651" w:type="dxa"/>
            <w:tcBorders>
              <w:top w:val="nil"/>
              <w:left w:val="nil"/>
              <w:bottom w:val="double" w:color="auto" w:sz="4" w:space="0"/>
              <w:right w:val="single" w:color="auto" w:sz="4" w:space="0"/>
            </w:tcBorders>
            <w:noWrap/>
            <w:vAlign w:val="center"/>
          </w:tcPr>
          <w:p>
            <w:pPr>
              <w:rPr>
                <w:color w:val="auto"/>
              </w:rPr>
            </w:pPr>
          </w:p>
        </w:tc>
        <w:tc>
          <w:tcPr>
            <w:tcW w:w="587" w:type="dxa"/>
            <w:tcBorders>
              <w:top w:val="nil"/>
              <w:left w:val="nil"/>
              <w:bottom w:val="double" w:color="auto" w:sz="4" w:space="0"/>
              <w:right w:val="single" w:color="auto" w:sz="4" w:space="0"/>
            </w:tcBorders>
            <w:noWrap/>
            <w:vAlign w:val="center"/>
          </w:tcPr>
          <w:p>
            <w:pPr>
              <w:rPr>
                <w:color w:val="auto"/>
              </w:rPr>
            </w:pPr>
          </w:p>
        </w:tc>
        <w:tc>
          <w:tcPr>
            <w:tcW w:w="615" w:type="dxa"/>
            <w:tcBorders>
              <w:top w:val="nil"/>
              <w:left w:val="nil"/>
              <w:bottom w:val="double" w:color="auto" w:sz="4" w:space="0"/>
              <w:right w:val="double" w:color="auto" w:sz="4" w:space="0"/>
            </w:tcBorders>
            <w:noWrap/>
            <w:vAlign w:val="center"/>
          </w:tcPr>
          <w:p>
            <w:pPr>
              <w:rPr>
                <w:color w:val="auto"/>
              </w:rPr>
            </w:pPr>
          </w:p>
        </w:tc>
      </w:tr>
    </w:tbl>
    <w:p>
      <w:pPr>
        <w:adjustRightInd w:val="0"/>
        <w:snapToGrid w:val="0"/>
        <w:spacing w:beforeLines="50" w:line="360" w:lineRule="auto"/>
        <w:ind w:firstLine="420"/>
        <w:rPr>
          <w:rFonts w:ascii="宋体" w:hAnsi="宋体"/>
          <w:b/>
          <w:color w:val="auto"/>
          <w:szCs w:val="21"/>
        </w:rPr>
      </w:pPr>
      <w:r>
        <w:rPr>
          <w:rFonts w:hint="eastAsia" w:ascii="宋体" w:hAnsi="宋体"/>
          <w:b/>
          <w:color w:val="auto"/>
          <w:szCs w:val="21"/>
          <w:lang w:eastAsia="zh-CN"/>
        </w:rPr>
        <w:t>供应商</w:t>
      </w:r>
      <w:r>
        <w:rPr>
          <w:rFonts w:hint="eastAsia" w:ascii="宋体" w:hAnsi="宋体"/>
          <w:b/>
          <w:color w:val="auto"/>
          <w:szCs w:val="21"/>
        </w:rPr>
        <w:t>有一项资格证明未提交，或资格证明有重大瑕疵,或提供虚假资格证明的，视为无效投标。</w:t>
      </w:r>
    </w:p>
    <w:p>
      <w:pPr>
        <w:adjustRightInd w:val="0"/>
        <w:snapToGrid w:val="0"/>
        <w:spacing w:beforeLines="50" w:line="360" w:lineRule="auto"/>
        <w:ind w:firstLine="420"/>
        <w:jc w:val="left"/>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4"/>
        <w:rPr>
          <w:color w:val="auto"/>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4"/>
        <w:rPr>
          <w:color w:val="auto"/>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adjustRightInd w:val="0"/>
        <w:snapToGrid w:val="0"/>
        <w:spacing w:beforeLines="50" w:line="360" w:lineRule="auto"/>
        <w:jc w:val="center"/>
        <w:rPr>
          <w:rFonts w:ascii="宋体" w:hAnsi="宋体"/>
          <w:b/>
          <w:color w:val="auto"/>
          <w:sz w:val="28"/>
          <w:szCs w:val="28"/>
        </w:rPr>
      </w:pPr>
      <w:r>
        <w:rPr>
          <w:rFonts w:hint="eastAsia" w:ascii="宋体" w:hAnsi="宋体"/>
          <w:b/>
          <w:color w:val="auto"/>
          <w:sz w:val="28"/>
          <w:szCs w:val="28"/>
        </w:rPr>
        <w:t>符合性审查表</w:t>
      </w:r>
    </w:p>
    <w:p>
      <w:pPr>
        <w:adjustRightInd w:val="0"/>
        <w:snapToGrid w:val="0"/>
        <w:spacing w:beforeLines="50" w:line="360" w:lineRule="auto"/>
        <w:ind w:firstLine="420"/>
        <w:rPr>
          <w:rFonts w:ascii="宋体" w:hAnsi="宋体"/>
          <w:color w:val="auto"/>
          <w:szCs w:val="21"/>
        </w:rPr>
      </w:pPr>
      <w:r>
        <w:rPr>
          <w:rFonts w:hint="eastAsia" w:ascii="宋体" w:hAnsi="宋体"/>
          <w:color w:val="auto"/>
          <w:szCs w:val="21"/>
        </w:rPr>
        <w:t>符合性检查。依据招标文件的规定，从投标文件的有效性、完整性和对招标文件的响应程度进行审查，以确定是否对招标文件的实质性要求作出响应。</w:t>
      </w:r>
    </w:p>
    <w:tbl>
      <w:tblPr>
        <w:tblStyle w:val="45"/>
        <w:tblW w:w="8738" w:type="dxa"/>
        <w:tblInd w:w="93" w:type="dxa"/>
        <w:tblLayout w:type="fixed"/>
        <w:tblCellMar>
          <w:top w:w="0" w:type="dxa"/>
          <w:left w:w="108" w:type="dxa"/>
          <w:bottom w:w="0" w:type="dxa"/>
          <w:right w:w="108" w:type="dxa"/>
        </w:tblCellMar>
      </w:tblPr>
      <w:tblGrid>
        <w:gridCol w:w="509"/>
        <w:gridCol w:w="1824"/>
        <w:gridCol w:w="2580"/>
        <w:gridCol w:w="975"/>
        <w:gridCol w:w="975"/>
        <w:gridCol w:w="960"/>
        <w:gridCol w:w="915"/>
      </w:tblGrid>
      <w:tr>
        <w:tblPrEx>
          <w:tblLayout w:type="fixed"/>
          <w:tblCellMar>
            <w:top w:w="0" w:type="dxa"/>
            <w:left w:w="108" w:type="dxa"/>
            <w:bottom w:w="0" w:type="dxa"/>
            <w:right w:w="108" w:type="dxa"/>
          </w:tblCellMar>
        </w:tblPrEx>
        <w:trPr>
          <w:trHeight w:val="390" w:hRule="atLeast"/>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序号</w:t>
            </w:r>
          </w:p>
        </w:tc>
        <w:tc>
          <w:tcPr>
            <w:tcW w:w="4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评审因素</w:t>
            </w:r>
          </w:p>
        </w:tc>
        <w:tc>
          <w:tcPr>
            <w:tcW w:w="38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eastAsia="zh-CN"/>
              </w:rPr>
              <w:t>供应商</w:t>
            </w:r>
            <w:r>
              <w:rPr>
                <w:rFonts w:hint="eastAsia" w:ascii="宋体" w:hAnsi="宋体" w:cs="宋体"/>
                <w:color w:val="auto"/>
                <w:kern w:val="0"/>
                <w:sz w:val="22"/>
                <w:szCs w:val="22"/>
              </w:rPr>
              <w:t>名称及评审意见</w:t>
            </w:r>
          </w:p>
        </w:tc>
      </w:tr>
      <w:tr>
        <w:tblPrEx>
          <w:tblLayout w:type="fixed"/>
          <w:tblCellMar>
            <w:top w:w="0" w:type="dxa"/>
            <w:left w:w="108" w:type="dxa"/>
            <w:bottom w:w="0" w:type="dxa"/>
            <w:right w:w="108" w:type="dxa"/>
          </w:tblCellMar>
        </w:tblPrEx>
        <w:trPr>
          <w:trHeight w:val="500" w:hRule="atLeast"/>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4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97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1</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eastAsia="zh-CN"/>
              </w:rPr>
              <w:t>供应商</w:t>
            </w:r>
            <w:r>
              <w:rPr>
                <w:rFonts w:hint="eastAsia" w:ascii="宋体" w:hAnsi="宋体" w:cs="宋体"/>
                <w:color w:val="auto"/>
                <w:kern w:val="0"/>
                <w:sz w:val="22"/>
                <w:szCs w:val="22"/>
              </w:rPr>
              <w:t>名称</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与投标报名、营业执照、</w:t>
            </w:r>
            <w:r>
              <w:rPr>
                <w:rFonts w:hint="eastAsia" w:ascii="宋体" w:hAnsi="宋体" w:cs="宋体"/>
                <w:color w:val="auto"/>
                <w:kern w:val="0"/>
                <w:sz w:val="22"/>
                <w:szCs w:val="22"/>
                <w:lang w:val="en-US" w:eastAsia="zh-CN"/>
              </w:rPr>
              <w:t>食品</w:t>
            </w:r>
            <w:r>
              <w:rPr>
                <w:rFonts w:hint="eastAsia" w:ascii="宋体" w:hAnsi="宋体" w:cs="宋体"/>
                <w:color w:val="auto"/>
                <w:kern w:val="0"/>
                <w:sz w:val="22"/>
                <w:szCs w:val="22"/>
              </w:rPr>
              <w:t>生产许可证</w:t>
            </w:r>
            <w:r>
              <w:rPr>
                <w:rFonts w:hint="eastAsia" w:ascii="宋体" w:hAnsi="宋体" w:cs="宋体"/>
                <w:color w:val="auto"/>
                <w:kern w:val="0"/>
                <w:sz w:val="22"/>
                <w:szCs w:val="22"/>
                <w:lang w:val="en-US" w:eastAsia="zh-CN"/>
              </w:rPr>
              <w:t>或食品经营许可证</w:t>
            </w:r>
            <w:r>
              <w:rPr>
                <w:rFonts w:hint="eastAsia" w:ascii="宋体" w:hAnsi="宋体" w:cs="宋体"/>
                <w:color w:val="auto"/>
                <w:kern w:val="0"/>
                <w:sz w:val="22"/>
                <w:szCs w:val="22"/>
              </w:rPr>
              <w:t>上的名称是否一致</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74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2</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投标文件签字盖章</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是否符合磋商文件签字盖章要求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1671"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3</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投标文件格式</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rPr>
              <w:t>是否符合磋商文件要求。投标文件未按规定的格式填写的，内容不全或关键字迹模糊、无法辨认的，为不合格的</w:t>
            </w:r>
            <w:r>
              <w:rPr>
                <w:rFonts w:hint="eastAsia" w:ascii="宋体" w:hAnsi="宋体" w:cs="宋体"/>
                <w:color w:val="auto"/>
                <w:kern w:val="0"/>
                <w:sz w:val="22"/>
                <w:szCs w:val="22"/>
                <w:lang w:eastAsia="zh-CN"/>
              </w:rPr>
              <w:t>供应商</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78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lang w:val="en-US" w:eastAsia="zh-CN"/>
              </w:rPr>
              <w:t>4</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投标有效期</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投标有效期是否满足招标文件要求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96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lang w:val="en-US" w:eastAsia="zh-CN"/>
              </w:rPr>
              <w:t>5</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投标文件的附加条件的</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投标文件是否含有采购人不能接受的附加条件</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122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lang w:val="en-US" w:eastAsia="zh-CN"/>
              </w:rPr>
              <w:t>6</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法律、法规和招标文件规定的其他投标无效情形</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是否存在法律、法规和招标文件规定的其他投标无效情形</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1010" w:hRule="atLeast"/>
        </w:trPr>
        <w:tc>
          <w:tcPr>
            <w:tcW w:w="49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结论（合格或不合格）</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bl>
    <w:p>
      <w:pPr>
        <w:pStyle w:val="2"/>
        <w:ind w:left="0" w:leftChars="0" w:firstLine="0" w:firstLineChars="0"/>
        <w:rPr>
          <w:rFonts w:ascii="宋体" w:hAnsi="宋体"/>
          <w:color w:val="auto"/>
          <w:szCs w:val="21"/>
        </w:rPr>
      </w:pPr>
    </w:p>
    <w:p>
      <w:pPr>
        <w:pStyle w:val="2"/>
        <w:ind w:firstLine="643"/>
        <w:rPr>
          <w:rFonts w:asciiTheme="minorEastAsia" w:hAnsiTheme="minorEastAsia" w:eastAsiaTheme="minorEastAsia" w:cstheme="minorEastAsia"/>
          <w:b/>
          <w:bCs/>
          <w:color w:val="auto"/>
          <w:sz w:val="32"/>
          <w:szCs w:val="32"/>
        </w:rPr>
      </w:pPr>
    </w:p>
    <w:p>
      <w:pPr>
        <w:pStyle w:val="2"/>
        <w:ind w:firstLine="643"/>
        <w:rPr>
          <w:rFonts w:asciiTheme="minorEastAsia" w:hAnsiTheme="minorEastAsia" w:eastAsiaTheme="minorEastAsia" w:cstheme="minorEastAsia"/>
          <w:b/>
          <w:bCs/>
          <w:color w:val="auto"/>
          <w:sz w:val="32"/>
          <w:szCs w:val="32"/>
        </w:rPr>
      </w:pPr>
    </w:p>
    <w:p>
      <w:pPr>
        <w:pStyle w:val="2"/>
        <w:ind w:firstLine="643"/>
        <w:rPr>
          <w:rFonts w:asciiTheme="minorEastAsia" w:hAnsiTheme="minorEastAsia" w:eastAsiaTheme="minorEastAsia" w:cstheme="minorEastAsia"/>
          <w:b/>
          <w:bCs/>
          <w:color w:val="auto"/>
          <w:sz w:val="32"/>
          <w:szCs w:val="32"/>
        </w:rPr>
      </w:pPr>
    </w:p>
    <w:p>
      <w:pPr>
        <w:pStyle w:val="4"/>
        <w:rPr>
          <w:rFonts w:asciiTheme="minorEastAsia" w:hAnsiTheme="minorEastAsia" w:eastAsiaTheme="minorEastAsia" w:cstheme="minorEastAsia"/>
          <w:b/>
          <w:bCs/>
          <w:color w:val="auto"/>
          <w:sz w:val="32"/>
          <w:szCs w:val="32"/>
        </w:rPr>
      </w:pPr>
    </w:p>
    <w:p>
      <w:pPr>
        <w:pStyle w:val="4"/>
        <w:rPr>
          <w:rFonts w:asciiTheme="minorEastAsia" w:hAnsiTheme="minorEastAsia" w:eastAsiaTheme="minorEastAsia" w:cstheme="minorEastAsia"/>
          <w:b/>
          <w:bCs/>
          <w:color w:val="auto"/>
          <w:sz w:val="32"/>
          <w:szCs w:val="32"/>
        </w:rPr>
      </w:pPr>
    </w:p>
    <w:p>
      <w:pPr>
        <w:pStyle w:val="4"/>
        <w:rPr>
          <w:rFonts w:asciiTheme="minorEastAsia" w:hAnsiTheme="minorEastAsia" w:eastAsiaTheme="minorEastAsia" w:cstheme="minorEastAsia"/>
          <w:b/>
          <w:bCs/>
          <w:color w:val="auto"/>
          <w:sz w:val="32"/>
          <w:szCs w:val="32"/>
        </w:rPr>
      </w:pPr>
    </w:p>
    <w:p>
      <w:pPr>
        <w:jc w:val="left"/>
        <w:outlineLvl w:val="1"/>
        <w:rPr>
          <w:rFonts w:asciiTheme="minorEastAsia" w:hAnsiTheme="minorEastAsia" w:eastAsiaTheme="minorEastAsia" w:cstheme="minorEastAsia"/>
          <w:b/>
          <w:color w:val="auto"/>
          <w:szCs w:val="21"/>
        </w:rPr>
      </w:pPr>
    </w:p>
    <w:p>
      <w:pPr>
        <w:adjustRightInd w:val="0"/>
        <w:snapToGrid w:val="0"/>
        <w:spacing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评审方法及标准表</w:t>
      </w:r>
    </w:p>
    <w:p>
      <w:pPr>
        <w:pStyle w:val="2"/>
        <w:rPr>
          <w:color w:val="auto"/>
        </w:rPr>
      </w:pPr>
    </w:p>
    <w:tbl>
      <w:tblPr>
        <w:tblStyle w:val="45"/>
        <w:tblW w:w="8829"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0"/>
        <w:gridCol w:w="926"/>
        <w:gridCol w:w="915"/>
        <w:gridCol w:w="600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72" w:hRule="atLeast"/>
          <w:jc w:val="center"/>
        </w:trPr>
        <w:tc>
          <w:tcPr>
            <w:tcW w:w="1906" w:type="dxa"/>
            <w:gridSpan w:val="2"/>
            <w:tcBorders>
              <w:left w:val="single" w:color="auto" w:sz="4" w:space="0"/>
              <w:right w:val="single" w:color="auto" w:sz="4" w:space="0"/>
            </w:tcBorders>
            <w:vAlign w:val="center"/>
          </w:tcPr>
          <w:p>
            <w:pPr>
              <w:adjustRightInd w:val="0"/>
              <w:snapToGrid w:val="0"/>
              <w:jc w:val="center"/>
              <w:rPr>
                <w:rFonts w:ascii="宋体" w:hAnsi="宋体" w:cs="宋体"/>
                <w:b/>
                <w:color w:val="auto"/>
                <w:szCs w:val="21"/>
              </w:rPr>
            </w:pPr>
          </w:p>
          <w:p>
            <w:pPr>
              <w:adjustRightInd w:val="0"/>
              <w:snapToGrid w:val="0"/>
              <w:jc w:val="center"/>
              <w:rPr>
                <w:rFonts w:ascii="宋体" w:hAnsi="宋体" w:cs="宋体"/>
                <w:b/>
                <w:color w:val="auto"/>
                <w:szCs w:val="21"/>
              </w:rPr>
            </w:pPr>
            <w:r>
              <w:rPr>
                <w:rFonts w:hint="eastAsia" w:ascii="宋体" w:hAnsi="宋体" w:cs="宋体"/>
                <w:b/>
                <w:color w:val="auto"/>
                <w:szCs w:val="21"/>
              </w:rPr>
              <w:t>评审因素</w:t>
            </w:r>
          </w:p>
          <w:p>
            <w:pPr>
              <w:adjustRightInd w:val="0"/>
              <w:snapToGrid w:val="0"/>
              <w:jc w:val="center"/>
              <w:rPr>
                <w:rFonts w:ascii="宋体" w:hAnsi="宋体" w:cs="宋体"/>
                <w:b/>
                <w:color w:val="auto"/>
                <w:szCs w:val="21"/>
              </w:rPr>
            </w:pPr>
          </w:p>
        </w:tc>
        <w:tc>
          <w:tcPr>
            <w:tcW w:w="915" w:type="dxa"/>
            <w:tcBorders>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auto"/>
                <w:szCs w:val="21"/>
              </w:rPr>
            </w:pPr>
            <w:r>
              <w:rPr>
                <w:rFonts w:hint="eastAsia" w:ascii="宋体" w:hAnsi="宋体" w:cs="宋体"/>
                <w:b/>
                <w:color w:val="auto"/>
                <w:szCs w:val="21"/>
              </w:rPr>
              <w:t>权值</w:t>
            </w:r>
          </w:p>
        </w:tc>
        <w:tc>
          <w:tcPr>
            <w:tcW w:w="6008" w:type="dxa"/>
            <w:tcBorders>
              <w:left w:val="single" w:color="auto" w:sz="4" w:space="0"/>
              <w:bottom w:val="single" w:color="auto" w:sz="4" w:space="0"/>
            </w:tcBorders>
            <w:vAlign w:val="center"/>
          </w:tcPr>
          <w:p>
            <w:pPr>
              <w:adjustRightInd w:val="0"/>
              <w:snapToGrid w:val="0"/>
              <w:jc w:val="center"/>
              <w:rPr>
                <w:rFonts w:ascii="宋体" w:hAnsi="宋体" w:cs="宋体"/>
                <w:b/>
                <w:color w:val="auto"/>
                <w:szCs w:val="21"/>
              </w:rPr>
            </w:pPr>
            <w:r>
              <w:rPr>
                <w:rFonts w:hint="eastAsia" w:ascii="宋体" w:hAnsi="宋体" w:cs="宋体"/>
                <w:b/>
                <w:color w:val="auto"/>
                <w:szCs w:val="21"/>
              </w:rPr>
              <w:t>评分标准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37"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价格（</w:t>
            </w:r>
            <w:r>
              <w:rPr>
                <w:rFonts w:hint="eastAsia" w:ascii="宋体" w:hAnsi="宋体" w:cs="宋体"/>
                <w:color w:val="auto"/>
                <w:szCs w:val="21"/>
                <w:lang w:val="en-US" w:eastAsia="zh-CN"/>
              </w:rPr>
              <w:t>2</w:t>
            </w:r>
            <w:r>
              <w:rPr>
                <w:rFonts w:hint="eastAsia" w:ascii="宋体" w:hAnsi="宋体" w:cs="宋体"/>
                <w:color w:val="auto"/>
                <w:szCs w:val="21"/>
              </w:rPr>
              <w:t>0分）</w:t>
            </w:r>
          </w:p>
        </w:tc>
        <w:tc>
          <w:tcPr>
            <w:tcW w:w="9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0分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auto"/>
                <w:szCs w:val="21"/>
                <w:lang w:val="en-US" w:eastAsia="zh-CN"/>
              </w:rPr>
            </w:pPr>
            <w:r>
              <w:rPr>
                <w:rFonts w:hint="eastAsia" w:ascii="宋体" w:hAnsi="宋体" w:cs="宋体"/>
                <w:color w:val="auto"/>
                <w:szCs w:val="21"/>
                <w:lang w:val="en-US" w:eastAsia="zh-CN"/>
              </w:rPr>
              <w:t>供应商提供承诺书，承诺食材销售价格不高于临湘市场批发价格的计20分，不高于临湘市场零售价格的计10分，高于临湘市场零售价格的不计分。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restart"/>
            <w:tcBorders>
              <w:left w:val="single" w:color="auto" w:sz="4" w:space="0"/>
              <w:right w:val="single" w:color="auto" w:sz="4" w:space="0"/>
            </w:tcBorders>
            <w:vAlign w:val="center"/>
          </w:tcPr>
          <w:p>
            <w:pPr>
              <w:jc w:val="center"/>
              <w:rPr>
                <w:rFonts w:hint="eastAsia" w:ascii="宋体" w:hAnsi="宋体" w:cs="宋体"/>
                <w:color w:val="auto"/>
                <w:szCs w:val="21"/>
                <w:lang w:eastAsia="zh-CN"/>
              </w:rPr>
            </w:pPr>
            <w:r>
              <w:rPr>
                <w:rFonts w:hint="eastAsia" w:ascii="宋体" w:hAnsi="宋体" w:cs="宋体"/>
                <w:color w:val="auto"/>
                <w:szCs w:val="21"/>
                <w:lang w:eastAsia="zh-CN"/>
              </w:rPr>
              <w:t>商务</w:t>
            </w:r>
          </w:p>
          <w:p>
            <w:pPr>
              <w:rPr>
                <w:rFonts w:hint="eastAsia" w:ascii="宋体" w:hAnsi="宋体" w:eastAsia="宋体" w:cs="宋体"/>
                <w:color w:val="auto"/>
                <w:szCs w:val="21"/>
                <w:lang w:eastAsia="zh-CN"/>
              </w:rPr>
            </w:pPr>
            <w:r>
              <w:rPr>
                <w:rFonts w:hint="eastAsia" w:ascii="宋体" w:hAnsi="宋体" w:cs="宋体"/>
                <w:color w:val="auto"/>
                <w:szCs w:val="21"/>
                <w:lang w:eastAsia="zh-CN"/>
              </w:rPr>
              <w:t>（</w:t>
            </w:r>
            <w:r>
              <w:rPr>
                <w:rFonts w:hint="eastAsia" w:ascii="宋体" w:hAnsi="宋体" w:cs="宋体"/>
                <w:color w:val="auto"/>
                <w:szCs w:val="21"/>
                <w:lang w:val="en-US" w:eastAsia="zh-CN"/>
              </w:rPr>
              <w:t>20分</w:t>
            </w:r>
            <w:r>
              <w:rPr>
                <w:rFonts w:hint="eastAsia" w:ascii="宋体" w:hAnsi="宋体" w:cs="宋体"/>
                <w:color w:val="auto"/>
                <w:szCs w:val="21"/>
                <w:lang w:eastAsia="zh-CN"/>
              </w:rPr>
              <w:t>）</w:t>
            </w: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银行</w:t>
            </w:r>
          </w:p>
          <w:p>
            <w:pPr>
              <w:jc w:val="center"/>
              <w:rPr>
                <w:rFonts w:hint="default" w:ascii="宋体" w:hAnsi="宋体" w:eastAsia="宋体" w:cs="宋体"/>
                <w:color w:val="auto"/>
                <w:szCs w:val="21"/>
                <w:lang w:val="en-US" w:eastAsia="zh-CN"/>
              </w:rPr>
            </w:pPr>
            <w:r>
              <w:rPr>
                <w:rFonts w:hint="eastAsia" w:ascii="宋体" w:hAnsi="宋体"/>
                <w:color w:val="auto"/>
                <w:szCs w:val="21"/>
                <w:lang w:val="en-US" w:eastAsia="zh-CN"/>
              </w:rPr>
              <w:t>账户</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10</w:t>
            </w:r>
            <w:r>
              <w:rPr>
                <w:rFonts w:hint="eastAsia" w:ascii="宋体" w:hAnsi="宋体" w:cs="宋体"/>
                <w:color w:val="auto"/>
                <w:szCs w:val="21"/>
              </w:rPr>
              <w:t>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auto"/>
                <w:szCs w:val="21"/>
                <w:lang w:val="en-US" w:eastAsia="zh-CN"/>
              </w:rPr>
            </w:pPr>
            <w:r>
              <w:rPr>
                <w:rFonts w:hint="eastAsia"/>
                <w:color w:val="auto"/>
                <w:lang w:val="en-US" w:eastAsia="zh-CN"/>
              </w:rPr>
              <w:t>供应商提供银行账户信息，有银行对公账户的计10分，未提供的不计分。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运输</w:t>
            </w:r>
          </w:p>
          <w:p>
            <w:pPr>
              <w:jc w:val="center"/>
              <w:rPr>
                <w:rFonts w:hint="default" w:ascii="宋体" w:hAnsi="宋体"/>
                <w:color w:val="auto"/>
                <w:szCs w:val="21"/>
                <w:lang w:val="en-US" w:eastAsia="zh-CN"/>
              </w:rPr>
            </w:pPr>
            <w:r>
              <w:rPr>
                <w:rFonts w:hint="eastAsia" w:ascii="宋体" w:hAnsi="宋体"/>
                <w:color w:val="auto"/>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auto"/>
                <w:lang w:val="en-US" w:eastAsia="zh-CN"/>
              </w:rPr>
            </w:pPr>
            <w:r>
              <w:rPr>
                <w:rFonts w:hint="eastAsia"/>
                <w:color w:val="auto"/>
                <w:lang w:val="en-US" w:eastAsia="zh-CN"/>
              </w:rPr>
              <w:t>供应商提供运输车辆信息，有与经营品种相匹配的运输车辆计5分，未提供的不计分。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仓储</w:t>
            </w:r>
          </w:p>
          <w:p>
            <w:pPr>
              <w:jc w:val="center"/>
              <w:rPr>
                <w:rFonts w:hint="default" w:ascii="宋体" w:hAnsi="宋体"/>
                <w:color w:val="auto"/>
                <w:szCs w:val="21"/>
                <w:lang w:val="en-US" w:eastAsia="zh-CN"/>
              </w:rPr>
            </w:pPr>
            <w:r>
              <w:rPr>
                <w:rFonts w:hint="eastAsia" w:ascii="宋体" w:hAnsi="宋体"/>
                <w:color w:val="auto"/>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auto"/>
                <w:lang w:val="en-US" w:eastAsia="zh-CN"/>
              </w:rPr>
            </w:pPr>
            <w:r>
              <w:rPr>
                <w:rFonts w:hint="eastAsia"/>
                <w:color w:val="auto"/>
                <w:lang w:val="en-US" w:eastAsia="zh-CN"/>
              </w:rPr>
              <w:t>供应商提供仓储信息，有与经营品种相匹配的仓储条件计5分，未提供的不计分。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804" w:hRule="atLeast"/>
          <w:jc w:val="center"/>
        </w:trPr>
        <w:tc>
          <w:tcPr>
            <w:tcW w:w="980" w:type="dxa"/>
            <w:vMerge w:val="restart"/>
            <w:tcBorders>
              <w:top w:val="single" w:color="auto" w:sz="4" w:space="0"/>
              <w:left w:val="single" w:color="auto" w:sz="4" w:space="0"/>
              <w:right w:val="single" w:color="auto" w:sz="4" w:space="0"/>
            </w:tcBorders>
            <w:vAlign w:val="center"/>
          </w:tcPr>
          <w:p>
            <w:pPr>
              <w:ind w:firstLine="210" w:firstLineChars="100"/>
              <w:rPr>
                <w:rFonts w:ascii="宋体" w:hAnsi="宋体" w:cs="宋体"/>
                <w:color w:val="auto"/>
                <w:szCs w:val="21"/>
              </w:rPr>
            </w:pPr>
            <w:r>
              <w:rPr>
                <w:rFonts w:hint="eastAsia" w:ascii="宋体" w:hAnsi="宋体" w:cs="宋体"/>
                <w:color w:val="auto"/>
                <w:szCs w:val="21"/>
              </w:rPr>
              <w:t>技术</w:t>
            </w:r>
          </w:p>
          <w:p>
            <w:pPr>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60</w:t>
            </w:r>
            <w:r>
              <w:rPr>
                <w:rFonts w:hint="eastAsia" w:ascii="宋体" w:hAnsi="宋体" w:cs="宋体"/>
                <w:color w:val="auto"/>
                <w:szCs w:val="21"/>
              </w:rPr>
              <w:t>分）</w:t>
            </w: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供货服务方案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30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rPr>
                <w:rFonts w:hint="eastAsia" w:ascii="宋体" w:hAnsi="宋体" w:cs="宋体"/>
                <w:color w:val="auto"/>
                <w:szCs w:val="21"/>
                <w:lang w:val="en-US" w:eastAsia="zh-CN"/>
              </w:rPr>
            </w:pPr>
            <w:r>
              <w:rPr>
                <w:rFonts w:hint="eastAsia" w:ascii="宋体" w:hAnsi="宋体" w:cs="宋体"/>
                <w:color w:val="auto"/>
                <w:szCs w:val="21"/>
                <w:lang w:val="en-US" w:eastAsia="zh-CN"/>
              </w:rPr>
              <w:t>供应商提供供货服务方案（包括但不限于供货方式、供货时间、操作流程等）：</w:t>
            </w:r>
          </w:p>
          <w:p>
            <w:pPr>
              <w:rPr>
                <w:rFonts w:ascii="宋体" w:hAnsi="宋体" w:cs="宋体"/>
                <w:color w:val="auto"/>
                <w:szCs w:val="21"/>
              </w:rPr>
            </w:pPr>
            <w:r>
              <w:rPr>
                <w:rFonts w:hint="eastAsia" w:ascii="宋体" w:hAnsi="宋体" w:cs="宋体"/>
                <w:color w:val="auto"/>
                <w:szCs w:val="21"/>
              </w:rPr>
              <w:t>1、方案完整、科学合理、可操作性强，计</w:t>
            </w:r>
            <w:r>
              <w:rPr>
                <w:rFonts w:hint="eastAsia" w:ascii="宋体" w:hAnsi="宋体" w:cs="宋体"/>
                <w:color w:val="auto"/>
                <w:szCs w:val="21"/>
                <w:lang w:val="en-US" w:eastAsia="zh-CN"/>
              </w:rPr>
              <w:t>3</w:t>
            </w:r>
            <w:r>
              <w:rPr>
                <w:rFonts w:hint="eastAsia" w:ascii="宋体" w:hAnsi="宋体" w:cs="宋体"/>
                <w:color w:val="auto"/>
                <w:szCs w:val="21"/>
              </w:rPr>
              <w:t>0分；</w:t>
            </w:r>
          </w:p>
          <w:p>
            <w:pPr>
              <w:rPr>
                <w:rFonts w:ascii="宋体" w:hAnsi="宋体" w:cs="宋体"/>
                <w:color w:val="auto"/>
                <w:szCs w:val="21"/>
              </w:rPr>
            </w:pPr>
            <w:r>
              <w:rPr>
                <w:rFonts w:hint="eastAsia" w:ascii="宋体" w:hAnsi="宋体" w:cs="宋体"/>
                <w:color w:val="auto"/>
                <w:szCs w:val="21"/>
              </w:rPr>
              <w:t>2、方案完整、较科学合理、可操作性较强，计</w:t>
            </w:r>
            <w:r>
              <w:rPr>
                <w:rFonts w:hint="eastAsia" w:ascii="宋体" w:hAnsi="宋体" w:cs="宋体"/>
                <w:color w:val="auto"/>
                <w:szCs w:val="21"/>
                <w:lang w:val="en-US" w:eastAsia="zh-CN"/>
              </w:rPr>
              <w:t>25</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3、方案欠完整、科学合理性一般、可操作性一般，计</w:t>
            </w:r>
            <w:r>
              <w:rPr>
                <w:rFonts w:hint="eastAsia" w:ascii="宋体" w:hAnsi="宋体" w:cs="宋体"/>
                <w:color w:val="auto"/>
                <w:szCs w:val="21"/>
                <w:lang w:val="en-US" w:eastAsia="zh-CN"/>
              </w:rPr>
              <w:t>20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153"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售后服务方案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20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rPr>
                <w:rFonts w:hint="eastAsia" w:ascii="宋体" w:hAnsi="宋体" w:eastAsia="宋体" w:cs="宋体"/>
                <w:color w:val="auto"/>
                <w:szCs w:val="21"/>
                <w:lang w:eastAsia="zh-CN"/>
              </w:rPr>
            </w:pPr>
            <w:r>
              <w:rPr>
                <w:rFonts w:hint="eastAsia" w:ascii="宋体" w:hAnsi="宋体" w:cs="宋体"/>
                <w:color w:val="auto"/>
                <w:szCs w:val="21"/>
                <w:lang w:val="en-US" w:eastAsia="zh-CN"/>
              </w:rPr>
              <w:t>供应商提供售后服务方案（包括但不限于退换货、食品召回、抽检不合格处理等）</w:t>
            </w:r>
            <w:r>
              <w:rPr>
                <w:rFonts w:hint="eastAsia" w:ascii="宋体" w:hAnsi="宋体" w:cs="宋体"/>
                <w:color w:val="auto"/>
                <w:szCs w:val="21"/>
                <w:lang w:eastAsia="zh-CN"/>
              </w:rPr>
              <w:t>：</w:t>
            </w:r>
          </w:p>
          <w:p>
            <w:pP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方案</w:t>
            </w:r>
            <w:r>
              <w:rPr>
                <w:rFonts w:hint="eastAsia" w:ascii="宋体" w:hAnsi="宋体" w:cs="宋体"/>
                <w:color w:val="auto"/>
                <w:szCs w:val="21"/>
              </w:rPr>
              <w:t>完整、科学合理、可操作性强，计</w:t>
            </w:r>
            <w:r>
              <w:rPr>
                <w:rFonts w:hint="eastAsia" w:ascii="宋体" w:hAnsi="宋体" w:cs="宋体"/>
                <w:color w:val="auto"/>
                <w:szCs w:val="21"/>
                <w:lang w:val="en-US" w:eastAsia="zh-CN"/>
              </w:rPr>
              <w:t>20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val="en-US" w:eastAsia="zh-CN"/>
              </w:rPr>
              <w:t>方案较</w:t>
            </w:r>
            <w:r>
              <w:rPr>
                <w:rFonts w:hint="eastAsia" w:ascii="宋体" w:hAnsi="宋体" w:cs="宋体"/>
                <w:color w:val="auto"/>
                <w:szCs w:val="21"/>
              </w:rPr>
              <w:t>完整、较科学合理、可操作性较强，计</w:t>
            </w:r>
            <w:r>
              <w:rPr>
                <w:rFonts w:hint="eastAsia" w:ascii="宋体" w:hAnsi="宋体" w:cs="宋体"/>
                <w:color w:val="auto"/>
                <w:szCs w:val="21"/>
                <w:lang w:val="en-US" w:eastAsia="zh-CN"/>
              </w:rPr>
              <w:t>15</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3、方案欠完整、科学合理性一般、可操作性一般，计</w:t>
            </w:r>
            <w:r>
              <w:rPr>
                <w:rFonts w:hint="eastAsia" w:ascii="宋体" w:hAnsi="宋体" w:cs="宋体"/>
                <w:color w:val="auto"/>
                <w:szCs w:val="21"/>
                <w:lang w:val="en-US" w:eastAsia="zh-CN"/>
              </w:rPr>
              <w:t>10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218"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s="宋体"/>
                <w:color w:val="auto"/>
                <w:szCs w:val="21"/>
                <w:lang w:val="en-US" w:eastAsia="zh-CN"/>
              </w:rPr>
            </w:pPr>
            <w:r>
              <w:rPr>
                <w:rFonts w:hint="eastAsia" w:ascii="宋体" w:hAnsi="宋体" w:cs="宋体"/>
                <w:color w:val="auto"/>
                <w:szCs w:val="21"/>
                <w:lang w:val="en-US" w:eastAsia="zh-CN"/>
              </w:rPr>
              <w:t>食品安全管理制度</w:t>
            </w:r>
          </w:p>
        </w:tc>
        <w:tc>
          <w:tcPr>
            <w:tcW w:w="915" w:type="dxa"/>
            <w:tcBorders>
              <w:top w:val="single" w:color="auto" w:sz="4" w:space="0"/>
              <w:left w:val="single" w:color="auto" w:sz="4" w:space="0"/>
              <w:right w:val="single" w:color="auto" w:sz="4" w:space="0"/>
            </w:tcBorders>
            <w:vAlign w:val="center"/>
          </w:tcPr>
          <w:p>
            <w:pPr>
              <w:jc w:val="center"/>
              <w:rPr>
                <w:rFonts w:hint="eastAsia" w:ascii="宋体" w:hAnsi="宋体" w:cs="宋体"/>
                <w:color w:val="auto"/>
                <w:szCs w:val="21"/>
                <w:lang w:val="en-US" w:eastAsia="zh-CN"/>
              </w:rPr>
            </w:pPr>
            <w:r>
              <w:rPr>
                <w:rFonts w:hint="eastAsia" w:ascii="宋体" w:hAnsi="宋体" w:cs="宋体"/>
                <w:color w:val="auto"/>
                <w:szCs w:val="21"/>
                <w:lang w:val="en-US" w:eastAsia="zh-CN"/>
              </w:rPr>
              <w:t>10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jc w:val="left"/>
              <w:rPr>
                <w:rFonts w:hint="eastAsia" w:ascii="宋体" w:hAnsi="宋体" w:cs="宋体"/>
                <w:color w:val="auto"/>
                <w:szCs w:val="21"/>
              </w:rPr>
            </w:pPr>
            <w:r>
              <w:rPr>
                <w:rFonts w:hint="eastAsia"/>
                <w:color w:val="auto"/>
                <w:lang w:eastAsia="zh-CN"/>
              </w:rPr>
              <w:t>供应商</w:t>
            </w:r>
            <w:r>
              <w:rPr>
                <w:rFonts w:hint="eastAsia"/>
                <w:color w:val="auto"/>
              </w:rPr>
              <w:t>提供</w:t>
            </w:r>
            <w:r>
              <w:rPr>
                <w:rFonts w:hint="eastAsia"/>
                <w:color w:val="auto"/>
                <w:lang w:val="en-US" w:eastAsia="zh-CN"/>
              </w:rPr>
              <w:t>食品安全管理制度，制度科学完善的计10分，欠科学合理的计5分，未提供的</w:t>
            </w:r>
            <w:r>
              <w:rPr>
                <w:rFonts w:hint="eastAsia" w:ascii="宋体" w:hAnsi="宋体"/>
                <w:bCs/>
                <w:color w:val="auto"/>
                <w:szCs w:val="21"/>
              </w:rPr>
              <w:t>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13"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合计</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100分</w:t>
            </w:r>
          </w:p>
        </w:tc>
        <w:tc>
          <w:tcPr>
            <w:tcW w:w="6008" w:type="dxa"/>
            <w:tcBorders>
              <w:top w:val="single" w:color="auto" w:sz="4" w:space="0"/>
              <w:left w:val="single" w:color="auto" w:sz="4" w:space="0"/>
              <w:bottom w:val="single" w:color="auto" w:sz="4" w:space="0"/>
            </w:tcBorders>
            <w:vAlign w:val="center"/>
          </w:tcPr>
          <w:p>
            <w:pPr>
              <w:adjustRightInd w:val="0"/>
              <w:snapToGrid w:val="0"/>
              <w:spacing w:line="360" w:lineRule="auto"/>
              <w:jc w:val="center"/>
              <w:rPr>
                <w:rFonts w:ascii="宋体" w:hAnsi="宋体"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084" w:hRule="atLeast"/>
          <w:jc w:val="center"/>
        </w:trPr>
        <w:tc>
          <w:tcPr>
            <w:tcW w:w="8829" w:type="dxa"/>
            <w:gridSpan w:val="4"/>
            <w:tcBorders>
              <w:top w:val="single" w:color="auto" w:sz="4" w:space="0"/>
              <w:left w:val="single" w:color="auto" w:sz="4" w:space="0"/>
            </w:tcBorders>
            <w:vAlign w:val="center"/>
          </w:tcPr>
          <w:p>
            <w:pPr>
              <w:rPr>
                <w:rFonts w:ascii="宋体" w:hAnsi="宋体" w:cs="宋体"/>
                <w:bCs/>
                <w:color w:val="auto"/>
                <w:szCs w:val="21"/>
              </w:rPr>
            </w:pPr>
            <w:r>
              <w:rPr>
                <w:rFonts w:hint="eastAsia" w:ascii="宋体" w:hAnsi="宋体" w:cs="宋体"/>
                <w:b/>
                <w:bCs/>
                <w:color w:val="auto"/>
                <w:szCs w:val="21"/>
              </w:rPr>
              <w:t>说明：供应商参与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tc>
      </w:tr>
    </w:tbl>
    <w:p>
      <w:pPr>
        <w:adjustRightInd w:val="0"/>
        <w:snapToGrid w:val="0"/>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磋商须知正文</w:t>
      </w:r>
    </w:p>
    <w:p>
      <w:pPr>
        <w:adjustRightInd w:val="0"/>
        <w:snapToGrid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一、说明</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1.适用范围</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 本磋商文件仅适用于磋商须知前附表(以下简称</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中所叙述的采购项目。</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2.定义</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2.1 “采购人”是指依法进行政府采购的国家机关、事业单位、团体组织。本次政府采购的采购人名称、地址、电话、联系人见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2.2 “采购代理机构”是指接受采购人委托，代理采购项目的集中采购机构和其他采购代理机构。本次政府采购的采购代理机构名称、地址、电话、联系人见</w:t>
      </w:r>
      <w:r>
        <w:rPr>
          <w:rFonts w:hint="eastAsia" w:asciiTheme="minorEastAsia" w:hAnsiTheme="minorEastAsia" w:eastAsiaTheme="minorEastAsia" w:cstheme="minorEastAsia"/>
          <w:b/>
          <w:szCs w:val="21"/>
        </w:rPr>
        <w:t>磋商须知前附表。</w:t>
      </w:r>
    </w:p>
    <w:p>
      <w:pPr>
        <w:adjustRightInd w:val="0"/>
        <w:snapToGrid w:val="0"/>
        <w:spacing w:line="360" w:lineRule="auto"/>
        <w:ind w:firstLine="420" w:firstLineChars="200"/>
        <w:rPr>
          <w:rFonts w:asciiTheme="minorEastAsia" w:hAnsiTheme="minorEastAsia" w:eastAsiaTheme="minorEastAsia" w:cstheme="minorEastAsia"/>
          <w:bCs/>
          <w:kern w:val="36"/>
          <w:szCs w:val="21"/>
        </w:rPr>
      </w:pPr>
      <w:r>
        <w:rPr>
          <w:rFonts w:hint="eastAsia" w:asciiTheme="minorEastAsia" w:hAnsiTheme="minorEastAsia" w:eastAsiaTheme="minorEastAsia" w:cstheme="minorEastAsia"/>
          <w:szCs w:val="21"/>
        </w:rPr>
        <w:t>2.3 “供应商”是指响应磋商文件要求、参加竞争性磋商采购的法人、其他组织或者自然人。本次政府采购项目</w:t>
      </w:r>
      <w:r>
        <w:rPr>
          <w:rFonts w:hint="eastAsia" w:asciiTheme="minorEastAsia" w:hAnsiTheme="minorEastAsia" w:eastAsiaTheme="minorEastAsia" w:cstheme="minorEastAsia"/>
          <w:kern w:val="0"/>
          <w:szCs w:val="21"/>
        </w:rPr>
        <w:t>邀请</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kern w:val="0"/>
          <w:szCs w:val="21"/>
        </w:rPr>
        <w:t>供应商通过</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所述方式</w:t>
      </w:r>
      <w:r>
        <w:rPr>
          <w:rFonts w:hint="eastAsia" w:asciiTheme="minorEastAsia" w:hAnsiTheme="minorEastAsia" w:eastAsiaTheme="minorEastAsia" w:cstheme="minorEastAsia"/>
          <w:kern w:val="0"/>
          <w:szCs w:val="21"/>
        </w:rPr>
        <w:t>，邀请符合资格条件的供应商提交响应文件（含资格证明资料），参与竞争性磋商采购活动。</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2.4 “磋商小组”是指</w:t>
      </w:r>
      <w:r>
        <w:rPr>
          <w:rFonts w:hint="eastAsia" w:asciiTheme="minorEastAsia" w:hAnsiTheme="minorEastAsia" w:eastAsiaTheme="minorEastAsia" w:cstheme="minorEastAsia"/>
          <w:kern w:val="0"/>
          <w:szCs w:val="21"/>
        </w:rPr>
        <w:t>依据财政部</w:t>
      </w:r>
      <w:r>
        <w:rPr>
          <w:rFonts w:hint="eastAsia" w:asciiTheme="minorEastAsia" w:hAnsiTheme="minorEastAsia" w:eastAsiaTheme="minorEastAsia" w:cstheme="minorEastAsia"/>
          <w:bCs/>
          <w:kern w:val="36"/>
          <w:szCs w:val="21"/>
        </w:rPr>
        <w:t>《政府采购竞争性磋商采购方式管理暂行办法》有关规定组建，依法依规</w:t>
      </w:r>
      <w:r>
        <w:rPr>
          <w:rFonts w:hint="eastAsia" w:asciiTheme="minorEastAsia" w:hAnsiTheme="minorEastAsia" w:eastAsiaTheme="minorEastAsia" w:cstheme="minorEastAsia"/>
          <w:kern w:val="0"/>
          <w:szCs w:val="21"/>
        </w:rPr>
        <w:t>履行其职责和义务的机构。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 “货物”是指各种形态和种类的物品，包括原资料、燃料、设备、产品等，详见《政府采购品目分类目录》(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 “工程”是指建设工程，包括建筑物和构筑物的新建、改建、扩建、装修、拆除、修缮等，详见《政府采购品目分类目录》(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 “服务”是指除货物和工程以外的其他政府采购对象，详见《政府采购品目分类目录》(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2.8</w:t>
      </w:r>
      <w:r>
        <w:rPr>
          <w:rFonts w:hint="eastAsia" w:asciiTheme="minorEastAsia" w:hAnsiTheme="minorEastAsia" w:eastAsiaTheme="minorEastAsia" w:cstheme="minorEastAsia"/>
          <w:szCs w:val="21"/>
        </w:rPr>
        <w:t xml:space="preserve"> “节能产品”或者“环保产品”是指财政部发布的《节能产品政府采购清单》或者《环境标志产品政府采购清单》的产品，“两型产品”是指湖南省财政厅发布的《湖南省两型产品政府采购目录》或《长沙市两型产品目录》的产品。</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2.9</w:t>
      </w:r>
      <w:r>
        <w:rPr>
          <w:rFonts w:hint="eastAsia" w:asciiTheme="minorEastAsia" w:hAnsiTheme="minorEastAsia" w:eastAsiaTheme="minorEastAsia" w:cstheme="minorEastAsia"/>
          <w:kern w:val="0"/>
          <w:szCs w:val="21"/>
        </w:rPr>
        <w:t xml:space="preserve"> “进口产品”是指通过中国海关报关验放进入中国境内且产自关境外的产品，详见《关于政府采购进口产品管理有关问题的通知》(财库[2007]119号)。</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3.供应商的资格要求</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 供应商应当符合</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中规定的资格条件要求。</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3.2供应商</w:t>
      </w:r>
      <w:r>
        <w:rPr>
          <w:rFonts w:hint="eastAsia" w:asciiTheme="minorEastAsia" w:hAnsiTheme="minorEastAsia" w:eastAsiaTheme="minorEastAsia" w:cstheme="minorEastAsia"/>
        </w:rPr>
        <w:t>为联合体形式的</w:t>
      </w:r>
      <w:r>
        <w:rPr>
          <w:rFonts w:hint="eastAsia" w:asciiTheme="minorEastAsia" w:hAnsiTheme="minorEastAsia" w:eastAsiaTheme="minorEastAsia" w:cstheme="minorEastAsia"/>
          <w:szCs w:val="21"/>
        </w:rPr>
        <w:t xml:space="preserve">，除应满足本章第3.1款资格条件要求及第3.3款规定外，还应遵守以下规定： </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（1）联合体各方应按磋商文件提供的格式签订联合体协议书，明确联合体牵头人和各方权利义务(含承担工作及工作量比例)；</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（2）联合体中有同类资质的供应商按照联合体分工承担相同工作的，应当按照资质等级较低的供应商确定资质等级；</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（3）以联合体形式参加政府采购活动的，联合体各方不得再单独参加或者与其他供应商另外组成联合体参加同一合同项下的政府采购活动。</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3.3 供应商不得存在下列情形之一：</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（l）与采购人、采购代理机构存在</w:t>
      </w:r>
      <w:r>
        <w:rPr>
          <w:rFonts w:hint="eastAsia" w:asciiTheme="minorEastAsia" w:hAnsiTheme="minorEastAsia" w:eastAsiaTheme="minorEastAsia" w:cstheme="minorEastAsia"/>
          <w:bCs/>
          <w:szCs w:val="21"/>
        </w:rPr>
        <w:t>隶属关系或者其他利害关系</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（2）与其他供应商的法定代表人（或者负责人）为同一人，或者与其他供应商存在直接控股、管理关系。</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bCs/>
          <w:szCs w:val="21"/>
        </w:rPr>
        <w:t>受到刑事处罚，或者受到三万元以上的罚款、责令停产停业、在一至三年内禁止参加政府采购活动、暂扣或者吊销许可证、暂扣或者吊销执照等情形之一的行政处罚，或者存在</w:t>
      </w:r>
      <w:r>
        <w:rPr>
          <w:rFonts w:hint="eastAsia" w:asciiTheme="minorEastAsia" w:hAnsiTheme="minorEastAsia" w:eastAsiaTheme="minorEastAsia" w:cstheme="minorEastAsia"/>
          <w:szCs w:val="21"/>
        </w:rPr>
        <w:t>财政部门认定的其他重大违法记录。</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4.参与磋商的费用 </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 无论磋商的结果如何，供应商应自行承担所有与竞争性磋商采购活动有关的全部费用。</w:t>
      </w:r>
    </w:p>
    <w:p>
      <w:pPr>
        <w:pStyle w:val="25"/>
        <w:adjustRightInd w:val="0"/>
        <w:snapToGrid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rPr>
        <w:t>5．</w:t>
      </w:r>
      <w:r>
        <w:rPr>
          <w:rFonts w:hint="eastAsia" w:asciiTheme="minorEastAsia" w:hAnsiTheme="minorEastAsia" w:eastAsiaTheme="minorEastAsia" w:cstheme="minorEastAsia"/>
          <w:b/>
          <w:bCs/>
        </w:rPr>
        <w:t>授权委托</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5.1供应商代表为供应商法定代表人的，应具备法定代表人身份证明。供应商代表不是供应商法定代表人的，应具备法定代表人授权书，并附法定代表人身份证明。</w:t>
      </w:r>
    </w:p>
    <w:p>
      <w:pPr>
        <w:pStyle w:val="25"/>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6．联合体形式</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6.1除</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中另有规定，本次谈判采购不接受为联合体形式的供应商。</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6.2供应商</w:t>
      </w:r>
      <w:r>
        <w:rPr>
          <w:rFonts w:hint="eastAsia" w:asciiTheme="minorEastAsia" w:hAnsiTheme="minorEastAsia" w:eastAsiaTheme="minorEastAsia" w:cstheme="minorEastAsia"/>
        </w:rPr>
        <w:t>为联合体形式的</w:t>
      </w:r>
      <w:r>
        <w:rPr>
          <w:rFonts w:hint="eastAsia" w:asciiTheme="minorEastAsia" w:hAnsiTheme="minorEastAsia" w:eastAsiaTheme="minorEastAsia" w:cstheme="minorEastAsia"/>
          <w:szCs w:val="21"/>
        </w:rPr>
        <w:t>，除应符合本章第3条规定外，还应遵守以下规定：</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（l）联合体各方必须签订联合体协议书，明确联合体牵头人和各方的义务、工作、合同工作量比例；</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（2）联合体各方均应当符合本章第3.1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规定的供应商基本资格条件；</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rPr>
        <w:t>除</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中另有规定，</w:t>
      </w:r>
      <w:r>
        <w:rPr>
          <w:rFonts w:hint="eastAsia" w:asciiTheme="minorEastAsia" w:hAnsiTheme="minorEastAsia" w:eastAsiaTheme="minorEastAsia" w:cstheme="minorEastAsia"/>
          <w:szCs w:val="21"/>
        </w:rPr>
        <w:t>联合体各方中至少有一方应当符合本章第3.1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规定的供应商特定资格条件；</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kern w:val="0"/>
          <w:szCs w:val="21"/>
          <w:lang w:val="zh-CN"/>
        </w:rPr>
        <w:t>联合体各方不得再单独或与其他供应商组成新的联合体参加同一项目的采购活动。</w:t>
      </w:r>
    </w:p>
    <w:p>
      <w:pPr>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7.现场勘察</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7.1供应商应按</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中规定</w:t>
      </w:r>
      <w:r>
        <w:rPr>
          <w:rFonts w:hint="eastAsia" w:asciiTheme="minorEastAsia" w:hAnsiTheme="minorEastAsia" w:eastAsiaTheme="minorEastAsia" w:cstheme="minorEastAsia"/>
          <w:szCs w:val="21"/>
        </w:rPr>
        <w:t>对采购项目现场和周围环境的现场考察。</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7.2勘察现场的费用由供应商自己承担，勘察期间所发生的人身伤害及财产损失由供应商自己负责。</w:t>
      </w:r>
    </w:p>
    <w:p>
      <w:pPr>
        <w:adjustRightInd w:val="0"/>
        <w:snapToGrid w:val="0"/>
        <w:spacing w:line="360" w:lineRule="auto"/>
        <w:ind w:firstLine="420" w:firstLineChars="200"/>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7.3采购人不对供应商据此而做出的推论、理解和结论负责。一旦成交，供应商不得以任何借口，提出额外补偿，或延长合同期限的要求。</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8.采购进口产品</w:t>
      </w:r>
    </w:p>
    <w:p>
      <w:pPr>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8.1除</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另有规定外，本项目</w:t>
      </w:r>
      <w:r>
        <w:rPr>
          <w:rFonts w:hint="eastAsia" w:asciiTheme="minorEastAsia" w:hAnsiTheme="minorEastAsia" w:eastAsiaTheme="minorEastAsia" w:cstheme="minorEastAsia"/>
          <w:kern w:val="0"/>
          <w:szCs w:val="21"/>
        </w:rPr>
        <w:t>拒绝进口产品参加</w:t>
      </w:r>
      <w:r>
        <w:rPr>
          <w:rFonts w:hint="eastAsia" w:asciiTheme="minorEastAsia" w:hAnsiTheme="minorEastAsia" w:eastAsiaTheme="minorEastAsia" w:cstheme="minorEastAsia"/>
          <w:szCs w:val="21"/>
        </w:rPr>
        <w:t>竞争性磋商采购活动</w:t>
      </w:r>
      <w:r>
        <w:rPr>
          <w:rFonts w:hint="eastAsia" w:asciiTheme="minorEastAsia" w:hAnsiTheme="minorEastAsia" w:eastAsiaTheme="minorEastAsia" w:cstheme="minorEastAsia"/>
          <w:kern w:val="0"/>
          <w:szCs w:val="21"/>
        </w:rPr>
        <w:t>。</w:t>
      </w:r>
    </w:p>
    <w:p>
      <w:pPr>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8.2</w:t>
      </w:r>
      <w:r>
        <w:rPr>
          <w:rFonts w:hint="eastAsia" w:asciiTheme="minorEastAsia" w:hAnsiTheme="minorEastAsia" w:eastAsiaTheme="minorEastAsia" w:cstheme="minorEastAsia"/>
          <w:szCs w:val="21"/>
        </w:rPr>
        <w:t>本章第7.1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kern w:val="0"/>
          <w:szCs w:val="21"/>
        </w:rPr>
        <w:t>同意购买进口产品的，</w:t>
      </w:r>
      <w:r>
        <w:rPr>
          <w:rFonts w:hint="eastAsia" w:asciiTheme="minorEastAsia" w:hAnsiTheme="minorEastAsia" w:eastAsiaTheme="minorEastAsia" w:cstheme="minorEastAsia"/>
          <w:szCs w:val="21"/>
        </w:rPr>
        <w:t>本项目</w:t>
      </w:r>
      <w:r>
        <w:rPr>
          <w:rFonts w:hint="eastAsia" w:asciiTheme="minorEastAsia" w:hAnsiTheme="minorEastAsia" w:eastAsiaTheme="minorEastAsia" w:cstheme="minorEastAsia"/>
          <w:kern w:val="0"/>
          <w:szCs w:val="21"/>
          <w:lang w:val="zh-CN"/>
        </w:rPr>
        <w:t>采购活动</w:t>
      </w:r>
      <w:r>
        <w:rPr>
          <w:rFonts w:hint="eastAsia" w:asciiTheme="minorEastAsia" w:hAnsiTheme="minorEastAsia" w:eastAsiaTheme="minorEastAsia" w:cstheme="minorEastAsia"/>
          <w:kern w:val="0"/>
          <w:szCs w:val="21"/>
        </w:rPr>
        <w:t>不限制满足</w:t>
      </w:r>
      <w:r>
        <w:rPr>
          <w:rFonts w:hint="eastAsia" w:asciiTheme="minorEastAsia" w:hAnsiTheme="minorEastAsia" w:eastAsiaTheme="minorEastAsia" w:cstheme="minorEastAsia"/>
          <w:szCs w:val="21"/>
        </w:rPr>
        <w:t>磋商文件要求</w:t>
      </w:r>
      <w:r>
        <w:rPr>
          <w:rFonts w:hint="eastAsia" w:asciiTheme="minorEastAsia" w:hAnsiTheme="minorEastAsia" w:eastAsiaTheme="minorEastAsia" w:cstheme="minorEastAsia"/>
          <w:kern w:val="0"/>
          <w:szCs w:val="21"/>
        </w:rPr>
        <w:t>的国内产品参与</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kern w:val="0"/>
          <w:szCs w:val="21"/>
        </w:rPr>
        <w:t>。</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9.</w:t>
      </w:r>
      <w:r>
        <w:rPr>
          <w:rFonts w:hint="eastAsia" w:asciiTheme="minorEastAsia" w:hAnsiTheme="minorEastAsia" w:eastAsiaTheme="minorEastAsia" w:cstheme="minorEastAsia"/>
          <w:b/>
          <w:szCs w:val="21"/>
        </w:rPr>
        <w:t xml:space="preserve"> 政府采购政策支持</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9.1对列入财政部、国家发展改革委发布的《节能产品政府采购清单》且属于应当“强制采购的节能产品”，按照规定实行强制采购。实行政府采购强制采购的节能产品见</w:t>
      </w:r>
      <w:r>
        <w:rPr>
          <w:rFonts w:hint="eastAsia" w:asciiTheme="minorEastAsia" w:hAnsiTheme="minorEastAsia" w:eastAsiaTheme="minorEastAsia" w:cstheme="minorEastAsia"/>
          <w:b/>
          <w:kern w:val="0"/>
          <w:szCs w:val="21"/>
        </w:rPr>
        <w:t>磋商文件前附表。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w:t>
      </w:r>
      <w:r>
        <w:rPr>
          <w:rFonts w:hint="eastAsia" w:asciiTheme="minorEastAsia" w:hAnsiTheme="minorEastAsia" w:eastAsiaTheme="minorEastAsia" w:cstheme="minorEastAsia"/>
        </w:rPr>
        <w:t>或《长沙市两型产品目录》</w:t>
      </w:r>
      <w:r>
        <w:rPr>
          <w:rFonts w:hint="eastAsia" w:asciiTheme="minorEastAsia" w:hAnsiTheme="minorEastAsia" w:eastAsiaTheme="minorEastAsia" w:cstheme="minorEastAsia"/>
          <w:kern w:val="0"/>
        </w:rPr>
        <w:t>的“两型产品”以及中小企业，实行优先采购，按照省级以上财政部门有关政策规定，评审时进行价格扣除或加分。实行政府采购优先采购的优惠率见</w:t>
      </w:r>
      <w:r>
        <w:rPr>
          <w:rFonts w:hint="eastAsia" w:asciiTheme="minorEastAsia" w:hAnsiTheme="minorEastAsia" w:eastAsiaTheme="minorEastAsia" w:cstheme="minorEastAsia"/>
          <w:b/>
          <w:kern w:val="0"/>
        </w:rPr>
        <w:t>磋商文件前附表。</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9.4同一项目中部分产品属于优先采购政策的，评审时只对该部分产品的报价实行价格扣除及加分。</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9.5符合本章第9.1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第9.2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规定的，应提供相关证明资料。</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9.6供应商有融资、担保需求的，具体办理流程可向</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所列金融机构和担保机构询问。</w:t>
      </w:r>
    </w:p>
    <w:p>
      <w:pPr>
        <w:adjustRightInd w:val="0"/>
        <w:snapToGrid w:val="0"/>
        <w:spacing w:line="360" w:lineRule="auto"/>
        <w:ind w:left="902" w:hanging="902" w:hangingChars="37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二、磋商文件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10．磋商文件的组成</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10.1 磋商文件由下列文件组成：</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第一章 磋商邀请</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第二章 磋商须知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第三章 政府采购合同格式条款</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第四章 采购需求</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第五章 响应文件组成</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10.2</w:t>
      </w:r>
      <w:r>
        <w:rPr>
          <w:rFonts w:hint="eastAsia" w:asciiTheme="minorEastAsia" w:hAnsiTheme="minorEastAsia" w:eastAsiaTheme="minorEastAsia" w:cstheme="minorEastAsia"/>
          <w:kern w:val="0"/>
        </w:rPr>
        <w:t>磋商小组根据与供应商磋商情况可能实质性变动的内容，包括采购需求中的技术、服务要求以及合同条款，</w:t>
      </w:r>
      <w:r>
        <w:rPr>
          <w:rFonts w:hint="eastAsia" w:asciiTheme="minorEastAsia" w:hAnsiTheme="minorEastAsia" w:eastAsiaTheme="minorEastAsia" w:cstheme="minorEastAsia"/>
        </w:rPr>
        <w:t>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中明确。</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10.3</w:t>
      </w:r>
      <w:r>
        <w:rPr>
          <w:rFonts w:hint="eastAsia" w:asciiTheme="minorEastAsia" w:hAnsiTheme="minorEastAsia" w:eastAsiaTheme="minorEastAsia" w:cstheme="minorEastAsia"/>
          <w:szCs w:val="21"/>
        </w:rPr>
        <w:t>供应商应仔细阅读</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文件的全部内容，按照</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文件要求编制响应文件。任何对</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文件的忽略或误解不能作为响应文件存在缺陷或瑕疵的理由，其风险由供应商承担。</w:t>
      </w:r>
    </w:p>
    <w:p>
      <w:pPr>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11.磋商文件的提供期限</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11.1磋商文件的提供期限自开始发出之日起不得少于五个工作日。具体提供期限见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11.2供应商应持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规定的资料领取或购买磋商文件。</w:t>
      </w:r>
    </w:p>
    <w:p>
      <w:pPr>
        <w:pStyle w:val="25"/>
        <w:adjustRightInd w:val="0"/>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rPr>
        <w:t>12.</w:t>
      </w:r>
      <w:r>
        <w:rPr>
          <w:rFonts w:hint="eastAsia" w:asciiTheme="minorEastAsia" w:hAnsiTheme="minorEastAsia" w:eastAsiaTheme="minorEastAsia" w:cstheme="minorEastAsia"/>
          <w:b/>
          <w:kern w:val="0"/>
        </w:rPr>
        <w:t>提交首次响应文件</w:t>
      </w:r>
      <w:r>
        <w:rPr>
          <w:rFonts w:hint="eastAsia" w:asciiTheme="minorEastAsia" w:hAnsiTheme="minorEastAsia" w:eastAsiaTheme="minorEastAsia" w:cstheme="minorEastAsia"/>
          <w:b/>
        </w:rPr>
        <w:t>的</w:t>
      </w:r>
      <w:r>
        <w:rPr>
          <w:rFonts w:hint="eastAsia" w:asciiTheme="minorEastAsia" w:hAnsiTheme="minorEastAsia" w:eastAsiaTheme="minorEastAsia" w:cstheme="minorEastAsia"/>
          <w:b/>
          <w:kern w:val="0"/>
        </w:rPr>
        <w:t>截止</w:t>
      </w:r>
      <w:r>
        <w:rPr>
          <w:rFonts w:hint="eastAsia" w:asciiTheme="minorEastAsia" w:hAnsiTheme="minorEastAsia" w:eastAsiaTheme="minorEastAsia" w:cstheme="minorEastAsia"/>
          <w:b/>
        </w:rPr>
        <w:t>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12.1</w:t>
      </w:r>
      <w:r>
        <w:rPr>
          <w:rFonts w:hint="eastAsia" w:asciiTheme="minorEastAsia" w:hAnsiTheme="minorEastAsia" w:eastAsiaTheme="minorEastAsia" w:cstheme="minorEastAsia"/>
          <w:kern w:val="0"/>
        </w:rPr>
        <w:t>供应商提交首次响应文件截止</w:t>
      </w:r>
      <w:r>
        <w:rPr>
          <w:rFonts w:hint="eastAsia" w:asciiTheme="minorEastAsia" w:hAnsiTheme="minorEastAsia" w:eastAsiaTheme="minorEastAsia" w:cstheme="minorEastAsia"/>
        </w:rPr>
        <w:t>时间见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13.磋商文件的澄清</w:t>
      </w:r>
      <w:r>
        <w:rPr>
          <w:rFonts w:hint="eastAsia" w:asciiTheme="minorEastAsia" w:hAnsiTheme="minorEastAsia" w:eastAsiaTheme="minorEastAsia" w:cstheme="minorEastAsia"/>
          <w:b/>
          <w:kern w:val="0"/>
          <w:szCs w:val="21"/>
          <w:lang w:val="zh-CN"/>
        </w:rPr>
        <w:t>或者</w:t>
      </w:r>
      <w:r>
        <w:rPr>
          <w:rFonts w:hint="eastAsia" w:asciiTheme="minorEastAsia" w:hAnsiTheme="minorEastAsia" w:eastAsiaTheme="minorEastAsia" w:cstheme="minorEastAsia"/>
          <w:b/>
          <w:bCs/>
          <w:szCs w:val="21"/>
        </w:rPr>
        <w:t>修改</w:t>
      </w:r>
    </w:p>
    <w:p>
      <w:pPr>
        <w:adjustRightInd w:val="0"/>
        <w:snapToGrid w:val="0"/>
        <w:spacing w:line="360" w:lineRule="auto"/>
        <w:ind w:right="-105" w:rightChars="-5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13.1在</w:t>
      </w:r>
      <w:r>
        <w:rPr>
          <w:rFonts w:hint="eastAsia" w:asciiTheme="minorEastAsia" w:hAnsiTheme="minorEastAsia" w:eastAsiaTheme="minorEastAsia" w:cstheme="minorEastAsia"/>
          <w:kern w:val="0"/>
          <w:szCs w:val="21"/>
        </w:rPr>
        <w:t xml:space="preserve">提交首次响应文件截止之日前，采购人、采购代理机构可以对已发出的磋商文件进行必要的澄清或者修改。 </w:t>
      </w:r>
    </w:p>
    <w:p>
      <w:pPr>
        <w:adjustRightInd w:val="0"/>
        <w:snapToGrid w:val="0"/>
        <w:spacing w:line="360" w:lineRule="auto"/>
        <w:ind w:right="-105" w:rightChars="-5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13.2</w:t>
      </w:r>
      <w:r>
        <w:rPr>
          <w:rFonts w:hint="eastAsia" w:asciiTheme="minorEastAsia" w:hAnsiTheme="minorEastAsia" w:eastAsiaTheme="minorEastAsia" w:cstheme="minorEastAsia"/>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13.2</w:t>
      </w:r>
      <w:r>
        <w:rPr>
          <w:rFonts w:hint="eastAsia" w:asciiTheme="minorEastAsia" w:hAnsiTheme="minorEastAsia" w:eastAsiaTheme="minorEastAsia" w:cstheme="minorEastAsia"/>
          <w:kern w:val="0"/>
        </w:rPr>
        <w:t>提交首次响应文件截止时间前对磋商文件澄清或者修改内容，为磋商文件的组成部分。</w:t>
      </w:r>
    </w:p>
    <w:p>
      <w:pPr>
        <w:adjustRightInd w:val="0"/>
        <w:snapToGrid w:val="0"/>
        <w:spacing w:line="360" w:lineRule="auto"/>
        <w:ind w:left="902" w:hanging="902" w:hangingChars="37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三、响应文件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14.一般要求</w:t>
      </w:r>
    </w:p>
    <w:p>
      <w:pPr>
        <w:adjustRightInd w:val="0"/>
        <w:snapToGri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14.1 供应商应仔细阅读磋商文件的所有内容，按磋商文件的要求编制响应文件，并保证所提供的全部资料的真实性，以使其响应文件对磋商文件做出实质性的响应。</w:t>
      </w:r>
    </w:p>
    <w:p>
      <w:pPr>
        <w:adjustRightInd w:val="0"/>
        <w:snapToGri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14.2 </w:t>
      </w:r>
      <w:r>
        <w:rPr>
          <w:rFonts w:hint="eastAsia" w:asciiTheme="minorEastAsia" w:hAnsiTheme="minorEastAsia" w:eastAsiaTheme="minorEastAsia" w:cstheme="minorEastAsia"/>
          <w:szCs w:val="21"/>
        </w:rPr>
        <w:t>供应商提交的响应文件及供应商与采购人或采购代理机构、磋商小组就有关磋商的所有来往函电均使用中文。供应商可以提交其它语言的资料，但应附中文注释，在有差异时以中文为准。</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bCs/>
        </w:rPr>
        <w:t xml:space="preserve">14.3 </w:t>
      </w:r>
      <w:r>
        <w:rPr>
          <w:rFonts w:hint="eastAsia" w:asciiTheme="minorEastAsia" w:hAnsiTheme="minorEastAsia" w:eastAsiaTheme="minorEastAsia" w:cstheme="minorEastAsia"/>
        </w:rPr>
        <w:t>计量单位应使用我国法定计量单位，未列明时应默认为我国法定计量单位。</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14.4 响应文件应采用书面形式，电报、传真、电子邮件形式的响应文件概不接受。</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14.5 供应商应按磋商文件中提供的响应文件格式填写。</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15.</w:t>
      </w:r>
      <w:r>
        <w:rPr>
          <w:rFonts w:hint="eastAsia" w:asciiTheme="minorEastAsia" w:hAnsiTheme="minorEastAsia" w:eastAsiaTheme="minorEastAsia" w:cstheme="minorEastAsia"/>
          <w:b/>
          <w:szCs w:val="21"/>
        </w:rPr>
        <w:t>响应文件</w:t>
      </w:r>
      <w:r>
        <w:rPr>
          <w:rFonts w:hint="eastAsia" w:asciiTheme="minorEastAsia" w:hAnsiTheme="minorEastAsia" w:eastAsiaTheme="minorEastAsia" w:cstheme="minorEastAsia"/>
          <w:b/>
          <w:bCs/>
          <w:szCs w:val="21"/>
        </w:rPr>
        <w:t>的组成</w:t>
      </w:r>
    </w:p>
    <w:p>
      <w:pPr>
        <w:adjustRightInd w:val="0"/>
        <w:snapToGrid w:val="0"/>
        <w:spacing w:line="360" w:lineRule="auto"/>
        <w:ind w:firstLine="420" w:firstLineChars="200"/>
        <w:jc w:val="left"/>
        <w:outlineLvl w:val="0"/>
        <w:rPr>
          <w:rFonts w:asciiTheme="minorEastAsia" w:hAnsiTheme="minorEastAsia" w:eastAsiaTheme="minorEastAsia" w:cstheme="minorEastAsia"/>
          <w:szCs w:val="21"/>
        </w:rPr>
      </w:pPr>
      <w:bookmarkStart w:id="5" w:name="_Toc30604"/>
      <w:r>
        <w:rPr>
          <w:rFonts w:hint="eastAsia" w:asciiTheme="minorEastAsia" w:hAnsiTheme="minorEastAsia" w:eastAsiaTheme="minorEastAsia" w:cstheme="minorEastAsia"/>
        </w:rPr>
        <w:t>15.1响应文件包括下列内容：</w:t>
      </w:r>
      <w:bookmarkEnd w:id="5"/>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（1）磋商响应声明</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（2）保证金</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（3）供应商的资格证明文件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（4）货物或服务方案说明</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（5）技术/商务响应与偏离表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（6）提供享受政府采购政策的证明材料和清单表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（7）经销或代理或为货物提供售后服务的证明材料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（8）报价一览表及报价文件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（9）供应商认为需提供的其他资料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（10）最后报价</w:t>
      </w:r>
    </w:p>
    <w:p>
      <w:pPr>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15.2在磋商过程中，</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rPr>
        <w:t>根据</w:t>
      </w:r>
      <w:r>
        <w:rPr>
          <w:rFonts w:hint="eastAsia" w:asciiTheme="minorEastAsia" w:hAnsiTheme="minorEastAsia" w:eastAsiaTheme="minorEastAsia" w:cstheme="minorEastAsia"/>
          <w:kern w:val="0"/>
          <w:szCs w:val="21"/>
        </w:rPr>
        <w:t>磋商小组</w:t>
      </w:r>
      <w:r>
        <w:rPr>
          <w:rFonts w:hint="eastAsia" w:asciiTheme="minorEastAsia" w:hAnsiTheme="minorEastAsia" w:eastAsiaTheme="minorEastAsia" w:cstheme="minorEastAsia"/>
          <w:bCs/>
          <w:szCs w:val="21"/>
        </w:rPr>
        <w:t>书面形式要求</w:t>
      </w:r>
      <w:r>
        <w:rPr>
          <w:rFonts w:hint="eastAsia" w:asciiTheme="minorEastAsia" w:hAnsiTheme="minorEastAsia" w:eastAsiaTheme="minorEastAsia" w:cstheme="minorEastAsia"/>
          <w:kern w:val="0"/>
          <w:szCs w:val="21"/>
        </w:rPr>
        <w:t>提交的</w:t>
      </w:r>
      <w:r>
        <w:rPr>
          <w:rFonts w:hint="eastAsia" w:asciiTheme="minorEastAsia" w:hAnsiTheme="minorEastAsia" w:eastAsiaTheme="minorEastAsia" w:cstheme="minorEastAsia"/>
        </w:rPr>
        <w:t>最后报价(或者</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新提交的响应文件和</w:t>
      </w:r>
      <w:r>
        <w:rPr>
          <w:rFonts w:hint="eastAsia" w:asciiTheme="minorEastAsia" w:hAnsiTheme="minorEastAsia" w:eastAsiaTheme="minorEastAsia" w:cstheme="minorEastAsia"/>
        </w:rPr>
        <w:t>最后报价)是</w:t>
      </w:r>
      <w:r>
        <w:rPr>
          <w:rFonts w:hint="eastAsia" w:asciiTheme="minorEastAsia" w:hAnsiTheme="minorEastAsia" w:eastAsiaTheme="minorEastAsia" w:cstheme="minorEastAsia"/>
          <w:szCs w:val="21"/>
        </w:rPr>
        <w:t>响应文件</w:t>
      </w:r>
      <w:r>
        <w:rPr>
          <w:rFonts w:hint="eastAsia" w:asciiTheme="minorEastAsia" w:hAnsiTheme="minorEastAsia" w:eastAsiaTheme="minorEastAsia" w:cstheme="minorEastAsia"/>
        </w:rPr>
        <w:t>的有效组成部分。</w:t>
      </w:r>
    </w:p>
    <w:p>
      <w:pPr>
        <w:adjustRightInd w:val="0"/>
        <w:snapToGrid w:val="0"/>
        <w:spacing w:line="360" w:lineRule="auto"/>
        <w:ind w:firstLine="42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15.3</w:t>
      </w:r>
      <w:r>
        <w:rPr>
          <w:rFonts w:hint="eastAsia" w:asciiTheme="minorEastAsia" w:hAnsiTheme="minorEastAsia" w:eastAsiaTheme="minorEastAsia" w:cstheme="minorEastAsia"/>
          <w:kern w:val="0"/>
          <w:szCs w:val="21"/>
        </w:rPr>
        <w:t>磋商文件规定可能发生实质性变动的，供应商应当在</w:t>
      </w:r>
      <w:r>
        <w:rPr>
          <w:rFonts w:hint="eastAsia" w:asciiTheme="minorEastAsia" w:hAnsiTheme="minorEastAsia" w:eastAsiaTheme="minorEastAsia" w:cstheme="minorEastAsia"/>
        </w:rPr>
        <w:t>《技术/商务响应与偏离表》中对应内容注明。</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15.4</w:t>
      </w:r>
      <w:r>
        <w:rPr>
          <w:rFonts w:hint="eastAsia" w:asciiTheme="minorEastAsia" w:hAnsiTheme="minorEastAsia" w:eastAsiaTheme="minorEastAsia" w:cstheme="minorEastAsia"/>
          <w:szCs w:val="21"/>
        </w:rPr>
        <w:t>根据《政府采购法》第四十二条的规定，供应商无论成交与否，其响应文件不予退还。</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16.报价</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16.1供应商应当根据磋商文件要求和范围，以</w:t>
      </w:r>
      <w:r>
        <w:rPr>
          <w:rFonts w:hint="eastAsia" w:asciiTheme="minorEastAsia" w:hAnsiTheme="minorEastAsia" w:eastAsiaTheme="minorEastAsia" w:cstheme="minorEastAsia"/>
          <w:bCs/>
          <w:szCs w:val="21"/>
        </w:rPr>
        <w:t>人民币</w:t>
      </w:r>
      <w:r>
        <w:rPr>
          <w:rFonts w:hint="eastAsia" w:asciiTheme="minorEastAsia" w:hAnsiTheme="minorEastAsia" w:eastAsiaTheme="minorEastAsia" w:cstheme="minorEastAsia"/>
          <w:szCs w:val="21"/>
        </w:rPr>
        <w:t>报价，以元为单位，保留小数点后两位。</w:t>
      </w:r>
    </w:p>
    <w:p>
      <w:pPr>
        <w:pStyle w:val="132"/>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16.2供应商应按第五章 响应文件组成格式填写。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16.3响应文件中标明的价格在合同执行过程中是固定不变的，不得以任何理由予以变更。以可变动价格提交的报价将被认为是非实质响应而被拒绝。</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16.4</w:t>
      </w:r>
      <w:r>
        <w:rPr>
          <w:rFonts w:hint="eastAsia" w:asciiTheme="minorEastAsia" w:hAnsiTheme="minorEastAsia" w:eastAsiaTheme="minorEastAsia" w:cstheme="minorEastAsia"/>
          <w:kern w:val="0"/>
          <w:lang w:val="zh-CN"/>
        </w:rPr>
        <w:t>供应商</w:t>
      </w:r>
      <w:r>
        <w:rPr>
          <w:rFonts w:hint="eastAsia" w:asciiTheme="minorEastAsia" w:hAnsiTheme="minorEastAsia" w:eastAsiaTheme="minorEastAsia" w:cstheme="minorEastAsia"/>
        </w:rPr>
        <w:t>的报价不得超过采购项目预算，采购项目预算或其计算方法见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w:t>
      </w:r>
    </w:p>
    <w:p>
      <w:pPr>
        <w:pStyle w:val="25"/>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17.供应商符合磋商文件规定的证明文件</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17.1供应商应提交满足本章第3.1款规定的资格条件要求的证明文件,该证明文件作为响应文件的一部分。</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17.2如果供应商为联合体，则应提交联合体各方资格证明文件、联合体协议。否则，在评审时将其视为无效响应。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17.3 除</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另有规定外，供应商提供的货物及服务不是供应商制造或拥有的，则必须提供经销、或代理采购货物、或采购货物提供售后服务的证明文件。</w:t>
      </w:r>
    </w:p>
    <w:p>
      <w:pPr>
        <w:adjustRightInd w:val="0"/>
        <w:snapToGrid w:val="0"/>
        <w:spacing w:beforeLines="50"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18．样品提供</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18.1 </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在</w:t>
      </w:r>
      <w:r>
        <w:rPr>
          <w:rFonts w:hint="eastAsia" w:asciiTheme="minorEastAsia" w:hAnsiTheme="minorEastAsia" w:eastAsiaTheme="minorEastAsia" w:cstheme="minorEastAsia"/>
        </w:rPr>
        <w:t>磋商</w:t>
      </w:r>
      <w:r>
        <w:rPr>
          <w:rFonts w:hint="eastAsia" w:asciiTheme="minorEastAsia" w:hAnsiTheme="minorEastAsia" w:eastAsiaTheme="minorEastAsia" w:cstheme="minorEastAsia"/>
          <w:szCs w:val="21"/>
        </w:rPr>
        <w:t>时提供样品的，</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有以下情形之一的，在评审时将其视为无效响应。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（1）未在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规定的提交时间、地点提交的；</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提供的样品与响应文件中提供样品的型号、规格不一致的。</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19.磋商保证金</w:t>
      </w:r>
    </w:p>
    <w:p>
      <w:pPr>
        <w:pStyle w:val="25"/>
        <w:adjustRightInd w:val="0"/>
        <w:snapToGrid w:val="0"/>
        <w:spacing w:line="360" w:lineRule="auto"/>
        <w:ind w:firstLine="420" w:firstLineChars="200"/>
        <w:rPr>
          <w:rFonts w:asciiTheme="minorEastAsia" w:hAnsiTheme="minorEastAsia" w:eastAsiaTheme="minorEastAsia" w:cstheme="minorEastAsia"/>
          <w:bCs/>
        </w:rPr>
      </w:pPr>
      <w:r>
        <w:rPr>
          <w:rFonts w:hint="eastAsia" w:asciiTheme="minorEastAsia" w:hAnsiTheme="minorEastAsia" w:eastAsiaTheme="minorEastAsia" w:cstheme="minorEastAsia"/>
        </w:rPr>
        <w:t>19.1</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规定交纳磋商</w:t>
      </w:r>
      <w:r>
        <w:rPr>
          <w:rFonts w:hint="eastAsia" w:asciiTheme="minorEastAsia" w:hAnsiTheme="minorEastAsia" w:eastAsiaTheme="minorEastAsia" w:cstheme="minorEastAsia"/>
          <w:bCs/>
        </w:rPr>
        <w:t>保证金的</w:t>
      </w:r>
      <w:r>
        <w:rPr>
          <w:rFonts w:hint="eastAsia" w:asciiTheme="minorEastAsia" w:hAnsiTheme="minorEastAsia" w:eastAsiaTheme="minorEastAsia" w:cstheme="minorEastAsia"/>
        </w:rPr>
        <w:t>，应按</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规定的磋商</w:t>
      </w:r>
      <w:r>
        <w:rPr>
          <w:rFonts w:hint="eastAsia" w:asciiTheme="minorEastAsia" w:hAnsiTheme="minorEastAsia" w:eastAsiaTheme="minorEastAsia" w:cstheme="minorEastAsia"/>
          <w:bCs/>
        </w:rPr>
        <w:t>保证金形式交纳，不得以现金方式交纳</w:t>
      </w:r>
      <w:r>
        <w:rPr>
          <w:rFonts w:hint="eastAsia" w:asciiTheme="minorEastAsia" w:hAnsiTheme="minorEastAsia" w:eastAsiaTheme="minorEastAsia" w:cstheme="minorEastAsia"/>
        </w:rPr>
        <w:t>，在</w:t>
      </w:r>
      <w:r>
        <w:rPr>
          <w:rFonts w:hint="eastAsia" w:asciiTheme="minorEastAsia" w:hAnsiTheme="minorEastAsia" w:eastAsiaTheme="minorEastAsia" w:cstheme="minorEastAsia"/>
          <w:kern w:val="0"/>
        </w:rPr>
        <w:t>提交首次响应文件截止时间</w:t>
      </w:r>
      <w:r>
        <w:rPr>
          <w:rFonts w:hint="eastAsia" w:asciiTheme="minorEastAsia" w:hAnsiTheme="minorEastAsia" w:eastAsiaTheme="minorEastAsia" w:cstheme="minorEastAsia"/>
        </w:rPr>
        <w:t>前，</w:t>
      </w:r>
      <w:r>
        <w:rPr>
          <w:rFonts w:hint="eastAsia" w:asciiTheme="minorEastAsia" w:hAnsiTheme="minorEastAsia" w:eastAsiaTheme="minorEastAsia" w:cstheme="minorEastAsia"/>
          <w:bCs/>
        </w:rPr>
        <w:t>向采购代理机构交纳不超过</w:t>
      </w:r>
      <w:r>
        <w:rPr>
          <w:rFonts w:hint="eastAsia" w:asciiTheme="minorEastAsia" w:hAnsiTheme="minorEastAsia" w:eastAsiaTheme="minorEastAsia" w:cstheme="minorEastAsia"/>
          <w:kern w:val="0"/>
          <w:lang w:val="zh-CN"/>
        </w:rPr>
        <w:t>采购项目预算2﹪</w:t>
      </w:r>
      <w:r>
        <w:rPr>
          <w:rFonts w:hint="eastAsia" w:asciiTheme="minorEastAsia" w:hAnsiTheme="minorEastAsia" w:eastAsiaTheme="minorEastAsia" w:cstheme="minorEastAsia"/>
          <w:bCs/>
        </w:rPr>
        <w:t>的磋商保证金(数额采用四舍五入，计算至元)</w:t>
      </w:r>
      <w:r>
        <w:rPr>
          <w:rFonts w:hint="eastAsia" w:asciiTheme="minorEastAsia" w:hAnsiTheme="minorEastAsia" w:eastAsiaTheme="minorEastAsia" w:cstheme="minorEastAsia"/>
        </w:rPr>
        <w:t>。磋商</w:t>
      </w:r>
      <w:r>
        <w:rPr>
          <w:rFonts w:hint="eastAsia" w:asciiTheme="minorEastAsia" w:hAnsiTheme="minorEastAsia" w:eastAsiaTheme="minorEastAsia" w:cstheme="minorEastAsia"/>
          <w:bCs/>
        </w:rPr>
        <w:t>保证金有效期应当与</w:t>
      </w:r>
      <w:r>
        <w:rPr>
          <w:rFonts w:hint="eastAsia" w:asciiTheme="minorEastAsia" w:hAnsiTheme="minorEastAsia" w:eastAsiaTheme="minorEastAsia" w:cstheme="minorEastAsia"/>
        </w:rPr>
        <w:t>本章第20.1</w:t>
      </w:r>
      <w:r>
        <w:rPr>
          <w:rFonts w:hint="eastAsia" w:asciiTheme="minorEastAsia" w:hAnsiTheme="minorEastAsia" w:eastAsiaTheme="minorEastAsia" w:cstheme="minorEastAsia"/>
          <w:kern w:val="0"/>
          <w:lang w:val="zh-CN"/>
        </w:rPr>
        <w:t>款</w:t>
      </w:r>
      <w:r>
        <w:rPr>
          <w:rFonts w:hint="eastAsia" w:asciiTheme="minorEastAsia" w:hAnsiTheme="minorEastAsia" w:eastAsiaTheme="minorEastAsia" w:cstheme="minorEastAsia"/>
        </w:rPr>
        <w:t>规定的</w:t>
      </w:r>
      <w:r>
        <w:rPr>
          <w:rFonts w:hint="eastAsia" w:asciiTheme="minorEastAsia" w:hAnsiTheme="minorEastAsia" w:eastAsiaTheme="minorEastAsia" w:cstheme="minorEastAsia"/>
          <w:bCs/>
        </w:rPr>
        <w:t>响应文件有效期一致。</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19.2</w:t>
      </w:r>
      <w:r>
        <w:rPr>
          <w:rFonts w:hint="eastAsia" w:asciiTheme="minorEastAsia" w:hAnsiTheme="minorEastAsia" w:eastAsiaTheme="minorEastAsia" w:cstheme="minorEastAsia"/>
          <w:kern w:val="0"/>
          <w:szCs w:val="21"/>
          <w:lang w:val="zh-CN"/>
        </w:rPr>
        <w:t>供应商为联合体的，可以由联合体中的一方或者共同交纳磋商保证金，其交纳的磋商保证金，对联合体各方均具有约束力。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19.3供应商未按照磋商文件要求提交磋商保证金的，响应无效。</w:t>
      </w:r>
    </w:p>
    <w:p>
      <w:pPr>
        <w:pStyle w:val="25"/>
        <w:tabs>
          <w:tab w:val="left" w:pos="6300"/>
        </w:tabs>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19.4采购代理机构在成交通知书发出后5个工作日内退还未成交供应商的磋商保证金；在采购合同签定后5个工作日内退还成交供应商的磋商保证金，但因供应商自身原因导致无法及时退还的除外。</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 xml:space="preserve">19.5 </w:t>
      </w:r>
      <w:r>
        <w:rPr>
          <w:rFonts w:hint="eastAsia" w:asciiTheme="minorEastAsia" w:hAnsiTheme="minorEastAsia" w:eastAsiaTheme="minorEastAsia" w:cstheme="minorEastAsia"/>
          <w:kern w:val="0"/>
        </w:rPr>
        <w:t>有下列情形之一的，磋商保证金不予退还，并上缴本级财政国库：</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（1）供应商在提交首次响应文件截止时间后撤回响应文件的；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（2）供应商在响应文件中提供虚假资料的；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rPr>
        <w:t>（3）</w:t>
      </w:r>
      <w:r>
        <w:rPr>
          <w:rFonts w:hint="eastAsia" w:asciiTheme="minorEastAsia" w:hAnsiTheme="minorEastAsia" w:eastAsiaTheme="minorEastAsia" w:cstheme="minorEastAsia"/>
        </w:rPr>
        <w:t>确定成交结果后，无正当理由放弃成交资格的；</w:t>
      </w:r>
    </w:p>
    <w:p>
      <w:pPr>
        <w:widowControl/>
        <w:adjustRightInd w:val="0"/>
        <w:snapToGrid w:val="0"/>
        <w:spacing w:line="360" w:lineRule="auto"/>
        <w:ind w:firstLine="525" w:firstLineChars="25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 除因不可抗力或磋商文件认可的情形以外，成交供应商不与采购人签订合同的；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（5）供应商与采购人、其他供应商或者采购代理机构恶意串通的；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（6）磋商文件规定的其他情形。</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20.</w:t>
      </w:r>
      <w:r>
        <w:rPr>
          <w:rFonts w:hint="eastAsia" w:asciiTheme="minorEastAsia" w:hAnsiTheme="minorEastAsia" w:eastAsiaTheme="minorEastAsia" w:cstheme="minorEastAsia"/>
          <w:b/>
        </w:rPr>
        <w:t>响应文件</w:t>
      </w:r>
      <w:r>
        <w:rPr>
          <w:rFonts w:hint="eastAsia" w:asciiTheme="minorEastAsia" w:hAnsiTheme="minorEastAsia" w:eastAsiaTheme="minorEastAsia" w:cstheme="minorEastAsia"/>
          <w:b/>
          <w:szCs w:val="21"/>
        </w:rPr>
        <w:t>有效期</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20.1响应文件</w:t>
      </w:r>
      <w:r>
        <w:rPr>
          <w:rFonts w:hint="eastAsia" w:asciiTheme="minorEastAsia" w:hAnsiTheme="minorEastAsia" w:eastAsiaTheme="minorEastAsia" w:cstheme="minorEastAsia"/>
          <w:szCs w:val="21"/>
        </w:rPr>
        <w:t>有效期见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，在此期间</w:t>
      </w:r>
      <w:r>
        <w:rPr>
          <w:rFonts w:hint="eastAsia" w:asciiTheme="minorEastAsia" w:hAnsiTheme="minorEastAsia" w:eastAsiaTheme="minorEastAsia" w:cstheme="minorEastAsia"/>
        </w:rPr>
        <w:t>响应</w:t>
      </w:r>
      <w:r>
        <w:rPr>
          <w:rFonts w:hint="eastAsia" w:asciiTheme="minorEastAsia" w:hAnsiTheme="minorEastAsia" w:eastAsiaTheme="minorEastAsia" w:cstheme="minorEastAsia"/>
          <w:szCs w:val="21"/>
        </w:rPr>
        <w:t>文件对供应商具有法律约束力，</w:t>
      </w:r>
      <w:r>
        <w:rPr>
          <w:rFonts w:hint="eastAsia" w:asciiTheme="minorEastAsia" w:hAnsiTheme="minorEastAsia" w:eastAsiaTheme="minorEastAsia" w:cstheme="minorEastAsia"/>
        </w:rPr>
        <w:t>从</w:t>
      </w:r>
      <w:r>
        <w:rPr>
          <w:rFonts w:hint="eastAsia" w:asciiTheme="minorEastAsia" w:hAnsiTheme="minorEastAsia" w:eastAsiaTheme="minorEastAsia" w:cstheme="minorEastAsia"/>
          <w:kern w:val="0"/>
          <w:szCs w:val="21"/>
        </w:rPr>
        <w:t>提交首次响应文件截止时间</w:t>
      </w:r>
      <w:r>
        <w:rPr>
          <w:rFonts w:hint="eastAsia" w:asciiTheme="minorEastAsia" w:hAnsiTheme="minorEastAsia" w:eastAsiaTheme="minorEastAsia" w:cstheme="minorEastAsia"/>
        </w:rPr>
        <w:t>之日起计算。响应文件有效期不足的将被视为无效响应。</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21.响应文件的签署及规定</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21.1响应文件的正本和副本应胶装成册，正本一份，副本份数见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。正本和副本的封面上应标记“正本”或“副本”的字样，当正本和副本有差异时，以正本为准。</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21.2 响应文件正本和副本应按磋商文件要求签章处盖单位章和由法定代表人或其委托代理人签字；任何加行、涂改、增删，应有法定代表人或其委托代理人在旁边签字。否则，将导致响应文件无效。</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21.3 在磋商过程中，供应商按磋商文件规定和磋商小组要求</w:t>
      </w:r>
      <w:r>
        <w:rPr>
          <w:rFonts w:hint="eastAsia" w:asciiTheme="minorEastAsia" w:hAnsiTheme="minorEastAsia" w:eastAsiaTheme="minorEastAsia" w:cstheme="minorEastAsia"/>
          <w:kern w:val="0"/>
        </w:rPr>
        <w:t>提交的</w:t>
      </w:r>
      <w:r>
        <w:rPr>
          <w:rFonts w:hint="eastAsia" w:asciiTheme="minorEastAsia" w:hAnsiTheme="minorEastAsia" w:eastAsiaTheme="minorEastAsia" w:cstheme="minorEastAsia"/>
        </w:rPr>
        <w:t>最后报价(或者</w:t>
      </w:r>
      <w:r>
        <w:rPr>
          <w:rFonts w:hint="eastAsia" w:asciiTheme="minorEastAsia" w:hAnsiTheme="minorEastAsia" w:eastAsiaTheme="minorEastAsia" w:cstheme="minorEastAsia"/>
          <w:bCs/>
        </w:rPr>
        <w:t>重</w:t>
      </w:r>
      <w:r>
        <w:rPr>
          <w:rFonts w:hint="eastAsia" w:asciiTheme="minorEastAsia" w:hAnsiTheme="minorEastAsia" w:eastAsiaTheme="minorEastAsia" w:cstheme="minorEastAsia"/>
          <w:kern w:val="0"/>
        </w:rPr>
        <w:t>新提交的响应文件和</w:t>
      </w:r>
      <w:r>
        <w:rPr>
          <w:rFonts w:hint="eastAsia" w:asciiTheme="minorEastAsia" w:hAnsiTheme="minorEastAsia" w:eastAsiaTheme="minorEastAsia" w:cstheme="minorEastAsia"/>
        </w:rPr>
        <w:t>最后报价)，一式两份，可打印或用不退色墨水书写，但需经法定代表人或其委托代理人签字，</w:t>
      </w:r>
      <w:r>
        <w:rPr>
          <w:rFonts w:hint="eastAsia" w:asciiTheme="minorEastAsia" w:hAnsiTheme="minorEastAsia" w:eastAsiaTheme="minorEastAsia" w:cstheme="minorEastAsia"/>
          <w:kern w:val="0"/>
        </w:rPr>
        <w:t>或者加盖供应商单位章</w:t>
      </w:r>
      <w:r>
        <w:rPr>
          <w:rFonts w:hint="eastAsia" w:asciiTheme="minorEastAsia" w:hAnsiTheme="minorEastAsia" w:eastAsiaTheme="minorEastAsia" w:cstheme="minorEastAsia"/>
        </w:rPr>
        <w:t>。否则，将导致响应文件无效。</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四、响应文件的递交</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22.</w:t>
      </w:r>
      <w:r>
        <w:rPr>
          <w:rFonts w:hint="eastAsia" w:asciiTheme="minorEastAsia" w:hAnsiTheme="minorEastAsia" w:eastAsiaTheme="minorEastAsia" w:cstheme="minorEastAsia"/>
          <w:b/>
          <w:szCs w:val="21"/>
        </w:rPr>
        <w:t>响应文件</w:t>
      </w:r>
      <w:r>
        <w:rPr>
          <w:rFonts w:hint="eastAsia" w:asciiTheme="minorEastAsia" w:hAnsiTheme="minorEastAsia" w:eastAsiaTheme="minorEastAsia" w:cstheme="minorEastAsia"/>
          <w:b/>
          <w:bCs/>
          <w:szCs w:val="21"/>
        </w:rPr>
        <w:t>的密封和标记</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22.1响应文件应密封包装，加贴封条，并在封套的封口处盖供应商单位章或者由法定代表人或其委托代理人签字。</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22.2响应文件封套上应写明的内容见</w:t>
      </w:r>
      <w:r>
        <w:rPr>
          <w:rFonts w:hint="eastAsia" w:asciiTheme="minorEastAsia" w:hAnsiTheme="minorEastAsia" w:eastAsiaTheme="minorEastAsia" w:cstheme="minorEastAsia"/>
          <w:b/>
          <w:szCs w:val="21"/>
        </w:rPr>
        <w:t>磋商须知前附表。</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22.3响应文件如果未按上述规定密封和加写标记，采购人或采购代理机构将拒绝接收。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23.响应文件的</w:t>
      </w:r>
      <w:r>
        <w:rPr>
          <w:rFonts w:hint="eastAsia" w:asciiTheme="minorEastAsia" w:hAnsiTheme="minorEastAsia" w:eastAsiaTheme="minorEastAsia" w:cstheme="minorEastAsia"/>
          <w:b/>
          <w:kern w:val="0"/>
          <w:szCs w:val="21"/>
          <w:lang w:val="zh-CN"/>
        </w:rPr>
        <w:t>补充、修改或者撤回</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23.1</w:t>
      </w:r>
      <w:r>
        <w:rPr>
          <w:rFonts w:hint="eastAsia" w:asciiTheme="minorEastAsia" w:hAnsiTheme="minorEastAsia" w:eastAsiaTheme="minorEastAsia" w:cstheme="minorEastAsia"/>
          <w:kern w:val="0"/>
        </w:rPr>
        <w:t>供应商在提交首次响应文件截止时间前，可以对所提交的首次响应文件进行补充、修改或者撤回，并书面通知采购人、采购代理机构。</w:t>
      </w:r>
      <w:r>
        <w:rPr>
          <w:rFonts w:hint="eastAsia" w:asciiTheme="minorEastAsia" w:hAnsiTheme="minorEastAsia" w:eastAsiaTheme="minorEastAsia" w:cstheme="minorEastAsia"/>
        </w:rPr>
        <w:t>该通知应有供应商法定代表人或其委托代理人签字。</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23.2</w:t>
      </w:r>
      <w:r>
        <w:rPr>
          <w:rFonts w:hint="eastAsia" w:asciiTheme="minorEastAsia" w:hAnsiTheme="minorEastAsia" w:eastAsiaTheme="minorEastAsia" w:cstheme="minorEastAsia"/>
          <w:kern w:val="0"/>
          <w:lang w:val="zh-CN"/>
        </w:rPr>
        <w:t>补充、修改的内容与响应文件不一致时，以补充、修改的内容为准。</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24.响应文件的递交与接收</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 供应商应在</w:t>
      </w:r>
      <w:r>
        <w:rPr>
          <w:rFonts w:hint="eastAsia" w:asciiTheme="minorEastAsia" w:hAnsiTheme="minorEastAsia" w:eastAsiaTheme="minorEastAsia" w:cstheme="minorEastAsia"/>
          <w:kern w:val="0"/>
          <w:szCs w:val="21"/>
        </w:rPr>
        <w:t>提交首次响应文件截止时间</w:t>
      </w:r>
      <w:r>
        <w:rPr>
          <w:rFonts w:hint="eastAsia" w:asciiTheme="minorEastAsia" w:hAnsiTheme="minorEastAsia" w:eastAsiaTheme="minorEastAsia" w:cstheme="minorEastAsia"/>
          <w:szCs w:val="21"/>
        </w:rPr>
        <w:t>前，将响应文件送达</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中指定的地点。</w:t>
      </w:r>
      <w:r>
        <w:rPr>
          <w:rFonts w:hint="eastAsia" w:asciiTheme="minorEastAsia" w:hAnsiTheme="minorEastAsia" w:eastAsiaTheme="minorEastAsia" w:cstheme="minorEastAsia"/>
          <w:kern w:val="0"/>
        </w:rPr>
        <w:t>在截止时间后送达的响应文件，采购人、采购代理机构或者磋商小组应当拒收。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24.2</w:t>
      </w:r>
      <w:r>
        <w:rPr>
          <w:rFonts w:hint="eastAsia" w:asciiTheme="minorEastAsia" w:hAnsiTheme="minorEastAsia" w:eastAsiaTheme="minorEastAsia" w:cstheme="minorEastAsia"/>
          <w:kern w:val="0"/>
        </w:rPr>
        <w:t>在提交首次响应文件截止时间后，</w:t>
      </w:r>
      <w:r>
        <w:rPr>
          <w:rFonts w:hint="eastAsia" w:asciiTheme="minorEastAsia" w:hAnsiTheme="minorEastAsia" w:eastAsiaTheme="minorEastAsia" w:cstheme="minorEastAsia"/>
        </w:rPr>
        <w:t>由</w:t>
      </w:r>
      <w:r>
        <w:rPr>
          <w:rFonts w:hint="eastAsia" w:asciiTheme="minorEastAsia" w:hAnsiTheme="minorEastAsia" w:eastAsiaTheme="minorEastAsia" w:cstheme="minorEastAsia"/>
          <w:bCs/>
        </w:rPr>
        <w:t>供应商代表</w:t>
      </w:r>
      <w:r>
        <w:rPr>
          <w:rFonts w:hint="eastAsia" w:asciiTheme="minorEastAsia" w:hAnsiTheme="minorEastAsia" w:eastAsiaTheme="minorEastAsia" w:cstheme="minorEastAsia"/>
        </w:rPr>
        <w:t>当场查验</w:t>
      </w:r>
      <w:r>
        <w:rPr>
          <w:rFonts w:hint="eastAsia" w:asciiTheme="minorEastAsia" w:hAnsiTheme="minorEastAsia" w:eastAsiaTheme="minorEastAsia" w:cstheme="minorEastAsia"/>
          <w:bCs/>
        </w:rPr>
        <w:t>响应文件</w:t>
      </w:r>
      <w:r>
        <w:rPr>
          <w:rFonts w:hint="eastAsia" w:asciiTheme="minorEastAsia" w:hAnsiTheme="minorEastAsia" w:eastAsiaTheme="minorEastAsia" w:cstheme="minorEastAsia"/>
        </w:rPr>
        <w:t>的密封状况，采购人或</w:t>
      </w:r>
      <w:r>
        <w:rPr>
          <w:rFonts w:hint="eastAsia" w:asciiTheme="minorEastAsia" w:hAnsiTheme="minorEastAsia" w:eastAsiaTheme="minorEastAsia" w:cstheme="minorEastAsia"/>
          <w:bCs/>
        </w:rPr>
        <w:t>采购代理机构</w:t>
      </w:r>
      <w:r>
        <w:rPr>
          <w:rFonts w:hint="eastAsia" w:asciiTheme="minorEastAsia" w:hAnsiTheme="minorEastAsia" w:eastAsiaTheme="minorEastAsia" w:cstheme="minorEastAsia"/>
        </w:rPr>
        <w:t>不当场拆封</w:t>
      </w:r>
      <w:r>
        <w:rPr>
          <w:rFonts w:hint="eastAsia" w:asciiTheme="minorEastAsia" w:hAnsiTheme="minorEastAsia" w:eastAsiaTheme="minorEastAsia" w:cstheme="minorEastAsia"/>
          <w:bCs/>
        </w:rPr>
        <w:t>响应文件</w:t>
      </w:r>
      <w:r>
        <w:rPr>
          <w:rFonts w:hint="eastAsia" w:asciiTheme="minorEastAsia" w:hAnsiTheme="minorEastAsia" w:eastAsiaTheme="minorEastAsia" w:cstheme="minorEastAsia"/>
        </w:rPr>
        <w:t>。</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五、响应文件的磋商与评审</w:t>
      </w:r>
    </w:p>
    <w:p>
      <w:pPr>
        <w:tabs>
          <w:tab w:val="left" w:pos="0"/>
        </w:tabs>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25.磋商程序</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25.1磋商程序：响应文件审查、磋商（包括澄清）、响应文件评审、</w:t>
      </w:r>
      <w:r>
        <w:rPr>
          <w:rFonts w:hint="eastAsia" w:asciiTheme="minorEastAsia" w:hAnsiTheme="minorEastAsia" w:eastAsiaTheme="minorEastAsia" w:cstheme="minorEastAsia"/>
          <w:bCs/>
          <w:szCs w:val="21"/>
        </w:rPr>
        <w:t>提出成交供应商。其中，</w:t>
      </w:r>
      <w:r>
        <w:rPr>
          <w:rFonts w:hint="eastAsia" w:asciiTheme="minorEastAsia" w:hAnsiTheme="minorEastAsia" w:eastAsiaTheme="minorEastAsia" w:cstheme="minorEastAsia"/>
          <w:kern w:val="0"/>
          <w:szCs w:val="21"/>
        </w:rPr>
        <w:t>磋商按</w:t>
      </w:r>
      <w:r>
        <w:rPr>
          <w:rFonts w:hint="eastAsia" w:asciiTheme="minorEastAsia" w:hAnsiTheme="minorEastAsia" w:eastAsiaTheme="minorEastAsia" w:cstheme="minorEastAsia"/>
          <w:szCs w:val="21"/>
        </w:rPr>
        <w:t>本章</w:t>
      </w:r>
      <w:r>
        <w:rPr>
          <w:rFonts w:hint="eastAsia" w:asciiTheme="minorEastAsia" w:hAnsiTheme="minorEastAsia" w:eastAsiaTheme="minorEastAsia" w:cstheme="minorEastAsia"/>
        </w:rPr>
        <w:t>第30.1</w:t>
      </w:r>
      <w:r>
        <w:rPr>
          <w:rFonts w:hint="eastAsia" w:asciiTheme="minorEastAsia" w:hAnsiTheme="minorEastAsia" w:eastAsiaTheme="minorEastAsia" w:cstheme="minorEastAsia"/>
          <w:kern w:val="0"/>
          <w:szCs w:val="21"/>
          <w:lang w:val="zh-CN"/>
        </w:rPr>
        <w:t>款或者</w:t>
      </w:r>
      <w:r>
        <w:rPr>
          <w:rFonts w:hint="eastAsia" w:asciiTheme="minorEastAsia" w:hAnsiTheme="minorEastAsia" w:eastAsiaTheme="minorEastAsia" w:cstheme="minorEastAsia"/>
        </w:rPr>
        <w:t>第30.2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情形</w:t>
      </w:r>
      <w:r>
        <w:rPr>
          <w:rFonts w:hint="eastAsia" w:asciiTheme="minorEastAsia" w:hAnsiTheme="minorEastAsia" w:eastAsiaTheme="minorEastAsia" w:cstheme="minorEastAsia"/>
          <w:bCs/>
          <w:szCs w:val="21"/>
        </w:rPr>
        <w:t>进行。</w:t>
      </w:r>
    </w:p>
    <w:p>
      <w:pPr>
        <w:widowControl/>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kern w:val="0"/>
          <w:szCs w:val="21"/>
        </w:rPr>
        <w:t>26.响应文件审查</w:t>
      </w:r>
    </w:p>
    <w:p>
      <w:pPr>
        <w:adjustRightInd w:val="0"/>
        <w:snapToGrid w:val="0"/>
        <w:spacing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26.1 资格性审查：根据本章第3.1项规定的供应商资格条件要求，对</w:t>
      </w:r>
      <w:r>
        <w:rPr>
          <w:rFonts w:hint="eastAsia" w:asciiTheme="minorEastAsia" w:hAnsiTheme="minorEastAsia" w:eastAsiaTheme="minorEastAsia" w:cstheme="minorEastAsia"/>
        </w:rPr>
        <w:t>响应</w:t>
      </w:r>
      <w:r>
        <w:rPr>
          <w:rFonts w:hint="eastAsia" w:asciiTheme="minorEastAsia" w:hAnsiTheme="minorEastAsia" w:eastAsiaTheme="minorEastAsia" w:cstheme="minorEastAsia"/>
          <w:szCs w:val="21"/>
        </w:rPr>
        <w:t>文件的资格证明等进行审查，以确定供应商是否具备磋商资格条件。</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26.2符合性审查: 对响应文件(包括首次提交的响应文件、重新提交的响应文件)的有效性、完整性和响应程度进行审查，以确定是否对磋商文件的实质性要求作出响应。</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26.3响应文件审查结束后，磋商小组所有成员集中与单一供应商分别进行磋商，并给予所有参加磋商的供应商平等的磋商机会。供应商应派其法定代表人或委托代理人参加磋商。</w:t>
      </w:r>
    </w:p>
    <w:p>
      <w:pPr>
        <w:pStyle w:val="25"/>
        <w:adjustRightInd w:val="0"/>
        <w:snapToGrid w:val="0"/>
        <w:spacing w:line="360" w:lineRule="auto"/>
        <w:rPr>
          <w:rFonts w:asciiTheme="minorEastAsia" w:hAnsiTheme="minorEastAsia" w:eastAsiaTheme="minorEastAsia" w:cstheme="minorEastAsia"/>
          <w:b/>
          <w:kern w:val="0"/>
        </w:rPr>
      </w:pPr>
      <w:r>
        <w:rPr>
          <w:rFonts w:hint="eastAsia" w:asciiTheme="minorEastAsia" w:hAnsiTheme="minorEastAsia" w:eastAsiaTheme="minorEastAsia" w:cstheme="minorEastAsia"/>
          <w:b/>
          <w:kern w:val="0"/>
        </w:rPr>
        <w:t>27.实质性响应</w:t>
      </w:r>
    </w:p>
    <w:p>
      <w:pPr>
        <w:pStyle w:val="25"/>
        <w:adjustRightInd w:val="0"/>
        <w:snapToGrid w:val="0"/>
        <w:spacing w:line="360" w:lineRule="auto"/>
        <w:ind w:firstLine="420" w:firstLineChars="200"/>
        <w:rPr>
          <w:rFonts w:asciiTheme="minorEastAsia" w:hAnsiTheme="minorEastAsia" w:eastAsiaTheme="minorEastAsia" w:cstheme="minorEastAsia"/>
          <w:kern w:val="0"/>
          <w:u w:val="single"/>
        </w:rPr>
      </w:pPr>
      <w:r>
        <w:rPr>
          <w:rFonts w:hint="eastAsia" w:asciiTheme="minorEastAsia" w:hAnsiTheme="minorEastAsia" w:eastAsiaTheme="minorEastAsia" w:cstheme="minorEastAsia"/>
          <w:kern w:val="0"/>
        </w:rPr>
        <w:t>27.1</w:t>
      </w:r>
      <w:r>
        <w:rPr>
          <w:rFonts w:hint="eastAsia" w:asciiTheme="minorEastAsia" w:hAnsiTheme="minorEastAsia" w:eastAsiaTheme="minorEastAsia" w:cstheme="minorEastAsia"/>
        </w:rPr>
        <w:t>实质性响应是指响应文件(包括首次响应文件、重新提交的响应文件)与磋商文件要求的所有条款、条件和规格相符，没有偏离。偏离指不满足、或不响应磋商文件的要求。</w:t>
      </w:r>
    </w:p>
    <w:p>
      <w:pPr>
        <w:tabs>
          <w:tab w:val="left" w:pos="0"/>
          <w:tab w:val="left" w:pos="7560"/>
          <w:tab w:val="left" w:pos="7740"/>
          <w:tab w:val="left" w:pos="7920"/>
        </w:tabs>
        <w:adjustRightInd w:val="0"/>
        <w:snapToGrid w:val="0"/>
        <w:spacing w:line="360" w:lineRule="auto"/>
        <w:ind w:right="23" w:rightChars="1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27.2</w:t>
      </w:r>
      <w:r>
        <w:rPr>
          <w:rFonts w:hint="eastAsia" w:asciiTheme="minorEastAsia" w:hAnsiTheme="minorEastAsia" w:eastAsiaTheme="minorEastAsia" w:cstheme="minorEastAsia"/>
        </w:rPr>
        <w:t>响应文件是否实质性响应磋商文件要求由磋商小组依据磋商文件规定认定。</w:t>
      </w:r>
      <w:r>
        <w:rPr>
          <w:rFonts w:hint="eastAsia" w:asciiTheme="minorEastAsia" w:hAnsiTheme="minorEastAsia" w:eastAsiaTheme="minorEastAsia" w:cstheme="minorEastAsia"/>
          <w:kern w:val="0"/>
          <w:szCs w:val="21"/>
        </w:rPr>
        <w:t>磋商小组</w:t>
      </w:r>
      <w:r>
        <w:rPr>
          <w:rFonts w:hint="eastAsia" w:asciiTheme="minorEastAsia" w:hAnsiTheme="minorEastAsia" w:eastAsiaTheme="minorEastAsia" w:cstheme="minorEastAsia"/>
          <w:szCs w:val="21"/>
        </w:rPr>
        <w:t>决定</w:t>
      </w:r>
      <w:r>
        <w:rPr>
          <w:rFonts w:hint="eastAsia" w:asciiTheme="minorEastAsia" w:hAnsiTheme="minorEastAsia" w:eastAsiaTheme="minorEastAsia" w:cstheme="minorEastAsia"/>
        </w:rPr>
        <w:t>响应文件</w:t>
      </w:r>
      <w:r>
        <w:rPr>
          <w:rFonts w:hint="eastAsia" w:asciiTheme="minorEastAsia" w:hAnsiTheme="minorEastAsia" w:eastAsiaTheme="minorEastAsia" w:cstheme="minorEastAsia"/>
          <w:szCs w:val="21"/>
        </w:rPr>
        <w:t>的响应性只根据</w:t>
      </w:r>
      <w:r>
        <w:rPr>
          <w:rFonts w:hint="eastAsia" w:asciiTheme="minorEastAsia" w:hAnsiTheme="minorEastAsia" w:eastAsiaTheme="minorEastAsia" w:cstheme="minorEastAsia"/>
        </w:rPr>
        <w:t>响应文件</w:t>
      </w:r>
      <w:r>
        <w:rPr>
          <w:rFonts w:hint="eastAsia" w:asciiTheme="minorEastAsia" w:hAnsiTheme="minorEastAsia" w:eastAsiaTheme="minorEastAsia" w:cstheme="minorEastAsia"/>
          <w:szCs w:val="21"/>
        </w:rPr>
        <w:t>本身的真实无误的内容，而不依据外部的证据。</w:t>
      </w:r>
    </w:p>
    <w:p>
      <w:pPr>
        <w:pStyle w:val="25"/>
        <w:adjustRightInd w:val="0"/>
        <w:snapToGrid w:val="0"/>
        <w:spacing w:line="360" w:lineRule="auto"/>
        <w:rPr>
          <w:rFonts w:asciiTheme="minorEastAsia" w:hAnsiTheme="minorEastAsia" w:eastAsiaTheme="minorEastAsia" w:cstheme="minorEastAsia"/>
          <w:b/>
          <w:kern w:val="0"/>
        </w:rPr>
      </w:pPr>
      <w:r>
        <w:rPr>
          <w:rFonts w:hint="eastAsia" w:asciiTheme="minorEastAsia" w:hAnsiTheme="minorEastAsia" w:eastAsiaTheme="minorEastAsia" w:cstheme="minorEastAsia"/>
          <w:b/>
          <w:kern w:val="0"/>
        </w:rPr>
        <w:t xml:space="preserve">28.无效响应 </w:t>
      </w:r>
    </w:p>
    <w:p>
      <w:pPr>
        <w:pStyle w:val="25"/>
        <w:adjustRightInd w:val="0"/>
        <w:snapToGrid w:val="0"/>
        <w:spacing w:line="360" w:lineRule="auto"/>
        <w:ind w:firstLine="411" w:firstLineChars="196"/>
        <w:rPr>
          <w:rFonts w:asciiTheme="minorEastAsia" w:hAnsiTheme="minorEastAsia" w:eastAsiaTheme="minorEastAsia" w:cstheme="minorEastAsia"/>
          <w:b/>
          <w:kern w:val="0"/>
        </w:rPr>
      </w:pPr>
      <w:r>
        <w:rPr>
          <w:rFonts w:hint="eastAsia" w:asciiTheme="minorEastAsia" w:hAnsiTheme="minorEastAsia" w:eastAsiaTheme="minorEastAsia" w:cstheme="minorEastAsia"/>
          <w:kern w:val="0"/>
        </w:rPr>
        <w:t>28.1</w:t>
      </w:r>
      <w:r>
        <w:rPr>
          <w:rFonts w:hint="eastAsia" w:asciiTheme="minorEastAsia" w:hAnsiTheme="minorEastAsia" w:eastAsiaTheme="minorEastAsia" w:cstheme="minorEastAsia"/>
        </w:rPr>
        <w:t>磋商小组在对资格性和符合性进行审查时，有下列情况之一的，属无效响应，</w:t>
      </w:r>
      <w:r>
        <w:rPr>
          <w:rFonts w:hint="eastAsia" w:asciiTheme="minorEastAsia" w:hAnsiTheme="minorEastAsia" w:eastAsiaTheme="minorEastAsia" w:cstheme="minorEastAsia"/>
          <w:kern w:val="0"/>
        </w:rPr>
        <w:t>磋商小组应当告知有关供应商</w:t>
      </w:r>
      <w:r>
        <w:rPr>
          <w:rFonts w:hint="eastAsia" w:asciiTheme="minorEastAsia" w:hAnsiTheme="minorEastAsia" w:eastAsiaTheme="minorEastAsia" w:cstheme="minorEastAsia"/>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（1）供应商不具备本章第3.1款规定的供应商资格条件要求，或存在本章第3.3款情形的；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（2）联合体不符合本章第3.2款规定的；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（3）应交未交磋商保证金或金额不足、磋商保证金缴纳形式不符合磋商文件要求的；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（4）响应文件未按照磋商文件要求签署、盖章的；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（4）响应文件不满足本章第27.1款规定的实质性要求的；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（5）报价超过采购项目预算的；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（6）响应文件有效期不足的；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（7）响应文件不符合法律、规章、规范性文件和磋商文件规定及要求的。</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29.澄清</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30.磋商</w:t>
      </w:r>
    </w:p>
    <w:p>
      <w:pPr>
        <w:widowControl/>
        <w:adjustRightInd w:val="0"/>
        <w:snapToGrid w:val="0"/>
        <w:spacing w:line="360" w:lineRule="auto"/>
        <w:ind w:firstLine="42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rPr>
        <w:t>30.1</w:t>
      </w:r>
      <w:r>
        <w:rPr>
          <w:rFonts w:hint="eastAsia" w:asciiTheme="minorEastAsia" w:hAnsiTheme="minorEastAsia" w:eastAsiaTheme="minorEastAsia" w:cstheme="minorEastAsia"/>
        </w:rPr>
        <w:t>本章第10.2项</w:t>
      </w:r>
      <w:r>
        <w:rPr>
          <w:rFonts w:hint="eastAsia" w:asciiTheme="minorEastAsia" w:hAnsiTheme="minorEastAsia" w:eastAsiaTheme="minorEastAsia" w:cstheme="minorEastAsia"/>
          <w:kern w:val="0"/>
          <w:szCs w:val="21"/>
        </w:rPr>
        <w:t>未明确磋商文件实质性变动内容的，或者磋商文件明确了可能发生实质性变动内容，但在磋商过程中，</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根据磋商情况</w:t>
      </w:r>
      <w:r>
        <w:rPr>
          <w:rFonts w:hint="eastAsia" w:asciiTheme="minorEastAsia" w:hAnsiTheme="minorEastAsia" w:eastAsiaTheme="minorEastAsia" w:cstheme="minorEastAsia"/>
          <w:bCs/>
          <w:szCs w:val="21"/>
        </w:rPr>
        <w:t>认为</w:t>
      </w:r>
      <w:r>
        <w:rPr>
          <w:rFonts w:hint="eastAsia" w:asciiTheme="minorEastAsia" w:hAnsiTheme="minorEastAsia" w:eastAsiaTheme="minorEastAsia" w:cstheme="minorEastAsia"/>
          <w:kern w:val="0"/>
          <w:szCs w:val="21"/>
        </w:rPr>
        <w:t>磋商文件无需发生实质性变动的，磋商小组应当直接与响应文件审查合格的供应商就价格组织多轮磋商。</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（1）磋商结束后，磋商小组应当要求所有继续参加磋商的供应商在磋商小组规定时间内提交最后报价。</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（2）磋商文件明确可能发生实质性变动，但在磋商过程中</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根据磋商情况</w:t>
      </w:r>
      <w:r>
        <w:rPr>
          <w:rFonts w:hint="eastAsia" w:asciiTheme="minorEastAsia" w:hAnsiTheme="minorEastAsia" w:eastAsiaTheme="minorEastAsia" w:cstheme="minorEastAsia"/>
          <w:bCs/>
          <w:szCs w:val="21"/>
        </w:rPr>
        <w:t>认为</w:t>
      </w:r>
      <w:r>
        <w:rPr>
          <w:rFonts w:hint="eastAsia" w:asciiTheme="minorEastAsia" w:hAnsiTheme="minorEastAsia" w:eastAsiaTheme="minorEastAsia" w:cstheme="minorEastAsia"/>
          <w:kern w:val="0"/>
          <w:szCs w:val="21"/>
        </w:rPr>
        <w:t>磋商文件无需发生实质性变动的，磋商小组不另行通知。</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30.2</w:t>
      </w:r>
      <w:r>
        <w:rPr>
          <w:rFonts w:hint="eastAsia" w:asciiTheme="minorEastAsia" w:hAnsiTheme="minorEastAsia" w:eastAsiaTheme="minorEastAsia" w:cstheme="minorEastAsia"/>
        </w:rPr>
        <w:t>本章第10.2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kern w:val="0"/>
          <w:szCs w:val="21"/>
        </w:rPr>
        <w:t>明确磋商文件实质性变动内容的，</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可以组织多轮磋商。</w:t>
      </w:r>
      <w:r>
        <w:rPr>
          <w:rFonts w:hint="eastAsia" w:asciiTheme="minorEastAsia" w:hAnsiTheme="minorEastAsia" w:eastAsiaTheme="minorEastAsia" w:cstheme="minorEastAsia"/>
          <w:bCs/>
          <w:szCs w:val="21"/>
        </w:rPr>
        <w:t>在每一轮磋商中，磋商小组</w:t>
      </w:r>
      <w:r>
        <w:rPr>
          <w:rFonts w:hint="eastAsia" w:asciiTheme="minorEastAsia" w:hAnsiTheme="minorEastAsia" w:eastAsiaTheme="minorEastAsia" w:cstheme="minorEastAsia"/>
          <w:kern w:val="0"/>
          <w:szCs w:val="21"/>
        </w:rPr>
        <w:t>可以根据磋商文件规定和磋商情况，</w:t>
      </w:r>
      <w:r>
        <w:rPr>
          <w:rFonts w:hint="eastAsia" w:asciiTheme="minorEastAsia" w:hAnsiTheme="minorEastAsia" w:eastAsiaTheme="minorEastAsia" w:cstheme="minorEastAsia"/>
          <w:bCs/>
          <w:szCs w:val="21"/>
        </w:rPr>
        <w:t>对磋商文件的</w:t>
      </w:r>
      <w:r>
        <w:rPr>
          <w:rFonts w:hint="eastAsia" w:asciiTheme="minorEastAsia" w:hAnsiTheme="minorEastAsia" w:eastAsiaTheme="minorEastAsia" w:cstheme="minorEastAsia"/>
          <w:kern w:val="0"/>
          <w:szCs w:val="21"/>
        </w:rPr>
        <w:t>采购需求中的技术、服务要求以及合同草案条款</w:t>
      </w:r>
      <w:r>
        <w:rPr>
          <w:rFonts w:hint="eastAsia" w:asciiTheme="minorEastAsia" w:hAnsiTheme="minorEastAsia" w:eastAsiaTheme="minorEastAsia" w:cstheme="minorEastAsia"/>
          <w:bCs/>
          <w:szCs w:val="21"/>
        </w:rPr>
        <w:t>作实质性变动(磋商文件的实质性变动内容为磋商文件的组成部分)，并以书面形式要求</w:t>
      </w:r>
      <w:r>
        <w:rPr>
          <w:rFonts w:hint="eastAsia" w:asciiTheme="minorEastAsia" w:hAnsiTheme="minorEastAsia" w:eastAsiaTheme="minorEastAsia" w:cstheme="minorEastAsia"/>
          <w:kern w:val="0"/>
          <w:szCs w:val="21"/>
        </w:rPr>
        <w:t>响应文件审查合格</w:t>
      </w:r>
      <w:r>
        <w:rPr>
          <w:rFonts w:hint="eastAsia" w:asciiTheme="minorEastAsia" w:hAnsiTheme="minorEastAsia" w:eastAsiaTheme="minorEastAsia" w:cstheme="minorEastAsia"/>
          <w:bCs/>
          <w:szCs w:val="21"/>
        </w:rPr>
        <w:t>的供应商，在规定的</w:t>
      </w:r>
      <w:r>
        <w:rPr>
          <w:rFonts w:hint="eastAsia" w:asciiTheme="minorEastAsia" w:hAnsiTheme="minorEastAsia" w:eastAsiaTheme="minorEastAsia" w:cstheme="minorEastAsia"/>
          <w:kern w:val="0"/>
          <w:szCs w:val="21"/>
        </w:rPr>
        <w:t>截止时间前</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新提交响应文件</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kern w:val="0"/>
          <w:szCs w:val="21"/>
        </w:rPr>
        <w:t>磋商小组应当</w:t>
      </w:r>
      <w:r>
        <w:rPr>
          <w:rFonts w:hint="eastAsia" w:asciiTheme="minorEastAsia" w:hAnsiTheme="minorEastAsia" w:eastAsiaTheme="minorEastAsia" w:cstheme="minorEastAsia"/>
          <w:szCs w:val="21"/>
        </w:rPr>
        <w:t>根据本章第26.2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kern w:val="0"/>
          <w:szCs w:val="21"/>
        </w:rPr>
        <w:t>对供应商重新提交的响应文件进行审查。供应商重新提交的响应文件审查不合格的，不得进入下一轮磋商，也不得要求提交最后报价。</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（1）磋商文件能够详细列明采购需求的技术、服务要求的，磋商结束后，磋商小组应当要求所有继续参加磋商的供应商在规定时间内提交最后报价。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30.3</w:t>
      </w:r>
      <w:r>
        <w:rPr>
          <w:rFonts w:hint="eastAsia" w:asciiTheme="minorEastAsia" w:hAnsiTheme="minorEastAsia" w:eastAsiaTheme="minorEastAsia" w:cstheme="minorEastAsia"/>
          <w:bCs/>
        </w:rPr>
        <w:t>重</w:t>
      </w:r>
      <w:r>
        <w:rPr>
          <w:rFonts w:hint="eastAsia" w:asciiTheme="minorEastAsia" w:hAnsiTheme="minorEastAsia" w:eastAsiaTheme="minorEastAsia" w:cstheme="minorEastAsia"/>
          <w:kern w:val="0"/>
        </w:rPr>
        <w:t>新提交的响应文件</w:t>
      </w:r>
      <w:r>
        <w:rPr>
          <w:rFonts w:hint="eastAsia" w:asciiTheme="minorEastAsia" w:hAnsiTheme="minorEastAsia" w:eastAsiaTheme="minorEastAsia" w:cstheme="minorEastAsia"/>
        </w:rPr>
        <w:t>或者最后报价应按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21.3</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由其法定代表人或其委托代理人签字或者加盖</w:t>
      </w:r>
      <w:r>
        <w:rPr>
          <w:rFonts w:hint="eastAsia" w:asciiTheme="minorEastAsia" w:hAnsiTheme="minorEastAsia" w:eastAsiaTheme="minorEastAsia" w:cstheme="minorEastAsia"/>
          <w:kern w:val="0"/>
        </w:rPr>
        <w:t>供应商单位</w:t>
      </w:r>
      <w:r>
        <w:rPr>
          <w:rFonts w:hint="eastAsia" w:asciiTheme="minorEastAsia" w:hAnsiTheme="minorEastAsia" w:eastAsiaTheme="minorEastAsia" w:cstheme="minorEastAsia"/>
          <w:kern w:val="0"/>
          <w:szCs w:val="21"/>
        </w:rPr>
        <w:t>章，在规定时间内密封递交给磋商小组</w:t>
      </w:r>
      <w:r>
        <w:rPr>
          <w:rFonts w:hint="eastAsia" w:asciiTheme="minorEastAsia" w:hAnsiTheme="minorEastAsia" w:eastAsiaTheme="minorEastAsia" w:cstheme="minorEastAsia"/>
          <w:bCs/>
          <w:szCs w:val="21"/>
        </w:rPr>
        <w:t>。</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30.4</w:t>
      </w:r>
      <w:r>
        <w:rPr>
          <w:rFonts w:hint="eastAsia" w:asciiTheme="minorEastAsia" w:hAnsiTheme="minorEastAsia" w:eastAsiaTheme="minorEastAsia" w:cstheme="minorEastAsia"/>
          <w:kern w:val="0"/>
          <w:szCs w:val="21"/>
          <w:lang w:val="zh-CN"/>
        </w:rPr>
        <w:t>供应商的</w:t>
      </w:r>
      <w:r>
        <w:rPr>
          <w:rFonts w:hint="eastAsia" w:asciiTheme="minorEastAsia" w:hAnsiTheme="minorEastAsia" w:eastAsiaTheme="minorEastAsia" w:cstheme="minorEastAsia"/>
          <w:bCs/>
          <w:szCs w:val="21"/>
        </w:rPr>
        <w:t>最</w:t>
      </w:r>
      <w:r>
        <w:rPr>
          <w:rFonts w:hint="eastAsia" w:asciiTheme="minorEastAsia" w:hAnsiTheme="minorEastAsia" w:eastAsiaTheme="minorEastAsia" w:cstheme="minorEastAsia"/>
          <w:kern w:val="0"/>
          <w:szCs w:val="21"/>
          <w:lang w:val="zh-CN"/>
        </w:rPr>
        <w:t>后</w:t>
      </w:r>
      <w:r>
        <w:rPr>
          <w:rFonts w:hint="eastAsia" w:asciiTheme="minorEastAsia" w:hAnsiTheme="minorEastAsia" w:eastAsiaTheme="minorEastAsia" w:cstheme="minorEastAsia"/>
          <w:bCs/>
          <w:szCs w:val="21"/>
        </w:rPr>
        <w:t>报价及</w:t>
      </w:r>
      <w:r>
        <w:rPr>
          <w:rFonts w:hint="eastAsia" w:asciiTheme="minorEastAsia" w:hAnsiTheme="minorEastAsia" w:eastAsiaTheme="minorEastAsia" w:cstheme="minorEastAsia"/>
          <w:kern w:val="0"/>
          <w:szCs w:val="21"/>
        </w:rPr>
        <w:t>政府采购政策规定的价格扣除情况，磋商小组应召集所有参加最后报价的供应商当场开封</w:t>
      </w:r>
      <w:r>
        <w:rPr>
          <w:rFonts w:hint="eastAsia" w:asciiTheme="minorEastAsia" w:hAnsiTheme="minorEastAsia" w:eastAsiaTheme="minorEastAsia" w:cstheme="minorEastAsia"/>
          <w:bCs/>
          <w:szCs w:val="21"/>
        </w:rPr>
        <w:t>公布，并由供应商代表签字确认。</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30.5提交首次响应文件的供应商，在提交最后报价之前，可以根据磋商情况退出磋商，</w:t>
      </w:r>
      <w:r>
        <w:rPr>
          <w:rFonts w:hint="eastAsia" w:asciiTheme="minorEastAsia" w:hAnsiTheme="minorEastAsia" w:eastAsiaTheme="minorEastAsia" w:cstheme="minorEastAsia"/>
          <w:kern w:val="0"/>
        </w:rPr>
        <w:t>并书面通知采购代理机构或者磋商小组。</w:t>
      </w:r>
      <w:r>
        <w:rPr>
          <w:rFonts w:hint="eastAsia" w:asciiTheme="minorEastAsia" w:hAnsiTheme="minorEastAsia" w:eastAsiaTheme="minorEastAsia" w:cstheme="minorEastAsia"/>
        </w:rPr>
        <w:t>该通知由供应商法定代表人或其委托代理人签字。</w:t>
      </w:r>
      <w:r>
        <w:rPr>
          <w:rFonts w:hint="eastAsia" w:asciiTheme="minorEastAsia" w:hAnsiTheme="minorEastAsia" w:eastAsiaTheme="minorEastAsia" w:cstheme="minorEastAsia"/>
          <w:kern w:val="0"/>
          <w:szCs w:val="21"/>
        </w:rPr>
        <w:t>采购代理机构</w:t>
      </w:r>
      <w:r>
        <w:rPr>
          <w:rFonts w:hint="eastAsia" w:asciiTheme="minorEastAsia" w:hAnsiTheme="minorEastAsia" w:eastAsiaTheme="minorEastAsia" w:cstheme="minorEastAsia"/>
          <w:kern w:val="0"/>
        </w:rPr>
        <w:t>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19.4</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退还退出磋商的供应商的磋商保证金。</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30.6</w:t>
      </w:r>
      <w:r>
        <w:rPr>
          <w:rFonts w:hint="eastAsia" w:asciiTheme="minorEastAsia" w:hAnsiTheme="minorEastAsia" w:eastAsiaTheme="minorEastAsia" w:cstheme="minorEastAsia"/>
          <w:kern w:val="0"/>
          <w:szCs w:val="21"/>
        </w:rPr>
        <w:t>提交首次响应文件的供应商，未按磋商文件规定及磋商小组要求提交最后报价(或者</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新提交的响应文件和最后报价)，且又</w:t>
      </w:r>
      <w:r>
        <w:rPr>
          <w:rFonts w:hint="eastAsia" w:asciiTheme="minorEastAsia" w:hAnsiTheme="minorEastAsia" w:eastAsiaTheme="minorEastAsia" w:cstheme="minorEastAsia"/>
          <w:kern w:val="0"/>
        </w:rPr>
        <w:t>未按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30.5</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退出磋商的，供应商的磋商保证金不予退还。</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30.7磋商文件在磋商过程中未发生实质性变动的，参加磋商供应商的次轮报价不得高于上轮报价，否则视为无效响应。</w:t>
      </w:r>
    </w:p>
    <w:p>
      <w:pPr>
        <w:widowControl/>
        <w:adjustRightInd w:val="0"/>
        <w:snapToGrid w:val="0"/>
        <w:spacing w:line="360" w:lineRule="auto"/>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t>31.响应文件评审</w:t>
      </w:r>
    </w:p>
    <w:p>
      <w:pPr>
        <w:widowControl/>
        <w:adjustRightInd w:val="0"/>
        <w:snapToGrid w:val="0"/>
        <w:spacing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31.1经磋商确定最终采购需求和提交最后报价的供应商后，由磋商小组采用综合评分法对提交最后报价的供应商的响应文件和最后报价进行综合评价。</w:t>
      </w:r>
    </w:p>
    <w:p>
      <w:pPr>
        <w:widowControl/>
        <w:adjustRightInd w:val="0"/>
        <w:snapToGrid w:val="0"/>
        <w:spacing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Theme="minorEastAsia" w:hAnsiTheme="minorEastAsia" w:eastAsiaTheme="minorEastAsia" w:cstheme="minorEastAsia"/>
          <w:b/>
          <w:bCs/>
          <w:szCs w:val="21"/>
        </w:rPr>
        <w:t>磋商须知前附表。</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31.3</w:t>
      </w:r>
      <w:r>
        <w:rPr>
          <w:rFonts w:hint="eastAsia" w:asciiTheme="minorEastAsia" w:hAnsiTheme="minorEastAsia" w:eastAsiaTheme="minorEastAsia" w:cstheme="minorEastAsia"/>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磋商报价得分=（磋商基准价/最后磋商报价）×价格权值×100</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项目评审过程中，不得去掉最后报价中的最高报价和最低报价。</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31.5</w:t>
      </w:r>
      <w:r>
        <w:rPr>
          <w:rFonts w:hint="eastAsia" w:asciiTheme="minorEastAsia" w:hAnsiTheme="minorEastAsia" w:eastAsiaTheme="minorEastAsia" w:cstheme="minorEastAsia"/>
          <w:szCs w:val="21"/>
        </w:rPr>
        <w:t>涉及政府采购政策优惠对供应商分值进行调整的，</w:t>
      </w:r>
      <w:r>
        <w:rPr>
          <w:rFonts w:hint="eastAsia" w:asciiTheme="minorEastAsia" w:hAnsiTheme="minorEastAsia" w:eastAsiaTheme="minorEastAsia" w:cstheme="minorEastAsia"/>
          <w:bCs/>
          <w:szCs w:val="21"/>
        </w:rPr>
        <w:t>按</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bCs/>
          <w:szCs w:val="21"/>
        </w:rPr>
        <w:t>规定</w:t>
      </w:r>
      <w:r>
        <w:rPr>
          <w:rFonts w:hint="eastAsia" w:asciiTheme="minorEastAsia" w:hAnsiTheme="minorEastAsia" w:eastAsiaTheme="minorEastAsia" w:cstheme="minorEastAsia"/>
          <w:szCs w:val="21"/>
        </w:rPr>
        <w:t>调整供应商的技术、商务、价格</w:t>
      </w:r>
      <w:r>
        <w:rPr>
          <w:rFonts w:hint="eastAsia" w:asciiTheme="minorEastAsia" w:hAnsiTheme="minorEastAsia" w:eastAsiaTheme="minorEastAsia" w:cstheme="minorEastAsia"/>
          <w:kern w:val="0"/>
          <w:szCs w:val="21"/>
        </w:rPr>
        <w:t>得分或总得分</w:t>
      </w:r>
      <w:r>
        <w:rPr>
          <w:rFonts w:hint="eastAsia" w:asciiTheme="minorEastAsia" w:hAnsiTheme="minorEastAsia" w:eastAsiaTheme="minorEastAsia" w:cstheme="minorEastAsia"/>
          <w:szCs w:val="21"/>
        </w:rPr>
        <w:t>。</w:t>
      </w:r>
    </w:p>
    <w:p>
      <w:pPr>
        <w:adjustRightInd w:val="0"/>
        <w:snapToGrid w:val="0"/>
        <w:spacing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31.6涉及多处或部分获得政府采购政策优惠的，其多处或部分享受政府采购优惠政策的计算方法见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相关规定。</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31.7</w:t>
      </w:r>
      <w:r>
        <w:rPr>
          <w:rFonts w:hint="eastAsia" w:asciiTheme="minorEastAsia" w:hAnsiTheme="minorEastAsia" w:eastAsiaTheme="minorEastAsia" w:cstheme="minorEastAsia"/>
          <w:szCs w:val="21"/>
        </w:rPr>
        <w:t>评审时，磋商小组各成员应当独立对每个供应商的</w:t>
      </w:r>
      <w:r>
        <w:rPr>
          <w:rFonts w:hint="eastAsia" w:asciiTheme="minorEastAsia" w:hAnsiTheme="minorEastAsia" w:eastAsiaTheme="minorEastAsia" w:cstheme="minorEastAsia"/>
          <w:bCs/>
          <w:szCs w:val="21"/>
        </w:rPr>
        <w:t>响应文件</w:t>
      </w:r>
      <w:r>
        <w:rPr>
          <w:rFonts w:hint="eastAsia" w:asciiTheme="minorEastAsia" w:hAnsiTheme="minorEastAsia" w:eastAsiaTheme="minorEastAsia" w:cstheme="minorEastAsia"/>
          <w:szCs w:val="21"/>
        </w:rPr>
        <w:t>进行评价、评分，并按照政府采购优惠政策对最后报价进行价格扣除和技术、商务、价格加分后，汇总各供应商的总得分。</w:t>
      </w:r>
    </w:p>
    <w:p>
      <w:pPr>
        <w:widowControl/>
        <w:adjustRightInd w:val="0"/>
        <w:snapToGrid w:val="0"/>
        <w:spacing w:line="360" w:lineRule="auto"/>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32</w:t>
      </w:r>
      <w:r>
        <w:rPr>
          <w:rFonts w:hint="eastAsia" w:asciiTheme="minorEastAsia" w:hAnsiTheme="minorEastAsia" w:eastAsiaTheme="minorEastAsia" w:cstheme="minorEastAsia"/>
          <w:b/>
          <w:kern w:val="0"/>
          <w:szCs w:val="21"/>
        </w:rPr>
        <w:t>.</w:t>
      </w:r>
      <w:r>
        <w:rPr>
          <w:rFonts w:hint="eastAsia" w:asciiTheme="minorEastAsia" w:hAnsiTheme="minorEastAsia" w:eastAsiaTheme="minorEastAsia" w:cstheme="minorEastAsia"/>
          <w:b/>
          <w:bCs/>
          <w:szCs w:val="21"/>
        </w:rPr>
        <w:t>提出成交供应商</w:t>
      </w:r>
    </w:p>
    <w:p>
      <w:pPr>
        <w:widowControl/>
        <w:spacing w:line="420" w:lineRule="atLeast"/>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 xml:space="preserve">    32.1</w:t>
      </w:r>
      <w:r>
        <w:rPr>
          <w:rFonts w:hint="eastAsia" w:asciiTheme="minorEastAsia" w:hAnsiTheme="minorEastAsia" w:eastAsiaTheme="minorEastAsia" w:cstheme="minorEastAsia"/>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w:t>
      </w:r>
    </w:p>
    <w:p>
      <w:pPr>
        <w:widowControl/>
        <w:spacing w:line="420" w:lineRule="atLeas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库〔2014〕214号)</w:t>
      </w:r>
      <w:r>
        <w:rPr>
          <w:rFonts w:hint="eastAsia" w:asciiTheme="minorEastAsia" w:hAnsiTheme="minorEastAsia" w:eastAsiaTheme="minorEastAsia" w:cstheme="minorEastAsia"/>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Theme="minorEastAsia" w:hAnsiTheme="minorEastAsia" w:eastAsiaTheme="minorEastAsia" w:cstheme="minorEastAsia"/>
          <w:bCs/>
          <w:szCs w:val="21"/>
        </w:rPr>
        <w:t>可以推荐2家成交候选供应商。</w:t>
      </w:r>
    </w:p>
    <w:p>
      <w:pPr>
        <w:widowControl/>
        <w:spacing w:line="420" w:lineRule="atLeast"/>
        <w:rPr>
          <w:rFonts w:asciiTheme="minorEastAsia" w:hAnsiTheme="minorEastAsia" w:eastAsiaTheme="minorEastAsia" w:cstheme="minorEastAsia"/>
          <w:kern w:val="0"/>
          <w:szCs w:val="21"/>
        </w:rPr>
      </w:pPr>
    </w:p>
    <w:p>
      <w:pPr>
        <w:tabs>
          <w:tab w:val="left" w:pos="0"/>
        </w:tabs>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33.确定成交供应商</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33.1采购代理机构应当在评审结束后2个工作日内将评审报告送采购人确认。</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33.2采购人应当在收到评审报告后5个工作日内，从评审报告提出的成交候选供应商中，按照排序由高到低的原则确定成交供应商，也可以书面授权磋商小组直接确定成交供应商。</w:t>
      </w:r>
    </w:p>
    <w:p>
      <w:pPr>
        <w:pStyle w:val="25"/>
        <w:adjustRightInd w:val="0"/>
        <w:snapToGrid w:val="0"/>
        <w:spacing w:line="360" w:lineRule="auto"/>
        <w:ind w:left="632" w:hanging="632" w:hangingChars="300"/>
        <w:rPr>
          <w:rFonts w:asciiTheme="minorEastAsia" w:hAnsiTheme="minorEastAsia" w:eastAsiaTheme="minorEastAsia" w:cstheme="minorEastAsia"/>
          <w:b/>
        </w:rPr>
      </w:pPr>
      <w:r>
        <w:rPr>
          <w:rFonts w:hint="eastAsia" w:asciiTheme="minorEastAsia" w:hAnsiTheme="minorEastAsia" w:eastAsiaTheme="minorEastAsia" w:cstheme="minorEastAsia"/>
          <w:b/>
        </w:rPr>
        <w:t>34.磋商终止</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34.1</w:t>
      </w:r>
      <w:r>
        <w:rPr>
          <w:rFonts w:hint="eastAsia" w:asciiTheme="minorEastAsia" w:hAnsiTheme="minorEastAsia" w:eastAsiaTheme="minorEastAsia" w:cstheme="minorEastAsia"/>
          <w:kern w:val="0"/>
          <w:szCs w:val="21"/>
        </w:rPr>
        <w:t>出现下列情形之一的，采购人或者采购代理机构应当终止竞争性磋商采购活动，</w:t>
      </w:r>
      <w:r>
        <w:rPr>
          <w:rFonts w:hint="eastAsia" w:asciiTheme="minorEastAsia" w:hAnsiTheme="minorEastAsia" w:eastAsiaTheme="minorEastAsia" w:cstheme="minorEastAsia"/>
        </w:rPr>
        <w:t>在本章第37.1款指定的媒体上</w:t>
      </w:r>
      <w:r>
        <w:rPr>
          <w:rFonts w:hint="eastAsia" w:asciiTheme="minorEastAsia" w:hAnsiTheme="minorEastAsia" w:eastAsiaTheme="minorEastAsia" w:cstheme="minorEastAsia"/>
          <w:kern w:val="0"/>
          <w:szCs w:val="21"/>
        </w:rPr>
        <w:t xml:space="preserve">发布项目终止公告并说明原因，重新开展采购活动： </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（1）因情况变化，不再符合规定的竞争性磋商采购方式适用情形的；</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（2）出现影响采购公正的违法、违规行为的；</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（3）</w:t>
      </w:r>
      <w:r>
        <w:rPr>
          <w:rFonts w:hint="eastAsia" w:asciiTheme="minorEastAsia" w:hAnsiTheme="minorEastAsia" w:eastAsiaTheme="minorEastAsia" w:cstheme="minorEastAsia"/>
          <w:bCs/>
          <w:szCs w:val="21"/>
        </w:rPr>
        <w:t>除《政府采购竞争性磋商采购方式管理暂行办法》(财库〔2014〕214号)</w:t>
      </w:r>
      <w:r>
        <w:rPr>
          <w:rFonts w:hint="eastAsia" w:asciiTheme="minorEastAsia" w:hAnsiTheme="minorEastAsia" w:eastAsiaTheme="minorEastAsia" w:cstheme="minorEastAsia"/>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Theme="minorEastAsia" w:hAnsiTheme="minorEastAsia" w:eastAsiaTheme="minorEastAsia" w:cstheme="minorEastAsia"/>
          <w:bCs/>
          <w:szCs w:val="21"/>
        </w:rPr>
        <w:t>情形外，在采购过程中符合要求的供应商或者报价未超过采购预算的供应商不足3家的；</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（4）因重大变故，采购任务取消的。</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35．重新评审</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36.保密及串通行为</w:t>
      </w:r>
    </w:p>
    <w:p>
      <w:pPr>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36.1磋商小组成员以及与评审工作有关的人员不得泄露评审情况以及评审过程中获悉的国家秘密、商业秘密。</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36.2</w:t>
      </w:r>
      <w:r>
        <w:rPr>
          <w:rFonts w:hint="eastAsia" w:asciiTheme="minorEastAsia" w:hAnsiTheme="minorEastAsia" w:eastAsiaTheme="minorEastAsia" w:cstheme="minorEastAsia"/>
          <w:kern w:val="0"/>
          <w:szCs w:val="21"/>
        </w:rPr>
        <w:t>供应商</w:t>
      </w:r>
      <w:r>
        <w:rPr>
          <w:rFonts w:hint="eastAsia" w:asciiTheme="minorEastAsia" w:hAnsiTheme="minorEastAsia" w:eastAsiaTheme="minorEastAsia" w:cstheme="minorEastAsia"/>
          <w:szCs w:val="21"/>
        </w:rPr>
        <w:t>不得与</w:t>
      </w:r>
      <w:r>
        <w:rPr>
          <w:rFonts w:hint="eastAsia" w:asciiTheme="minorEastAsia" w:hAnsiTheme="minorEastAsia" w:eastAsiaTheme="minorEastAsia" w:cstheme="minorEastAsia"/>
          <w:kern w:val="0"/>
          <w:szCs w:val="21"/>
        </w:rPr>
        <w:t>采购人、采购代理机构、其他供应商恶意</w:t>
      </w:r>
      <w:r>
        <w:rPr>
          <w:rFonts w:hint="eastAsia" w:asciiTheme="minorEastAsia" w:hAnsiTheme="minorEastAsia" w:eastAsiaTheme="minorEastAsia" w:cstheme="minorEastAsia"/>
          <w:szCs w:val="21"/>
        </w:rPr>
        <w:t>串通；不得向</w:t>
      </w:r>
      <w:r>
        <w:rPr>
          <w:rFonts w:hint="eastAsia" w:asciiTheme="minorEastAsia" w:hAnsiTheme="minorEastAsia" w:eastAsiaTheme="minorEastAsia" w:cstheme="minorEastAsia"/>
          <w:kern w:val="0"/>
          <w:szCs w:val="21"/>
        </w:rPr>
        <w:t>采购人、采购代理机构</w:t>
      </w:r>
      <w:r>
        <w:rPr>
          <w:rFonts w:hint="eastAsia" w:asciiTheme="minorEastAsia" w:hAnsiTheme="minorEastAsia" w:eastAsiaTheme="minorEastAsia" w:cstheme="minorEastAsia"/>
          <w:szCs w:val="21"/>
        </w:rPr>
        <w:t>或者磋商小组成员行贿或者提供其他不正当利益；不得提供虚假资料谋取成交；不得以任何方式干扰、影响采购工作。</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36.3</w:t>
      </w:r>
      <w:r>
        <w:rPr>
          <w:rFonts w:hint="eastAsia" w:asciiTheme="minorEastAsia" w:hAnsiTheme="minorEastAsia" w:eastAsiaTheme="minorEastAsia" w:cstheme="minorEastAsia"/>
          <w:sz w:val="21"/>
          <w:szCs w:val="21"/>
          <w:lang w:val="zh-CN"/>
        </w:rPr>
        <w:t>有下列情形之一的，属于恶意串通，对供应商依照政府采购法第七十七条第一款的规定追究法律责任：</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（一）供应商直接或者间接从采购人或者采购代理机构处获得其他供应商的相关情况并修改其投标文件或者响应文件；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（二）供应商按照采购人或者采购代理机构的授意撤换、修改投标文件或者响应文件；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（三）供应商之间协商报价、技术方案等投标文件或者响应文件的实质性内容；</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（四）属于同一集团、协会、商会等组织成员的供应商按照该组织要求协同参加政府采购活动；</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（五）供应商之间事先约定由某一特定供应商中标、成交；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（六）供应商之间商定部分供应商放弃参加政府采购活动或者放弃中标、成交；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（七）供应商与采购人或者采购代理机构之间、供应商相互之间，为谋求特定供应商中标、成交或者排斥其他供应商的其他串通行为。</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六、成交结果信息公布与授予合同</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37.成交信息的公布</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37.1成交供应商确定后2个工作日内，成交结果信息将在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指定的媒体上公布。</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38.询问及质疑</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38.1供应商对政府采购活动事项有疑问的，可以向采购人或采购代理机构提出询问。</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38.2供应商若认为磋商文件、采购过程和成交结果使自己的权益受到损害，可以按法律、行政法规及湖南省财政厅规范性文件规定向采购人或采购代理机构提出质疑。</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39.成交通知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39.1成交供应商确定后，采购人或采购代理机构将以书面形式向成交供应商发出成交通知书。成交通知书对采购人和成交供应商具有同等法律效力。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39.2 成交通知书是合同文件的组成部分。</w:t>
      </w:r>
    </w:p>
    <w:p>
      <w:pPr>
        <w:tabs>
          <w:tab w:val="left" w:pos="7560"/>
          <w:tab w:val="left" w:pos="7740"/>
          <w:tab w:val="left" w:pos="7920"/>
        </w:tabs>
        <w:autoSpaceDN w:val="0"/>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 xml:space="preserve">39.3 </w:t>
      </w:r>
      <w:r>
        <w:rPr>
          <w:rFonts w:hint="eastAsia" w:asciiTheme="minorEastAsia" w:hAnsiTheme="minorEastAsia" w:eastAsiaTheme="minorEastAsia" w:cstheme="minorEastAsia"/>
          <w:szCs w:val="21"/>
        </w:rPr>
        <w:t>成交供应商在收到采购代理机构的成交通知书后10日内，应按照</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的规定，向采购人提交履约担保。联合体成交的，履约担保由联合体各方或联合体中牵头人的名义提交。</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39.4 成交供应商</w:t>
      </w:r>
      <w:r>
        <w:rPr>
          <w:rFonts w:hint="eastAsia" w:asciiTheme="minorEastAsia" w:hAnsiTheme="minorEastAsia" w:eastAsiaTheme="minorEastAsia" w:cstheme="minorEastAsia"/>
          <w:spacing w:val="4"/>
        </w:rPr>
        <w:t>没有按照本章第39.3</w:t>
      </w:r>
      <w:r>
        <w:rPr>
          <w:rFonts w:hint="eastAsia" w:asciiTheme="minorEastAsia" w:hAnsiTheme="minorEastAsia" w:eastAsiaTheme="minorEastAsia" w:cstheme="minorEastAsia"/>
          <w:kern w:val="0"/>
          <w:lang w:val="zh-CN"/>
        </w:rPr>
        <w:t>款</w:t>
      </w:r>
      <w:r>
        <w:rPr>
          <w:rFonts w:hint="eastAsia" w:asciiTheme="minorEastAsia" w:hAnsiTheme="minorEastAsia" w:eastAsiaTheme="minorEastAsia" w:cstheme="minorEastAsia"/>
          <w:spacing w:val="4"/>
        </w:rPr>
        <w:t>规定</w:t>
      </w:r>
      <w:r>
        <w:rPr>
          <w:rFonts w:hint="eastAsia" w:asciiTheme="minorEastAsia" w:hAnsiTheme="minorEastAsia" w:eastAsiaTheme="minorEastAsia" w:cstheme="minorEastAsia"/>
        </w:rPr>
        <w:t>提交履约担保的</w:t>
      </w:r>
      <w:r>
        <w:rPr>
          <w:rFonts w:hint="eastAsia" w:asciiTheme="minorEastAsia" w:hAnsiTheme="minorEastAsia" w:eastAsiaTheme="minorEastAsia" w:cstheme="minorEastAsia"/>
          <w:spacing w:val="4"/>
        </w:rPr>
        <w:t>，视为放弃</w:t>
      </w:r>
      <w:r>
        <w:rPr>
          <w:rFonts w:hint="eastAsia" w:asciiTheme="minorEastAsia" w:hAnsiTheme="minorEastAsia" w:eastAsiaTheme="minorEastAsia" w:cstheme="minorEastAsia"/>
        </w:rPr>
        <w:t>成交资格</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spacing w:val="2"/>
        </w:rPr>
        <w:t>其保证金不予退还。</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40.签订合同</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40.1成交供应商应当在成交通知书发出之日起30日内与采购人签订政府采购合同。</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40.2磋商文件、成交供应商的响应文件等均为签订政府采购合同的依据。</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40.3 成交供应商应当按照合同约定履行义务。成交供应商不得向他人转让成交项目，也不得将成交项目分包后分别向他人转让。</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40.4 成交供应商有下列情形之一的，责令限期改正，情节严重的，列入不良行为记录名单，在1至3年内禁止参加政府采购活动，并予以通报：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（一）成交后无正当理由不与采购人签订合同的；</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（二）未按照磋商文件确定的事项签订政府采购合同，或者与采购人另行订立背离合同实质性内容的协议的；</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（三）拒绝履行合同义务的；</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（四）</w:t>
      </w:r>
      <w:r>
        <w:rPr>
          <w:rFonts w:hint="eastAsia" w:asciiTheme="minorEastAsia" w:hAnsiTheme="minorEastAsia" w:eastAsiaTheme="minorEastAsia" w:cstheme="minorEastAsia"/>
          <w:kern w:val="0"/>
        </w:rPr>
        <w:t>违反法律、规章、规范性文件规定的。</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七、其他规定</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41.1采购代理服务费</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41.1采购代理机构应按</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规定收取采购代理服务费。</w:t>
      </w:r>
    </w:p>
    <w:p>
      <w:pPr>
        <w:tabs>
          <w:tab w:val="left" w:pos="420"/>
          <w:tab w:val="left" w:pos="7560"/>
          <w:tab w:val="left" w:pos="7740"/>
          <w:tab w:val="left" w:pos="7920"/>
        </w:tabs>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szCs w:val="21"/>
        </w:rPr>
        <w:t>42.</w:t>
      </w:r>
      <w:r>
        <w:rPr>
          <w:rFonts w:hint="eastAsia" w:asciiTheme="minorEastAsia" w:hAnsiTheme="minorEastAsia" w:eastAsiaTheme="minorEastAsia" w:cstheme="minorEastAsia"/>
          <w:b/>
        </w:rPr>
        <w:t>其他规定</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42.1</w:t>
      </w: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rPr>
        <w:t>的其他规定</w:t>
      </w:r>
      <w:r>
        <w:rPr>
          <w:rFonts w:hint="eastAsia" w:asciiTheme="minorEastAsia" w:hAnsiTheme="minorEastAsia" w:eastAsiaTheme="minorEastAsia" w:cstheme="minorEastAsia"/>
          <w:szCs w:val="21"/>
        </w:rPr>
        <w:t>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adjustRightInd w:val="0"/>
        <w:snapToGrid w:val="0"/>
        <w:spacing w:beforeLines="50" w:line="360" w:lineRule="auto"/>
        <w:jc w:val="center"/>
        <w:rPr>
          <w:rFonts w:asciiTheme="minorEastAsia" w:hAnsiTheme="minorEastAsia" w:eastAsiaTheme="minorEastAsia" w:cstheme="minorEastAsia"/>
          <w:b/>
          <w:sz w:val="32"/>
          <w:szCs w:val="32"/>
        </w:rPr>
      </w:pPr>
    </w:p>
    <w:p>
      <w:pPr>
        <w:adjustRightInd w:val="0"/>
        <w:snapToGrid w:val="0"/>
        <w:spacing w:beforeLines="50" w:line="360" w:lineRule="auto"/>
        <w:jc w:val="center"/>
        <w:rPr>
          <w:rFonts w:asciiTheme="minorEastAsia" w:hAnsiTheme="minorEastAsia" w:eastAsiaTheme="minorEastAsia" w:cstheme="minorEastAsia"/>
          <w:b/>
          <w:sz w:val="32"/>
          <w:szCs w:val="32"/>
        </w:rPr>
      </w:pPr>
    </w:p>
    <w:p>
      <w:pPr>
        <w:adjustRightInd w:val="0"/>
        <w:snapToGrid w:val="0"/>
        <w:spacing w:beforeLines="50" w:line="360" w:lineRule="auto"/>
        <w:jc w:val="center"/>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Cs/>
          <w:sz w:val="30"/>
          <w:szCs w:val="30"/>
        </w:rPr>
      </w:pPr>
    </w:p>
    <w:p>
      <w:pPr>
        <w:numPr>
          <w:ilvl w:val="0"/>
          <w:numId w:val="0"/>
        </w:numPr>
        <w:spacing w:line="360" w:lineRule="exact"/>
        <w:jc w:val="center"/>
        <w:outlineLvl w:val="0"/>
        <w:rPr>
          <w:rFonts w:asciiTheme="minorEastAsia" w:hAnsiTheme="minorEastAsia" w:eastAsiaTheme="minorEastAsia" w:cstheme="minorEastAsia"/>
          <w:b/>
          <w:bCs/>
          <w:sz w:val="32"/>
          <w:szCs w:val="32"/>
        </w:rPr>
      </w:pPr>
      <w:bookmarkStart w:id="6" w:name="_Toc31472_WPSOffice_Level1"/>
      <w:bookmarkStart w:id="7" w:name="_Toc8865"/>
      <w:r>
        <w:rPr>
          <w:rFonts w:hint="eastAsia" w:asciiTheme="minorEastAsia" w:hAnsiTheme="minorEastAsia" w:eastAsiaTheme="minorEastAsia" w:cstheme="minorEastAsia"/>
          <w:b/>
          <w:bCs/>
          <w:sz w:val="32"/>
          <w:szCs w:val="32"/>
          <w:lang w:eastAsia="zh-CN"/>
        </w:rPr>
        <w:t>第三章</w:t>
      </w:r>
      <w:r>
        <w:rPr>
          <w:rFonts w:hint="eastAsia" w:asciiTheme="minorEastAsia" w:hAnsiTheme="minorEastAsia" w:eastAsiaTheme="minorEastAsia" w:cstheme="minorEastAsia"/>
          <w:b/>
          <w:bCs/>
          <w:sz w:val="32"/>
          <w:szCs w:val="32"/>
          <w:lang w:val="en-US" w:eastAsia="zh-CN"/>
        </w:rPr>
        <w:t xml:space="preserve"> </w:t>
      </w:r>
      <w:r>
        <w:rPr>
          <w:rFonts w:hint="eastAsia" w:asciiTheme="minorEastAsia" w:hAnsiTheme="minorEastAsia" w:eastAsiaTheme="minorEastAsia" w:cstheme="minorEastAsia"/>
          <w:b/>
          <w:bCs/>
          <w:sz w:val="32"/>
          <w:szCs w:val="32"/>
        </w:rPr>
        <w:t>采购需求</w:t>
      </w:r>
      <w:bookmarkEnd w:id="6"/>
      <w:bookmarkEnd w:id="7"/>
    </w:p>
    <w:p>
      <w:pPr>
        <w:pStyle w:val="2"/>
        <w:ind w:left="840" w:leftChars="400" w:firstLine="0" w:firstLineChars="0"/>
      </w:pPr>
    </w:p>
    <w:p>
      <w:pPr>
        <w:pStyle w:val="222"/>
        <w:numPr>
          <w:ilvl w:val="0"/>
          <w:numId w:val="1"/>
        </w:numPr>
        <w:spacing w:line="360" w:lineRule="auto"/>
        <w:ind w:firstLineChars="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kern w:val="0"/>
          <w:szCs w:val="21"/>
        </w:rPr>
        <w:t>项目名称：</w:t>
      </w:r>
      <w:r>
        <w:rPr>
          <w:rFonts w:hint="eastAsia" w:asciiTheme="minorEastAsia" w:hAnsiTheme="minorEastAsia" w:eastAsiaTheme="minorEastAsia" w:cstheme="minorEastAsia"/>
          <w:color w:val="auto"/>
          <w:szCs w:val="21"/>
        </w:rPr>
        <w:t>临湘市</w:t>
      </w:r>
      <w:r>
        <w:rPr>
          <w:rFonts w:hint="eastAsia" w:asciiTheme="minorEastAsia" w:hAnsiTheme="minorEastAsia" w:eastAsiaTheme="minorEastAsia" w:cstheme="minorEastAsia"/>
          <w:color w:val="auto"/>
          <w:szCs w:val="21"/>
          <w:lang w:eastAsia="zh-CN"/>
        </w:rPr>
        <w:t>第九完全小学食堂大宗食材定点采购</w:t>
      </w:r>
      <w:r>
        <w:rPr>
          <w:rFonts w:hint="eastAsia" w:asciiTheme="minorEastAsia" w:hAnsiTheme="minorEastAsia" w:eastAsiaTheme="minorEastAsia" w:cstheme="minorEastAsia"/>
          <w:color w:val="auto"/>
          <w:szCs w:val="21"/>
        </w:rPr>
        <w:t>项目</w:t>
      </w:r>
    </w:p>
    <w:p>
      <w:pPr>
        <w:pStyle w:val="222"/>
        <w:numPr>
          <w:ilvl w:val="0"/>
          <w:numId w:val="1"/>
        </w:numPr>
        <w:adjustRightInd w:val="0"/>
        <w:snapToGrid w:val="0"/>
        <w:spacing w:line="360" w:lineRule="auto"/>
        <w:ind w:firstLineChars="0"/>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en-US" w:eastAsia="zh-CN"/>
        </w:rPr>
        <w:t>食品</w:t>
      </w:r>
      <w:r>
        <w:rPr>
          <w:rFonts w:hint="eastAsia" w:asciiTheme="minorEastAsia" w:hAnsiTheme="minorEastAsia" w:eastAsiaTheme="minorEastAsia" w:cstheme="minorEastAsia"/>
          <w:b/>
          <w:color w:val="auto"/>
          <w:szCs w:val="21"/>
        </w:rPr>
        <w:t>质量要求</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食材必须符合新的《食品安全法》第三章"食品安全标准"中的规定。食品中污染物限量应符合GB2762-2012标准，食品中农药残留量符合GB2763-2014标准。不得采购转基因食品或利用转基因食品原料加工的成品。食品原料新鲜、清洁卫生，同时对每批次食品原料进行检测，具有质量技术监督部门颁发的质量检验报告（近期，同一批次）。具体要求为：</w:t>
      </w:r>
    </w:p>
    <w:p>
      <w:pPr>
        <w:numPr>
          <w:ilvl w:val="0"/>
          <w:numId w:val="2"/>
        </w:numPr>
        <w:adjustRightInd w:val="0"/>
        <w:snapToGrid w:val="0"/>
        <w:spacing w:line="360" w:lineRule="auto"/>
        <w:ind w:firstLine="420" w:firstLine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大米必须符合GB1354-2009标准，并有每批次的质量检测报告；</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2．面粉必须符合GB\T1355标准，并有每批次的质量检测报告</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szCs w:val="21"/>
          <w:lang w:eastAsia="zh-CN"/>
        </w:rPr>
        <w:t>奶制品</w:t>
      </w:r>
      <w:r>
        <w:rPr>
          <w:rFonts w:hint="eastAsia" w:asciiTheme="minorEastAsia" w:hAnsiTheme="minorEastAsia" w:eastAsiaTheme="minorEastAsia" w:cstheme="minorEastAsia"/>
          <w:color w:val="auto"/>
          <w:szCs w:val="21"/>
        </w:rPr>
        <w:t>必须符合GB25191标准、通过LS09001质量管体系认证</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color w:val="auto"/>
          <w:szCs w:val="21"/>
          <w:lang w:eastAsia="zh-CN"/>
        </w:rPr>
        <w:t>面包点心</w:t>
      </w:r>
      <w:r>
        <w:rPr>
          <w:rFonts w:hint="eastAsia" w:asciiTheme="minorEastAsia" w:hAnsiTheme="minorEastAsia" w:eastAsiaTheme="minorEastAsia" w:cstheme="minorEastAsia"/>
          <w:color w:val="auto"/>
          <w:szCs w:val="21"/>
        </w:rPr>
        <w:t>必须新鲜，不添加任何禁止使用的食品添加济，有产品质量检测报告</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．食用油必须符合GB1536-2004标准，并拥有" QS "食品质量安全认证</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6．干货类农副产品从色泽、外形、气味上确保健康饮食要求安全，厂家生产品类，要有生产厂家资质及同批次的产品检测报告、合格证等</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7</w:t>
      </w:r>
      <w:r>
        <w:rPr>
          <w:rFonts w:hint="eastAsia" w:asciiTheme="minorEastAsia" w:hAnsiTheme="minorEastAsia" w:eastAsiaTheme="minorEastAsia" w:cstheme="minorEastAsia"/>
          <w:color w:val="auto"/>
          <w:szCs w:val="21"/>
        </w:rPr>
        <w:t>．蔬菜等必须保证新鲜，符合《食品安全法》要求，尽量采用本地时令活蔬菜</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8</w:t>
      </w:r>
      <w:r>
        <w:rPr>
          <w:rFonts w:hint="eastAsia" w:asciiTheme="minorEastAsia" w:hAnsiTheme="minorEastAsia" w:eastAsiaTheme="minorEastAsia" w:cstheme="minorEastAsia"/>
          <w:color w:val="auto"/>
          <w:szCs w:val="21"/>
        </w:rPr>
        <w:t>．肉</w:t>
      </w:r>
      <w:r>
        <w:rPr>
          <w:rFonts w:hint="eastAsia" w:asciiTheme="minorEastAsia" w:hAnsiTheme="minorEastAsia" w:eastAsiaTheme="minorEastAsia" w:cstheme="minorEastAsia"/>
          <w:color w:val="auto"/>
          <w:szCs w:val="21"/>
          <w:lang w:eastAsia="zh-CN"/>
        </w:rPr>
        <w:t>类</w:t>
      </w:r>
      <w:r>
        <w:rPr>
          <w:rFonts w:hint="eastAsia" w:asciiTheme="minorEastAsia" w:hAnsiTheme="minorEastAsia" w:eastAsiaTheme="minorEastAsia" w:cstheme="minorEastAsia"/>
          <w:color w:val="auto"/>
          <w:szCs w:val="21"/>
        </w:rPr>
        <w:t>、鲜禽类等必须具有动物检验检疫合格证明或" QS "食品质量认证标志，尽量属于农家饲养，</w:t>
      </w:r>
      <w:r>
        <w:rPr>
          <w:rFonts w:hint="eastAsia" w:asciiTheme="minorEastAsia" w:hAnsiTheme="minorEastAsia" w:eastAsiaTheme="minorEastAsia" w:cstheme="minorEastAsia"/>
          <w:color w:val="auto"/>
          <w:szCs w:val="21"/>
          <w:lang w:eastAsia="zh-CN"/>
        </w:rPr>
        <w:t>肉类</w:t>
      </w:r>
      <w:r>
        <w:rPr>
          <w:rFonts w:hint="eastAsia" w:asciiTheme="minorEastAsia" w:hAnsiTheme="minorEastAsia" w:eastAsiaTheme="minorEastAsia" w:cstheme="minorEastAsia"/>
          <w:color w:val="auto"/>
          <w:szCs w:val="21"/>
        </w:rPr>
        <w:t>并经过岳阳地区防疫站检验盖有合格的图章的活鲜肉</w:t>
      </w:r>
      <w:r>
        <w:rPr>
          <w:rFonts w:hint="eastAsia" w:asciiTheme="minorEastAsia" w:hAnsiTheme="minorEastAsia" w:eastAsiaTheme="minorEastAsia" w:cstheme="minorEastAsia"/>
          <w:color w:val="auto"/>
          <w:szCs w:val="21"/>
          <w:lang w:eastAsia="zh-CN"/>
        </w:rPr>
        <w:t>类</w:t>
      </w:r>
      <w:r>
        <w:rPr>
          <w:rFonts w:hint="eastAsia" w:asciiTheme="minorEastAsia" w:hAnsiTheme="minorEastAsia" w:eastAsiaTheme="minorEastAsia" w:cstheme="minorEastAsia"/>
          <w:color w:val="auto"/>
          <w:szCs w:val="21"/>
        </w:rPr>
        <w:t>。</w:t>
      </w:r>
    </w:p>
    <w:p>
      <w:pPr>
        <w:pStyle w:val="2"/>
        <w:rPr>
          <w:rFonts w:hint="eastAsia" w:eastAsiaTheme="minorEastAsia"/>
          <w:lang w:val="en-US" w:eastAsia="zh-CN"/>
        </w:rPr>
      </w:pPr>
    </w:p>
    <w:p>
      <w:pPr>
        <w:adjustRightInd w:val="0"/>
        <w:snapToGrid w:val="0"/>
        <w:spacing w:line="360" w:lineRule="auto"/>
        <w:ind w:firstLine="422" w:firstLineChars="200"/>
        <w:rPr>
          <w:rFonts w:hint="eastAsia" w:asciiTheme="minorEastAsia" w:hAnsiTheme="minorEastAsia" w:eastAsiaTheme="minorEastAsia" w:cstheme="minorEastAsia"/>
          <w:b/>
          <w:szCs w:val="21"/>
        </w:rPr>
      </w:pPr>
    </w:p>
    <w:p>
      <w:pPr>
        <w:adjustRightInd w:val="0"/>
        <w:snapToGrid w:val="0"/>
        <w:spacing w:line="360" w:lineRule="auto"/>
        <w:ind w:firstLine="422"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注：</w:t>
      </w:r>
      <w:r>
        <w:rPr>
          <w:rFonts w:hint="eastAsia" w:asciiTheme="minorEastAsia" w:hAnsiTheme="minorEastAsia" w:eastAsiaTheme="minorEastAsia" w:cstheme="minorEastAsia"/>
          <w:b/>
          <w:kern w:val="0"/>
          <w:szCs w:val="21"/>
        </w:rPr>
        <w:t>在磋商过程中，磋商文件可能发生实质性变动的技术、服务要求以及合同草案条款，请在可能变动的条款旁予以文字注明，并将</w:t>
      </w:r>
      <w:r>
        <w:rPr>
          <w:rFonts w:hint="eastAsia" w:asciiTheme="minorEastAsia" w:hAnsiTheme="minorEastAsia" w:eastAsiaTheme="minorEastAsia" w:cstheme="minorEastAsia"/>
          <w:b/>
          <w:szCs w:val="21"/>
        </w:rPr>
        <w:t>磋商文件可能变动的内容在磋商须知前附表中明确。</w:t>
      </w:r>
    </w:p>
    <w:p>
      <w:pPr>
        <w:pStyle w:val="2"/>
        <w:ind w:firstLine="422"/>
        <w:rPr>
          <w:rFonts w:asciiTheme="minorEastAsia" w:hAnsiTheme="minorEastAsia" w:eastAsiaTheme="minorEastAsia" w:cstheme="minorEastAsia"/>
          <w:b/>
          <w:szCs w:val="21"/>
        </w:rPr>
      </w:pPr>
    </w:p>
    <w:p>
      <w:pPr>
        <w:pStyle w:val="2"/>
        <w:ind w:firstLine="422"/>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2"/>
        <w:ind w:firstLine="422"/>
        <w:rPr>
          <w:rFonts w:asciiTheme="minorEastAsia" w:hAnsiTheme="minorEastAsia" w:eastAsiaTheme="minorEastAsia" w:cstheme="minorEastAsia"/>
          <w:b/>
          <w:szCs w:val="21"/>
        </w:rPr>
      </w:pPr>
    </w:p>
    <w:p>
      <w:pPr>
        <w:numPr>
          <w:ilvl w:val="0"/>
          <w:numId w:val="0"/>
        </w:num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lang w:eastAsia="zh-CN"/>
        </w:rPr>
        <w:t>第四章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响应文件组成</w:t>
      </w:r>
    </w:p>
    <w:p>
      <w:pPr>
        <w:pStyle w:val="5"/>
        <w:jc w:val="both"/>
      </w:pPr>
    </w:p>
    <w:p>
      <w:pPr>
        <w:spacing w:line="360" w:lineRule="auto"/>
        <w:rPr>
          <w:rFonts w:hint="eastAsia"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供应商的响应文件应包含以下部分：</w:t>
      </w:r>
    </w:p>
    <w:p>
      <w:pPr>
        <w:adjustRightInd w:val="0"/>
        <w:snapToGrid w:val="0"/>
        <w:spacing w:line="360" w:lineRule="auto"/>
        <w:jc w:val="left"/>
        <w:outlineLvl w:val="1"/>
        <w:rPr>
          <w:rFonts w:asciiTheme="minorEastAsia" w:hAnsiTheme="minorEastAsia" w:eastAsiaTheme="minorEastAsia" w:cstheme="minorEastAsia"/>
          <w:b/>
          <w:szCs w:val="21"/>
        </w:rPr>
      </w:pPr>
      <w:bookmarkStart w:id="8" w:name="_Toc2199"/>
      <w:r>
        <w:rPr>
          <w:rFonts w:hint="eastAsia" w:asciiTheme="minorEastAsia" w:hAnsiTheme="minorEastAsia" w:eastAsiaTheme="minorEastAsia" w:cstheme="minorEastAsia"/>
          <w:b/>
          <w:szCs w:val="21"/>
        </w:rPr>
        <w:t>一、磋商响应声明</w:t>
      </w:r>
      <w:bookmarkEnd w:id="8"/>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附件1：法定代表人身份证明</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附件2：法定代表人授权委托书</w:t>
      </w:r>
    </w:p>
    <w:p>
      <w:pPr>
        <w:pStyle w:val="222"/>
        <w:numPr>
          <w:ilvl w:val="0"/>
          <w:numId w:val="3"/>
        </w:numPr>
        <w:adjustRightInd w:val="0"/>
        <w:snapToGrid w:val="0"/>
        <w:spacing w:line="360" w:lineRule="auto"/>
        <w:ind w:firstLineChars="0"/>
        <w:jc w:val="left"/>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投标承诺</w:t>
      </w:r>
    </w:p>
    <w:p>
      <w:pPr>
        <w:adjustRightInd w:val="0"/>
        <w:snapToGrid w:val="0"/>
        <w:spacing w:line="360" w:lineRule="auto"/>
        <w:jc w:val="left"/>
        <w:outlineLvl w:val="1"/>
        <w:rPr>
          <w:rFonts w:asciiTheme="minorEastAsia" w:hAnsiTheme="minorEastAsia" w:eastAsiaTheme="minorEastAsia" w:cstheme="minorEastAsia"/>
          <w:b/>
          <w:szCs w:val="21"/>
        </w:rPr>
      </w:pPr>
      <w:bookmarkStart w:id="9" w:name="_Toc10974"/>
      <w:r>
        <w:rPr>
          <w:rFonts w:hint="eastAsia" w:asciiTheme="minorEastAsia" w:hAnsiTheme="minorEastAsia" w:eastAsiaTheme="minorEastAsia" w:cstheme="minorEastAsia"/>
          <w:b/>
          <w:szCs w:val="21"/>
        </w:rPr>
        <w:t>三、供应商的资格证明资料</w:t>
      </w:r>
      <w:bookmarkEnd w:id="9"/>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附件3：供应商基本情况表</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附件4：磋商文件规定的基本资格条件证明资料</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附件5：磋商文件规定的特定资格条件证明资料</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附件6：其他说明</w:t>
      </w:r>
    </w:p>
    <w:p>
      <w:pPr>
        <w:pStyle w:val="25"/>
        <w:adjustRightInd w:val="0"/>
        <w:snapToGrid w:val="0"/>
        <w:spacing w:line="360" w:lineRule="auto"/>
        <w:outlineLvl w:val="1"/>
        <w:rPr>
          <w:rFonts w:asciiTheme="minorEastAsia" w:hAnsiTheme="minorEastAsia" w:eastAsiaTheme="minorEastAsia" w:cstheme="minorEastAsia"/>
          <w:b/>
        </w:rPr>
      </w:pPr>
      <w:bookmarkStart w:id="10" w:name="_Toc7070"/>
      <w:r>
        <w:rPr>
          <w:rFonts w:hint="eastAsia" w:asciiTheme="minorEastAsia" w:hAnsiTheme="minorEastAsia" w:eastAsiaTheme="minorEastAsia" w:cstheme="minorEastAsia"/>
          <w:b/>
        </w:rPr>
        <w:t>四、施工实施方案</w:t>
      </w:r>
      <w:bookmarkEnd w:id="10"/>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附件7-1：主要人员简历表</w:t>
      </w:r>
    </w:p>
    <w:p>
      <w:pPr>
        <w:adjustRightInd w:val="0"/>
        <w:snapToGrid w:val="0"/>
        <w:spacing w:line="360" w:lineRule="auto"/>
        <w:jc w:val="left"/>
        <w:outlineLvl w:val="1"/>
        <w:rPr>
          <w:rFonts w:asciiTheme="minorEastAsia" w:hAnsiTheme="minorEastAsia" w:eastAsiaTheme="minorEastAsia" w:cstheme="minorEastAsia"/>
          <w:b/>
          <w:szCs w:val="21"/>
        </w:rPr>
      </w:pPr>
      <w:bookmarkStart w:id="11" w:name="_Toc18280"/>
      <w:r>
        <w:rPr>
          <w:rFonts w:hint="eastAsia" w:asciiTheme="minorEastAsia" w:hAnsiTheme="minorEastAsia" w:eastAsiaTheme="minorEastAsia" w:cstheme="minorEastAsia"/>
          <w:b/>
          <w:szCs w:val="21"/>
        </w:rPr>
        <w:t>五、技术/商务响应与偏离表</w:t>
      </w:r>
      <w:bookmarkEnd w:id="11"/>
    </w:p>
    <w:p>
      <w:pPr>
        <w:adjustRightInd w:val="0"/>
        <w:snapToGrid w:val="0"/>
        <w:spacing w:line="360" w:lineRule="auto"/>
        <w:jc w:val="left"/>
        <w:outlineLvl w:val="1"/>
        <w:rPr>
          <w:rFonts w:asciiTheme="minorEastAsia" w:hAnsiTheme="minorEastAsia" w:eastAsiaTheme="minorEastAsia" w:cstheme="minorEastAsia"/>
          <w:b/>
          <w:szCs w:val="21"/>
        </w:rPr>
      </w:pPr>
      <w:bookmarkStart w:id="12" w:name="_Toc7333"/>
      <w:r>
        <w:rPr>
          <w:rFonts w:hint="eastAsia" w:asciiTheme="minorEastAsia" w:hAnsiTheme="minorEastAsia" w:eastAsiaTheme="minorEastAsia" w:cstheme="minorEastAsia"/>
          <w:b/>
          <w:szCs w:val="21"/>
          <w:lang w:eastAsia="zh-CN"/>
        </w:rPr>
        <w:t>六</w:t>
      </w:r>
      <w:r>
        <w:rPr>
          <w:rFonts w:hint="eastAsia" w:asciiTheme="minorEastAsia" w:hAnsiTheme="minorEastAsia" w:eastAsiaTheme="minorEastAsia" w:cstheme="minorEastAsia"/>
          <w:b/>
          <w:szCs w:val="21"/>
        </w:rPr>
        <w:t>、供应商认为需提供的其它资料</w:t>
      </w:r>
      <w:bookmarkEnd w:id="12"/>
    </w:p>
    <w:p>
      <w:pPr>
        <w:pStyle w:val="2"/>
        <w:ind w:firstLine="643"/>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spacing w:line="360" w:lineRule="exact"/>
        <w:ind w:firstLine="3240" w:firstLineChars="450"/>
        <w:outlineLvl w:val="1"/>
        <w:rPr>
          <w:rFonts w:asciiTheme="minorEastAsia" w:hAnsiTheme="minorEastAsia" w:eastAsiaTheme="minorEastAsia" w:cstheme="minorEastAsia"/>
          <w:b/>
          <w:sz w:val="32"/>
          <w:szCs w:val="32"/>
        </w:rPr>
      </w:pPr>
      <w:bookmarkStart w:id="13" w:name="_Toc19068"/>
      <w:r>
        <w:rPr>
          <w:rFonts w:asciiTheme="minorEastAsia" w:hAnsiTheme="minorEastAsia" w:eastAsiaTheme="minorEastAsia" w:cstheme="minorEastAsia"/>
          <w:sz w:val="72"/>
        </w:rPr>
        <w:pict>
          <v:rect id="_x0000_s1026" o:spid="_x0000_s1026" o:spt="1" style="position:absolute;left:0pt;margin-left:559.5pt;margin-top:1.2pt;height:32.1pt;width:60.65pt;z-index:251660288;mso-width-relative:page;mso-height-relative:page;" coordsize="21600,21600" o:gfxdata="UEsDBAoAAAAAAIdO4kAAAAAAAAAAAAAAAAAEAAAAZHJzL1BLAwQUAAAACACHTuJA1XafPNcAAAAK&#10;AQAADwAAAGRycy9kb3ducmV2LnhtbE2PMU/DMBSEdyT+g/WQ2KidtIpoiNMBVCTGNl3YXuJHEoif&#10;o9hpA78ed4LxdKe774rdYgdxpsn3jjUkKwWCuHGm51bDqdo/PILwAdng4Jg0fJOHXXl7U2Bu3IUP&#10;dD6GVsQS9jlq6EIYcyl905FFv3IjcfQ+3GQxRDm10kx4ieV2kKlSmbTYc1zocKTnjpqv42w11H16&#10;wp9D9arsdr8Ob0v1Ob+/aH1/l6gnEIGW8BeGK35EhzIy1W5m48UQdZJs45mgId2AuAbSjVqDqDVk&#10;WQayLOT/C+UvUEsDBBQAAAAIAIdO4kBCSgL6BgIAADYEAAAOAAAAZHJzL2Uyb0RvYy54bWytU82O&#10;0zAQviPxDpbvbNKIbiFqugdKuSBYaeEBXGeSWPKfPG6TPg0SNx6Cx0G8BmO3lO7CoQdycGbs8Tfz&#10;fTNe3k1Gsz0EVM42fHZTcgZWulbZvuGfP21evOIMo7Ct0M5Cww+A/G71/Nly9DVUbnC6hcAIxGI9&#10;+oYPMfq6KFAOYATeOA+WDjsXjIjkhr5ogxgJ3eiiKsvbYnSh9cFJQKTd9fGQnxDDNYCu65SEtZM7&#10;AzYeUQNoEYkSDsojX+Vquw5k/Nh1CJHphhPTmFdKQvY2rcVqKeo+CD8oeSpBXFPCE05GKEtJz1Br&#10;EQXbBfUXlFEyOHRdvJHOFEciWRFiMSufaPMwCA+ZC0mN/iw6/j9Y+WF/H5hqG15xZoWhhv/88u3H&#10;96+sStqMHmsKefD34eQhmYno1AWT/kSBTVnPw1lPmCKTtLlYlNV8zpmko5fl4naR9S7+XPYB4ztw&#10;hiWj4YHalVUU+/cYKSGF/g5JudBp1W6U1tkJ/faNDmwvqLWb/KWK6cqjMG3Z2PDX8yrVIWheO5oT&#10;Mo0nzmj7nO/RDbwELvP3L+BU2FrgcCwgI6QwURsVIakl6gFE+9a2LB486WrpOfFUjIGWMw30+pKV&#10;I6NQ+ppIYqdtgoY82yeVUpeOfUlWnLYTgSZz69oDtXfng+oHEniWiaQTGqes1Wn007xe+mRfPvfV&#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V2nzzXAAAACgEAAA8AAAAAAAAAAQAgAAAAIgAAAGRy&#10;cy9kb3ducmV2LnhtbFBLAQIUABQAAAAIAIdO4kBCSgL6BgIAADYEAAAOAAAAAAAAAAEAIAAAACYB&#10;AABkcnMvZTJvRG9jLnhtbFBLBQYAAAAABgAGAFkBAACeBQAAAAA=&#10;">
            <v:path/>
            <v:fill focussize="0,0"/>
            <v:stroke/>
            <v:imagedata o:title=""/>
            <o:lock v:ext="edit"/>
            <v:textbox>
              <w:txbxContent>
                <w:p/>
              </w:txbxContent>
            </v:textbox>
          </v:rect>
        </w:pict>
      </w:r>
      <w:r>
        <w:rPr>
          <w:rFonts w:hint="eastAsia" w:asciiTheme="minorEastAsia" w:hAnsiTheme="minorEastAsia" w:eastAsiaTheme="minorEastAsia" w:cstheme="minorEastAsia"/>
          <w:b/>
          <w:sz w:val="32"/>
          <w:szCs w:val="32"/>
        </w:rPr>
        <w:t>一、磋商响应声明</w:t>
      </w:r>
      <w:bookmarkEnd w:id="13"/>
    </w:p>
    <w:p>
      <w:pPr>
        <w:adjustRightInd w:val="0"/>
        <w:snapToGrid w:val="0"/>
        <w:spacing w:line="360" w:lineRule="auto"/>
        <w:rPr>
          <w:rFonts w:hint="eastAsia"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Cs w:val="21"/>
          <w:u w:val="single"/>
          <w:lang w:val="en-US" w:eastAsia="zh-CN"/>
        </w:rPr>
        <w:t xml:space="preserve"> </w:t>
      </w:r>
      <w:r>
        <w:rPr>
          <w:rFonts w:hint="eastAsia" w:ascii="宋体" w:hAnsi="宋体" w:cs="宋体"/>
          <w:szCs w:val="32"/>
          <w:u w:val="single"/>
          <w:lang w:eastAsia="zh-CN"/>
        </w:rPr>
        <w:t>临湘市第九完全小学</w:t>
      </w:r>
      <w:r>
        <w:rPr>
          <w:rFonts w:hint="eastAsia" w:ascii="宋体" w:hAnsi="宋体" w:cs="宋体"/>
          <w:szCs w:val="32"/>
          <w:u w:val="single"/>
          <w:lang w:val="en-US" w:eastAsia="zh-CN"/>
        </w:rPr>
        <w:t xml:space="preserve"> </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我方已仔细研究了</w:t>
      </w:r>
      <w:r>
        <w:rPr>
          <w:rFonts w:hint="eastAsia" w:asciiTheme="minorEastAsia" w:hAnsiTheme="minorEastAsia" w:eastAsiaTheme="minorEastAsia" w:cstheme="minorEastAsia"/>
          <w:szCs w:val="21"/>
          <w:u w:val="single"/>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第九完全小学食堂大宗食材定点采购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none"/>
        </w:rPr>
        <w:t xml:space="preserve"> </w:t>
      </w:r>
      <w:r>
        <w:rPr>
          <w:rFonts w:hint="eastAsia" w:asciiTheme="minorEastAsia" w:hAnsiTheme="minorEastAsia" w:eastAsiaTheme="minorEastAsia" w:cstheme="minorEastAsia"/>
          <w:szCs w:val="21"/>
        </w:rPr>
        <w:t>的竞争性磋商文件（采购代理编号：</w:t>
      </w:r>
      <w:r>
        <w:rPr>
          <w:rFonts w:hint="eastAsia" w:asciiTheme="minorEastAsia" w:hAnsiTheme="minorEastAsia" w:eastAsiaTheme="minorEastAsia" w:cstheme="minorEastAsia"/>
          <w:szCs w:val="21"/>
          <w:u w:val="single"/>
          <w:lang w:val="en-US" w:eastAsia="zh-CN"/>
        </w:rPr>
        <w:t xml:space="preserve"> ZCLX(CG)-2024018 </w:t>
      </w:r>
      <w:r>
        <w:rPr>
          <w:rFonts w:hint="eastAsia" w:asciiTheme="minorEastAsia" w:hAnsiTheme="minorEastAsia" w:eastAsiaTheme="minorEastAsia" w:cstheme="minorEastAsia"/>
          <w:szCs w:val="21"/>
        </w:rPr>
        <w:t>）的全部内容，</w:t>
      </w:r>
      <w:r>
        <w:rPr>
          <w:rFonts w:hint="eastAsia" w:asciiTheme="minorEastAsia" w:hAnsiTheme="minorEastAsia" w:eastAsiaTheme="minorEastAsia" w:cstheme="minorEastAsia"/>
        </w:rPr>
        <w:t>知悉参加竞争性磋商的风险，我方承诺接受磋商文件的全部条款且无任何异议。</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一、我方同意在磋商文件中规定的提交首次响应文件截止时间起日内(响应文件有效期)遵守本响应文件中的承诺且在此期限期满之前均具有法律约束力。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二、我方提交响应文件正本一份和副本</w:t>
      </w:r>
      <w:r>
        <w:rPr>
          <w:rFonts w:hint="eastAsia" w:asciiTheme="minorEastAsia" w:hAnsiTheme="minorEastAsia" w:eastAsiaTheme="minorEastAsia" w:cstheme="minorEastAsia"/>
          <w:lang w:eastAsia="zh-CN"/>
        </w:rPr>
        <w:t>二</w:t>
      </w:r>
      <w:r>
        <w:rPr>
          <w:rFonts w:hint="eastAsia" w:asciiTheme="minorEastAsia" w:hAnsiTheme="minorEastAsia" w:eastAsiaTheme="minorEastAsia" w:cstheme="minorEastAsia"/>
        </w:rPr>
        <w:t>份，并保证响应文件提供的数据和资料全部内容真实、合法、准确和完整，我们对此负责，并愿承担由此引起的法律责任。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三、我方愿意向贵方提供任何与本项采购有关的数据、情况和技术资料。若贵方需要，我方愿意提供我方作出的一切承诺的证明资料。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四、我方愿意按磋商文件规定和磋商小组要求重新提交响应文件和最后报价。</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五、我方承诺遵守《中华人民共和国政府采购法》的有关规定，保证在获得成交资格后，按照磋商文件确定的事项签订政府采购合同，履行双方所签订的合同，并承担合同规定的责任和义务。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六、我方在此声明： </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（一）我方与采购人或采购代理机构不存在隶属关系或者其他利害关系。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（二）我方与参加本项目的其他供应商不存在直接控股、管理关系，或者与其他供应商法定代表人（或者负责人）为同一人。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（三）我方未为本项目前期准备提供设计或咨询服务。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（四）我方承诺（承诺期：成立三年以上的，为提交首次响应文件截止时间前三年内；成立不足三年的，为实际时间）：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1、我方依法缴纳了各项税费及各项社会保障资金，没有偷税、漏税及欠缴行为。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2、我方在经营活动中没有存在下列重大违法记录：</w:t>
      </w:r>
    </w:p>
    <w:p>
      <w:pPr>
        <w:pStyle w:val="25"/>
        <w:adjustRightInd w:val="0"/>
        <w:snapToGrid w:val="0"/>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lang w:val="en-US" w:eastAsia="zh-CN"/>
        </w:rPr>
        <w:t>被列入失信被执行人及重大税收违法案件当事人名单；</w:t>
      </w:r>
    </w:p>
    <w:p>
      <w:pPr>
        <w:pStyle w:val="25"/>
        <w:adjustRightInd w:val="0"/>
        <w:snapToGrid w:val="0"/>
        <w:spacing w:line="360" w:lineRule="auto"/>
        <w:ind w:firstLine="42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（2）受到刑事处罚；</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)受到三万元以上的罚款、责令停产停业、在一至三年内禁止参加政府采购活动、暂扣或者吊销许可证、暂扣或者吊销执照的行政处罚。</w:t>
      </w:r>
    </w:p>
    <w:p>
      <w:pPr>
        <w:adjustRightInd w:val="0"/>
        <w:snapToGrid w:val="0"/>
        <w:spacing w:line="360" w:lineRule="auto"/>
        <w:ind w:right="24"/>
        <w:rPr>
          <w:rFonts w:asciiTheme="minorEastAsia" w:hAnsiTheme="minorEastAsia" w:eastAsiaTheme="minorEastAsia" w:cstheme="minorEastAsia"/>
          <w:szCs w:val="21"/>
        </w:rPr>
      </w:pPr>
      <w:bookmarkStart w:id="14" w:name="_Toc20965_WPSOffice_Level1"/>
      <w:r>
        <w:rPr>
          <w:rFonts w:hint="eastAsia" w:asciiTheme="minorEastAsia" w:hAnsiTheme="minorEastAsia" w:eastAsiaTheme="minorEastAsia" w:cstheme="minorEastAsia"/>
          <w:bCs/>
          <w:szCs w:val="21"/>
        </w:rPr>
        <w:t>附件1：</w:t>
      </w:r>
      <w:r>
        <w:rPr>
          <w:rFonts w:hint="eastAsia" w:asciiTheme="minorEastAsia" w:hAnsiTheme="minorEastAsia" w:eastAsiaTheme="minorEastAsia" w:cstheme="minorEastAsia"/>
          <w:szCs w:val="21"/>
        </w:rPr>
        <w:t>法定代表人身份证明</w:t>
      </w:r>
      <w:bookmarkEnd w:id="14"/>
    </w:p>
    <w:p>
      <w:pPr>
        <w:adjustRightInd w:val="0"/>
        <w:snapToGrid w:val="0"/>
        <w:spacing w:line="360" w:lineRule="auto"/>
        <w:ind w:right="24"/>
        <w:rPr>
          <w:rFonts w:asciiTheme="minorEastAsia" w:hAnsiTheme="minorEastAsia" w:eastAsiaTheme="minorEastAsia" w:cstheme="minorEastAsia"/>
          <w:szCs w:val="21"/>
        </w:rPr>
      </w:pPr>
      <w:bookmarkStart w:id="15" w:name="_Toc31857_WPSOffice_Level1"/>
      <w:r>
        <w:rPr>
          <w:rFonts w:hint="eastAsia" w:asciiTheme="minorEastAsia" w:hAnsiTheme="minorEastAsia" w:eastAsiaTheme="minorEastAsia" w:cstheme="minorEastAsia"/>
          <w:bCs/>
          <w:szCs w:val="21"/>
        </w:rPr>
        <w:t>附件2</w:t>
      </w:r>
      <w:r>
        <w:rPr>
          <w:rFonts w:hint="eastAsia" w:asciiTheme="minorEastAsia" w:hAnsiTheme="minorEastAsia" w:eastAsiaTheme="minorEastAsia" w:cstheme="minorEastAsia"/>
          <w:szCs w:val="21"/>
        </w:rPr>
        <w:t>：法定代表人授权书</w:t>
      </w:r>
      <w:bookmarkEnd w:id="15"/>
    </w:p>
    <w:p>
      <w:pPr>
        <w:pStyle w:val="25"/>
        <w:adjustRightInd w:val="0"/>
        <w:snapToGrid w:val="0"/>
        <w:spacing w:line="360" w:lineRule="auto"/>
        <w:rPr>
          <w:rFonts w:asciiTheme="minorEastAsia" w:hAnsiTheme="minorEastAsia" w:eastAsiaTheme="minorEastAsia" w:cstheme="minorEastAsia"/>
        </w:rPr>
      </w:pPr>
    </w:p>
    <w:p>
      <w:pPr>
        <w:pStyle w:val="25"/>
        <w:adjustRightInd w:val="0"/>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供应商名称(盖单位章)：</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法定代表人或其委托代理人 (签字)：</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日     期：</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日</w:t>
      </w:r>
    </w:p>
    <w:p>
      <w:pPr>
        <w:rPr>
          <w:rFonts w:hint="eastAsia" w:asciiTheme="minorEastAsia" w:hAnsiTheme="minorEastAsia" w:eastAsiaTheme="minorEastAsia" w:cstheme="minorEastAsia"/>
          <w:b/>
          <w:sz w:val="30"/>
          <w:szCs w:val="30"/>
        </w:rPr>
      </w:pPr>
      <w:bookmarkStart w:id="16" w:name="_Toc24842"/>
    </w:p>
    <w:p>
      <w:pP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附件1</w:t>
      </w:r>
      <w:bookmarkEnd w:id="16"/>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法定代表人身份证明</w:t>
      </w:r>
    </w:p>
    <w:p>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注册地址：</w:t>
      </w:r>
    </w:p>
    <w:p>
      <w:pPr>
        <w:tabs>
          <w:tab w:val="left" w:pos="2400"/>
          <w:tab w:val="left" w:pos="3880"/>
          <w:tab w:val="left" w:pos="5340"/>
          <w:tab w:val="left" w:pos="6820"/>
        </w:tabs>
        <w:autoSpaceDE w:val="0"/>
        <w:autoSpaceDN w:val="0"/>
        <w:adjustRightInd w:val="0"/>
        <w:snapToGrid w:val="0"/>
        <w:spacing w:beforeLines="50" w:line="360" w:lineRule="auto"/>
        <w:ind w:left="102" w:right="-23" w:firstLine="420" w:firstLineChars="200"/>
        <w:jc w:val="left"/>
        <w:rPr>
          <w:rFonts w:hint="eastAsia" w:ascii="宋体" w:hAnsi="宋体" w:eastAsia="宋体" w:cs="微软雅黑"/>
          <w:color w:val="000000"/>
          <w:kern w:val="0"/>
          <w:szCs w:val="21"/>
          <w:lang w:eastAsia="zh-CN"/>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s="微软雅黑"/>
          <w:color w:val="000000"/>
          <w:kern w:val="0"/>
          <w:position w:val="-2"/>
          <w:szCs w:val="21"/>
          <w:lang w:val="en-US" w:eastAsia="zh-CN"/>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：系</w:t>
      </w:r>
      <w:r>
        <w:rPr>
          <w:rFonts w:hint="eastAsia" w:ascii="宋体" w:hAnsi="宋体" w:cs="微软雅黑"/>
          <w:color w:val="000000"/>
          <w:kern w:val="0"/>
          <w:position w:val="-2"/>
          <w:szCs w:val="21"/>
          <w:u w:val="single"/>
          <w:lang w:val="en-US" w:eastAsia="zh-CN"/>
        </w:rPr>
        <w:t xml:space="preserve">       </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u w:val="single"/>
        </w:rPr>
        <w:t>供应商</w:t>
      </w:r>
      <w:r>
        <w:rPr>
          <w:rFonts w:hint="eastAsia" w:ascii="宋体" w:hAnsi="宋体" w:cs="微软雅黑"/>
          <w:color w:val="000000"/>
          <w:spacing w:val="-2"/>
          <w:kern w:val="0"/>
          <w:position w:val="-2"/>
          <w:szCs w:val="21"/>
          <w:u w:val="single"/>
        </w:rPr>
        <w:t>名</w:t>
      </w:r>
      <w:r>
        <w:rPr>
          <w:rFonts w:hint="eastAsia" w:ascii="宋体" w:hAnsi="宋体" w:cs="微软雅黑"/>
          <w:color w:val="000000"/>
          <w:kern w:val="0"/>
          <w:position w:val="-2"/>
          <w:szCs w:val="21"/>
          <w:u w:val="single"/>
        </w:rPr>
        <w:t>称</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lang w:eastAsia="zh-CN"/>
        </w:rPr>
        <w:t>）</w:t>
      </w:r>
    </w:p>
    <w:p>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Lines="50" w:line="360" w:lineRule="auto"/>
        <w:ind w:left="100" w:right="4231"/>
        <w:jc w:val="left"/>
        <w:rPr>
          <w:rFonts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rPr>
          <w:rFonts w:ascii="宋体" w:hAnsi="宋体"/>
          <w:color w:val="000000"/>
          <w:szCs w:val="21"/>
        </w:rPr>
      </w:pPr>
    </w:p>
    <w:p>
      <w:pPr>
        <w:adjustRightInd w:val="0"/>
        <w:snapToGrid w:val="0"/>
        <w:spacing w:beforeLines="50" w:line="360" w:lineRule="auto"/>
        <w:rPr>
          <w:rFonts w:ascii="宋体" w:hAnsi="宋体"/>
          <w:color w:val="000000"/>
          <w:szCs w:val="21"/>
        </w:rPr>
      </w:pPr>
    </w:p>
    <w:p>
      <w:pPr>
        <w:pStyle w:val="5"/>
        <w:rPr>
          <w:rFonts w:ascii="宋体" w:hAnsi="宋体"/>
          <w:color w:val="000000"/>
          <w:szCs w:val="21"/>
        </w:rPr>
      </w:pPr>
    </w:p>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ind w:right="24"/>
        <w:rPr>
          <w:rFonts w:ascii="仿宋_GB2312" w:hAnsi="宋体" w:eastAsia="仿宋_GB2312"/>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pStyle w:val="6"/>
        <w:jc w:val="center"/>
        <w:rPr>
          <w:color w:val="000000"/>
        </w:rPr>
      </w:pPr>
    </w:p>
    <w:p>
      <w:pPr>
        <w:pStyle w:val="6"/>
        <w:jc w:val="center"/>
        <w:rPr>
          <w:color w:val="000000"/>
        </w:rPr>
      </w:pPr>
    </w:p>
    <w:p>
      <w:pPr>
        <w:adjustRightInd w:val="0"/>
        <w:snapToGrid w:val="0"/>
        <w:spacing w:beforeLines="50" w:line="360" w:lineRule="auto"/>
        <w:rPr>
          <w:rFonts w:asciiTheme="minorEastAsia" w:hAnsiTheme="minorEastAsia" w:eastAsiaTheme="minorEastAsia" w:cstheme="minorEastAsia"/>
          <w:szCs w:val="21"/>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outlineLvl w:val="0"/>
        <w:rPr>
          <w:rFonts w:asciiTheme="minorEastAsia" w:hAnsiTheme="minorEastAsia" w:eastAsiaTheme="minorEastAsia" w:cstheme="minorEastAsia"/>
          <w:b/>
          <w:sz w:val="30"/>
          <w:szCs w:val="30"/>
        </w:rPr>
      </w:pPr>
      <w:bookmarkStart w:id="17" w:name="_Toc98"/>
      <w:r>
        <w:rPr>
          <w:rFonts w:hint="eastAsia" w:asciiTheme="minorEastAsia" w:hAnsiTheme="minorEastAsia" w:eastAsiaTheme="minorEastAsia" w:cstheme="minorEastAsia"/>
          <w:b/>
          <w:sz w:val="30"/>
          <w:szCs w:val="30"/>
        </w:rPr>
        <w:t>附件2</w:t>
      </w:r>
      <w:bookmarkEnd w:id="17"/>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法定代表人授权委托书</w:t>
      </w:r>
    </w:p>
    <w:p>
      <w:pPr>
        <w:adjustRightInd w:val="0"/>
        <w:snapToGrid w:val="0"/>
        <w:spacing w:line="360" w:lineRule="auto"/>
        <w:jc w:val="center"/>
        <w:rPr>
          <w:rFonts w:asciiTheme="minorEastAsia" w:hAnsiTheme="minorEastAsia" w:eastAsiaTheme="minorEastAsia" w:cstheme="minorEastAsia"/>
          <w:b/>
          <w:sz w:val="28"/>
          <w:szCs w:val="28"/>
        </w:rPr>
      </w:pPr>
    </w:p>
    <w:p>
      <w:pPr>
        <w:autoSpaceDE w:val="0"/>
        <w:autoSpaceDN w:val="0"/>
        <w:adjustRightInd w:val="0"/>
        <w:snapToGrid w:val="0"/>
        <w:spacing w:beforeLines="50"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系</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为我方代理人。代理人根据授权，以我方名义：(1)签署、澄清、补正、修改、撤回、提交</w:t>
      </w:r>
      <w:r>
        <w:rPr>
          <w:rFonts w:hint="eastAsia" w:ascii="宋体" w:hAnsi="宋体" w:cs="宋体"/>
          <w:color w:val="000000"/>
          <w:kern w:val="0"/>
          <w:szCs w:val="21"/>
          <w:u w:val="single"/>
          <w:lang w:val="en-US" w:eastAsia="zh-CN"/>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第九完全小学食堂大宗食材定点采购</w:t>
      </w:r>
      <w:r>
        <w:rPr>
          <w:rFonts w:hint="eastAsia" w:asciiTheme="minorEastAsia" w:hAnsiTheme="minorEastAsia" w:eastAsiaTheme="minorEastAsia" w:cstheme="minorEastAsia"/>
          <w:szCs w:val="21"/>
          <w:u w:val="single"/>
        </w:rPr>
        <w:t>项目</w:t>
      </w:r>
      <w:r>
        <w:rPr>
          <w:rFonts w:hint="eastAsia" w:asciiTheme="minorEastAsia" w:hAnsiTheme="minorEastAsia" w:eastAsiaTheme="minorEastAsia" w:cstheme="minorEastAsia"/>
          <w:szCs w:val="21"/>
          <w:u w:val="single"/>
          <w:lang w:eastAsia="zh-CN"/>
        </w:rPr>
        <w:t>（委托代理编号</w:t>
      </w:r>
      <w:r>
        <w:rPr>
          <w:rFonts w:hint="eastAsia" w:asciiTheme="minorEastAsia" w:hAnsiTheme="minorEastAsia" w:eastAsiaTheme="minorEastAsia" w:cstheme="minorEastAsia"/>
          <w:szCs w:val="21"/>
          <w:u w:val="single"/>
          <w:lang w:val="en-US" w:eastAsia="zh-CN"/>
        </w:rPr>
        <w:t xml:space="preserve">：ZCLX(CG)-2024018） </w:t>
      </w:r>
      <w:r>
        <w:rPr>
          <w:rFonts w:hint="eastAsia" w:ascii="宋体" w:hAnsi="宋体" w:cs="宋体"/>
          <w:color w:val="000000"/>
          <w:kern w:val="0"/>
          <w:szCs w:val="21"/>
        </w:rPr>
        <w:t>响应文件；(2)签署并重新提交响应文件及最后报价；(3)退出谈判（如可能）；(4)签订合同和处理有关事宜，其法律后果由我方承担。</w:t>
      </w:r>
    </w:p>
    <w:p>
      <w:pPr>
        <w:autoSpaceDE w:val="0"/>
        <w:autoSpaceDN w:val="0"/>
        <w:adjustRightInd w:val="0"/>
        <w:snapToGrid w:val="0"/>
        <w:spacing w:beforeLines="50" w:line="360" w:lineRule="auto"/>
        <w:ind w:firstLine="420" w:firstLineChars="200"/>
        <w:jc w:val="left"/>
        <w:rPr>
          <w:rFonts w:hint="default" w:ascii="宋体" w:hAnsi="宋体" w:eastAsia="宋体" w:cs="宋体"/>
          <w:color w:val="000000"/>
          <w:kern w:val="0"/>
          <w:szCs w:val="21"/>
          <w:u w:val="single"/>
          <w:lang w:val="en-US" w:eastAsia="zh-CN"/>
        </w:rPr>
      </w:pPr>
      <w:r>
        <w:rPr>
          <w:rFonts w:hint="eastAsia" w:ascii="宋体" w:hAnsi="宋体" w:cs="宋体"/>
          <w:color w:val="000000"/>
          <w:kern w:val="0"/>
          <w:szCs w:val="21"/>
        </w:rPr>
        <w:t>委托期限：</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u w:val="single"/>
          <w:lang w:val="en-US" w:eastAsia="zh-CN"/>
        </w:rPr>
        <w:t xml:space="preserve">                        </w:t>
      </w:r>
    </w:p>
    <w:p>
      <w:pPr>
        <w:adjustRightInd w:val="0"/>
        <w:snapToGrid w:val="0"/>
        <w:spacing w:beforeLines="50" w:line="360" w:lineRule="auto"/>
        <w:ind w:firstLine="435"/>
        <w:rPr>
          <w:rFonts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Lines="50" w:line="360" w:lineRule="auto"/>
        <w:ind w:firstLine="435"/>
        <w:rPr>
          <w:rFonts w:ascii="宋体" w:hAnsi="宋体"/>
          <w:color w:val="000000"/>
          <w:szCs w:val="21"/>
        </w:rPr>
      </w:pPr>
      <w:r>
        <w:rPr>
          <w:rFonts w:hint="eastAsia" w:ascii="宋体" w:hAnsi="宋体"/>
          <w:color w:val="000000"/>
          <w:szCs w:val="21"/>
        </w:rPr>
        <w:t>本授权书于</w:t>
      </w:r>
      <w:r>
        <w:rPr>
          <w:rFonts w:hint="eastAsia" w:ascii="宋体" w:hAnsi="宋体"/>
          <w:color w:val="000000"/>
          <w:szCs w:val="21"/>
          <w:u w:val="single"/>
          <w:lang w:val="en-US" w:eastAsia="zh-CN"/>
        </w:rPr>
        <w:t xml:space="preserve">     </w:t>
      </w:r>
      <w:r>
        <w:rPr>
          <w:rFonts w:hint="eastAsia" w:ascii="宋体" w:hAnsi="宋体"/>
          <w:color w:val="000000"/>
          <w:szCs w:val="21"/>
        </w:rPr>
        <w:t>年</w:t>
      </w:r>
      <w:r>
        <w:rPr>
          <w:rFonts w:hint="eastAsia" w:ascii="宋体" w:hAnsi="宋体"/>
          <w:color w:val="000000"/>
          <w:szCs w:val="21"/>
          <w:u w:val="single"/>
          <w:lang w:val="en-US" w:eastAsia="zh-CN"/>
        </w:rPr>
        <w:t xml:space="preserve">    </w:t>
      </w:r>
      <w:r>
        <w:rPr>
          <w:rFonts w:hint="eastAsia" w:ascii="宋体" w:hAnsi="宋体"/>
          <w:color w:val="000000"/>
          <w:szCs w:val="21"/>
        </w:rPr>
        <w:t>月</w:t>
      </w:r>
      <w:r>
        <w:rPr>
          <w:rFonts w:hint="eastAsia" w:ascii="宋体" w:hAnsi="宋体"/>
          <w:color w:val="000000"/>
          <w:szCs w:val="21"/>
          <w:u w:val="single"/>
          <w:lang w:val="en-US" w:eastAsia="zh-CN"/>
        </w:rPr>
        <w:t xml:space="preserve">    </w:t>
      </w:r>
      <w:r>
        <w:rPr>
          <w:rFonts w:hint="eastAsia" w:ascii="宋体" w:hAnsi="宋体"/>
          <w:color w:val="000000"/>
          <w:szCs w:val="21"/>
        </w:rPr>
        <w:t>日签字生效，特此声明。</w:t>
      </w:r>
    </w:p>
    <w:p>
      <w:pPr>
        <w:adjustRightInd w:val="0"/>
        <w:snapToGrid w:val="0"/>
        <w:spacing w:beforeLines="50" w:line="360" w:lineRule="auto"/>
        <w:ind w:firstLine="435"/>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）和授权代理人的</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pStyle w:val="5"/>
        <w:rPr>
          <w:rFonts w:ascii="宋体" w:hAnsi="宋体"/>
          <w:color w:val="000000"/>
          <w:szCs w:val="21"/>
        </w:rPr>
      </w:pPr>
    </w:p>
    <w:p/>
    <w:p>
      <w:pPr>
        <w:adjustRightInd w:val="0"/>
        <w:snapToGrid w:val="0"/>
        <w:spacing w:beforeLines="50" w:line="360" w:lineRule="auto"/>
        <w:ind w:firstLine="420" w:firstLineChars="200"/>
        <w:rPr>
          <w:rFonts w:ascii="宋体" w:hAnsi="宋体"/>
          <w:color w:val="000000"/>
          <w:szCs w:val="21"/>
        </w:rPr>
      </w:pPr>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rPr>
          <w:rFonts w:ascii="宋体" w:hAnsi="宋体"/>
          <w:color w:val="000000"/>
          <w:szCs w:val="21"/>
        </w:rPr>
      </w:pP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olor w:val="000000"/>
          <w:szCs w:val="21"/>
        </w:rPr>
        <w:t>签字或印章</w:t>
      </w:r>
      <w:r>
        <w:rPr>
          <w:rFonts w:hint="eastAsia" w:ascii="宋体" w:hAnsi="宋体" w:cs="微软雅黑"/>
          <w:color w:val="000000"/>
          <w:spacing w:val="-2"/>
          <w:kern w:val="0"/>
          <w:szCs w:val="21"/>
        </w:rPr>
        <w:t>）：</w:t>
      </w:r>
    </w:p>
    <w:p>
      <w:pPr>
        <w:adjustRightInd w:val="0"/>
        <w:snapToGrid w:val="0"/>
        <w:spacing w:beforeLines="50" w:line="360" w:lineRule="auto"/>
        <w:rPr>
          <w:rFonts w:ascii="宋体" w:hAnsi="宋体"/>
          <w:color w:val="000000"/>
          <w:szCs w:val="21"/>
          <w:u w:val="single"/>
        </w:rPr>
      </w:pPr>
      <w:r>
        <w:rPr>
          <w:rFonts w:hint="eastAsia" w:ascii="宋体" w:hAnsi="宋体"/>
          <w:color w:val="000000"/>
          <w:szCs w:val="21"/>
        </w:rPr>
        <w:t>授权的代理人（签字或印章）：</w:t>
      </w:r>
    </w:p>
    <w:p>
      <w:pPr>
        <w:adjustRightInd w:val="0"/>
        <w:snapToGrid w:val="0"/>
        <w:spacing w:beforeLines="50" w:line="360" w:lineRule="auto"/>
        <w:rPr>
          <w:rFonts w:ascii="宋体" w:hAnsi="宋体"/>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adjustRightInd w:val="0"/>
        <w:snapToGrid w:val="0"/>
        <w:spacing w:line="360" w:lineRule="auto"/>
        <w:ind w:right="420"/>
        <w:rPr>
          <w:rFonts w:asciiTheme="minorEastAsia" w:hAnsiTheme="minorEastAsia" w:eastAsiaTheme="minorEastAsia" w:cstheme="minorEastAsia"/>
          <w:szCs w:val="21"/>
        </w:rPr>
      </w:pPr>
      <w:r>
        <w:rPr>
          <w:rFonts w:ascii="宋体"/>
          <w:color w:val="000000"/>
        </w:rPr>
        <w:br w:type="page"/>
      </w:r>
    </w:p>
    <w:p>
      <w:pPr>
        <w:adjustRightInd w:val="0"/>
        <w:snapToGrid w:val="0"/>
        <w:spacing w:line="360" w:lineRule="auto"/>
        <w:ind w:right="24"/>
        <w:rPr>
          <w:rFonts w:asciiTheme="minorEastAsia" w:hAnsiTheme="minorEastAsia" w:eastAsiaTheme="minorEastAsia" w:cstheme="minorEastAsia"/>
          <w:bCs/>
          <w:sz w:val="24"/>
          <w:szCs w:val="28"/>
        </w:rPr>
      </w:pPr>
    </w:p>
    <w:p>
      <w:pPr>
        <w:pStyle w:val="6"/>
        <w:jc w:val="center"/>
        <w:rPr>
          <w:rFonts w:asciiTheme="minorEastAsia" w:hAnsiTheme="minorEastAsia" w:eastAsiaTheme="minorEastAsia" w:cstheme="minorEastAsia"/>
          <w:sz w:val="32"/>
        </w:rPr>
      </w:pPr>
      <w:bookmarkStart w:id="18" w:name="_Toc3011"/>
      <w:r>
        <w:rPr>
          <w:rFonts w:hint="eastAsia" w:asciiTheme="minorEastAsia" w:hAnsiTheme="minorEastAsia" w:eastAsiaTheme="minorEastAsia" w:cstheme="minorEastAsia"/>
          <w:sz w:val="32"/>
        </w:rPr>
        <w:t>二、</w:t>
      </w:r>
      <w:bookmarkEnd w:id="18"/>
      <w:bookmarkStart w:id="19" w:name="_Toc18756"/>
      <w:bookmarkStart w:id="20" w:name="_Toc16135"/>
      <w:r>
        <w:rPr>
          <w:rFonts w:hint="eastAsia" w:asciiTheme="minorEastAsia" w:hAnsiTheme="minorEastAsia" w:eastAsiaTheme="minorEastAsia" w:cstheme="minorEastAsia"/>
          <w:sz w:val="32"/>
        </w:rPr>
        <w:t>投标承诺</w:t>
      </w:r>
      <w:bookmarkEnd w:id="19"/>
      <w:bookmarkEnd w:id="20"/>
    </w:p>
    <w:p>
      <w:pPr>
        <w:adjustRightInd w:val="0"/>
        <w:snapToGrid w:val="0"/>
        <w:spacing w:line="480" w:lineRule="exact"/>
        <w:rPr>
          <w:rFonts w:ascii="宋体" w:hAnsi="宋体" w:cs="宋体"/>
          <w:sz w:val="24"/>
        </w:rPr>
      </w:pPr>
    </w:p>
    <w:p>
      <w:pPr>
        <w:spacing w:line="480" w:lineRule="exact"/>
        <w:rPr>
          <w:rFonts w:ascii="宋体" w:hAnsi="宋体" w:cs="宋体"/>
          <w:szCs w:val="32"/>
        </w:rPr>
      </w:pPr>
      <w:r>
        <w:rPr>
          <w:rFonts w:hint="eastAsia" w:ascii="宋体" w:hAnsi="宋体" w:cs="宋体"/>
          <w:szCs w:val="32"/>
          <w:u w:val="single"/>
        </w:rPr>
        <w:t xml:space="preserve"> </w:t>
      </w:r>
      <w:r>
        <w:rPr>
          <w:rFonts w:hint="eastAsia" w:ascii="宋体" w:hAnsi="宋体" w:cs="宋体"/>
          <w:szCs w:val="32"/>
          <w:u w:val="single"/>
          <w:lang w:eastAsia="zh-CN"/>
        </w:rPr>
        <w:t>临湘市第九完全小学</w:t>
      </w:r>
      <w:r>
        <w:rPr>
          <w:rFonts w:hint="eastAsia" w:ascii="宋体" w:hAnsi="宋体" w:cs="宋体"/>
          <w:szCs w:val="32"/>
          <w:u w:val="single"/>
          <w:lang w:val="en-US" w:eastAsia="zh-CN"/>
        </w:rPr>
        <w:t xml:space="preserve"> </w:t>
      </w:r>
      <w:r>
        <w:rPr>
          <w:rFonts w:hint="eastAsia" w:ascii="宋体" w:hAnsi="宋体" w:cs="宋体"/>
          <w:szCs w:val="32"/>
        </w:rPr>
        <w:t xml:space="preserve"> ：</w:t>
      </w:r>
    </w:p>
    <w:p>
      <w:pPr>
        <w:spacing w:line="480" w:lineRule="exact"/>
        <w:ind w:firstLine="640"/>
        <w:rPr>
          <w:rFonts w:ascii="宋体" w:hAnsi="宋体" w:cs="宋体"/>
          <w:szCs w:val="32"/>
          <w:u w:val="single"/>
        </w:rPr>
      </w:pPr>
      <w:r>
        <w:rPr>
          <w:rFonts w:hint="eastAsia" w:ascii="宋体" w:hAnsi="宋体" w:cs="宋体"/>
          <w:szCs w:val="32"/>
        </w:rPr>
        <w:t>经慎重研究，我公司</w:t>
      </w:r>
      <w:r>
        <w:rPr>
          <w:rFonts w:hint="eastAsia" w:ascii="宋体" w:hAnsi="宋体" w:cs="宋体"/>
          <w:szCs w:val="32"/>
          <w:u w:val="single"/>
        </w:rPr>
        <w:t xml:space="preserve">          </w:t>
      </w:r>
      <w:r>
        <w:rPr>
          <w:rFonts w:hint="eastAsia" w:ascii="宋体" w:hAnsi="宋体" w:cs="宋体"/>
          <w:szCs w:val="32"/>
          <w:u w:val="single"/>
          <w:lang w:eastAsia="zh-CN"/>
        </w:rPr>
        <w:t>供应商</w:t>
      </w:r>
      <w:r>
        <w:rPr>
          <w:rFonts w:hint="eastAsia" w:ascii="宋体" w:hAnsi="宋体" w:cs="宋体"/>
          <w:szCs w:val="32"/>
          <w:u w:val="single"/>
        </w:rPr>
        <w:t xml:space="preserve">名称  </w:t>
      </w:r>
      <w:r>
        <w:rPr>
          <w:rFonts w:hint="eastAsia" w:ascii="宋体" w:hAnsi="宋体" w:cs="宋体"/>
          <w:szCs w:val="32"/>
        </w:rPr>
        <w:t>（以下称“</w:t>
      </w:r>
      <w:r>
        <w:rPr>
          <w:rFonts w:hint="eastAsia" w:ascii="宋体" w:hAnsi="宋体" w:cs="宋体"/>
          <w:szCs w:val="32"/>
          <w:lang w:eastAsia="zh-CN"/>
        </w:rPr>
        <w:t>供应商</w:t>
      </w:r>
      <w:r>
        <w:rPr>
          <w:rFonts w:hint="eastAsia" w:ascii="宋体" w:hAnsi="宋体" w:cs="宋体"/>
          <w:szCs w:val="32"/>
        </w:rPr>
        <w:t>”）决定于______年____月_____日参与你方组织的的采购投标，我方承诺严格按照《政府采购法》及其实施条例等法律法规和政策文件的要求，履行投标义务。</w:t>
      </w:r>
    </w:p>
    <w:p>
      <w:pPr>
        <w:spacing w:line="480" w:lineRule="exact"/>
        <w:ind w:firstLine="640"/>
        <w:rPr>
          <w:rFonts w:ascii="宋体" w:hAnsi="宋体" w:cs="宋体"/>
          <w:szCs w:val="32"/>
        </w:rPr>
      </w:pPr>
      <w:r>
        <w:rPr>
          <w:rFonts w:hint="eastAsia" w:ascii="宋体" w:hAnsi="宋体" w:cs="宋体"/>
          <w:szCs w:val="32"/>
        </w:rPr>
        <w:t>如果发生不履行相关投标义务的行为，自愿接受按法律法规和招标文件作出的处理。</w:t>
      </w:r>
    </w:p>
    <w:p>
      <w:pPr>
        <w:adjustRightInd w:val="0"/>
        <w:snapToGrid w:val="0"/>
        <w:spacing w:line="480" w:lineRule="exact"/>
        <w:rPr>
          <w:rFonts w:ascii="宋体" w:hAnsi="宋体" w:cs="宋体"/>
          <w:szCs w:val="32"/>
        </w:rPr>
      </w:pPr>
    </w:p>
    <w:p>
      <w:pPr>
        <w:adjustRightInd w:val="0"/>
        <w:snapToGrid w:val="0"/>
        <w:spacing w:line="480" w:lineRule="exact"/>
        <w:rPr>
          <w:rFonts w:ascii="宋体" w:hAnsi="宋体" w:cs="宋体"/>
          <w:szCs w:val="32"/>
        </w:rPr>
      </w:pPr>
    </w:p>
    <w:p>
      <w:pPr>
        <w:spacing w:line="480" w:lineRule="exact"/>
        <w:ind w:right="404" w:firstLine="2205" w:firstLineChars="1050"/>
        <w:rPr>
          <w:rFonts w:ascii="宋体" w:hAnsi="宋体" w:cs="宋体"/>
          <w:szCs w:val="32"/>
        </w:rPr>
      </w:pPr>
      <w:r>
        <w:rPr>
          <w:rFonts w:hint="eastAsia" w:ascii="宋体" w:hAnsi="宋体" w:cs="宋体"/>
          <w:szCs w:val="21"/>
        </w:rPr>
        <w:t>供应商名称</w:t>
      </w:r>
      <w:r>
        <w:rPr>
          <w:rFonts w:hint="eastAsia" w:ascii="宋体" w:hAnsi="宋体" w:cs="宋体"/>
          <w:szCs w:val="32"/>
        </w:rPr>
        <w:t>：（盖章）</w:t>
      </w:r>
    </w:p>
    <w:p>
      <w:pPr>
        <w:spacing w:line="480" w:lineRule="exact"/>
        <w:ind w:firstLine="2100" w:firstLineChars="1000"/>
        <w:rPr>
          <w:rFonts w:ascii="宋体" w:hAnsi="宋体" w:cs="宋体"/>
          <w:szCs w:val="32"/>
        </w:rPr>
      </w:pPr>
      <w:r>
        <w:rPr>
          <w:rFonts w:hint="eastAsia" w:ascii="宋体" w:hAnsi="宋体" w:cs="宋体"/>
          <w:szCs w:val="32"/>
        </w:rPr>
        <w:t xml:space="preserve"> 法定代表人：（签字或盖章）</w:t>
      </w:r>
    </w:p>
    <w:p>
      <w:pPr>
        <w:spacing w:line="480" w:lineRule="exact"/>
        <w:ind w:firstLine="2205" w:firstLineChars="1050"/>
        <w:rPr>
          <w:rFonts w:ascii="宋体" w:hAnsi="宋体" w:cs="宋体"/>
          <w:szCs w:val="32"/>
          <w:u w:val="single"/>
        </w:rPr>
      </w:pPr>
      <w:r>
        <w:rPr>
          <w:rFonts w:hint="eastAsia" w:ascii="宋体" w:hAnsi="宋体" w:cs="宋体"/>
          <w:szCs w:val="32"/>
        </w:rPr>
        <w:t>地址：</w:t>
      </w:r>
    </w:p>
    <w:p>
      <w:pPr>
        <w:spacing w:line="480" w:lineRule="exact"/>
        <w:ind w:firstLine="2205" w:firstLineChars="1050"/>
        <w:rPr>
          <w:rFonts w:ascii="宋体" w:hAnsi="宋体" w:cs="宋体"/>
          <w:szCs w:val="32"/>
          <w:u w:val="single"/>
        </w:rPr>
      </w:pPr>
      <w:r>
        <w:rPr>
          <w:rFonts w:hint="eastAsia" w:ascii="宋体" w:hAnsi="宋体" w:cs="宋体"/>
          <w:szCs w:val="32"/>
        </w:rPr>
        <w:t>电话：</w:t>
      </w:r>
    </w:p>
    <w:p>
      <w:pPr>
        <w:spacing w:line="480" w:lineRule="exact"/>
        <w:ind w:firstLine="2205" w:firstLineChars="1050"/>
        <w:rPr>
          <w:rFonts w:ascii="宋体" w:hAnsi="宋体" w:cs="宋体"/>
          <w:szCs w:val="32"/>
          <w:u w:val="single"/>
        </w:rPr>
      </w:pPr>
      <w:r>
        <w:rPr>
          <w:rFonts w:hint="eastAsia" w:ascii="宋体" w:hAnsi="宋体" w:cs="宋体"/>
          <w:szCs w:val="32"/>
        </w:rPr>
        <w:t>传真：</w:t>
      </w:r>
    </w:p>
    <w:p>
      <w:pPr>
        <w:spacing w:line="480" w:lineRule="exact"/>
        <w:ind w:firstLine="735" w:firstLineChars="350"/>
        <w:rPr>
          <w:rFonts w:ascii="宋体" w:hAnsi="宋体" w:cs="宋体"/>
          <w:szCs w:val="32"/>
        </w:rPr>
      </w:pPr>
    </w:p>
    <w:p>
      <w:pPr>
        <w:jc w:val="center"/>
        <w:rPr>
          <w:rFonts w:asciiTheme="minorEastAsia" w:hAnsiTheme="minorEastAsia" w:eastAsiaTheme="minorEastAsia" w:cstheme="minorEastAsia"/>
        </w:rPr>
      </w:pPr>
      <w:r>
        <w:rPr>
          <w:rFonts w:hint="eastAsia" w:ascii="宋体" w:hAnsi="宋体" w:cs="宋体"/>
          <w:szCs w:val="32"/>
          <w:lang w:val="en-US" w:eastAsia="zh-CN"/>
        </w:rPr>
        <w:t xml:space="preserve"> </w:t>
      </w:r>
      <w:r>
        <w:rPr>
          <w:rFonts w:hint="eastAsia" w:ascii="宋体" w:hAnsi="宋体" w:cs="宋体"/>
          <w:szCs w:val="32"/>
        </w:rPr>
        <w:t>年</w:t>
      </w:r>
      <w:r>
        <w:rPr>
          <w:rFonts w:hint="eastAsia" w:ascii="宋体" w:hAnsi="宋体" w:cs="宋体"/>
          <w:szCs w:val="32"/>
          <w:lang w:val="en-US" w:eastAsia="zh-CN"/>
        </w:rPr>
        <w:t xml:space="preserve">      </w:t>
      </w:r>
      <w:r>
        <w:rPr>
          <w:rFonts w:hint="eastAsia" w:ascii="宋体" w:hAnsi="宋体" w:cs="宋体"/>
          <w:szCs w:val="32"/>
        </w:rPr>
        <w:t>月</w:t>
      </w:r>
      <w:r>
        <w:rPr>
          <w:rFonts w:hint="eastAsia" w:ascii="宋体" w:hAnsi="宋体" w:cs="宋体"/>
          <w:szCs w:val="32"/>
          <w:lang w:val="en-US" w:eastAsia="zh-CN"/>
        </w:rPr>
        <w:t xml:space="preserve">     </w:t>
      </w:r>
      <w:r>
        <w:rPr>
          <w:rFonts w:hint="eastAsia" w:ascii="宋体" w:hAnsi="宋体" w:cs="宋体"/>
          <w:szCs w:val="32"/>
          <w:u w:val="none"/>
        </w:rPr>
        <w:t>日</w:t>
      </w: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sectPr>
          <w:headerReference r:id="rId3" w:type="default"/>
          <w:footerReference r:id="rId4" w:type="default"/>
          <w:pgSz w:w="11906" w:h="16838"/>
          <w:pgMar w:top="1474" w:right="1474" w:bottom="250" w:left="1588" w:header="851" w:footer="992" w:gutter="0"/>
          <w:cols w:space="720" w:num="1"/>
          <w:docGrid w:linePitch="312" w:charSpace="0"/>
        </w:sectPr>
      </w:pPr>
    </w:p>
    <w:p>
      <w:pPr>
        <w:rPr>
          <w:rFonts w:asciiTheme="minorEastAsia" w:hAnsiTheme="minorEastAsia" w:eastAsiaTheme="minorEastAsia" w:cstheme="minorEastAsia"/>
        </w:rPr>
      </w:pPr>
    </w:p>
    <w:p>
      <w:pPr>
        <w:spacing w:line="360" w:lineRule="exact"/>
        <w:jc w:val="center"/>
        <w:outlineLvl w:val="1"/>
        <w:rPr>
          <w:rFonts w:asciiTheme="minorEastAsia" w:hAnsiTheme="minorEastAsia" w:eastAsiaTheme="minorEastAsia" w:cstheme="minorEastAsia"/>
          <w:b/>
          <w:sz w:val="32"/>
          <w:szCs w:val="32"/>
        </w:rPr>
      </w:pPr>
      <w:bookmarkStart w:id="21" w:name="_Toc6565"/>
      <w:r>
        <w:rPr>
          <w:rFonts w:hint="eastAsia" w:asciiTheme="minorEastAsia" w:hAnsiTheme="minorEastAsia" w:eastAsiaTheme="minorEastAsia" w:cstheme="minorEastAsia"/>
          <w:b/>
          <w:sz w:val="32"/>
          <w:szCs w:val="32"/>
        </w:rPr>
        <w:t>三、供应商的资格证明资料</w:t>
      </w:r>
      <w:bookmarkEnd w:id="21"/>
    </w:p>
    <w:p>
      <w:pPr>
        <w:spacing w:line="480" w:lineRule="exact"/>
        <w:outlineLvl w:val="0"/>
        <w:rPr>
          <w:rFonts w:asciiTheme="minorEastAsia" w:hAnsiTheme="minorEastAsia" w:eastAsiaTheme="minorEastAsia" w:cstheme="minorEastAsia"/>
          <w:sz w:val="30"/>
          <w:szCs w:val="30"/>
        </w:rPr>
      </w:pPr>
      <w:bookmarkStart w:id="22" w:name="_Toc14392"/>
      <w:bookmarkStart w:id="23" w:name="_Toc4517_WPSOffice_Level1"/>
      <w:r>
        <w:rPr>
          <w:rFonts w:hint="eastAsia" w:asciiTheme="minorEastAsia" w:hAnsiTheme="minorEastAsia" w:eastAsiaTheme="minorEastAsia" w:cstheme="minorEastAsia"/>
          <w:b/>
          <w:bCs/>
          <w:sz w:val="30"/>
          <w:szCs w:val="30"/>
        </w:rPr>
        <w:t>附件3              供应商基本情况表</w:t>
      </w:r>
      <w:bookmarkEnd w:id="22"/>
      <w:bookmarkEnd w:id="23"/>
    </w:p>
    <w:p>
      <w:pPr>
        <w:spacing w:line="480" w:lineRule="exact"/>
        <w:rPr>
          <w:rFonts w:asciiTheme="minorEastAsia" w:hAnsiTheme="minorEastAsia" w:eastAsiaTheme="minorEastAsia" w:cstheme="minorEastAsia"/>
          <w:sz w:val="30"/>
          <w:szCs w:val="30"/>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盖供应商单位章</w:t>
      </w:r>
    </w:p>
    <w:tbl>
      <w:tblPr>
        <w:tblStyle w:val="45"/>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有效期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pPr>
              <w:topLinePunc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附《营业执照》（副本）复印件</w:t>
            </w:r>
          </w:p>
        </w:tc>
      </w:tr>
    </w:tbl>
    <w:p>
      <w:pPr>
        <w:spacing w:line="480" w:lineRule="exact"/>
        <w:rPr>
          <w:rFonts w:asciiTheme="minorEastAsia" w:hAnsiTheme="minorEastAsia" w:eastAsiaTheme="minorEastAsia" w:cstheme="minorEastAsia"/>
          <w:sz w:val="30"/>
          <w:szCs w:val="30"/>
        </w:rPr>
      </w:pPr>
    </w:p>
    <w:p>
      <w:pPr>
        <w:adjustRightInd w:val="0"/>
        <w:snapToGrid w:val="0"/>
        <w:spacing w:line="360" w:lineRule="auto"/>
        <w:ind w:firstLine="602" w:firstLineChars="200"/>
        <w:outlineLvl w:val="0"/>
        <w:rPr>
          <w:rFonts w:asciiTheme="minorEastAsia" w:hAnsiTheme="minorEastAsia" w:eastAsiaTheme="minorEastAsia" w:cstheme="minorEastAsia"/>
          <w:b/>
          <w:bCs/>
          <w:sz w:val="30"/>
          <w:szCs w:val="30"/>
        </w:rPr>
      </w:pPr>
      <w:bookmarkStart w:id="24" w:name="_Toc17523_WPSOffice_Level1"/>
      <w:bookmarkStart w:id="25" w:name="_Toc21035"/>
      <w:r>
        <w:rPr>
          <w:rFonts w:hint="eastAsia" w:asciiTheme="minorEastAsia" w:hAnsiTheme="minorEastAsia" w:eastAsiaTheme="minorEastAsia" w:cstheme="minorEastAsia"/>
          <w:b/>
          <w:bCs/>
          <w:sz w:val="30"/>
          <w:szCs w:val="30"/>
        </w:rPr>
        <w:t>附件4     磋商文件规定的基本资格条件证明资料</w:t>
      </w:r>
      <w:bookmarkEnd w:id="24"/>
      <w:bookmarkEnd w:id="25"/>
    </w:p>
    <w:p>
      <w:pPr>
        <w:numPr>
          <w:ilvl w:val="0"/>
          <w:numId w:val="4"/>
        </w:num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供应商的基本资格条件：供应商必须是在中华人民共和国境内注册登记的法人、其他组织或者自然人，且应当符合《政府采购法》第二十二条第一款的规定。</w:t>
      </w: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spacing w:line="480" w:lineRule="exact"/>
        <w:rPr>
          <w:rFonts w:asciiTheme="minorEastAsia" w:hAnsiTheme="minorEastAsia" w:eastAsiaTheme="minorEastAsia" w:cstheme="minorEastAsia"/>
          <w:sz w:val="30"/>
          <w:szCs w:val="30"/>
        </w:rPr>
      </w:pPr>
    </w:p>
    <w:p>
      <w:pPr>
        <w:spacing w:line="480" w:lineRule="exact"/>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adjustRightInd w:val="0"/>
        <w:snapToGrid w:val="0"/>
        <w:spacing w:line="360" w:lineRule="auto"/>
        <w:ind w:firstLine="840" w:firstLineChars="300"/>
        <w:rPr>
          <w:rFonts w:ascii="黑体" w:eastAsia="黑体"/>
          <w:color w:val="000000"/>
          <w:sz w:val="28"/>
          <w:szCs w:val="28"/>
        </w:rPr>
      </w:pPr>
      <w:r>
        <w:rPr>
          <w:rFonts w:hint="eastAsia" w:ascii="黑体" w:eastAsia="黑体"/>
          <w:color w:val="000000"/>
          <w:sz w:val="28"/>
          <w:szCs w:val="28"/>
        </w:rPr>
        <w:t>参加政府采购活动前三年内在经营活动中没有重大</w:t>
      </w:r>
    </w:p>
    <w:p>
      <w:pPr>
        <w:adjustRightInd w:val="0"/>
        <w:snapToGrid w:val="0"/>
        <w:spacing w:line="360" w:lineRule="auto"/>
        <w:ind w:firstLine="2800" w:firstLineChars="1000"/>
        <w:rPr>
          <w:rFonts w:ascii="黑体" w:eastAsia="黑体"/>
          <w:color w:val="000000"/>
          <w:sz w:val="28"/>
          <w:szCs w:val="28"/>
        </w:rPr>
      </w:pPr>
      <w:r>
        <w:rPr>
          <w:rFonts w:hint="eastAsia" w:ascii="黑体" w:eastAsia="黑体"/>
          <w:color w:val="000000"/>
          <w:sz w:val="28"/>
          <w:szCs w:val="28"/>
        </w:rPr>
        <w:t>违法记录的书面声明</w:t>
      </w:r>
    </w:p>
    <w:p>
      <w:pPr>
        <w:adjustRightInd w:val="0"/>
        <w:snapToGrid w:val="0"/>
        <w:spacing w:beforeLines="50" w:line="360" w:lineRule="auto"/>
        <w:ind w:left="-88" w:leftChars="-42"/>
        <w:outlineLvl w:val="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lang w:val="en-US" w:eastAsia="zh-CN"/>
        </w:rPr>
        <w:t xml:space="preserve"> 中采联合招标有限公司</w:t>
      </w:r>
      <w:r>
        <w:rPr>
          <w:rFonts w:hint="eastAsia" w:ascii="宋体" w:hAnsi="宋体" w:cs="宋体"/>
          <w:color w:val="000000"/>
          <w:szCs w:val="21"/>
        </w:rPr>
        <w:t>：</w:t>
      </w:r>
    </w:p>
    <w:p>
      <w:pPr>
        <w:adjustRightInd w:val="0"/>
        <w:snapToGrid w:val="0"/>
        <w:spacing w:beforeLines="50" w:line="360" w:lineRule="auto"/>
        <w:ind w:left="-88" w:leftChars="-42" w:firstLine="420" w:firstLineChars="200"/>
        <w:outlineLvl w:val="0"/>
        <w:rPr>
          <w:rFonts w:ascii="宋体" w:hAnsi="宋体" w:cs="宋体"/>
          <w:color w:val="000000"/>
          <w:szCs w:val="21"/>
        </w:rPr>
      </w:pPr>
    </w:p>
    <w:p>
      <w:pPr>
        <w:adjustRightInd w:val="0"/>
        <w:snapToGrid w:val="0"/>
        <w:spacing w:beforeLines="50" w:line="360" w:lineRule="auto"/>
        <w:ind w:left="-88" w:leftChars="-42" w:firstLine="420" w:firstLineChars="200"/>
        <w:outlineLvl w:val="0"/>
        <w:rPr>
          <w:rFonts w:ascii="宋体" w:hAnsi="宋体" w:cs="宋体"/>
          <w:color w:val="000000"/>
          <w:szCs w:val="21"/>
        </w:rPr>
      </w:pPr>
      <w:r>
        <w:rPr>
          <w:rFonts w:hint="eastAsia" w:ascii="宋体" w:hAnsi="宋体" w:cs="宋体"/>
          <w:bCs/>
          <w:color w:val="000000"/>
          <w:szCs w:val="21"/>
        </w:rPr>
        <w:t>我单位在</w:t>
      </w:r>
      <w:r>
        <w:rPr>
          <w:rFonts w:hint="eastAsia" w:ascii="宋体" w:hAnsi="宋体" w:cs="宋体"/>
          <w:color w:val="000000"/>
          <w:szCs w:val="21"/>
        </w:rPr>
        <w:t>参加采购活动前三年内在经营活动中没有政府采购法第二十二条第一款第（五）项和实施条例第十九条所称重大违法记录，包括：</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1、因违法经营受到刑事处罚或者责令停产停业、吊销许可证或者执照、较大数额罚款等行政处罚。</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2、在参加本项目政府采购活动前3年内因违法经营被禁止在一定期限内参加政府采购活动。</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特此声明！</w:t>
      </w:r>
    </w:p>
    <w:p>
      <w:pPr>
        <w:widowControl/>
        <w:adjustRightInd w:val="0"/>
        <w:snapToGrid w:val="0"/>
        <w:spacing w:beforeLines="50" w:line="360" w:lineRule="auto"/>
        <w:ind w:firstLine="420"/>
        <w:rPr>
          <w:rFonts w:ascii="宋体" w:hAnsi="宋体" w:cs="宋体"/>
          <w:color w:val="000000"/>
          <w:szCs w:val="21"/>
        </w:rPr>
      </w:pPr>
    </w:p>
    <w:p>
      <w:pPr>
        <w:widowControl/>
        <w:adjustRightInd w:val="0"/>
        <w:snapToGrid w:val="0"/>
        <w:spacing w:beforeLines="50" w:line="360" w:lineRule="auto"/>
        <w:ind w:firstLine="420"/>
        <w:rPr>
          <w:rFonts w:ascii="宋体" w:hAnsi="宋体" w:cs="宋体"/>
          <w:color w:val="000000"/>
          <w:szCs w:val="21"/>
        </w:rPr>
      </w:pP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lang w:eastAsia="zh-CN"/>
        </w:rPr>
        <w:t>供应商</w:t>
      </w:r>
      <w:r>
        <w:rPr>
          <w:rFonts w:hint="eastAsia" w:ascii="宋体" w:hAnsi="宋体" w:cs="宋体"/>
          <w:color w:val="000000"/>
          <w:szCs w:val="21"/>
        </w:rPr>
        <w:t xml:space="preserve">名称（单位章）： </w:t>
      </w: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法定代表人（签字或盖章）：</w:t>
      </w:r>
    </w:p>
    <w:p>
      <w:pPr>
        <w:widowControl/>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 xml:space="preserve">日期： </w:t>
      </w:r>
      <w:r>
        <w:rPr>
          <w:rFonts w:hint="eastAsia" w:ascii="宋体" w:hAnsi="宋体" w:cs="宋体"/>
          <w:color w:val="000000"/>
          <w:szCs w:val="21"/>
          <w:lang w:val="en-US" w:eastAsia="zh-CN"/>
        </w:rPr>
        <w:t xml:space="preserve">    </w:t>
      </w:r>
      <w:r>
        <w:rPr>
          <w:rFonts w:hint="eastAsia" w:ascii="宋体" w:hAnsi="宋体" w:cs="宋体"/>
          <w:color w:val="000000"/>
          <w:szCs w:val="21"/>
        </w:rPr>
        <w:t>年</w:t>
      </w:r>
      <w:r>
        <w:rPr>
          <w:rFonts w:hint="eastAsia" w:ascii="宋体" w:hAnsi="宋体" w:cs="宋体"/>
          <w:color w:val="000000"/>
          <w:szCs w:val="21"/>
          <w:lang w:val="en-US" w:eastAsia="zh-CN"/>
        </w:rPr>
        <w:t xml:space="preserve">     </w:t>
      </w:r>
      <w:r>
        <w:rPr>
          <w:rFonts w:hint="eastAsia" w:ascii="宋体" w:hAnsi="宋体" w:cs="宋体"/>
          <w:color w:val="000000"/>
          <w:szCs w:val="21"/>
        </w:rPr>
        <w:t>月</w:t>
      </w:r>
      <w:r>
        <w:rPr>
          <w:rFonts w:hint="eastAsia" w:ascii="宋体" w:hAnsi="宋体" w:cs="宋体"/>
          <w:color w:val="000000"/>
          <w:szCs w:val="21"/>
          <w:lang w:val="en-US" w:eastAsia="zh-CN"/>
        </w:rPr>
        <w:t xml:space="preserve">     </w:t>
      </w:r>
      <w:r>
        <w:rPr>
          <w:rFonts w:hint="eastAsia" w:ascii="宋体" w:hAnsi="宋体" w:cs="宋体"/>
          <w:color w:val="000000"/>
          <w:szCs w:val="21"/>
        </w:rPr>
        <w:t>日</w:t>
      </w:r>
    </w:p>
    <w:p>
      <w:pPr>
        <w:spacing w:line="480" w:lineRule="exact"/>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spacing w:line="480" w:lineRule="exact"/>
        <w:outlineLvl w:val="0"/>
        <w:rPr>
          <w:rFonts w:hint="eastAsia" w:asciiTheme="minorEastAsia" w:hAnsiTheme="minorEastAsia" w:eastAsiaTheme="minorEastAsia" w:cstheme="minorEastAsia"/>
          <w:b/>
          <w:bCs/>
          <w:sz w:val="30"/>
          <w:szCs w:val="30"/>
        </w:rPr>
      </w:pPr>
      <w:bookmarkStart w:id="26" w:name="_Toc506_WPSOffice_Level1"/>
      <w:bookmarkStart w:id="27" w:name="_Toc24698"/>
    </w:p>
    <w:p>
      <w:pPr>
        <w:spacing w:line="480" w:lineRule="exact"/>
        <w:outlineLvl w:val="0"/>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附件5  磋商文件规定的特定资格条件证明资料</w:t>
      </w:r>
      <w:bookmarkEnd w:id="26"/>
      <w:bookmarkEnd w:id="27"/>
    </w:p>
    <w:p>
      <w:pPr>
        <w:spacing w:line="480" w:lineRule="exact"/>
        <w:rPr>
          <w:rFonts w:asciiTheme="minorEastAsia" w:hAnsiTheme="minorEastAsia" w:eastAsiaTheme="minorEastAsia" w:cstheme="minorEastAsia"/>
          <w:sz w:val="24"/>
        </w:rPr>
      </w:pP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1、供应商特定资格条件：</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包1</w:t>
      </w:r>
      <w:r>
        <w:rPr>
          <w:rFonts w:hint="eastAsia" w:asciiTheme="minorEastAsia" w:hAnsiTheme="minorEastAsia" w:eastAsiaTheme="minorEastAsia" w:cstheme="minorEastAsia"/>
          <w:sz w:val="24"/>
          <w:lang w:eastAsia="zh-CN"/>
        </w:rPr>
        <w:t>、包</w:t>
      </w:r>
      <w:r>
        <w:rPr>
          <w:rFonts w:hint="eastAsia" w:asciiTheme="minorEastAsia" w:hAnsiTheme="minorEastAsia" w:eastAsiaTheme="minorEastAsia" w:cstheme="minorEastAsia"/>
          <w:sz w:val="24"/>
          <w:lang w:val="en-US" w:eastAsia="zh-CN"/>
        </w:rPr>
        <w:t>2、包3、包4、包5、包6、包7、包8、包9、包10</w:t>
      </w:r>
      <w:r>
        <w:rPr>
          <w:rFonts w:hint="eastAsia" w:asciiTheme="minorEastAsia" w:hAnsiTheme="minorEastAsia" w:eastAsiaTheme="minorEastAsia" w:cstheme="minorEastAsia"/>
          <w:sz w:val="24"/>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须</w:t>
      </w:r>
      <w:r>
        <w:rPr>
          <w:rFonts w:hint="eastAsia" w:asciiTheme="minorEastAsia" w:hAnsiTheme="minorEastAsia" w:eastAsiaTheme="minorEastAsia" w:cstheme="minorEastAsia"/>
          <w:sz w:val="24"/>
          <w:lang w:val="en-US" w:eastAsia="zh-CN"/>
        </w:rPr>
        <w:t>提供营业执照</w:t>
      </w:r>
      <w:r>
        <w:rPr>
          <w:rFonts w:hint="eastAsia" w:asciiTheme="minorEastAsia" w:hAnsiTheme="minorEastAsia" w:eastAsiaTheme="minorEastAsia" w:cstheme="minorEastAsia"/>
          <w:sz w:val="24"/>
        </w:rPr>
        <w:t>（经营范围须包含</w:t>
      </w:r>
      <w:r>
        <w:rPr>
          <w:rFonts w:hint="eastAsia" w:asciiTheme="minorEastAsia" w:hAnsiTheme="minorEastAsia" w:eastAsiaTheme="minorEastAsia" w:cstheme="minorEastAsia"/>
          <w:sz w:val="24"/>
          <w:lang w:val="en-US" w:eastAsia="zh-CN"/>
        </w:rPr>
        <w:t>所供应的</w:t>
      </w:r>
      <w:r>
        <w:rPr>
          <w:rFonts w:hint="eastAsia" w:asciiTheme="minorEastAsia" w:hAnsiTheme="minorEastAsia" w:eastAsiaTheme="minorEastAsia" w:cstheme="minorEastAsia"/>
          <w:sz w:val="24"/>
        </w:rPr>
        <w:t>食材</w:t>
      </w:r>
      <w:r>
        <w:rPr>
          <w:rFonts w:hint="eastAsia" w:asciiTheme="minorEastAsia" w:hAnsiTheme="minorEastAsia" w:eastAsiaTheme="minorEastAsia" w:cstheme="minorEastAsia"/>
          <w:sz w:val="24"/>
          <w:lang w:val="en-US" w:eastAsia="zh-CN"/>
        </w:rPr>
        <w:t>品种</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w:t>
      </w:r>
      <w:r>
        <w:rPr>
          <w:rFonts w:hint="eastAsia" w:asciiTheme="minorEastAsia" w:hAnsiTheme="minorEastAsia" w:eastAsiaTheme="minorEastAsia" w:cstheme="minorEastAsia"/>
          <w:sz w:val="24"/>
        </w:rPr>
        <w:t>食品生产许可证或食品经营许可证，且证书处于有效期内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生猪定点屠宰资格证；</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授权代表应携带法人授权委托书及本人身份证（法定代表人参加可只提供</w:t>
      </w:r>
      <w:r>
        <w:rPr>
          <w:rFonts w:hint="eastAsia" w:asciiTheme="minorEastAsia" w:hAnsiTheme="minorEastAsia" w:eastAsiaTheme="minorEastAsia" w:cstheme="minorEastAsia"/>
          <w:sz w:val="24"/>
          <w:lang w:val="en-US" w:eastAsia="zh-CN"/>
        </w:rPr>
        <w:t>法人</w:t>
      </w:r>
      <w:r>
        <w:rPr>
          <w:rFonts w:hint="eastAsia" w:asciiTheme="minorEastAsia" w:hAnsiTheme="minorEastAsia" w:eastAsiaTheme="minorEastAsia" w:cstheme="minorEastAsia"/>
          <w:sz w:val="24"/>
        </w:rPr>
        <w:t>身份证</w:t>
      </w:r>
      <w:r>
        <w:rPr>
          <w:rFonts w:hint="eastAsia" w:asciiTheme="minorEastAsia" w:hAnsiTheme="minorEastAsia" w:eastAsiaTheme="minorEastAsia" w:cstheme="minorEastAsia"/>
          <w:sz w:val="24"/>
          <w:lang w:val="en-US" w:eastAsia="zh-CN"/>
        </w:rPr>
        <w:t>明</w:t>
      </w:r>
      <w:r>
        <w:rPr>
          <w:rFonts w:hint="eastAsia" w:asciiTheme="minorEastAsia" w:hAnsiTheme="minorEastAsia" w:eastAsiaTheme="minorEastAsia" w:cstheme="minorEastAsia"/>
          <w:sz w:val="24"/>
        </w:rPr>
        <w:t>）；</w:t>
      </w:r>
    </w:p>
    <w:p>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3）供应商从业人员健康证；</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未被列入失信被执行人及重大税收违法案件当事人名单</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6）有固定的经营场所。</w:t>
      </w: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adjustRightInd w:val="0"/>
        <w:snapToGrid w:val="0"/>
        <w:spacing w:line="360" w:lineRule="auto"/>
        <w:outlineLvl w:val="0"/>
        <w:rPr>
          <w:rFonts w:asciiTheme="minorEastAsia" w:hAnsiTheme="minorEastAsia" w:eastAsiaTheme="minorEastAsia" w:cstheme="minorEastAsia"/>
          <w:b/>
          <w:sz w:val="30"/>
          <w:szCs w:val="30"/>
        </w:rPr>
      </w:pPr>
      <w:bookmarkStart w:id="28" w:name="_Toc10631"/>
      <w:bookmarkStart w:id="29" w:name="_Toc32763_WPSOffice_Level1"/>
      <w:r>
        <w:rPr>
          <w:rFonts w:hint="eastAsia" w:asciiTheme="minorEastAsia" w:hAnsiTheme="minorEastAsia" w:eastAsiaTheme="minorEastAsia" w:cstheme="minorEastAsia"/>
          <w:b/>
          <w:sz w:val="30"/>
          <w:szCs w:val="30"/>
        </w:rPr>
        <w:t>附件6           其他证明资料或说明</w:t>
      </w:r>
      <w:bookmarkEnd w:id="28"/>
      <w:bookmarkEnd w:id="29"/>
    </w:p>
    <w:p>
      <w:pPr>
        <w:adjustRightInd w:val="0"/>
        <w:snapToGrid w:val="0"/>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提供磋商文件或评分标准需要提供的相关证明文件复印件</w:t>
      </w: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rPr>
          <w:rFonts w:asciiTheme="minorEastAsia" w:hAnsiTheme="minorEastAsia" w:eastAsiaTheme="minorEastAsia" w:cstheme="minorEastAsia"/>
          <w:b/>
          <w:sz w:val="32"/>
          <w:szCs w:val="32"/>
        </w:rPr>
      </w:pPr>
    </w:p>
    <w:p>
      <w:pPr>
        <w:spacing w:line="360" w:lineRule="exact"/>
        <w:jc w:val="center"/>
        <w:rPr>
          <w:rFonts w:asciiTheme="minorEastAsia" w:hAnsiTheme="minorEastAsia" w:eastAsiaTheme="minorEastAsia" w:cstheme="minorEastAsia"/>
          <w:b/>
          <w:sz w:val="32"/>
          <w:szCs w:val="32"/>
        </w:rPr>
        <w:sectPr>
          <w:pgSz w:w="11906" w:h="16838"/>
          <w:pgMar w:top="1474" w:right="1474" w:bottom="250" w:left="1588" w:header="851" w:footer="992" w:gutter="0"/>
          <w:cols w:space="720" w:num="1"/>
          <w:docGrid w:linePitch="312" w:charSpace="0"/>
        </w:sectPr>
      </w:pPr>
    </w:p>
    <w:p>
      <w:pPr>
        <w:adjustRightInd w:val="0"/>
        <w:snapToGrid w:val="0"/>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四、实施方案</w:t>
      </w:r>
    </w:p>
    <w:p>
      <w:pPr>
        <w:spacing w:line="360" w:lineRule="auto"/>
        <w:ind w:firstLine="315"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1、实施方案应包括：</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供货方案</w:t>
      </w:r>
      <w:r>
        <w:rPr>
          <w:rFonts w:hint="eastAsia" w:asciiTheme="minorEastAsia" w:hAnsiTheme="minorEastAsia" w:eastAsiaTheme="minorEastAsia" w:cstheme="minorEastAsia"/>
          <w:szCs w:val="21"/>
        </w:rPr>
        <w:t>及保证措施；</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售后服务方案</w:t>
      </w:r>
      <w:r>
        <w:rPr>
          <w:rFonts w:hint="eastAsia" w:asciiTheme="minorEastAsia" w:hAnsiTheme="minorEastAsia" w:eastAsiaTheme="minorEastAsia" w:cstheme="minorEastAsia"/>
          <w:szCs w:val="21"/>
        </w:rPr>
        <w:t>；</w:t>
      </w:r>
    </w:p>
    <w:p>
      <w:pPr>
        <w:adjustRightInd w:val="0"/>
        <w:snapToGrid w:val="0"/>
        <w:spacing w:line="360" w:lineRule="auto"/>
        <w:ind w:firstLine="423"/>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）劳动力安排计划；</w:t>
      </w:r>
    </w:p>
    <w:p>
      <w:pPr>
        <w:adjustRightInd w:val="0"/>
        <w:snapToGrid w:val="0"/>
        <w:spacing w:line="360" w:lineRule="auto"/>
        <w:ind w:firstLine="42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）进度计划</w:t>
      </w:r>
      <w:r>
        <w:rPr>
          <w:rFonts w:hint="eastAsia" w:asciiTheme="minorEastAsia" w:hAnsiTheme="minorEastAsia" w:eastAsiaTheme="minorEastAsia" w:cstheme="minorEastAsia"/>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）合理化建议</w:t>
      </w:r>
      <w:r>
        <w:rPr>
          <w:rFonts w:hint="eastAsia" w:asciiTheme="minorEastAsia" w:hAnsiTheme="minorEastAsia" w:eastAsiaTheme="minorEastAsia" w:cstheme="minorEastAsia"/>
          <w:szCs w:val="21"/>
          <w:lang w:eastAsia="zh-CN"/>
        </w:rPr>
        <w:t>。</w:t>
      </w:r>
    </w:p>
    <w:p>
      <w:pPr>
        <w:pStyle w:val="65"/>
        <w:rPr>
          <w:rFonts w:asciiTheme="minorEastAsia" w:hAnsiTheme="minorEastAsia" w:eastAsiaTheme="minorEastAsia" w:cstheme="minorEastAsia"/>
          <w:b/>
          <w:bCs/>
        </w:rPr>
      </w:pPr>
    </w:p>
    <w:p>
      <w:pPr>
        <w:adjustRightInd w:val="0"/>
        <w:snapToGrid w:val="0"/>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注：格式自拟。</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atLeast"/>
        <w:rPr>
          <w:rFonts w:asciiTheme="minorEastAsia" w:hAnsiTheme="minorEastAsia" w:eastAsiaTheme="minorEastAsia" w:cstheme="minorEastAsia"/>
          <w:sz w:val="30"/>
          <w:szCs w:val="30"/>
        </w:rPr>
      </w:pPr>
    </w:p>
    <w:p>
      <w:pPr>
        <w:spacing w:line="360" w:lineRule="atLeast"/>
        <w:outlineLvl w:val="0"/>
        <w:rPr>
          <w:rFonts w:asciiTheme="minorEastAsia" w:hAnsiTheme="minorEastAsia" w:eastAsiaTheme="minorEastAsia" w:cstheme="minorEastAsia"/>
          <w:b/>
          <w:bCs/>
          <w:sz w:val="30"/>
          <w:szCs w:val="30"/>
        </w:rPr>
      </w:pPr>
      <w:bookmarkStart w:id="30" w:name="_Toc30950_WPSOffice_Level1"/>
      <w:bookmarkStart w:id="31" w:name="_Toc6434"/>
      <w:r>
        <w:rPr>
          <w:rFonts w:hint="eastAsia" w:asciiTheme="minorEastAsia" w:hAnsiTheme="minorEastAsia" w:eastAsiaTheme="minorEastAsia" w:cstheme="minorEastAsia"/>
          <w:b/>
          <w:bCs/>
          <w:sz w:val="30"/>
          <w:szCs w:val="30"/>
        </w:rPr>
        <w:t>附件7-1               主要人员简历表</w:t>
      </w:r>
      <w:bookmarkEnd w:id="30"/>
      <w:bookmarkEnd w:id="31"/>
    </w:p>
    <w:p>
      <w:pPr>
        <w:spacing w:line="360" w:lineRule="atLeast"/>
        <w:jc w:val="center"/>
        <w:rPr>
          <w:rFonts w:asciiTheme="minorEastAsia" w:hAnsiTheme="minorEastAsia" w:eastAsiaTheme="minorEastAsia" w:cstheme="minorEastAsia"/>
          <w:sz w:val="28"/>
          <w:szCs w:val="28"/>
        </w:rPr>
      </w:pPr>
    </w:p>
    <w:tbl>
      <w:tblPr>
        <w:tblStyle w:val="45"/>
        <w:tblW w:w="8503"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32"/>
        <w:gridCol w:w="2468"/>
        <w:gridCol w:w="396"/>
        <w:gridCol w:w="1404"/>
        <w:gridCol w:w="540"/>
        <w:gridCol w:w="166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9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姓名</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性别</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13"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职务</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职称</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2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毕业学校、专业</w:t>
            </w:r>
          </w:p>
        </w:tc>
        <w:tc>
          <w:tcPr>
            <w:tcW w:w="6471" w:type="dxa"/>
            <w:gridSpan w:val="5"/>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身份证号</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拟在本合同任职</w:t>
            </w:r>
          </w:p>
        </w:tc>
        <w:tc>
          <w:tcPr>
            <w:tcW w:w="1663" w:type="dxa"/>
            <w:vAlign w:val="center"/>
          </w:tcPr>
          <w:p>
            <w:pPr>
              <w:spacing w:line="360" w:lineRule="atLeast"/>
              <w:ind w:right="-105" w:rightChars="-50"/>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执业资格证书号</w:t>
            </w:r>
          </w:p>
        </w:tc>
        <w:tc>
          <w:tcPr>
            <w:tcW w:w="1663" w:type="dxa"/>
            <w:vAlign w:val="center"/>
          </w:tcPr>
          <w:p>
            <w:pP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500" w:hRule="exact"/>
          <w:jc w:val="center"/>
        </w:trPr>
        <w:tc>
          <w:tcPr>
            <w:tcW w:w="8503" w:type="dxa"/>
            <w:gridSpan w:val="6"/>
            <w:vAlign w:val="center"/>
          </w:tcPr>
          <w:p>
            <w:pPr>
              <w:spacing w:line="360" w:lineRule="atLeast"/>
              <w:rPr>
                <w:rFonts w:asciiTheme="minorEastAsia" w:hAnsiTheme="minorEastAsia" w:eastAsiaTheme="minorEastAsia" w:cstheme="minorEastAsia"/>
              </w:rPr>
            </w:pPr>
            <w:r>
              <w:rPr>
                <w:rFonts w:hint="eastAsia" w:asciiTheme="minorEastAsia" w:hAnsiTheme="minorEastAsia" w:eastAsiaTheme="minorEastAsia" w:cstheme="minorEastAsia"/>
              </w:rPr>
              <w:t>近三年承担项目情况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时间</w:t>
            </w:r>
          </w:p>
        </w:tc>
        <w:tc>
          <w:tcPr>
            <w:tcW w:w="2864"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类似项目名称</w:t>
            </w:r>
          </w:p>
        </w:tc>
        <w:tc>
          <w:tcPr>
            <w:tcW w:w="1404"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担任职务</w:t>
            </w:r>
          </w:p>
        </w:tc>
        <w:tc>
          <w:tcPr>
            <w:tcW w:w="2203"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项目单位名称及电话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bl>
    <w:p>
      <w:pPr>
        <w:spacing w:line="360" w:lineRule="atLeast"/>
        <w:ind w:right="23" w:rightChars="11" w:firstLine="420" w:firstLineChars="200"/>
        <w:rPr>
          <w:rFonts w:ascii="宋体" w:hAnsi="宋体" w:cs="宋体"/>
        </w:rPr>
      </w:pPr>
      <w:r>
        <w:rPr>
          <w:rFonts w:hint="eastAsia" w:ascii="宋体" w:hAnsi="宋体" w:cs="宋体"/>
          <w:szCs w:val="21"/>
        </w:rPr>
        <w:t>说明</w:t>
      </w:r>
      <w:r>
        <w:rPr>
          <w:rFonts w:hint="eastAsia" w:ascii="宋体" w:hAnsi="宋体" w:cs="宋体"/>
        </w:rPr>
        <w:t>：</w:t>
      </w:r>
      <w:r>
        <w:rPr>
          <w:rFonts w:hint="eastAsia" w:ascii="宋体" w:hAnsi="宋体" w:cs="宋体"/>
          <w:szCs w:val="21"/>
        </w:rPr>
        <w:t>主要人员证书、</w:t>
      </w:r>
      <w:r>
        <w:rPr>
          <w:rFonts w:hint="eastAsia" w:ascii="宋体" w:hAnsi="宋体" w:cs="宋体"/>
        </w:rPr>
        <w:t>类似项目证明资料等按磋商文件要求提供。</w:t>
      </w: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7"/>
        <w:adjustRightInd w:val="0"/>
        <w:snapToGrid w:val="0"/>
        <w:spacing w:line="360" w:lineRule="auto"/>
        <w:ind w:firstLine="420" w:firstLineChars="200"/>
        <w:outlineLvl w:val="0"/>
        <w:rPr>
          <w:rFonts w:asciiTheme="minorEastAsia" w:hAnsiTheme="minorEastAsia" w:eastAsiaTheme="minorEastAsia" w:cstheme="minorEastAsia"/>
          <w:bCs/>
          <w:sz w:val="21"/>
          <w:szCs w:val="21"/>
          <w:u w:val="single"/>
        </w:rPr>
      </w:pPr>
      <w:bookmarkStart w:id="32" w:name="_Toc13818"/>
      <w:r>
        <w:rPr>
          <w:rFonts w:hint="eastAsia" w:asciiTheme="minorEastAsia" w:hAnsiTheme="minorEastAsia" w:eastAsiaTheme="minorEastAsia" w:cstheme="minorEastAsia"/>
          <w:sz w:val="21"/>
          <w:szCs w:val="21"/>
        </w:rPr>
        <w:t>供应商名称：</w:t>
      </w:r>
      <w:bookmarkEnd w:id="32"/>
    </w:p>
    <w:p>
      <w:pPr>
        <w:adjustRightInd w:val="0"/>
        <w:snapToGrid w:val="0"/>
        <w:spacing w:line="360" w:lineRule="auto"/>
        <w:ind w:firstLine="420" w:firstLineChars="200"/>
        <w:outlineLvl w:val="0"/>
        <w:rPr>
          <w:rFonts w:asciiTheme="minorEastAsia" w:hAnsiTheme="minorEastAsia" w:eastAsiaTheme="minorEastAsia" w:cstheme="minorEastAsia"/>
          <w:szCs w:val="21"/>
          <w:u w:val="single"/>
        </w:rPr>
      </w:pPr>
      <w:bookmarkStart w:id="33" w:name="_Toc30888"/>
      <w:r>
        <w:rPr>
          <w:rFonts w:hint="eastAsia" w:asciiTheme="minorEastAsia" w:hAnsiTheme="minorEastAsia" w:eastAsiaTheme="minorEastAsia" w:cstheme="minorEastAsia"/>
          <w:szCs w:val="21"/>
        </w:rPr>
        <w:t>法定代表人或其委托代理人(签字)：</w:t>
      </w:r>
      <w:bookmarkEnd w:id="33"/>
    </w:p>
    <w:p>
      <w:pPr>
        <w:spacing w:line="3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Cs w:val="21"/>
        </w:rPr>
        <w:t>日期：  年  月  日</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exact"/>
        <w:jc w:val="center"/>
        <w:outlineLvl w:val="1"/>
        <w:rPr>
          <w:rFonts w:asciiTheme="minorEastAsia" w:hAnsiTheme="minorEastAsia" w:eastAsiaTheme="minorEastAsia" w:cstheme="minorEastAsia"/>
          <w:b/>
          <w:sz w:val="32"/>
          <w:szCs w:val="32"/>
        </w:rPr>
      </w:pPr>
      <w:bookmarkStart w:id="34" w:name="_Toc4208"/>
      <w:r>
        <w:rPr>
          <w:rFonts w:hint="eastAsia" w:asciiTheme="minorEastAsia" w:hAnsiTheme="minorEastAsia" w:eastAsiaTheme="minorEastAsia" w:cstheme="minorEastAsia"/>
          <w:b/>
          <w:sz w:val="32"/>
          <w:szCs w:val="32"/>
        </w:rPr>
        <w:t>五、技术/商务响应与偏离表</w:t>
      </w:r>
      <w:bookmarkEnd w:id="34"/>
    </w:p>
    <w:p>
      <w:pPr>
        <w:adjustRightInd w:val="0"/>
        <w:snapToGrid w:val="0"/>
        <w:ind w:left="-88" w:leftChars="-42" w:firstLine="315" w:firstLineChars="150"/>
        <w:rPr>
          <w:rFonts w:asciiTheme="minorEastAsia" w:hAnsiTheme="minorEastAsia" w:eastAsiaTheme="minorEastAsia" w:cstheme="minorEastAsia"/>
          <w:szCs w:val="21"/>
          <w:u w:val="single"/>
        </w:rPr>
      </w:pPr>
    </w:p>
    <w:tbl>
      <w:tblPr>
        <w:tblStyle w:val="45"/>
        <w:tblW w:w="8742"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214"/>
        <w:gridCol w:w="6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634" w:type="dxa"/>
            <w:vAlign w:val="center"/>
          </w:tcPr>
          <w:p>
            <w:pPr>
              <w:adjustRightInd w:val="0"/>
              <w:snapToGrid w:val="0"/>
              <w:ind w:left="-88" w:leftChars="-42"/>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序号</w:t>
            </w: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szCs w:val="21"/>
                <w:lang w:eastAsia="zh-CN"/>
              </w:rPr>
              <w:t>包</w:t>
            </w:r>
            <w:r>
              <w:rPr>
                <w:rFonts w:hint="eastAsia" w:asciiTheme="minorEastAsia" w:hAnsiTheme="minorEastAsia" w:eastAsiaTheme="minorEastAsia" w:cstheme="minorEastAsia"/>
                <w:szCs w:val="21"/>
              </w:rPr>
              <w:t>号</w:t>
            </w: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采购规格/商务条款</w:t>
            </w: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响应文件的规格/商务条款</w:t>
            </w: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响应与偏离</w:t>
            </w: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bl>
    <w:p>
      <w:pPr>
        <w:adjustRightInd w:val="0"/>
        <w:snapToGrid w:val="0"/>
        <w:spacing w:line="360" w:lineRule="auto"/>
        <w:ind w:left="-88" w:leftChars="-42"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说明：1、“响应与偏离”应注明“响应”或“偏离”。</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2、属磋商文件规定可能变动的内容在“说明”栏中注明。</w:t>
      </w:r>
    </w:p>
    <w:p>
      <w:pPr>
        <w:pStyle w:val="28"/>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供应商名称：</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法定代表人或其委托代理人(签字)：</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日期：年月日</w:t>
      </w:r>
    </w:p>
    <w:p>
      <w:pPr>
        <w:adjustRightInd w:val="0"/>
        <w:snapToGrid w:val="0"/>
        <w:spacing w:line="360" w:lineRule="auto"/>
        <w:rPr>
          <w:rFonts w:asciiTheme="minorEastAsia" w:hAnsiTheme="minorEastAsia" w:eastAsiaTheme="minorEastAsia" w:cstheme="minorEastAsia"/>
          <w:szCs w:val="21"/>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adjustRightInd w:val="0"/>
        <w:snapToGrid w:val="0"/>
        <w:rPr>
          <w:rFonts w:asciiTheme="minorEastAsia" w:hAnsiTheme="minorEastAsia" w:eastAsiaTheme="minorEastAsia" w:cstheme="minorEastAsia"/>
          <w:sz w:val="28"/>
          <w:szCs w:val="28"/>
        </w:rPr>
      </w:pPr>
    </w:p>
    <w:p>
      <w:pPr>
        <w:spacing w:line="360" w:lineRule="exact"/>
        <w:jc w:val="center"/>
        <w:rPr>
          <w:rFonts w:asciiTheme="minorEastAsia" w:hAnsiTheme="minorEastAsia" w:eastAsiaTheme="minorEastAsia" w:cstheme="minorEastAsia"/>
          <w:b/>
          <w:sz w:val="32"/>
          <w:szCs w:val="32"/>
        </w:rPr>
      </w:pPr>
    </w:p>
    <w:p>
      <w:pPr>
        <w:spacing w:line="360" w:lineRule="exact"/>
        <w:jc w:val="center"/>
        <w:outlineLvl w:val="1"/>
        <w:rPr>
          <w:rFonts w:asciiTheme="minorEastAsia" w:hAnsiTheme="minorEastAsia" w:eastAsiaTheme="minorEastAsia" w:cstheme="minorEastAsia"/>
          <w:b/>
          <w:sz w:val="32"/>
          <w:szCs w:val="32"/>
        </w:rPr>
      </w:pPr>
      <w:bookmarkStart w:id="35" w:name="_Toc5834"/>
      <w:r>
        <w:rPr>
          <w:rFonts w:hint="eastAsia" w:asciiTheme="minorEastAsia" w:hAnsiTheme="minorEastAsia" w:eastAsiaTheme="minorEastAsia" w:cstheme="minorEastAsia"/>
          <w:b/>
          <w:sz w:val="32"/>
          <w:szCs w:val="32"/>
          <w:lang w:eastAsia="zh-CN"/>
        </w:rPr>
        <w:t>六</w:t>
      </w:r>
      <w:r>
        <w:rPr>
          <w:rFonts w:hint="eastAsia" w:asciiTheme="minorEastAsia" w:hAnsiTheme="minorEastAsia" w:eastAsiaTheme="minorEastAsia" w:cstheme="minorEastAsia"/>
          <w:b/>
          <w:sz w:val="32"/>
          <w:szCs w:val="32"/>
        </w:rPr>
        <w:t>、供应商认为需要提供的其它资料</w:t>
      </w:r>
      <w:bookmarkEnd w:id="35"/>
    </w:p>
    <w:p>
      <w:pPr>
        <w:adjustRightInd w:val="0"/>
        <w:snapToGrid w:val="0"/>
        <w:spacing w:line="360" w:lineRule="auto"/>
        <w:rPr>
          <w:rFonts w:hint="eastAsia" w:asciiTheme="minorEastAsia" w:hAnsiTheme="minorEastAsia" w:eastAsiaTheme="minorEastAsia" w:cstheme="minorEastAsia"/>
          <w:szCs w:val="21"/>
        </w:rPr>
      </w:pPr>
    </w:p>
    <w:sectPr>
      <w:headerReference r:id="rId5" w:type="default"/>
      <w:footerReference r:id="rId6" w:type="default"/>
      <w:pgSz w:w="11906" w:h="16838"/>
      <w:pgMar w:top="1077" w:right="1304" w:bottom="1077"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Arail">
    <w:altName w:val="Times New Roman"/>
    <w:panose1 w:val="00000000000000000000"/>
    <w:charset w:val="00"/>
    <w:family w:val="roman"/>
    <w:pitch w:val="default"/>
    <w:sig w:usb0="00000000" w:usb1="00000000" w:usb2="00000000" w:usb3="00000000" w:csb0="00040001" w:csb1="00000000"/>
  </w:font>
  <w:font w:name="MS Sans Serif">
    <w:altName w:val="Arial"/>
    <w:panose1 w:val="020B05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长城仿宋">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pPr>
    <w:r>
      <w:pict>
        <v:shape id="文本框 1026" o:spid="_x0000_s4098"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T/AzfAQAAsQMAAA4AAABkcnMvZTJvRG9jLnhtbK1TS27bMBDdF8gd&#10;CO5jSf4EjWA5SGCkKFC0BdIegKYoiwB/4NCWfIH2Bl11033P5XN0SElOkW6y6Iaa4QzfzHszWt/1&#10;WpGj8CCtqWgxyykRhttamn1Fv355vH5LCQRmaqasERU9CaB3m6s3686VYm5bq2rhCYIYKDtX0TYE&#10;V2YZ8FZoBjPrhMFgY71mAV2/z2rPOkTXKpvn+U3WWV87b7kAwNvtEKQjon8NoG0aycXW8oMWJgyo&#10;XigWkBK00gHdpG6bRvDwqWlABKIqikxDOrEI2rt4Zps1K/eeuVbysQX2mhZecNJMGix6gdqywMjB&#10;y3+gtOTegm3CjFudDUSSIsiiyF9o89QyJxIXlBrcRXT4f7D84/GzJ7Ku6IISwzQO/Pzj+/nn7/Ov&#10;b6TI5zdRoc5BiYlPDlND/2B73JvpHvAyEu8br+MXKRGMo76ni76iD4THR8XydrGihGOoWBTL5Sqi&#10;ZM+PnYfwTlhNolFRj+NLqrLjBwhD6pQSaxn7KJVKI1SGdBW9Xc1X6cElguDKxFyRlmGEiYSGxqMV&#10;+l0/stzZ+oQkO1yIihrcf0rUe4N6x92ZDD8Zu8k4OC/3LXZcpOrg7g8Be0stxwoDLFKNDk4ykR63&#10;Lq7K337Kev7T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DhT/Az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48</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文本框 1027" o:spid="_x0000_s4097"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09xUffAQAAsQMAAA4AAABkcnMvZTJvRG9jLnhtbK1TS27bMBDdF8gd&#10;CO5jSY7dNoLlIIGRokDRFkh7AJqiLAL8gUNb8gXaG3TVTfc9l8/RISU5RbLJIhtqhjN8M+/NaHXT&#10;a0UOwoO0pqLFLKdEGG5raXYV/f7t/vI9JRCYqZmyRlT0KIDerC/erDpXirltraqFJwhioOxcRdsQ&#10;XJllwFuhGcysEwaDjfWaBXT9Lqs96xBdq2ye52+zzvraecsFAN5uhiAdEf1LAG3TSC42lu+1MGFA&#10;9UKxgJSglQ7oOnXbNIKHL00DIhBVUWQa0olF0N7GM1uvWLnzzLWSjy2wl7TwhJNm0mDRM9SGBUb2&#10;Xj6D0pJ7C7YJM251NhBJiiCLIn+izUPLnEhcUGpwZ9Hh9WD558NXT2Rd0QUlhmkc+OnXz9Pvv6c/&#10;P0iRz99FhToHJSY+OEwN/Z3tcW+me8DLSLxvvI5fpEQwjvoez/qKPhAeHxWL66slJRxDxVWxWCwj&#10;Svb42HkIH4TVJBoV9Ti+pCo7fIIwpE4psZax91KpNEJlSFfR6+V8mR6cIwiuTMwVaRlGmEhoaDxa&#10;od/2I8utrY9IssOFqKjB/adEfTSod9ydyfCTsZ2MvfNy12LHRaoO7nYfsLfUcqwwwCLV6OAkE+lx&#10;6+Kq/O+nrMc/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M09xUf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52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jc w:val="both"/>
    </w:pPr>
    <w:r>
      <w:rPr>
        <w:rFonts w:hint="eastAsia"/>
        <w:u w:val="single"/>
      </w:rPr>
      <w:t>临湘市</w:t>
    </w:r>
    <w:r>
      <w:rPr>
        <w:rFonts w:hint="eastAsia" w:asciiTheme="minorEastAsia" w:hAnsiTheme="minorEastAsia" w:eastAsiaTheme="minorEastAsia" w:cstheme="minorEastAsia"/>
        <w:szCs w:val="21"/>
        <w:u w:val="single"/>
        <w:lang w:val="en-US" w:eastAsia="zh-CN"/>
      </w:rPr>
      <w:t>第九完全小学食堂大宗食材定点采购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 xml:space="preserve">         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ascii="仿宋_GB2312" w:eastAsia="仿宋_GB2312"/>
        <w:b/>
        <w:sz w:val="18"/>
        <w:szCs w:val="18"/>
      </w:rPr>
    </w:pPr>
    <w:r>
      <w:rPr>
        <w:rFonts w:hint="eastAsia"/>
        <w:sz w:val="18"/>
        <w:szCs w:val="18"/>
        <w:u w:val="single"/>
      </w:rPr>
      <w:t>临湘市</w:t>
    </w:r>
    <w:r>
      <w:rPr>
        <w:rFonts w:hint="eastAsia"/>
        <w:sz w:val="18"/>
        <w:szCs w:val="18"/>
        <w:u w:val="single"/>
        <w:lang w:val="en-US" w:eastAsia="zh-CN"/>
      </w:rPr>
      <w:t>第九完全小学食堂大宗食材定点采购</w:t>
    </w:r>
    <w:r>
      <w:rPr>
        <w:rFonts w:hint="eastAsia" w:asciiTheme="minorEastAsia" w:hAnsiTheme="minorEastAsia" w:eastAsiaTheme="minorEastAsia" w:cstheme="minorEastAsia"/>
        <w:sz w:val="18"/>
        <w:szCs w:val="18"/>
        <w:u w:val="single"/>
      </w:rPr>
      <w:t xml:space="preserve">项目 </w:t>
    </w:r>
    <w:r>
      <w:rPr>
        <w:rFonts w:hint="eastAsia" w:asciiTheme="minorEastAsia" w:hAnsiTheme="minorEastAsia" w:eastAsiaTheme="minorEastAsia" w:cstheme="minorEastAsia"/>
        <w:sz w:val="18"/>
        <w:szCs w:val="18"/>
        <w:u w:val="single"/>
        <w:lang w:val="en-US" w:eastAsia="zh-CN"/>
      </w:rPr>
      <w:t xml:space="preserve">         </w:t>
    </w:r>
    <w:r>
      <w:rPr>
        <w:rFonts w:hint="eastAsia" w:asciiTheme="minorEastAsia" w:hAnsiTheme="minorEastAsia" w:eastAsiaTheme="minorEastAsia" w:cstheme="minorEastAsia"/>
        <w:sz w:val="18"/>
        <w:szCs w:val="18"/>
        <w:u w:val="single"/>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03A2FE"/>
    <w:multiLevelType w:val="singleLevel"/>
    <w:tmpl w:val="FB03A2FE"/>
    <w:lvl w:ilvl="0" w:tentative="0">
      <w:start w:val="1"/>
      <w:numFmt w:val="decimal"/>
      <w:suff w:val="space"/>
      <w:lvlText w:val="%1."/>
      <w:lvlJc w:val="left"/>
    </w:lvl>
  </w:abstractNum>
  <w:abstractNum w:abstractNumId="1">
    <w:nsid w:val="679B66BA"/>
    <w:multiLevelType w:val="singleLevel"/>
    <w:tmpl w:val="679B66BA"/>
    <w:lvl w:ilvl="0" w:tentative="0">
      <w:start w:val="1"/>
      <w:numFmt w:val="decimal"/>
      <w:suff w:val="nothing"/>
      <w:lvlText w:val="%1、"/>
      <w:lvlJc w:val="left"/>
    </w:lvl>
  </w:abstractNum>
  <w:abstractNum w:abstractNumId="2">
    <w:nsid w:val="70053E1E"/>
    <w:multiLevelType w:val="multilevel"/>
    <w:tmpl w:val="70053E1E"/>
    <w:lvl w:ilvl="0" w:tentative="0">
      <w:start w:val="1"/>
      <w:numFmt w:val="japaneseCounting"/>
      <w:lvlText w:val="%1、"/>
      <w:lvlJc w:val="left"/>
      <w:pPr>
        <w:ind w:left="927" w:hanging="450"/>
      </w:pPr>
      <w:rPr>
        <w:rFonts w:hint="default" w:ascii="宋体" w:cs="宋体"/>
        <w:b/>
        <w:lang w:val="en-US"/>
      </w:rPr>
    </w:lvl>
    <w:lvl w:ilvl="1" w:tentative="0">
      <w:start w:val="1"/>
      <w:numFmt w:val="lowerLetter"/>
      <w:lvlText w:val="%2)"/>
      <w:lvlJc w:val="left"/>
      <w:pPr>
        <w:ind w:left="1317" w:hanging="420"/>
      </w:pPr>
    </w:lvl>
    <w:lvl w:ilvl="2" w:tentative="0">
      <w:start w:val="1"/>
      <w:numFmt w:val="lowerRoman"/>
      <w:lvlText w:val="%3."/>
      <w:lvlJc w:val="right"/>
      <w:pPr>
        <w:ind w:left="1737" w:hanging="420"/>
      </w:pPr>
    </w:lvl>
    <w:lvl w:ilvl="3" w:tentative="0">
      <w:start w:val="1"/>
      <w:numFmt w:val="decimal"/>
      <w:lvlText w:val="%4."/>
      <w:lvlJc w:val="left"/>
      <w:pPr>
        <w:ind w:left="2157" w:hanging="420"/>
      </w:pPr>
    </w:lvl>
    <w:lvl w:ilvl="4" w:tentative="0">
      <w:start w:val="1"/>
      <w:numFmt w:val="lowerLetter"/>
      <w:lvlText w:val="%5)"/>
      <w:lvlJc w:val="left"/>
      <w:pPr>
        <w:ind w:left="2577" w:hanging="420"/>
      </w:pPr>
    </w:lvl>
    <w:lvl w:ilvl="5" w:tentative="0">
      <w:start w:val="1"/>
      <w:numFmt w:val="lowerRoman"/>
      <w:lvlText w:val="%6."/>
      <w:lvlJc w:val="right"/>
      <w:pPr>
        <w:ind w:left="2997" w:hanging="420"/>
      </w:pPr>
    </w:lvl>
    <w:lvl w:ilvl="6" w:tentative="0">
      <w:start w:val="1"/>
      <w:numFmt w:val="decimal"/>
      <w:lvlText w:val="%7."/>
      <w:lvlJc w:val="left"/>
      <w:pPr>
        <w:ind w:left="3417" w:hanging="420"/>
      </w:pPr>
    </w:lvl>
    <w:lvl w:ilvl="7" w:tentative="0">
      <w:start w:val="1"/>
      <w:numFmt w:val="lowerLetter"/>
      <w:lvlText w:val="%8)"/>
      <w:lvlJc w:val="left"/>
      <w:pPr>
        <w:ind w:left="3837" w:hanging="420"/>
      </w:pPr>
    </w:lvl>
    <w:lvl w:ilvl="8" w:tentative="0">
      <w:start w:val="1"/>
      <w:numFmt w:val="lowerRoman"/>
      <w:lvlText w:val="%9."/>
      <w:lvlJc w:val="right"/>
      <w:pPr>
        <w:ind w:left="4257" w:hanging="420"/>
      </w:pPr>
    </w:lvl>
  </w:abstractNum>
  <w:abstractNum w:abstractNumId="3">
    <w:nsid w:val="78040342"/>
    <w:multiLevelType w:val="multilevel"/>
    <w:tmpl w:val="78040342"/>
    <w:lvl w:ilvl="0" w:tentative="0">
      <w:start w:val="2"/>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BjMzdjNjE3Nzk1NzVkZGE0OWRkYzY5ZmQxN2RhZDAifQ=="/>
  </w:docVars>
  <w:rsids>
    <w:rsidRoot w:val="00496D5A"/>
    <w:rsid w:val="000156E2"/>
    <w:rsid w:val="000240B9"/>
    <w:rsid w:val="00024344"/>
    <w:rsid w:val="00025986"/>
    <w:rsid w:val="00026B4C"/>
    <w:rsid w:val="00026FD7"/>
    <w:rsid w:val="00027406"/>
    <w:rsid w:val="0002779F"/>
    <w:rsid w:val="00027D5B"/>
    <w:rsid w:val="000313EC"/>
    <w:rsid w:val="00034641"/>
    <w:rsid w:val="00037E98"/>
    <w:rsid w:val="00040D86"/>
    <w:rsid w:val="000441C7"/>
    <w:rsid w:val="00051E2A"/>
    <w:rsid w:val="00053DE3"/>
    <w:rsid w:val="000629E6"/>
    <w:rsid w:val="000640EC"/>
    <w:rsid w:val="000641A5"/>
    <w:rsid w:val="00074700"/>
    <w:rsid w:val="000818D8"/>
    <w:rsid w:val="00081FA6"/>
    <w:rsid w:val="00086A97"/>
    <w:rsid w:val="000952E7"/>
    <w:rsid w:val="000A25F2"/>
    <w:rsid w:val="000A2941"/>
    <w:rsid w:val="000A3E58"/>
    <w:rsid w:val="000A604E"/>
    <w:rsid w:val="000A7150"/>
    <w:rsid w:val="000B422C"/>
    <w:rsid w:val="000B6963"/>
    <w:rsid w:val="000C2B71"/>
    <w:rsid w:val="000C3661"/>
    <w:rsid w:val="000C5109"/>
    <w:rsid w:val="000C5BDA"/>
    <w:rsid w:val="000D4C09"/>
    <w:rsid w:val="000E1E33"/>
    <w:rsid w:val="000E4167"/>
    <w:rsid w:val="000E430C"/>
    <w:rsid w:val="000F23B9"/>
    <w:rsid w:val="000F6CDC"/>
    <w:rsid w:val="00100878"/>
    <w:rsid w:val="00105DDE"/>
    <w:rsid w:val="00106CB3"/>
    <w:rsid w:val="00107232"/>
    <w:rsid w:val="0011494C"/>
    <w:rsid w:val="001256EF"/>
    <w:rsid w:val="00127819"/>
    <w:rsid w:val="00131074"/>
    <w:rsid w:val="001324C6"/>
    <w:rsid w:val="0013430F"/>
    <w:rsid w:val="001344E3"/>
    <w:rsid w:val="00134600"/>
    <w:rsid w:val="001361CA"/>
    <w:rsid w:val="001364C1"/>
    <w:rsid w:val="00137DF6"/>
    <w:rsid w:val="001416D5"/>
    <w:rsid w:val="00142746"/>
    <w:rsid w:val="0014700D"/>
    <w:rsid w:val="00147E27"/>
    <w:rsid w:val="00154ED0"/>
    <w:rsid w:val="00157E73"/>
    <w:rsid w:val="00160437"/>
    <w:rsid w:val="001652A3"/>
    <w:rsid w:val="00167D4D"/>
    <w:rsid w:val="00167E36"/>
    <w:rsid w:val="0017108F"/>
    <w:rsid w:val="00172007"/>
    <w:rsid w:val="00172683"/>
    <w:rsid w:val="00172AC1"/>
    <w:rsid w:val="00174093"/>
    <w:rsid w:val="00174AD2"/>
    <w:rsid w:val="0017639C"/>
    <w:rsid w:val="00176706"/>
    <w:rsid w:val="001849D2"/>
    <w:rsid w:val="0018787D"/>
    <w:rsid w:val="00190F87"/>
    <w:rsid w:val="00194E27"/>
    <w:rsid w:val="00197DB3"/>
    <w:rsid w:val="001A0051"/>
    <w:rsid w:val="001A27C7"/>
    <w:rsid w:val="001A6A2C"/>
    <w:rsid w:val="001B229F"/>
    <w:rsid w:val="001B50BA"/>
    <w:rsid w:val="001B56C9"/>
    <w:rsid w:val="001B6E2A"/>
    <w:rsid w:val="001B7F3D"/>
    <w:rsid w:val="001C30E6"/>
    <w:rsid w:val="001C598A"/>
    <w:rsid w:val="001C6863"/>
    <w:rsid w:val="001C7DB0"/>
    <w:rsid w:val="001C7EEC"/>
    <w:rsid w:val="001D1504"/>
    <w:rsid w:val="001D23F4"/>
    <w:rsid w:val="001D6192"/>
    <w:rsid w:val="001E0AF2"/>
    <w:rsid w:val="001F0E77"/>
    <w:rsid w:val="001F2E45"/>
    <w:rsid w:val="001F3061"/>
    <w:rsid w:val="00200EA4"/>
    <w:rsid w:val="0020200C"/>
    <w:rsid w:val="002037B4"/>
    <w:rsid w:val="002037DB"/>
    <w:rsid w:val="00205190"/>
    <w:rsid w:val="002068F3"/>
    <w:rsid w:val="00206968"/>
    <w:rsid w:val="00206FCE"/>
    <w:rsid w:val="00207162"/>
    <w:rsid w:val="00211C0E"/>
    <w:rsid w:val="002131F5"/>
    <w:rsid w:val="0021675C"/>
    <w:rsid w:val="00220F7C"/>
    <w:rsid w:val="002223E0"/>
    <w:rsid w:val="00223AAF"/>
    <w:rsid w:val="00226977"/>
    <w:rsid w:val="002270C6"/>
    <w:rsid w:val="0023455F"/>
    <w:rsid w:val="00234E98"/>
    <w:rsid w:val="002355BB"/>
    <w:rsid w:val="00237E61"/>
    <w:rsid w:val="00242EFF"/>
    <w:rsid w:val="00243709"/>
    <w:rsid w:val="002444AB"/>
    <w:rsid w:val="00245A92"/>
    <w:rsid w:val="002502DD"/>
    <w:rsid w:val="00260F02"/>
    <w:rsid w:val="00266E91"/>
    <w:rsid w:val="00271164"/>
    <w:rsid w:val="002723DE"/>
    <w:rsid w:val="00281493"/>
    <w:rsid w:val="00282EDF"/>
    <w:rsid w:val="00285665"/>
    <w:rsid w:val="002859F6"/>
    <w:rsid w:val="00285C9D"/>
    <w:rsid w:val="0029027F"/>
    <w:rsid w:val="00290F35"/>
    <w:rsid w:val="00291946"/>
    <w:rsid w:val="00291C33"/>
    <w:rsid w:val="002930B4"/>
    <w:rsid w:val="002942E2"/>
    <w:rsid w:val="00295E49"/>
    <w:rsid w:val="002A03CB"/>
    <w:rsid w:val="002A41F5"/>
    <w:rsid w:val="002A6ED0"/>
    <w:rsid w:val="002B4521"/>
    <w:rsid w:val="002B469E"/>
    <w:rsid w:val="002B5F66"/>
    <w:rsid w:val="002B7325"/>
    <w:rsid w:val="002B7BD5"/>
    <w:rsid w:val="002C79BB"/>
    <w:rsid w:val="002D54FC"/>
    <w:rsid w:val="002E04A9"/>
    <w:rsid w:val="002E2AB7"/>
    <w:rsid w:val="002E2BB7"/>
    <w:rsid w:val="002E356B"/>
    <w:rsid w:val="002E6042"/>
    <w:rsid w:val="002F0EFC"/>
    <w:rsid w:val="002F42D5"/>
    <w:rsid w:val="00301B5A"/>
    <w:rsid w:val="003072D6"/>
    <w:rsid w:val="00311078"/>
    <w:rsid w:val="003136E5"/>
    <w:rsid w:val="00313BC8"/>
    <w:rsid w:val="0031417B"/>
    <w:rsid w:val="00316527"/>
    <w:rsid w:val="00317CD3"/>
    <w:rsid w:val="00321C75"/>
    <w:rsid w:val="00327240"/>
    <w:rsid w:val="003303DC"/>
    <w:rsid w:val="00331A2E"/>
    <w:rsid w:val="00332937"/>
    <w:rsid w:val="003333D7"/>
    <w:rsid w:val="00333943"/>
    <w:rsid w:val="00336155"/>
    <w:rsid w:val="00340105"/>
    <w:rsid w:val="003412D4"/>
    <w:rsid w:val="00342089"/>
    <w:rsid w:val="0034572F"/>
    <w:rsid w:val="003469E4"/>
    <w:rsid w:val="0035131B"/>
    <w:rsid w:val="0035295E"/>
    <w:rsid w:val="0035331E"/>
    <w:rsid w:val="00357B2A"/>
    <w:rsid w:val="003610D2"/>
    <w:rsid w:val="0037058A"/>
    <w:rsid w:val="0037162D"/>
    <w:rsid w:val="003723D3"/>
    <w:rsid w:val="00372BD6"/>
    <w:rsid w:val="00374E53"/>
    <w:rsid w:val="00376191"/>
    <w:rsid w:val="00382374"/>
    <w:rsid w:val="003914B4"/>
    <w:rsid w:val="00391A73"/>
    <w:rsid w:val="00393F10"/>
    <w:rsid w:val="003948FD"/>
    <w:rsid w:val="00395A22"/>
    <w:rsid w:val="003A6117"/>
    <w:rsid w:val="003B0AFE"/>
    <w:rsid w:val="003B1744"/>
    <w:rsid w:val="003B4B9C"/>
    <w:rsid w:val="003B5E4B"/>
    <w:rsid w:val="003B6A76"/>
    <w:rsid w:val="003B780B"/>
    <w:rsid w:val="003C3A5C"/>
    <w:rsid w:val="003C3EAB"/>
    <w:rsid w:val="003C448B"/>
    <w:rsid w:val="003C454A"/>
    <w:rsid w:val="003C57EF"/>
    <w:rsid w:val="003C6100"/>
    <w:rsid w:val="003C7959"/>
    <w:rsid w:val="003C7B08"/>
    <w:rsid w:val="003D1521"/>
    <w:rsid w:val="003E18E1"/>
    <w:rsid w:val="003E1EFA"/>
    <w:rsid w:val="003E62E2"/>
    <w:rsid w:val="003E7B33"/>
    <w:rsid w:val="003F472F"/>
    <w:rsid w:val="003F4843"/>
    <w:rsid w:val="003F4E1C"/>
    <w:rsid w:val="003F6A20"/>
    <w:rsid w:val="003F7BE0"/>
    <w:rsid w:val="003F7D02"/>
    <w:rsid w:val="00410033"/>
    <w:rsid w:val="0041158C"/>
    <w:rsid w:val="004117F0"/>
    <w:rsid w:val="00411C9F"/>
    <w:rsid w:val="004149E4"/>
    <w:rsid w:val="00427DBC"/>
    <w:rsid w:val="00430191"/>
    <w:rsid w:val="0043107F"/>
    <w:rsid w:val="00431725"/>
    <w:rsid w:val="00432850"/>
    <w:rsid w:val="004409B2"/>
    <w:rsid w:val="00440D7E"/>
    <w:rsid w:val="00441209"/>
    <w:rsid w:val="0044199B"/>
    <w:rsid w:val="00460C83"/>
    <w:rsid w:val="00465ED5"/>
    <w:rsid w:val="00476DA5"/>
    <w:rsid w:val="00477642"/>
    <w:rsid w:val="004808F3"/>
    <w:rsid w:val="004836CC"/>
    <w:rsid w:val="00483C76"/>
    <w:rsid w:val="00483D0A"/>
    <w:rsid w:val="00485D13"/>
    <w:rsid w:val="00485D3C"/>
    <w:rsid w:val="00486663"/>
    <w:rsid w:val="0048677F"/>
    <w:rsid w:val="004934D5"/>
    <w:rsid w:val="004937F7"/>
    <w:rsid w:val="00494277"/>
    <w:rsid w:val="0049529F"/>
    <w:rsid w:val="00496D5A"/>
    <w:rsid w:val="004A0502"/>
    <w:rsid w:val="004A5608"/>
    <w:rsid w:val="004A7B3D"/>
    <w:rsid w:val="004B299A"/>
    <w:rsid w:val="004B7380"/>
    <w:rsid w:val="004C3F73"/>
    <w:rsid w:val="004D1DC5"/>
    <w:rsid w:val="004E26FE"/>
    <w:rsid w:val="004E735E"/>
    <w:rsid w:val="004F46DF"/>
    <w:rsid w:val="004F5E12"/>
    <w:rsid w:val="00504192"/>
    <w:rsid w:val="00504385"/>
    <w:rsid w:val="00507DC4"/>
    <w:rsid w:val="00510199"/>
    <w:rsid w:val="0051402F"/>
    <w:rsid w:val="00515059"/>
    <w:rsid w:val="005218A6"/>
    <w:rsid w:val="00522A24"/>
    <w:rsid w:val="0052705B"/>
    <w:rsid w:val="00530025"/>
    <w:rsid w:val="005325DA"/>
    <w:rsid w:val="005327B1"/>
    <w:rsid w:val="00540AA0"/>
    <w:rsid w:val="005426AC"/>
    <w:rsid w:val="00542ECB"/>
    <w:rsid w:val="00546417"/>
    <w:rsid w:val="00550DB2"/>
    <w:rsid w:val="00553640"/>
    <w:rsid w:val="00554044"/>
    <w:rsid w:val="00554C89"/>
    <w:rsid w:val="0056199A"/>
    <w:rsid w:val="00561B44"/>
    <w:rsid w:val="00563F1D"/>
    <w:rsid w:val="00566DDF"/>
    <w:rsid w:val="005718EB"/>
    <w:rsid w:val="00571AB3"/>
    <w:rsid w:val="00574D73"/>
    <w:rsid w:val="00575C2F"/>
    <w:rsid w:val="00575F19"/>
    <w:rsid w:val="00576E30"/>
    <w:rsid w:val="005770DF"/>
    <w:rsid w:val="00582329"/>
    <w:rsid w:val="00583097"/>
    <w:rsid w:val="00586507"/>
    <w:rsid w:val="00596362"/>
    <w:rsid w:val="00596918"/>
    <w:rsid w:val="005A10FE"/>
    <w:rsid w:val="005A22A2"/>
    <w:rsid w:val="005A2A0F"/>
    <w:rsid w:val="005A3897"/>
    <w:rsid w:val="005A7DD1"/>
    <w:rsid w:val="005B1A4E"/>
    <w:rsid w:val="005B38E7"/>
    <w:rsid w:val="005B6E25"/>
    <w:rsid w:val="005C02DC"/>
    <w:rsid w:val="005C23A1"/>
    <w:rsid w:val="005D3F38"/>
    <w:rsid w:val="005D7ECA"/>
    <w:rsid w:val="005E4458"/>
    <w:rsid w:val="005F1351"/>
    <w:rsid w:val="005F23F3"/>
    <w:rsid w:val="005F5268"/>
    <w:rsid w:val="005F5575"/>
    <w:rsid w:val="005F6857"/>
    <w:rsid w:val="00601F43"/>
    <w:rsid w:val="006032E0"/>
    <w:rsid w:val="00604017"/>
    <w:rsid w:val="00605A59"/>
    <w:rsid w:val="00612E59"/>
    <w:rsid w:val="0061371E"/>
    <w:rsid w:val="00615D25"/>
    <w:rsid w:val="00616D05"/>
    <w:rsid w:val="00621D98"/>
    <w:rsid w:val="00621E4F"/>
    <w:rsid w:val="00622F0C"/>
    <w:rsid w:val="006246A7"/>
    <w:rsid w:val="0063170F"/>
    <w:rsid w:val="006328FF"/>
    <w:rsid w:val="00633421"/>
    <w:rsid w:val="00635DFA"/>
    <w:rsid w:val="006365A2"/>
    <w:rsid w:val="0063686A"/>
    <w:rsid w:val="00636A24"/>
    <w:rsid w:val="0064250B"/>
    <w:rsid w:val="00650AFD"/>
    <w:rsid w:val="0065196E"/>
    <w:rsid w:val="006525B1"/>
    <w:rsid w:val="00654F84"/>
    <w:rsid w:val="00654FCD"/>
    <w:rsid w:val="006564CF"/>
    <w:rsid w:val="00657A60"/>
    <w:rsid w:val="00657D26"/>
    <w:rsid w:val="00660C14"/>
    <w:rsid w:val="006627D5"/>
    <w:rsid w:val="006650B1"/>
    <w:rsid w:val="00672F09"/>
    <w:rsid w:val="00673AC8"/>
    <w:rsid w:val="006751BE"/>
    <w:rsid w:val="00677930"/>
    <w:rsid w:val="006804D3"/>
    <w:rsid w:val="00682494"/>
    <w:rsid w:val="00682EB1"/>
    <w:rsid w:val="00682FA0"/>
    <w:rsid w:val="00687880"/>
    <w:rsid w:val="00687C90"/>
    <w:rsid w:val="00692D3C"/>
    <w:rsid w:val="006931C3"/>
    <w:rsid w:val="00693615"/>
    <w:rsid w:val="00693CB4"/>
    <w:rsid w:val="00695533"/>
    <w:rsid w:val="006956F6"/>
    <w:rsid w:val="006A095E"/>
    <w:rsid w:val="006A1FCD"/>
    <w:rsid w:val="006A2A23"/>
    <w:rsid w:val="006A4B81"/>
    <w:rsid w:val="006B0A67"/>
    <w:rsid w:val="006B1413"/>
    <w:rsid w:val="006C1E31"/>
    <w:rsid w:val="006C5BCC"/>
    <w:rsid w:val="006C6DB0"/>
    <w:rsid w:val="006D1534"/>
    <w:rsid w:val="006D2B6F"/>
    <w:rsid w:val="006D7616"/>
    <w:rsid w:val="006D7E6E"/>
    <w:rsid w:val="006E5CF1"/>
    <w:rsid w:val="006E6E9D"/>
    <w:rsid w:val="006F1452"/>
    <w:rsid w:val="006F6654"/>
    <w:rsid w:val="006F7F14"/>
    <w:rsid w:val="00705812"/>
    <w:rsid w:val="00710D5A"/>
    <w:rsid w:val="0071222D"/>
    <w:rsid w:val="007145A9"/>
    <w:rsid w:val="007145DE"/>
    <w:rsid w:val="00715886"/>
    <w:rsid w:val="00721C4F"/>
    <w:rsid w:val="0072365F"/>
    <w:rsid w:val="00725169"/>
    <w:rsid w:val="00725B82"/>
    <w:rsid w:val="00725F9F"/>
    <w:rsid w:val="00733079"/>
    <w:rsid w:val="00733841"/>
    <w:rsid w:val="007352B2"/>
    <w:rsid w:val="007410F1"/>
    <w:rsid w:val="00741768"/>
    <w:rsid w:val="0074301E"/>
    <w:rsid w:val="00745F3E"/>
    <w:rsid w:val="0075074F"/>
    <w:rsid w:val="00752992"/>
    <w:rsid w:val="00754BFA"/>
    <w:rsid w:val="00754D46"/>
    <w:rsid w:val="007576C6"/>
    <w:rsid w:val="00762A46"/>
    <w:rsid w:val="007637D7"/>
    <w:rsid w:val="00763F0D"/>
    <w:rsid w:val="00767A67"/>
    <w:rsid w:val="0077024A"/>
    <w:rsid w:val="007706BA"/>
    <w:rsid w:val="007708C1"/>
    <w:rsid w:val="00771233"/>
    <w:rsid w:val="007749B5"/>
    <w:rsid w:val="00776B96"/>
    <w:rsid w:val="0078006E"/>
    <w:rsid w:val="007856CC"/>
    <w:rsid w:val="00786EE8"/>
    <w:rsid w:val="00786F67"/>
    <w:rsid w:val="00793F05"/>
    <w:rsid w:val="007940D5"/>
    <w:rsid w:val="00794207"/>
    <w:rsid w:val="00795612"/>
    <w:rsid w:val="007970D6"/>
    <w:rsid w:val="007A2780"/>
    <w:rsid w:val="007A49E7"/>
    <w:rsid w:val="007A6607"/>
    <w:rsid w:val="007A780F"/>
    <w:rsid w:val="007B0AD1"/>
    <w:rsid w:val="007B0B37"/>
    <w:rsid w:val="007C01D7"/>
    <w:rsid w:val="007C0604"/>
    <w:rsid w:val="007C0A90"/>
    <w:rsid w:val="007C29EF"/>
    <w:rsid w:val="007C5020"/>
    <w:rsid w:val="007C504D"/>
    <w:rsid w:val="007D6AEC"/>
    <w:rsid w:val="007E397C"/>
    <w:rsid w:val="007E5C36"/>
    <w:rsid w:val="007E6442"/>
    <w:rsid w:val="007E72DD"/>
    <w:rsid w:val="007F3167"/>
    <w:rsid w:val="007F34A8"/>
    <w:rsid w:val="007F769F"/>
    <w:rsid w:val="00800C3F"/>
    <w:rsid w:val="00801BA0"/>
    <w:rsid w:val="00803C70"/>
    <w:rsid w:val="00805DF3"/>
    <w:rsid w:val="00805FC3"/>
    <w:rsid w:val="00807CE3"/>
    <w:rsid w:val="008109A2"/>
    <w:rsid w:val="00817C22"/>
    <w:rsid w:val="00820B50"/>
    <w:rsid w:val="008262E8"/>
    <w:rsid w:val="0083151A"/>
    <w:rsid w:val="00833F9F"/>
    <w:rsid w:val="008358F5"/>
    <w:rsid w:val="008424A4"/>
    <w:rsid w:val="00842ACB"/>
    <w:rsid w:val="0084421C"/>
    <w:rsid w:val="00845C9E"/>
    <w:rsid w:val="008572CB"/>
    <w:rsid w:val="00861C90"/>
    <w:rsid w:val="00862398"/>
    <w:rsid w:val="008631CD"/>
    <w:rsid w:val="008632AC"/>
    <w:rsid w:val="008708E7"/>
    <w:rsid w:val="00870E11"/>
    <w:rsid w:val="008717C0"/>
    <w:rsid w:val="00880173"/>
    <w:rsid w:val="008827A6"/>
    <w:rsid w:val="008842E6"/>
    <w:rsid w:val="00893F57"/>
    <w:rsid w:val="00894431"/>
    <w:rsid w:val="00895459"/>
    <w:rsid w:val="00897135"/>
    <w:rsid w:val="008A393D"/>
    <w:rsid w:val="008A4DF5"/>
    <w:rsid w:val="008A638A"/>
    <w:rsid w:val="008A7CC6"/>
    <w:rsid w:val="008B3AFA"/>
    <w:rsid w:val="008B6DC9"/>
    <w:rsid w:val="008C53E1"/>
    <w:rsid w:val="008C594B"/>
    <w:rsid w:val="008D0766"/>
    <w:rsid w:val="008D37A6"/>
    <w:rsid w:val="008D6372"/>
    <w:rsid w:val="008E0FD8"/>
    <w:rsid w:val="008E4EE3"/>
    <w:rsid w:val="008F07F0"/>
    <w:rsid w:val="008F0AD3"/>
    <w:rsid w:val="008F4153"/>
    <w:rsid w:val="008F588B"/>
    <w:rsid w:val="00900000"/>
    <w:rsid w:val="009022CB"/>
    <w:rsid w:val="00902444"/>
    <w:rsid w:val="00905608"/>
    <w:rsid w:val="00907F19"/>
    <w:rsid w:val="009115DA"/>
    <w:rsid w:val="00914B0C"/>
    <w:rsid w:val="00914CDC"/>
    <w:rsid w:val="009214D1"/>
    <w:rsid w:val="00927AE0"/>
    <w:rsid w:val="009324A1"/>
    <w:rsid w:val="00934080"/>
    <w:rsid w:val="00934EC2"/>
    <w:rsid w:val="00935D10"/>
    <w:rsid w:val="009446CE"/>
    <w:rsid w:val="009447CB"/>
    <w:rsid w:val="00945FD8"/>
    <w:rsid w:val="009523FD"/>
    <w:rsid w:val="009532D2"/>
    <w:rsid w:val="0095494C"/>
    <w:rsid w:val="00955E56"/>
    <w:rsid w:val="009562F0"/>
    <w:rsid w:val="00956526"/>
    <w:rsid w:val="00956A8A"/>
    <w:rsid w:val="0095726E"/>
    <w:rsid w:val="00957320"/>
    <w:rsid w:val="00967FB4"/>
    <w:rsid w:val="00971556"/>
    <w:rsid w:val="00973502"/>
    <w:rsid w:val="00976258"/>
    <w:rsid w:val="00980F91"/>
    <w:rsid w:val="00981256"/>
    <w:rsid w:val="00984576"/>
    <w:rsid w:val="00984D12"/>
    <w:rsid w:val="009864CB"/>
    <w:rsid w:val="009874F9"/>
    <w:rsid w:val="00991273"/>
    <w:rsid w:val="009914BD"/>
    <w:rsid w:val="0099340D"/>
    <w:rsid w:val="009A13E7"/>
    <w:rsid w:val="009A41E9"/>
    <w:rsid w:val="009A5828"/>
    <w:rsid w:val="009A590C"/>
    <w:rsid w:val="009A5BF8"/>
    <w:rsid w:val="009A751B"/>
    <w:rsid w:val="009B1053"/>
    <w:rsid w:val="009B1107"/>
    <w:rsid w:val="009B129A"/>
    <w:rsid w:val="009B4D48"/>
    <w:rsid w:val="009B630B"/>
    <w:rsid w:val="009B7D14"/>
    <w:rsid w:val="009C0915"/>
    <w:rsid w:val="009C1C6C"/>
    <w:rsid w:val="009C2C09"/>
    <w:rsid w:val="009C50E0"/>
    <w:rsid w:val="009C6E82"/>
    <w:rsid w:val="009D2117"/>
    <w:rsid w:val="009D3302"/>
    <w:rsid w:val="009D52D1"/>
    <w:rsid w:val="009D5A8E"/>
    <w:rsid w:val="009E51AA"/>
    <w:rsid w:val="009F2A1B"/>
    <w:rsid w:val="009F2B85"/>
    <w:rsid w:val="009F3049"/>
    <w:rsid w:val="009F588C"/>
    <w:rsid w:val="009F6488"/>
    <w:rsid w:val="009F64B9"/>
    <w:rsid w:val="00A026F0"/>
    <w:rsid w:val="00A04145"/>
    <w:rsid w:val="00A125C0"/>
    <w:rsid w:val="00A135C2"/>
    <w:rsid w:val="00A16084"/>
    <w:rsid w:val="00A17285"/>
    <w:rsid w:val="00A23A01"/>
    <w:rsid w:val="00A27EAB"/>
    <w:rsid w:val="00A316DA"/>
    <w:rsid w:val="00A332E1"/>
    <w:rsid w:val="00A375C1"/>
    <w:rsid w:val="00A40014"/>
    <w:rsid w:val="00A40CB1"/>
    <w:rsid w:val="00A42E55"/>
    <w:rsid w:val="00A44026"/>
    <w:rsid w:val="00A4677E"/>
    <w:rsid w:val="00A47F15"/>
    <w:rsid w:val="00A55375"/>
    <w:rsid w:val="00A62BE8"/>
    <w:rsid w:val="00A64DD9"/>
    <w:rsid w:val="00A65CC0"/>
    <w:rsid w:val="00A73333"/>
    <w:rsid w:val="00A74A2F"/>
    <w:rsid w:val="00A81FC6"/>
    <w:rsid w:val="00A84EB2"/>
    <w:rsid w:val="00A91454"/>
    <w:rsid w:val="00A952D4"/>
    <w:rsid w:val="00A97BF2"/>
    <w:rsid w:val="00A97EE9"/>
    <w:rsid w:val="00AA1061"/>
    <w:rsid w:val="00AA232A"/>
    <w:rsid w:val="00AA3B30"/>
    <w:rsid w:val="00AA5262"/>
    <w:rsid w:val="00AA5990"/>
    <w:rsid w:val="00AA5C6A"/>
    <w:rsid w:val="00AB10B3"/>
    <w:rsid w:val="00AB22F3"/>
    <w:rsid w:val="00AB2C4F"/>
    <w:rsid w:val="00AB3800"/>
    <w:rsid w:val="00AB5B42"/>
    <w:rsid w:val="00AB6907"/>
    <w:rsid w:val="00AB7D38"/>
    <w:rsid w:val="00AC06D6"/>
    <w:rsid w:val="00AC3E7C"/>
    <w:rsid w:val="00AC542B"/>
    <w:rsid w:val="00AC56AC"/>
    <w:rsid w:val="00AC70FF"/>
    <w:rsid w:val="00AC7D43"/>
    <w:rsid w:val="00AC7D59"/>
    <w:rsid w:val="00AD0E2F"/>
    <w:rsid w:val="00AE77E6"/>
    <w:rsid w:val="00AE7FA6"/>
    <w:rsid w:val="00AF0FF0"/>
    <w:rsid w:val="00AF1518"/>
    <w:rsid w:val="00AF19A1"/>
    <w:rsid w:val="00AF24AE"/>
    <w:rsid w:val="00AF4888"/>
    <w:rsid w:val="00B10E7A"/>
    <w:rsid w:val="00B11E3E"/>
    <w:rsid w:val="00B15ACE"/>
    <w:rsid w:val="00B17CED"/>
    <w:rsid w:val="00B210CD"/>
    <w:rsid w:val="00B248F8"/>
    <w:rsid w:val="00B2517F"/>
    <w:rsid w:val="00B26B9C"/>
    <w:rsid w:val="00B273FE"/>
    <w:rsid w:val="00B3052D"/>
    <w:rsid w:val="00B308C9"/>
    <w:rsid w:val="00B30C84"/>
    <w:rsid w:val="00B3336F"/>
    <w:rsid w:val="00B34456"/>
    <w:rsid w:val="00B369DC"/>
    <w:rsid w:val="00B40087"/>
    <w:rsid w:val="00B428A4"/>
    <w:rsid w:val="00B55645"/>
    <w:rsid w:val="00B57BDF"/>
    <w:rsid w:val="00B63832"/>
    <w:rsid w:val="00B66CC1"/>
    <w:rsid w:val="00B728A0"/>
    <w:rsid w:val="00B812C2"/>
    <w:rsid w:val="00B82290"/>
    <w:rsid w:val="00B83F92"/>
    <w:rsid w:val="00B841F8"/>
    <w:rsid w:val="00B850DE"/>
    <w:rsid w:val="00B93134"/>
    <w:rsid w:val="00B94CA9"/>
    <w:rsid w:val="00BA0304"/>
    <w:rsid w:val="00BA1D6B"/>
    <w:rsid w:val="00BA221A"/>
    <w:rsid w:val="00BA2C52"/>
    <w:rsid w:val="00BA4F58"/>
    <w:rsid w:val="00BA5499"/>
    <w:rsid w:val="00BB1202"/>
    <w:rsid w:val="00BB3D55"/>
    <w:rsid w:val="00BB403C"/>
    <w:rsid w:val="00BB4140"/>
    <w:rsid w:val="00BB4701"/>
    <w:rsid w:val="00BB75B7"/>
    <w:rsid w:val="00BC0183"/>
    <w:rsid w:val="00BC21EC"/>
    <w:rsid w:val="00BC33E0"/>
    <w:rsid w:val="00BC55C8"/>
    <w:rsid w:val="00BC55F7"/>
    <w:rsid w:val="00BC6FB5"/>
    <w:rsid w:val="00BD22C9"/>
    <w:rsid w:val="00BD4483"/>
    <w:rsid w:val="00BD4AA2"/>
    <w:rsid w:val="00BD4E66"/>
    <w:rsid w:val="00BD5625"/>
    <w:rsid w:val="00BD6233"/>
    <w:rsid w:val="00BD79AE"/>
    <w:rsid w:val="00BE01C4"/>
    <w:rsid w:val="00BE2D5E"/>
    <w:rsid w:val="00BE3D6A"/>
    <w:rsid w:val="00BE6F2A"/>
    <w:rsid w:val="00BE7979"/>
    <w:rsid w:val="00BF2EA9"/>
    <w:rsid w:val="00BF3B2D"/>
    <w:rsid w:val="00BF463D"/>
    <w:rsid w:val="00BF69A1"/>
    <w:rsid w:val="00C0044D"/>
    <w:rsid w:val="00C060F5"/>
    <w:rsid w:val="00C1377A"/>
    <w:rsid w:val="00C13B20"/>
    <w:rsid w:val="00C15122"/>
    <w:rsid w:val="00C21AFB"/>
    <w:rsid w:val="00C23032"/>
    <w:rsid w:val="00C2392D"/>
    <w:rsid w:val="00C25F04"/>
    <w:rsid w:val="00C260B7"/>
    <w:rsid w:val="00C33117"/>
    <w:rsid w:val="00C373CF"/>
    <w:rsid w:val="00C41F91"/>
    <w:rsid w:val="00C42477"/>
    <w:rsid w:val="00C44A49"/>
    <w:rsid w:val="00C468AF"/>
    <w:rsid w:val="00C522DF"/>
    <w:rsid w:val="00C5342B"/>
    <w:rsid w:val="00C53721"/>
    <w:rsid w:val="00C56C51"/>
    <w:rsid w:val="00C57C3C"/>
    <w:rsid w:val="00C60CEB"/>
    <w:rsid w:val="00C61250"/>
    <w:rsid w:val="00C62431"/>
    <w:rsid w:val="00C636D6"/>
    <w:rsid w:val="00C65B62"/>
    <w:rsid w:val="00C712A7"/>
    <w:rsid w:val="00C7679B"/>
    <w:rsid w:val="00C778B3"/>
    <w:rsid w:val="00C81ABB"/>
    <w:rsid w:val="00C83481"/>
    <w:rsid w:val="00C852BE"/>
    <w:rsid w:val="00C92ECE"/>
    <w:rsid w:val="00CA084D"/>
    <w:rsid w:val="00CA1109"/>
    <w:rsid w:val="00CA41FC"/>
    <w:rsid w:val="00CA455D"/>
    <w:rsid w:val="00CA46B8"/>
    <w:rsid w:val="00CB46B9"/>
    <w:rsid w:val="00CC03CB"/>
    <w:rsid w:val="00CC248F"/>
    <w:rsid w:val="00CC315C"/>
    <w:rsid w:val="00CC3BE6"/>
    <w:rsid w:val="00CC4D47"/>
    <w:rsid w:val="00CD0E59"/>
    <w:rsid w:val="00CE14C1"/>
    <w:rsid w:val="00CE7E88"/>
    <w:rsid w:val="00CF349B"/>
    <w:rsid w:val="00CF3704"/>
    <w:rsid w:val="00CF6AD7"/>
    <w:rsid w:val="00D013F6"/>
    <w:rsid w:val="00D01C2F"/>
    <w:rsid w:val="00D05F96"/>
    <w:rsid w:val="00D06BB5"/>
    <w:rsid w:val="00D13454"/>
    <w:rsid w:val="00D16841"/>
    <w:rsid w:val="00D16B05"/>
    <w:rsid w:val="00D208D1"/>
    <w:rsid w:val="00D20F37"/>
    <w:rsid w:val="00D2381F"/>
    <w:rsid w:val="00D23CD8"/>
    <w:rsid w:val="00D24208"/>
    <w:rsid w:val="00D25042"/>
    <w:rsid w:val="00D34318"/>
    <w:rsid w:val="00D352E7"/>
    <w:rsid w:val="00D363F3"/>
    <w:rsid w:val="00D37F48"/>
    <w:rsid w:val="00D4038E"/>
    <w:rsid w:val="00D41A53"/>
    <w:rsid w:val="00D42453"/>
    <w:rsid w:val="00D46B61"/>
    <w:rsid w:val="00D47185"/>
    <w:rsid w:val="00D501B5"/>
    <w:rsid w:val="00D57AE7"/>
    <w:rsid w:val="00D64D31"/>
    <w:rsid w:val="00D65F4C"/>
    <w:rsid w:val="00D660DE"/>
    <w:rsid w:val="00D67805"/>
    <w:rsid w:val="00D72DDF"/>
    <w:rsid w:val="00D734A0"/>
    <w:rsid w:val="00D739BE"/>
    <w:rsid w:val="00D8155D"/>
    <w:rsid w:val="00D81E99"/>
    <w:rsid w:val="00D87130"/>
    <w:rsid w:val="00D90BFB"/>
    <w:rsid w:val="00D90CEE"/>
    <w:rsid w:val="00D91DF3"/>
    <w:rsid w:val="00D97374"/>
    <w:rsid w:val="00D97FB8"/>
    <w:rsid w:val="00DA00DE"/>
    <w:rsid w:val="00DA5406"/>
    <w:rsid w:val="00DA5ED4"/>
    <w:rsid w:val="00DB4FC9"/>
    <w:rsid w:val="00DB591E"/>
    <w:rsid w:val="00DB753F"/>
    <w:rsid w:val="00DC1B7E"/>
    <w:rsid w:val="00DC35CA"/>
    <w:rsid w:val="00DC3616"/>
    <w:rsid w:val="00DC3754"/>
    <w:rsid w:val="00DC4295"/>
    <w:rsid w:val="00DC448F"/>
    <w:rsid w:val="00DC5D3F"/>
    <w:rsid w:val="00DC612D"/>
    <w:rsid w:val="00DD07D9"/>
    <w:rsid w:val="00DD2ACC"/>
    <w:rsid w:val="00DD2D55"/>
    <w:rsid w:val="00DD2D71"/>
    <w:rsid w:val="00DD534A"/>
    <w:rsid w:val="00DD71E2"/>
    <w:rsid w:val="00DD7982"/>
    <w:rsid w:val="00DE2A57"/>
    <w:rsid w:val="00DE3DE8"/>
    <w:rsid w:val="00DE70C9"/>
    <w:rsid w:val="00DF1A93"/>
    <w:rsid w:val="00DF5EEE"/>
    <w:rsid w:val="00DF6442"/>
    <w:rsid w:val="00E01D63"/>
    <w:rsid w:val="00E05E12"/>
    <w:rsid w:val="00E11B41"/>
    <w:rsid w:val="00E15F46"/>
    <w:rsid w:val="00E237A4"/>
    <w:rsid w:val="00E2441B"/>
    <w:rsid w:val="00E25A4D"/>
    <w:rsid w:val="00E266D6"/>
    <w:rsid w:val="00E2722A"/>
    <w:rsid w:val="00E30E6B"/>
    <w:rsid w:val="00E33411"/>
    <w:rsid w:val="00E3428B"/>
    <w:rsid w:val="00E37A52"/>
    <w:rsid w:val="00E407B4"/>
    <w:rsid w:val="00E408B8"/>
    <w:rsid w:val="00E429CE"/>
    <w:rsid w:val="00E433B8"/>
    <w:rsid w:val="00E4489A"/>
    <w:rsid w:val="00E4608F"/>
    <w:rsid w:val="00E46FE9"/>
    <w:rsid w:val="00E50550"/>
    <w:rsid w:val="00E60E3D"/>
    <w:rsid w:val="00E6289C"/>
    <w:rsid w:val="00E6314B"/>
    <w:rsid w:val="00E71D13"/>
    <w:rsid w:val="00E75528"/>
    <w:rsid w:val="00E80736"/>
    <w:rsid w:val="00E871D1"/>
    <w:rsid w:val="00E8777E"/>
    <w:rsid w:val="00E91F92"/>
    <w:rsid w:val="00E9215C"/>
    <w:rsid w:val="00E95E80"/>
    <w:rsid w:val="00E965C5"/>
    <w:rsid w:val="00EA02F3"/>
    <w:rsid w:val="00EA3A50"/>
    <w:rsid w:val="00EA5BB4"/>
    <w:rsid w:val="00EA5F90"/>
    <w:rsid w:val="00EA7928"/>
    <w:rsid w:val="00EB441B"/>
    <w:rsid w:val="00EB6998"/>
    <w:rsid w:val="00EB6A3C"/>
    <w:rsid w:val="00EC358A"/>
    <w:rsid w:val="00EC3DD9"/>
    <w:rsid w:val="00EC73E2"/>
    <w:rsid w:val="00ED0EAD"/>
    <w:rsid w:val="00ED0F8F"/>
    <w:rsid w:val="00ED3E23"/>
    <w:rsid w:val="00EE0379"/>
    <w:rsid w:val="00EE04A0"/>
    <w:rsid w:val="00EE1CAC"/>
    <w:rsid w:val="00EE48CF"/>
    <w:rsid w:val="00EE5FF0"/>
    <w:rsid w:val="00EE6864"/>
    <w:rsid w:val="00EE692B"/>
    <w:rsid w:val="00EE796F"/>
    <w:rsid w:val="00EF0DCF"/>
    <w:rsid w:val="00EF16E9"/>
    <w:rsid w:val="00EF3179"/>
    <w:rsid w:val="00EF6B61"/>
    <w:rsid w:val="00F008A6"/>
    <w:rsid w:val="00F056B0"/>
    <w:rsid w:val="00F06375"/>
    <w:rsid w:val="00F07586"/>
    <w:rsid w:val="00F076A2"/>
    <w:rsid w:val="00F11A54"/>
    <w:rsid w:val="00F12723"/>
    <w:rsid w:val="00F13587"/>
    <w:rsid w:val="00F146A1"/>
    <w:rsid w:val="00F156A1"/>
    <w:rsid w:val="00F2096E"/>
    <w:rsid w:val="00F20AF0"/>
    <w:rsid w:val="00F22952"/>
    <w:rsid w:val="00F22CF7"/>
    <w:rsid w:val="00F24C96"/>
    <w:rsid w:val="00F25602"/>
    <w:rsid w:val="00F27C91"/>
    <w:rsid w:val="00F32D01"/>
    <w:rsid w:val="00F40707"/>
    <w:rsid w:val="00F4072F"/>
    <w:rsid w:val="00F40F33"/>
    <w:rsid w:val="00F4215A"/>
    <w:rsid w:val="00F4629B"/>
    <w:rsid w:val="00F463BD"/>
    <w:rsid w:val="00F52B9E"/>
    <w:rsid w:val="00F52E4A"/>
    <w:rsid w:val="00F57737"/>
    <w:rsid w:val="00F57B52"/>
    <w:rsid w:val="00F60ADE"/>
    <w:rsid w:val="00F620DD"/>
    <w:rsid w:val="00F70AAC"/>
    <w:rsid w:val="00F71C06"/>
    <w:rsid w:val="00F724DF"/>
    <w:rsid w:val="00F730D1"/>
    <w:rsid w:val="00F735A7"/>
    <w:rsid w:val="00F75F80"/>
    <w:rsid w:val="00F855E0"/>
    <w:rsid w:val="00F85688"/>
    <w:rsid w:val="00F857EE"/>
    <w:rsid w:val="00F901DE"/>
    <w:rsid w:val="00F902AA"/>
    <w:rsid w:val="00F90AEF"/>
    <w:rsid w:val="00F942F9"/>
    <w:rsid w:val="00F94D3D"/>
    <w:rsid w:val="00FA10A5"/>
    <w:rsid w:val="00FA1877"/>
    <w:rsid w:val="00FA3041"/>
    <w:rsid w:val="00FA58BB"/>
    <w:rsid w:val="00FB31BF"/>
    <w:rsid w:val="00FB3A4E"/>
    <w:rsid w:val="00FB747D"/>
    <w:rsid w:val="00FB76EB"/>
    <w:rsid w:val="00FB7B9F"/>
    <w:rsid w:val="00FC1685"/>
    <w:rsid w:val="00FC1687"/>
    <w:rsid w:val="00FC6B39"/>
    <w:rsid w:val="00FD019B"/>
    <w:rsid w:val="00FD04F4"/>
    <w:rsid w:val="00FD397D"/>
    <w:rsid w:val="00FD7EB6"/>
    <w:rsid w:val="00FE05AD"/>
    <w:rsid w:val="00FE0768"/>
    <w:rsid w:val="00FE1CF8"/>
    <w:rsid w:val="00FE2A2C"/>
    <w:rsid w:val="00FE397A"/>
    <w:rsid w:val="00FE7F23"/>
    <w:rsid w:val="00FF56B6"/>
    <w:rsid w:val="01104906"/>
    <w:rsid w:val="01151599"/>
    <w:rsid w:val="01561100"/>
    <w:rsid w:val="015F2D03"/>
    <w:rsid w:val="019E0F71"/>
    <w:rsid w:val="01B2654C"/>
    <w:rsid w:val="01B33D52"/>
    <w:rsid w:val="01B53850"/>
    <w:rsid w:val="01C070C1"/>
    <w:rsid w:val="01CA51A7"/>
    <w:rsid w:val="01D717A4"/>
    <w:rsid w:val="01FC0E89"/>
    <w:rsid w:val="020F2A2A"/>
    <w:rsid w:val="021606EB"/>
    <w:rsid w:val="02200DE9"/>
    <w:rsid w:val="02342468"/>
    <w:rsid w:val="02373CC9"/>
    <w:rsid w:val="024041AC"/>
    <w:rsid w:val="024C782D"/>
    <w:rsid w:val="02561C7A"/>
    <w:rsid w:val="02644F77"/>
    <w:rsid w:val="02B46CC3"/>
    <w:rsid w:val="02C6234A"/>
    <w:rsid w:val="035B3596"/>
    <w:rsid w:val="0373146F"/>
    <w:rsid w:val="037F66EA"/>
    <w:rsid w:val="038D70A1"/>
    <w:rsid w:val="03963C1C"/>
    <w:rsid w:val="03AA620B"/>
    <w:rsid w:val="03CD548B"/>
    <w:rsid w:val="03D6791D"/>
    <w:rsid w:val="03DF77F6"/>
    <w:rsid w:val="03E86937"/>
    <w:rsid w:val="0415139C"/>
    <w:rsid w:val="04516F6F"/>
    <w:rsid w:val="045522F6"/>
    <w:rsid w:val="047B3A10"/>
    <w:rsid w:val="04887B2C"/>
    <w:rsid w:val="04F274B7"/>
    <w:rsid w:val="053533A1"/>
    <w:rsid w:val="053D20B1"/>
    <w:rsid w:val="05DC558F"/>
    <w:rsid w:val="05EB3079"/>
    <w:rsid w:val="05ED3D58"/>
    <w:rsid w:val="05F63558"/>
    <w:rsid w:val="06072E99"/>
    <w:rsid w:val="06086E53"/>
    <w:rsid w:val="06157BFC"/>
    <w:rsid w:val="06222EA1"/>
    <w:rsid w:val="06345B2B"/>
    <w:rsid w:val="067A31A4"/>
    <w:rsid w:val="0685094E"/>
    <w:rsid w:val="069D10FA"/>
    <w:rsid w:val="06AD77DB"/>
    <w:rsid w:val="06BD30DE"/>
    <w:rsid w:val="06C01D71"/>
    <w:rsid w:val="06EA0FCB"/>
    <w:rsid w:val="06FE26EE"/>
    <w:rsid w:val="070954F2"/>
    <w:rsid w:val="0763769A"/>
    <w:rsid w:val="076802A4"/>
    <w:rsid w:val="07911631"/>
    <w:rsid w:val="07E96341"/>
    <w:rsid w:val="07ED09BB"/>
    <w:rsid w:val="08242AC3"/>
    <w:rsid w:val="08763B20"/>
    <w:rsid w:val="089D0424"/>
    <w:rsid w:val="08B56A0B"/>
    <w:rsid w:val="08BB21F2"/>
    <w:rsid w:val="08C06411"/>
    <w:rsid w:val="08C81D70"/>
    <w:rsid w:val="08CB7D45"/>
    <w:rsid w:val="08E3498F"/>
    <w:rsid w:val="09427C85"/>
    <w:rsid w:val="09437144"/>
    <w:rsid w:val="094B4967"/>
    <w:rsid w:val="09531ECE"/>
    <w:rsid w:val="09582589"/>
    <w:rsid w:val="095B16CC"/>
    <w:rsid w:val="09890DA3"/>
    <w:rsid w:val="09C60C9A"/>
    <w:rsid w:val="09D259C0"/>
    <w:rsid w:val="09DA2F89"/>
    <w:rsid w:val="0A0F767B"/>
    <w:rsid w:val="0A143B89"/>
    <w:rsid w:val="0A1A07ED"/>
    <w:rsid w:val="0A335B59"/>
    <w:rsid w:val="0A3450A8"/>
    <w:rsid w:val="0A385631"/>
    <w:rsid w:val="0A467AE8"/>
    <w:rsid w:val="0A555B1C"/>
    <w:rsid w:val="0AAC09BD"/>
    <w:rsid w:val="0ACA37F5"/>
    <w:rsid w:val="0AD71808"/>
    <w:rsid w:val="0B0E5846"/>
    <w:rsid w:val="0B1371C5"/>
    <w:rsid w:val="0B1F2938"/>
    <w:rsid w:val="0B1F72D2"/>
    <w:rsid w:val="0B40681A"/>
    <w:rsid w:val="0B681F25"/>
    <w:rsid w:val="0B73484A"/>
    <w:rsid w:val="0B7C08DA"/>
    <w:rsid w:val="0B827ECD"/>
    <w:rsid w:val="0BD56FDB"/>
    <w:rsid w:val="0BDD307C"/>
    <w:rsid w:val="0BE83F1A"/>
    <w:rsid w:val="0C58135B"/>
    <w:rsid w:val="0C9641D9"/>
    <w:rsid w:val="0CA65C2A"/>
    <w:rsid w:val="0CD72474"/>
    <w:rsid w:val="0D2C7FFA"/>
    <w:rsid w:val="0D342345"/>
    <w:rsid w:val="0D665D5D"/>
    <w:rsid w:val="0D7465CA"/>
    <w:rsid w:val="0D892B1E"/>
    <w:rsid w:val="0DBF5E27"/>
    <w:rsid w:val="0DC0167C"/>
    <w:rsid w:val="0DEE2FB8"/>
    <w:rsid w:val="0DFB2E75"/>
    <w:rsid w:val="0E480705"/>
    <w:rsid w:val="0E583F26"/>
    <w:rsid w:val="0E981F41"/>
    <w:rsid w:val="0EB320F5"/>
    <w:rsid w:val="0EC86F86"/>
    <w:rsid w:val="0ECC4955"/>
    <w:rsid w:val="0EFD3F63"/>
    <w:rsid w:val="0F217A50"/>
    <w:rsid w:val="0F721C74"/>
    <w:rsid w:val="0F790400"/>
    <w:rsid w:val="0F7F617C"/>
    <w:rsid w:val="0F807D7F"/>
    <w:rsid w:val="0F88759C"/>
    <w:rsid w:val="10250528"/>
    <w:rsid w:val="102745C3"/>
    <w:rsid w:val="104A461D"/>
    <w:rsid w:val="108C5D09"/>
    <w:rsid w:val="10926F7A"/>
    <w:rsid w:val="10AA795D"/>
    <w:rsid w:val="10AF5BC7"/>
    <w:rsid w:val="10CB43C4"/>
    <w:rsid w:val="11200C4C"/>
    <w:rsid w:val="11207494"/>
    <w:rsid w:val="11331647"/>
    <w:rsid w:val="11470014"/>
    <w:rsid w:val="11E94E26"/>
    <w:rsid w:val="122659EB"/>
    <w:rsid w:val="122C5912"/>
    <w:rsid w:val="12501530"/>
    <w:rsid w:val="125F307F"/>
    <w:rsid w:val="126626E8"/>
    <w:rsid w:val="126E65D5"/>
    <w:rsid w:val="12BF6A83"/>
    <w:rsid w:val="12CE578F"/>
    <w:rsid w:val="13130A8E"/>
    <w:rsid w:val="13190D41"/>
    <w:rsid w:val="134B779F"/>
    <w:rsid w:val="136710A2"/>
    <w:rsid w:val="13776D63"/>
    <w:rsid w:val="137E2A3C"/>
    <w:rsid w:val="138B42E9"/>
    <w:rsid w:val="13917C54"/>
    <w:rsid w:val="139D788F"/>
    <w:rsid w:val="13BD5AA2"/>
    <w:rsid w:val="13EA7DC3"/>
    <w:rsid w:val="13EC424C"/>
    <w:rsid w:val="13F324C3"/>
    <w:rsid w:val="140B631F"/>
    <w:rsid w:val="14270A27"/>
    <w:rsid w:val="143E7FE1"/>
    <w:rsid w:val="144105DB"/>
    <w:rsid w:val="14896D87"/>
    <w:rsid w:val="14E27D0B"/>
    <w:rsid w:val="14F609AF"/>
    <w:rsid w:val="15093202"/>
    <w:rsid w:val="15264492"/>
    <w:rsid w:val="155D2116"/>
    <w:rsid w:val="156F5864"/>
    <w:rsid w:val="158577B1"/>
    <w:rsid w:val="15B4614F"/>
    <w:rsid w:val="15BB17F8"/>
    <w:rsid w:val="15CF1123"/>
    <w:rsid w:val="15D80B09"/>
    <w:rsid w:val="15E22BF9"/>
    <w:rsid w:val="15E3400A"/>
    <w:rsid w:val="16762BC7"/>
    <w:rsid w:val="1679202F"/>
    <w:rsid w:val="167C2DB8"/>
    <w:rsid w:val="168159A4"/>
    <w:rsid w:val="16B76C3C"/>
    <w:rsid w:val="16FE79FF"/>
    <w:rsid w:val="17005140"/>
    <w:rsid w:val="1725173F"/>
    <w:rsid w:val="173402D2"/>
    <w:rsid w:val="174B1711"/>
    <w:rsid w:val="17566B17"/>
    <w:rsid w:val="17926680"/>
    <w:rsid w:val="17BE64CA"/>
    <w:rsid w:val="17DF7B99"/>
    <w:rsid w:val="17EF3C77"/>
    <w:rsid w:val="18180D0E"/>
    <w:rsid w:val="181C2DEC"/>
    <w:rsid w:val="182B630C"/>
    <w:rsid w:val="185C1C5D"/>
    <w:rsid w:val="186659AC"/>
    <w:rsid w:val="18F50E6A"/>
    <w:rsid w:val="190941C3"/>
    <w:rsid w:val="19141A17"/>
    <w:rsid w:val="191A07F0"/>
    <w:rsid w:val="192A70F6"/>
    <w:rsid w:val="19435121"/>
    <w:rsid w:val="19744E81"/>
    <w:rsid w:val="19843232"/>
    <w:rsid w:val="19AC1B7E"/>
    <w:rsid w:val="19DA1629"/>
    <w:rsid w:val="1A6B00B6"/>
    <w:rsid w:val="1A7F7B84"/>
    <w:rsid w:val="1A8C6194"/>
    <w:rsid w:val="1A9B1602"/>
    <w:rsid w:val="1ACC1BE8"/>
    <w:rsid w:val="1ACD7599"/>
    <w:rsid w:val="1ACF7FE9"/>
    <w:rsid w:val="1B0007E9"/>
    <w:rsid w:val="1B627F92"/>
    <w:rsid w:val="1B69612F"/>
    <w:rsid w:val="1B724A47"/>
    <w:rsid w:val="1BA861DD"/>
    <w:rsid w:val="1BC9422E"/>
    <w:rsid w:val="1BCF45C9"/>
    <w:rsid w:val="1BD82643"/>
    <w:rsid w:val="1BE56805"/>
    <w:rsid w:val="1BF26B22"/>
    <w:rsid w:val="1BF40932"/>
    <w:rsid w:val="1BF604BF"/>
    <w:rsid w:val="1C1E31D2"/>
    <w:rsid w:val="1C270459"/>
    <w:rsid w:val="1C3E24F0"/>
    <w:rsid w:val="1C572679"/>
    <w:rsid w:val="1C9E78AD"/>
    <w:rsid w:val="1CA47886"/>
    <w:rsid w:val="1CC90C02"/>
    <w:rsid w:val="1D0F6BA4"/>
    <w:rsid w:val="1D5656D7"/>
    <w:rsid w:val="1D5804C5"/>
    <w:rsid w:val="1DAF241A"/>
    <w:rsid w:val="1DEA3D13"/>
    <w:rsid w:val="1E1F1C56"/>
    <w:rsid w:val="1E7C5F45"/>
    <w:rsid w:val="1E9B7436"/>
    <w:rsid w:val="1EF51D0C"/>
    <w:rsid w:val="1F221C2B"/>
    <w:rsid w:val="1F5A727D"/>
    <w:rsid w:val="1FD353E2"/>
    <w:rsid w:val="1FE4711E"/>
    <w:rsid w:val="200C7898"/>
    <w:rsid w:val="20127824"/>
    <w:rsid w:val="20151901"/>
    <w:rsid w:val="20317BA4"/>
    <w:rsid w:val="20A7453F"/>
    <w:rsid w:val="20B75CEB"/>
    <w:rsid w:val="212649E2"/>
    <w:rsid w:val="21430C37"/>
    <w:rsid w:val="216F6170"/>
    <w:rsid w:val="2174312C"/>
    <w:rsid w:val="21770F46"/>
    <w:rsid w:val="219A46AE"/>
    <w:rsid w:val="21AC2255"/>
    <w:rsid w:val="21C963D8"/>
    <w:rsid w:val="21D621FD"/>
    <w:rsid w:val="21E81DE9"/>
    <w:rsid w:val="229D4603"/>
    <w:rsid w:val="22C2236D"/>
    <w:rsid w:val="22C5598B"/>
    <w:rsid w:val="22CA16F9"/>
    <w:rsid w:val="22FD04DC"/>
    <w:rsid w:val="230C7D79"/>
    <w:rsid w:val="230E49CF"/>
    <w:rsid w:val="23A1343B"/>
    <w:rsid w:val="23A86502"/>
    <w:rsid w:val="23C22B40"/>
    <w:rsid w:val="23C50DD1"/>
    <w:rsid w:val="23C74781"/>
    <w:rsid w:val="23CD79B2"/>
    <w:rsid w:val="23D57E2B"/>
    <w:rsid w:val="23D8623B"/>
    <w:rsid w:val="23FA197A"/>
    <w:rsid w:val="241E24A7"/>
    <w:rsid w:val="249A106E"/>
    <w:rsid w:val="249A48DF"/>
    <w:rsid w:val="24E174A4"/>
    <w:rsid w:val="250D1C86"/>
    <w:rsid w:val="25287D17"/>
    <w:rsid w:val="254135F9"/>
    <w:rsid w:val="25593693"/>
    <w:rsid w:val="259B3A37"/>
    <w:rsid w:val="25AA108C"/>
    <w:rsid w:val="25AA60BB"/>
    <w:rsid w:val="25E47139"/>
    <w:rsid w:val="25E920A9"/>
    <w:rsid w:val="25EA33FF"/>
    <w:rsid w:val="26022C07"/>
    <w:rsid w:val="260C383F"/>
    <w:rsid w:val="2628542C"/>
    <w:rsid w:val="26327518"/>
    <w:rsid w:val="26511283"/>
    <w:rsid w:val="265809A8"/>
    <w:rsid w:val="265C7C7F"/>
    <w:rsid w:val="266D6DC0"/>
    <w:rsid w:val="26736B76"/>
    <w:rsid w:val="268C34BE"/>
    <w:rsid w:val="26CD417A"/>
    <w:rsid w:val="26F85DFF"/>
    <w:rsid w:val="270606A4"/>
    <w:rsid w:val="27060916"/>
    <w:rsid w:val="27581C34"/>
    <w:rsid w:val="276352C7"/>
    <w:rsid w:val="27886506"/>
    <w:rsid w:val="27B629A0"/>
    <w:rsid w:val="27DD3388"/>
    <w:rsid w:val="28197A8A"/>
    <w:rsid w:val="281F1482"/>
    <w:rsid w:val="282870F1"/>
    <w:rsid w:val="285606B3"/>
    <w:rsid w:val="287103DB"/>
    <w:rsid w:val="287E3D9B"/>
    <w:rsid w:val="28AD4609"/>
    <w:rsid w:val="28CA56E8"/>
    <w:rsid w:val="291114AB"/>
    <w:rsid w:val="292E490B"/>
    <w:rsid w:val="2932479F"/>
    <w:rsid w:val="29434313"/>
    <w:rsid w:val="29797455"/>
    <w:rsid w:val="2985496B"/>
    <w:rsid w:val="298B4864"/>
    <w:rsid w:val="29963CEC"/>
    <w:rsid w:val="29A2225F"/>
    <w:rsid w:val="29A91D28"/>
    <w:rsid w:val="29B0648B"/>
    <w:rsid w:val="29C51DDB"/>
    <w:rsid w:val="29CD5749"/>
    <w:rsid w:val="2A0259DF"/>
    <w:rsid w:val="2A050C0C"/>
    <w:rsid w:val="2A245CD1"/>
    <w:rsid w:val="2A373237"/>
    <w:rsid w:val="2A5D7A7A"/>
    <w:rsid w:val="2A5E02E4"/>
    <w:rsid w:val="2A986A14"/>
    <w:rsid w:val="2AA657D3"/>
    <w:rsid w:val="2B070C1B"/>
    <w:rsid w:val="2B2A28E3"/>
    <w:rsid w:val="2B2C4D0A"/>
    <w:rsid w:val="2B331151"/>
    <w:rsid w:val="2B3B547E"/>
    <w:rsid w:val="2B4848C2"/>
    <w:rsid w:val="2B493592"/>
    <w:rsid w:val="2B5A52E5"/>
    <w:rsid w:val="2B622EFE"/>
    <w:rsid w:val="2B6616A5"/>
    <w:rsid w:val="2B73611B"/>
    <w:rsid w:val="2BAF4B2C"/>
    <w:rsid w:val="2BBB1ACB"/>
    <w:rsid w:val="2BC27CBC"/>
    <w:rsid w:val="2BCA405F"/>
    <w:rsid w:val="2BCD6745"/>
    <w:rsid w:val="2C035892"/>
    <w:rsid w:val="2C193C5E"/>
    <w:rsid w:val="2C2754B0"/>
    <w:rsid w:val="2C3F7F1C"/>
    <w:rsid w:val="2C4C77A3"/>
    <w:rsid w:val="2C7B5C51"/>
    <w:rsid w:val="2C803977"/>
    <w:rsid w:val="2C9A4F6D"/>
    <w:rsid w:val="2CA4486B"/>
    <w:rsid w:val="2CC64D5A"/>
    <w:rsid w:val="2CCC31D6"/>
    <w:rsid w:val="2D5D1AF5"/>
    <w:rsid w:val="2D756C95"/>
    <w:rsid w:val="2D827C8C"/>
    <w:rsid w:val="2D921CAF"/>
    <w:rsid w:val="2DAB7305"/>
    <w:rsid w:val="2DDB2D8A"/>
    <w:rsid w:val="2E091B03"/>
    <w:rsid w:val="2E265BB1"/>
    <w:rsid w:val="2E3A71F6"/>
    <w:rsid w:val="2E5C2508"/>
    <w:rsid w:val="2E63292B"/>
    <w:rsid w:val="2E882305"/>
    <w:rsid w:val="2EDB61E0"/>
    <w:rsid w:val="2EF54658"/>
    <w:rsid w:val="2F036359"/>
    <w:rsid w:val="2F150C37"/>
    <w:rsid w:val="2F2369C4"/>
    <w:rsid w:val="2F460984"/>
    <w:rsid w:val="2F536325"/>
    <w:rsid w:val="2F611AF4"/>
    <w:rsid w:val="2F733C4C"/>
    <w:rsid w:val="2F8B4B55"/>
    <w:rsid w:val="2FC1630B"/>
    <w:rsid w:val="2FC2569D"/>
    <w:rsid w:val="2FDD4AE9"/>
    <w:rsid w:val="2FE81265"/>
    <w:rsid w:val="2FF70F74"/>
    <w:rsid w:val="2FF8225E"/>
    <w:rsid w:val="304E67A2"/>
    <w:rsid w:val="30950684"/>
    <w:rsid w:val="30D07264"/>
    <w:rsid w:val="30D81F82"/>
    <w:rsid w:val="30EE4EE4"/>
    <w:rsid w:val="30F83A3F"/>
    <w:rsid w:val="30FF4565"/>
    <w:rsid w:val="31124610"/>
    <w:rsid w:val="31166567"/>
    <w:rsid w:val="31264A2D"/>
    <w:rsid w:val="31854510"/>
    <w:rsid w:val="31996909"/>
    <w:rsid w:val="319C7A3A"/>
    <w:rsid w:val="31A34CEA"/>
    <w:rsid w:val="31C31E94"/>
    <w:rsid w:val="31F933AB"/>
    <w:rsid w:val="321E5274"/>
    <w:rsid w:val="322C3DBA"/>
    <w:rsid w:val="324D3A4A"/>
    <w:rsid w:val="327D4226"/>
    <w:rsid w:val="32DF16B4"/>
    <w:rsid w:val="32E10EFC"/>
    <w:rsid w:val="32F735C0"/>
    <w:rsid w:val="33395512"/>
    <w:rsid w:val="33496826"/>
    <w:rsid w:val="33582931"/>
    <w:rsid w:val="335B6985"/>
    <w:rsid w:val="33777F81"/>
    <w:rsid w:val="33B35D03"/>
    <w:rsid w:val="33F870C0"/>
    <w:rsid w:val="341F79B9"/>
    <w:rsid w:val="34306B21"/>
    <w:rsid w:val="34380747"/>
    <w:rsid w:val="34462D49"/>
    <w:rsid w:val="346A2ECF"/>
    <w:rsid w:val="34721A00"/>
    <w:rsid w:val="34861A07"/>
    <w:rsid w:val="348870B4"/>
    <w:rsid w:val="34AE39B1"/>
    <w:rsid w:val="34C239B0"/>
    <w:rsid w:val="34D754F0"/>
    <w:rsid w:val="34E77CC6"/>
    <w:rsid w:val="352A5DFE"/>
    <w:rsid w:val="354028ED"/>
    <w:rsid w:val="35435D2D"/>
    <w:rsid w:val="35503462"/>
    <w:rsid w:val="35690E38"/>
    <w:rsid w:val="356B4020"/>
    <w:rsid w:val="357A7580"/>
    <w:rsid w:val="35821B17"/>
    <w:rsid w:val="358F5E34"/>
    <w:rsid w:val="35CE55AF"/>
    <w:rsid w:val="35D34B8D"/>
    <w:rsid w:val="35DE0A6C"/>
    <w:rsid w:val="360A568E"/>
    <w:rsid w:val="3625529B"/>
    <w:rsid w:val="3659741F"/>
    <w:rsid w:val="366E64C1"/>
    <w:rsid w:val="366F1A8E"/>
    <w:rsid w:val="368F12BC"/>
    <w:rsid w:val="36D13D79"/>
    <w:rsid w:val="36D45E7C"/>
    <w:rsid w:val="36EF371B"/>
    <w:rsid w:val="37677ABE"/>
    <w:rsid w:val="3780137B"/>
    <w:rsid w:val="37847709"/>
    <w:rsid w:val="37B02594"/>
    <w:rsid w:val="37B544F4"/>
    <w:rsid w:val="37E17AB5"/>
    <w:rsid w:val="37F104B9"/>
    <w:rsid w:val="37F52DB1"/>
    <w:rsid w:val="37F618E4"/>
    <w:rsid w:val="380B2ECB"/>
    <w:rsid w:val="381F738E"/>
    <w:rsid w:val="382A76B3"/>
    <w:rsid w:val="385D4999"/>
    <w:rsid w:val="385F6E45"/>
    <w:rsid w:val="38CA671C"/>
    <w:rsid w:val="38ED339B"/>
    <w:rsid w:val="38F51115"/>
    <w:rsid w:val="38F63AD7"/>
    <w:rsid w:val="39003EA9"/>
    <w:rsid w:val="394D4C2B"/>
    <w:rsid w:val="396E12E8"/>
    <w:rsid w:val="39A33662"/>
    <w:rsid w:val="39BD0187"/>
    <w:rsid w:val="39D86E82"/>
    <w:rsid w:val="39E00D11"/>
    <w:rsid w:val="39E836B7"/>
    <w:rsid w:val="3A0E6389"/>
    <w:rsid w:val="3A15498F"/>
    <w:rsid w:val="3A6E091A"/>
    <w:rsid w:val="3A6E434B"/>
    <w:rsid w:val="3A8671CA"/>
    <w:rsid w:val="3AA90587"/>
    <w:rsid w:val="3AB16CDC"/>
    <w:rsid w:val="3AF0714C"/>
    <w:rsid w:val="3B3B0D55"/>
    <w:rsid w:val="3B4857EA"/>
    <w:rsid w:val="3B4942D0"/>
    <w:rsid w:val="3B5544EA"/>
    <w:rsid w:val="3B690772"/>
    <w:rsid w:val="3B9A5AA3"/>
    <w:rsid w:val="3BA44580"/>
    <w:rsid w:val="3BDB582F"/>
    <w:rsid w:val="3BED322B"/>
    <w:rsid w:val="3C21221A"/>
    <w:rsid w:val="3C2263FF"/>
    <w:rsid w:val="3CE868D9"/>
    <w:rsid w:val="3CF91BA3"/>
    <w:rsid w:val="3D0D6B4A"/>
    <w:rsid w:val="3D150B4F"/>
    <w:rsid w:val="3D582A8F"/>
    <w:rsid w:val="3D71227F"/>
    <w:rsid w:val="3D73520B"/>
    <w:rsid w:val="3D8077C7"/>
    <w:rsid w:val="3DA33D56"/>
    <w:rsid w:val="3DA9225C"/>
    <w:rsid w:val="3DAE15C3"/>
    <w:rsid w:val="3E024573"/>
    <w:rsid w:val="3E193AE1"/>
    <w:rsid w:val="3E196FB1"/>
    <w:rsid w:val="3E7F4344"/>
    <w:rsid w:val="3E80730F"/>
    <w:rsid w:val="3E827835"/>
    <w:rsid w:val="3E9253D0"/>
    <w:rsid w:val="3E92782C"/>
    <w:rsid w:val="3E9E7ECE"/>
    <w:rsid w:val="3EA95792"/>
    <w:rsid w:val="3EAC5FB7"/>
    <w:rsid w:val="3ED76137"/>
    <w:rsid w:val="3EE316B6"/>
    <w:rsid w:val="3EF87478"/>
    <w:rsid w:val="3F12212C"/>
    <w:rsid w:val="3F1B290A"/>
    <w:rsid w:val="3F330BF1"/>
    <w:rsid w:val="3F6A6F06"/>
    <w:rsid w:val="3F94594A"/>
    <w:rsid w:val="3F99792B"/>
    <w:rsid w:val="3FBD00E6"/>
    <w:rsid w:val="3FC63468"/>
    <w:rsid w:val="402E75A5"/>
    <w:rsid w:val="40717952"/>
    <w:rsid w:val="407916AB"/>
    <w:rsid w:val="409C1D0D"/>
    <w:rsid w:val="40A6100E"/>
    <w:rsid w:val="40AA0BA0"/>
    <w:rsid w:val="40D932EF"/>
    <w:rsid w:val="40E72721"/>
    <w:rsid w:val="40F87AAA"/>
    <w:rsid w:val="4101367C"/>
    <w:rsid w:val="410670AB"/>
    <w:rsid w:val="41071B04"/>
    <w:rsid w:val="413A66DF"/>
    <w:rsid w:val="418600EC"/>
    <w:rsid w:val="41A1420E"/>
    <w:rsid w:val="41DF4285"/>
    <w:rsid w:val="41F66F78"/>
    <w:rsid w:val="41FC0611"/>
    <w:rsid w:val="42601E73"/>
    <w:rsid w:val="427050EE"/>
    <w:rsid w:val="42835075"/>
    <w:rsid w:val="42E46F2F"/>
    <w:rsid w:val="433729DC"/>
    <w:rsid w:val="436E4688"/>
    <w:rsid w:val="43841945"/>
    <w:rsid w:val="43C801D0"/>
    <w:rsid w:val="43E01CA1"/>
    <w:rsid w:val="43E30679"/>
    <w:rsid w:val="43E4039E"/>
    <w:rsid w:val="44197CC5"/>
    <w:rsid w:val="443A1A8D"/>
    <w:rsid w:val="44406AE0"/>
    <w:rsid w:val="447C59C8"/>
    <w:rsid w:val="44CA1C82"/>
    <w:rsid w:val="44CD11BF"/>
    <w:rsid w:val="44EB0142"/>
    <w:rsid w:val="44FC61F2"/>
    <w:rsid w:val="450A0780"/>
    <w:rsid w:val="450E54D9"/>
    <w:rsid w:val="45172E66"/>
    <w:rsid w:val="452677C1"/>
    <w:rsid w:val="45405BCF"/>
    <w:rsid w:val="45713259"/>
    <w:rsid w:val="45A031CF"/>
    <w:rsid w:val="45FE1AB6"/>
    <w:rsid w:val="46130C22"/>
    <w:rsid w:val="461C3A83"/>
    <w:rsid w:val="467A6E06"/>
    <w:rsid w:val="4689102D"/>
    <w:rsid w:val="46A52284"/>
    <w:rsid w:val="46B24036"/>
    <w:rsid w:val="46FF786A"/>
    <w:rsid w:val="47257D00"/>
    <w:rsid w:val="472A4B84"/>
    <w:rsid w:val="47305093"/>
    <w:rsid w:val="4761529C"/>
    <w:rsid w:val="47731D29"/>
    <w:rsid w:val="478655A6"/>
    <w:rsid w:val="47A40679"/>
    <w:rsid w:val="48103773"/>
    <w:rsid w:val="48120D12"/>
    <w:rsid w:val="484F7EAA"/>
    <w:rsid w:val="485C4020"/>
    <w:rsid w:val="4883355F"/>
    <w:rsid w:val="488E2C2D"/>
    <w:rsid w:val="48AD01E5"/>
    <w:rsid w:val="48D304D7"/>
    <w:rsid w:val="48E80B77"/>
    <w:rsid w:val="48ED4932"/>
    <w:rsid w:val="491F0A97"/>
    <w:rsid w:val="49301A0C"/>
    <w:rsid w:val="49345BB8"/>
    <w:rsid w:val="49870EBD"/>
    <w:rsid w:val="498859B1"/>
    <w:rsid w:val="49963D7D"/>
    <w:rsid w:val="499C47B5"/>
    <w:rsid w:val="49A02699"/>
    <w:rsid w:val="49B860FF"/>
    <w:rsid w:val="49C80E54"/>
    <w:rsid w:val="49C966A1"/>
    <w:rsid w:val="49DC2A23"/>
    <w:rsid w:val="4A4C04BE"/>
    <w:rsid w:val="4A4D5967"/>
    <w:rsid w:val="4A5D1278"/>
    <w:rsid w:val="4A5D5139"/>
    <w:rsid w:val="4A6224E2"/>
    <w:rsid w:val="4A734EDD"/>
    <w:rsid w:val="4A8549A3"/>
    <w:rsid w:val="4A975B4A"/>
    <w:rsid w:val="4AC42711"/>
    <w:rsid w:val="4ACC6D75"/>
    <w:rsid w:val="4AD36A27"/>
    <w:rsid w:val="4ADD4E47"/>
    <w:rsid w:val="4AE32279"/>
    <w:rsid w:val="4AE97A03"/>
    <w:rsid w:val="4B0A0E23"/>
    <w:rsid w:val="4B38778F"/>
    <w:rsid w:val="4B8F5CFF"/>
    <w:rsid w:val="4BC05DA6"/>
    <w:rsid w:val="4BC747D5"/>
    <w:rsid w:val="4BCD730C"/>
    <w:rsid w:val="4BF3380C"/>
    <w:rsid w:val="4C150113"/>
    <w:rsid w:val="4C285035"/>
    <w:rsid w:val="4C35165A"/>
    <w:rsid w:val="4C3517E1"/>
    <w:rsid w:val="4C3E7B55"/>
    <w:rsid w:val="4C4F6C54"/>
    <w:rsid w:val="4C535508"/>
    <w:rsid w:val="4C9966B2"/>
    <w:rsid w:val="4CBB5127"/>
    <w:rsid w:val="4CDF0AE0"/>
    <w:rsid w:val="4CF8099B"/>
    <w:rsid w:val="4D2746AE"/>
    <w:rsid w:val="4D701CF7"/>
    <w:rsid w:val="4D8210E5"/>
    <w:rsid w:val="4D8D6A5B"/>
    <w:rsid w:val="4DAD7A29"/>
    <w:rsid w:val="4E194270"/>
    <w:rsid w:val="4E19530A"/>
    <w:rsid w:val="4E2D2B01"/>
    <w:rsid w:val="4E2F5300"/>
    <w:rsid w:val="4E451A8F"/>
    <w:rsid w:val="4E864108"/>
    <w:rsid w:val="4E873FD0"/>
    <w:rsid w:val="4E8A23C4"/>
    <w:rsid w:val="4EBD0788"/>
    <w:rsid w:val="4EC22EFE"/>
    <w:rsid w:val="4ECD497C"/>
    <w:rsid w:val="4ED370B2"/>
    <w:rsid w:val="4ED521E9"/>
    <w:rsid w:val="4EE77256"/>
    <w:rsid w:val="4F1A738A"/>
    <w:rsid w:val="4F247360"/>
    <w:rsid w:val="4F252832"/>
    <w:rsid w:val="4F346466"/>
    <w:rsid w:val="4F9562AC"/>
    <w:rsid w:val="4FA67566"/>
    <w:rsid w:val="4FAC1734"/>
    <w:rsid w:val="4FC000B2"/>
    <w:rsid w:val="4FE11632"/>
    <w:rsid w:val="50021F21"/>
    <w:rsid w:val="50374BD7"/>
    <w:rsid w:val="505608A3"/>
    <w:rsid w:val="50582EC8"/>
    <w:rsid w:val="505A5126"/>
    <w:rsid w:val="50636045"/>
    <w:rsid w:val="50872172"/>
    <w:rsid w:val="50AD3931"/>
    <w:rsid w:val="50C5058D"/>
    <w:rsid w:val="50D51E0C"/>
    <w:rsid w:val="50D71B5A"/>
    <w:rsid w:val="50DF2BBC"/>
    <w:rsid w:val="50F65B97"/>
    <w:rsid w:val="510819DD"/>
    <w:rsid w:val="512E1F8E"/>
    <w:rsid w:val="51315798"/>
    <w:rsid w:val="515D12FA"/>
    <w:rsid w:val="51601643"/>
    <w:rsid w:val="516B556D"/>
    <w:rsid w:val="51942178"/>
    <w:rsid w:val="51A40357"/>
    <w:rsid w:val="51A736F6"/>
    <w:rsid w:val="51CE354B"/>
    <w:rsid w:val="51DE12B3"/>
    <w:rsid w:val="51F327B1"/>
    <w:rsid w:val="520C1CF2"/>
    <w:rsid w:val="520E2E28"/>
    <w:rsid w:val="521F6AE3"/>
    <w:rsid w:val="52367651"/>
    <w:rsid w:val="524B3576"/>
    <w:rsid w:val="526401A8"/>
    <w:rsid w:val="526A04B7"/>
    <w:rsid w:val="52783577"/>
    <w:rsid w:val="52A86761"/>
    <w:rsid w:val="52B0057A"/>
    <w:rsid w:val="52DC42FF"/>
    <w:rsid w:val="52DF6585"/>
    <w:rsid w:val="52FC5E25"/>
    <w:rsid w:val="52FF4E77"/>
    <w:rsid w:val="53236A6C"/>
    <w:rsid w:val="532B3763"/>
    <w:rsid w:val="53304983"/>
    <w:rsid w:val="53500DE4"/>
    <w:rsid w:val="53A96087"/>
    <w:rsid w:val="53F67DE7"/>
    <w:rsid w:val="543054B6"/>
    <w:rsid w:val="54576230"/>
    <w:rsid w:val="545F2967"/>
    <w:rsid w:val="54790A23"/>
    <w:rsid w:val="548F747E"/>
    <w:rsid w:val="54960112"/>
    <w:rsid w:val="54A95224"/>
    <w:rsid w:val="54B74E87"/>
    <w:rsid w:val="54E52533"/>
    <w:rsid w:val="54EA1F8B"/>
    <w:rsid w:val="551E1E64"/>
    <w:rsid w:val="55243A90"/>
    <w:rsid w:val="553260B9"/>
    <w:rsid w:val="55505FF4"/>
    <w:rsid w:val="55621CEF"/>
    <w:rsid w:val="55636EF5"/>
    <w:rsid w:val="556E06E6"/>
    <w:rsid w:val="556F4D27"/>
    <w:rsid w:val="5573351B"/>
    <w:rsid w:val="558B3011"/>
    <w:rsid w:val="55BA79A2"/>
    <w:rsid w:val="55CD3571"/>
    <w:rsid w:val="55DC686E"/>
    <w:rsid w:val="561172AB"/>
    <w:rsid w:val="562435A8"/>
    <w:rsid w:val="56EF3078"/>
    <w:rsid w:val="573230A3"/>
    <w:rsid w:val="57405208"/>
    <w:rsid w:val="575E1213"/>
    <w:rsid w:val="57602676"/>
    <w:rsid w:val="579769E3"/>
    <w:rsid w:val="57A2481B"/>
    <w:rsid w:val="57B77F3F"/>
    <w:rsid w:val="57C6549F"/>
    <w:rsid w:val="57C820EC"/>
    <w:rsid w:val="580B3251"/>
    <w:rsid w:val="589B4428"/>
    <w:rsid w:val="58D23F15"/>
    <w:rsid w:val="58D77AA2"/>
    <w:rsid w:val="591A75C4"/>
    <w:rsid w:val="592C5B9B"/>
    <w:rsid w:val="59300998"/>
    <w:rsid w:val="596F099C"/>
    <w:rsid w:val="59784F8F"/>
    <w:rsid w:val="597D6FAF"/>
    <w:rsid w:val="598A4F8F"/>
    <w:rsid w:val="59953D2D"/>
    <w:rsid w:val="5998429F"/>
    <w:rsid w:val="59E664D8"/>
    <w:rsid w:val="59EF5A03"/>
    <w:rsid w:val="5A190505"/>
    <w:rsid w:val="5A2253A5"/>
    <w:rsid w:val="5A6E70E2"/>
    <w:rsid w:val="5A76133A"/>
    <w:rsid w:val="5A805F82"/>
    <w:rsid w:val="5AB2339B"/>
    <w:rsid w:val="5ACB7453"/>
    <w:rsid w:val="5ACD0F21"/>
    <w:rsid w:val="5AD21F88"/>
    <w:rsid w:val="5B027FD6"/>
    <w:rsid w:val="5B13345D"/>
    <w:rsid w:val="5B2F1EC5"/>
    <w:rsid w:val="5B4465C8"/>
    <w:rsid w:val="5B4C65DB"/>
    <w:rsid w:val="5B5F22DA"/>
    <w:rsid w:val="5B6A208A"/>
    <w:rsid w:val="5B90273F"/>
    <w:rsid w:val="5BB82927"/>
    <w:rsid w:val="5BBA15A1"/>
    <w:rsid w:val="5C3E2F43"/>
    <w:rsid w:val="5C461C3B"/>
    <w:rsid w:val="5C7B0D07"/>
    <w:rsid w:val="5C8C3AB6"/>
    <w:rsid w:val="5C8F78DC"/>
    <w:rsid w:val="5CCC3220"/>
    <w:rsid w:val="5CE749A2"/>
    <w:rsid w:val="5D5019BC"/>
    <w:rsid w:val="5D994B4A"/>
    <w:rsid w:val="5DA83618"/>
    <w:rsid w:val="5DE97AB8"/>
    <w:rsid w:val="5E100FD9"/>
    <w:rsid w:val="5E322113"/>
    <w:rsid w:val="5E39366B"/>
    <w:rsid w:val="5E3E280A"/>
    <w:rsid w:val="5E975A38"/>
    <w:rsid w:val="5ED32E7B"/>
    <w:rsid w:val="5EE7515D"/>
    <w:rsid w:val="5F0A08D8"/>
    <w:rsid w:val="5F155B8D"/>
    <w:rsid w:val="5F196F0D"/>
    <w:rsid w:val="5F533F65"/>
    <w:rsid w:val="5F6A2DAA"/>
    <w:rsid w:val="5F800450"/>
    <w:rsid w:val="5F925BCE"/>
    <w:rsid w:val="5FB55488"/>
    <w:rsid w:val="5FEF649F"/>
    <w:rsid w:val="5FFF42E9"/>
    <w:rsid w:val="60046DD4"/>
    <w:rsid w:val="6009519F"/>
    <w:rsid w:val="6098191D"/>
    <w:rsid w:val="60D3784E"/>
    <w:rsid w:val="60DF19E5"/>
    <w:rsid w:val="61140FD8"/>
    <w:rsid w:val="6150358F"/>
    <w:rsid w:val="615E566A"/>
    <w:rsid w:val="617E4B22"/>
    <w:rsid w:val="61A8193A"/>
    <w:rsid w:val="61B83AFF"/>
    <w:rsid w:val="61C156F4"/>
    <w:rsid w:val="61C6470F"/>
    <w:rsid w:val="61DC49CE"/>
    <w:rsid w:val="61EE7E79"/>
    <w:rsid w:val="622E2315"/>
    <w:rsid w:val="624177F6"/>
    <w:rsid w:val="628A6949"/>
    <w:rsid w:val="62A806F9"/>
    <w:rsid w:val="62D268AE"/>
    <w:rsid w:val="62D44C49"/>
    <w:rsid w:val="631D379E"/>
    <w:rsid w:val="632A1619"/>
    <w:rsid w:val="632B5314"/>
    <w:rsid w:val="635B0D3A"/>
    <w:rsid w:val="638B5374"/>
    <w:rsid w:val="638B649E"/>
    <w:rsid w:val="642F62A0"/>
    <w:rsid w:val="643100D9"/>
    <w:rsid w:val="643E50C3"/>
    <w:rsid w:val="6451417A"/>
    <w:rsid w:val="64620EED"/>
    <w:rsid w:val="64845EBA"/>
    <w:rsid w:val="649A4963"/>
    <w:rsid w:val="64D02477"/>
    <w:rsid w:val="64EE6A1D"/>
    <w:rsid w:val="650A4C35"/>
    <w:rsid w:val="65217BE5"/>
    <w:rsid w:val="653843AA"/>
    <w:rsid w:val="6551633E"/>
    <w:rsid w:val="6551707C"/>
    <w:rsid w:val="65627D93"/>
    <w:rsid w:val="656940DE"/>
    <w:rsid w:val="65A9144E"/>
    <w:rsid w:val="65E83BDA"/>
    <w:rsid w:val="65FB74B2"/>
    <w:rsid w:val="66080726"/>
    <w:rsid w:val="66095ED1"/>
    <w:rsid w:val="662A5A80"/>
    <w:rsid w:val="666E30E9"/>
    <w:rsid w:val="66C538C1"/>
    <w:rsid w:val="66CB32BF"/>
    <w:rsid w:val="6745660E"/>
    <w:rsid w:val="674D1E15"/>
    <w:rsid w:val="67C43A7C"/>
    <w:rsid w:val="67C65AA6"/>
    <w:rsid w:val="67D304B3"/>
    <w:rsid w:val="67E86251"/>
    <w:rsid w:val="67F8785B"/>
    <w:rsid w:val="681F08B4"/>
    <w:rsid w:val="68240002"/>
    <w:rsid w:val="68311993"/>
    <w:rsid w:val="6850243F"/>
    <w:rsid w:val="686B001A"/>
    <w:rsid w:val="686E5ACD"/>
    <w:rsid w:val="68D91CC3"/>
    <w:rsid w:val="68F84F76"/>
    <w:rsid w:val="690A75E6"/>
    <w:rsid w:val="69561AAB"/>
    <w:rsid w:val="69681171"/>
    <w:rsid w:val="69A40294"/>
    <w:rsid w:val="69AC109B"/>
    <w:rsid w:val="69C37F06"/>
    <w:rsid w:val="69CD187A"/>
    <w:rsid w:val="69E17BE6"/>
    <w:rsid w:val="69EA265A"/>
    <w:rsid w:val="6A035297"/>
    <w:rsid w:val="6A32120A"/>
    <w:rsid w:val="6A3C3D88"/>
    <w:rsid w:val="6A3F63BB"/>
    <w:rsid w:val="6A463D8E"/>
    <w:rsid w:val="6A55795F"/>
    <w:rsid w:val="6A5C5C28"/>
    <w:rsid w:val="6A5F4E3C"/>
    <w:rsid w:val="6A7D5D84"/>
    <w:rsid w:val="6A8948DB"/>
    <w:rsid w:val="6AC06150"/>
    <w:rsid w:val="6AC81B91"/>
    <w:rsid w:val="6ACA5748"/>
    <w:rsid w:val="6ACB533C"/>
    <w:rsid w:val="6ACE3983"/>
    <w:rsid w:val="6AE323C0"/>
    <w:rsid w:val="6B073AF4"/>
    <w:rsid w:val="6B226171"/>
    <w:rsid w:val="6B4E66EB"/>
    <w:rsid w:val="6B82587B"/>
    <w:rsid w:val="6B8D406A"/>
    <w:rsid w:val="6BDE386B"/>
    <w:rsid w:val="6BF9239C"/>
    <w:rsid w:val="6C127448"/>
    <w:rsid w:val="6C1B663F"/>
    <w:rsid w:val="6C25373D"/>
    <w:rsid w:val="6C365751"/>
    <w:rsid w:val="6C4A65BD"/>
    <w:rsid w:val="6C890033"/>
    <w:rsid w:val="6C9F6765"/>
    <w:rsid w:val="6CAB1467"/>
    <w:rsid w:val="6CBA77D1"/>
    <w:rsid w:val="6CBD0217"/>
    <w:rsid w:val="6CE61A11"/>
    <w:rsid w:val="6CFD0894"/>
    <w:rsid w:val="6D15396E"/>
    <w:rsid w:val="6DAB7C04"/>
    <w:rsid w:val="6DC5493B"/>
    <w:rsid w:val="6DDC5AC3"/>
    <w:rsid w:val="6DEA0B02"/>
    <w:rsid w:val="6DEC34D9"/>
    <w:rsid w:val="6E2D246E"/>
    <w:rsid w:val="6E5B01F7"/>
    <w:rsid w:val="6E8F14EA"/>
    <w:rsid w:val="6EBE49E5"/>
    <w:rsid w:val="6EDE2563"/>
    <w:rsid w:val="6EE74589"/>
    <w:rsid w:val="6F172B59"/>
    <w:rsid w:val="6F197624"/>
    <w:rsid w:val="6F2D21F5"/>
    <w:rsid w:val="6F323685"/>
    <w:rsid w:val="6F5F4865"/>
    <w:rsid w:val="6F605B0E"/>
    <w:rsid w:val="6F690D97"/>
    <w:rsid w:val="6F8E6BF5"/>
    <w:rsid w:val="6FAA41EF"/>
    <w:rsid w:val="6FF11238"/>
    <w:rsid w:val="6FF97999"/>
    <w:rsid w:val="6FFC4577"/>
    <w:rsid w:val="70003D9D"/>
    <w:rsid w:val="70112119"/>
    <w:rsid w:val="701952B9"/>
    <w:rsid w:val="7044390C"/>
    <w:rsid w:val="705B09C0"/>
    <w:rsid w:val="706A7716"/>
    <w:rsid w:val="70745510"/>
    <w:rsid w:val="70A81087"/>
    <w:rsid w:val="70B3290F"/>
    <w:rsid w:val="70B663BF"/>
    <w:rsid w:val="70B836C6"/>
    <w:rsid w:val="70DA44C7"/>
    <w:rsid w:val="71520C85"/>
    <w:rsid w:val="71546E53"/>
    <w:rsid w:val="716853A3"/>
    <w:rsid w:val="7173622D"/>
    <w:rsid w:val="71987B48"/>
    <w:rsid w:val="719D7D25"/>
    <w:rsid w:val="71A25F4D"/>
    <w:rsid w:val="71B83FCA"/>
    <w:rsid w:val="71EF1A3F"/>
    <w:rsid w:val="72014203"/>
    <w:rsid w:val="723C4CE6"/>
    <w:rsid w:val="72412902"/>
    <w:rsid w:val="72A12A8B"/>
    <w:rsid w:val="72A42658"/>
    <w:rsid w:val="72B40725"/>
    <w:rsid w:val="72B76787"/>
    <w:rsid w:val="72BC18DB"/>
    <w:rsid w:val="72D84306"/>
    <w:rsid w:val="72E41470"/>
    <w:rsid w:val="72E673A6"/>
    <w:rsid w:val="72F95EC3"/>
    <w:rsid w:val="731E33D1"/>
    <w:rsid w:val="7324340A"/>
    <w:rsid w:val="732C6CCF"/>
    <w:rsid w:val="734448AB"/>
    <w:rsid w:val="739C3CD9"/>
    <w:rsid w:val="73CA47F0"/>
    <w:rsid w:val="74011256"/>
    <w:rsid w:val="740F4099"/>
    <w:rsid w:val="742220D1"/>
    <w:rsid w:val="74462616"/>
    <w:rsid w:val="747B272F"/>
    <w:rsid w:val="74880A8D"/>
    <w:rsid w:val="74884DE0"/>
    <w:rsid w:val="74AB01B0"/>
    <w:rsid w:val="74B7523C"/>
    <w:rsid w:val="750142E9"/>
    <w:rsid w:val="75037588"/>
    <w:rsid w:val="75127D05"/>
    <w:rsid w:val="752B0828"/>
    <w:rsid w:val="752E31DA"/>
    <w:rsid w:val="753973A8"/>
    <w:rsid w:val="755E1977"/>
    <w:rsid w:val="75B766D6"/>
    <w:rsid w:val="75C25D71"/>
    <w:rsid w:val="75DF46CD"/>
    <w:rsid w:val="75EF7DCE"/>
    <w:rsid w:val="75F0057D"/>
    <w:rsid w:val="762E0629"/>
    <w:rsid w:val="76423EC0"/>
    <w:rsid w:val="76664740"/>
    <w:rsid w:val="76904D21"/>
    <w:rsid w:val="76B25166"/>
    <w:rsid w:val="76BA4459"/>
    <w:rsid w:val="76D235FB"/>
    <w:rsid w:val="76D43BFD"/>
    <w:rsid w:val="76F17D65"/>
    <w:rsid w:val="76FD0FB4"/>
    <w:rsid w:val="7734129D"/>
    <w:rsid w:val="77492AAF"/>
    <w:rsid w:val="77733A28"/>
    <w:rsid w:val="77A317DE"/>
    <w:rsid w:val="77C13E31"/>
    <w:rsid w:val="77D73E21"/>
    <w:rsid w:val="77DE5FC4"/>
    <w:rsid w:val="77DE6163"/>
    <w:rsid w:val="77FB22DA"/>
    <w:rsid w:val="77FC40B7"/>
    <w:rsid w:val="781A2C75"/>
    <w:rsid w:val="787114F0"/>
    <w:rsid w:val="78716C1B"/>
    <w:rsid w:val="788D1B4B"/>
    <w:rsid w:val="78986EA2"/>
    <w:rsid w:val="78C2752D"/>
    <w:rsid w:val="790677C7"/>
    <w:rsid w:val="794A1AFD"/>
    <w:rsid w:val="79683A9B"/>
    <w:rsid w:val="79690928"/>
    <w:rsid w:val="797B36AB"/>
    <w:rsid w:val="798527DE"/>
    <w:rsid w:val="79865565"/>
    <w:rsid w:val="799B47F3"/>
    <w:rsid w:val="799F18A4"/>
    <w:rsid w:val="79F95C96"/>
    <w:rsid w:val="7A2F0F67"/>
    <w:rsid w:val="7A4F13CE"/>
    <w:rsid w:val="7A4F3A05"/>
    <w:rsid w:val="7A593DD9"/>
    <w:rsid w:val="7A7A2049"/>
    <w:rsid w:val="7A80384C"/>
    <w:rsid w:val="7AAB3047"/>
    <w:rsid w:val="7AAC4F5C"/>
    <w:rsid w:val="7AC025D1"/>
    <w:rsid w:val="7AD73516"/>
    <w:rsid w:val="7B244CA7"/>
    <w:rsid w:val="7B3F0EF3"/>
    <w:rsid w:val="7B685014"/>
    <w:rsid w:val="7B6948B0"/>
    <w:rsid w:val="7B78187E"/>
    <w:rsid w:val="7B7B6EC1"/>
    <w:rsid w:val="7B8B5A44"/>
    <w:rsid w:val="7B8F1B87"/>
    <w:rsid w:val="7BEE52B7"/>
    <w:rsid w:val="7BF52FA8"/>
    <w:rsid w:val="7C0E7892"/>
    <w:rsid w:val="7C29375A"/>
    <w:rsid w:val="7C2E5F70"/>
    <w:rsid w:val="7C473680"/>
    <w:rsid w:val="7C4F1FDC"/>
    <w:rsid w:val="7C52297F"/>
    <w:rsid w:val="7C5513BE"/>
    <w:rsid w:val="7C5A3508"/>
    <w:rsid w:val="7C68109F"/>
    <w:rsid w:val="7C727EC9"/>
    <w:rsid w:val="7C9732A3"/>
    <w:rsid w:val="7C992611"/>
    <w:rsid w:val="7CC338B4"/>
    <w:rsid w:val="7D21780B"/>
    <w:rsid w:val="7D37025A"/>
    <w:rsid w:val="7D3A3036"/>
    <w:rsid w:val="7D642CF9"/>
    <w:rsid w:val="7D6701BA"/>
    <w:rsid w:val="7D9559D0"/>
    <w:rsid w:val="7DA80591"/>
    <w:rsid w:val="7DAE5195"/>
    <w:rsid w:val="7DCD7CF0"/>
    <w:rsid w:val="7E0F428A"/>
    <w:rsid w:val="7E445E2F"/>
    <w:rsid w:val="7E4A3DAF"/>
    <w:rsid w:val="7E6D7F6F"/>
    <w:rsid w:val="7E7F156E"/>
    <w:rsid w:val="7EB93DC6"/>
    <w:rsid w:val="7EBA468C"/>
    <w:rsid w:val="7F305C3B"/>
    <w:rsid w:val="7F3968DD"/>
    <w:rsid w:val="7F5D5982"/>
    <w:rsid w:val="7F7B0176"/>
    <w:rsid w:val="7F87384C"/>
    <w:rsid w:val="7F8B0740"/>
    <w:rsid w:val="7FB4744C"/>
    <w:rsid w:val="7FBF7212"/>
    <w:rsid w:val="7FF3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0"/>
    <w:qFormat/>
    <w:uiPriority w:val="0"/>
    <w:pPr>
      <w:keepNext/>
      <w:jc w:val="center"/>
      <w:outlineLvl w:val="0"/>
    </w:pPr>
    <w:rPr>
      <w:b/>
      <w:bCs/>
      <w:sz w:val="24"/>
      <w:szCs w:val="20"/>
    </w:rPr>
  </w:style>
  <w:style w:type="paragraph" w:styleId="6">
    <w:name w:val="heading 2"/>
    <w:basedOn w:val="1"/>
    <w:next w:val="1"/>
    <w:link w:val="86"/>
    <w:qFormat/>
    <w:uiPriority w:val="0"/>
    <w:pPr>
      <w:keepNext/>
      <w:keepLines/>
      <w:spacing w:line="360" w:lineRule="auto"/>
      <w:outlineLvl w:val="1"/>
    </w:pPr>
    <w:rPr>
      <w:rFonts w:ascii="Arial" w:hAnsi="Arial"/>
      <w:b/>
      <w:bCs/>
      <w:sz w:val="24"/>
      <w:szCs w:val="32"/>
    </w:rPr>
  </w:style>
  <w:style w:type="paragraph" w:styleId="7">
    <w:name w:val="heading 3"/>
    <w:basedOn w:val="1"/>
    <w:next w:val="1"/>
    <w:link w:val="100"/>
    <w:qFormat/>
    <w:uiPriority w:val="0"/>
    <w:pPr>
      <w:keepNext/>
      <w:keepLines/>
      <w:spacing w:before="260" w:after="260" w:line="416" w:lineRule="auto"/>
      <w:outlineLvl w:val="2"/>
    </w:pPr>
    <w:rPr>
      <w:b/>
      <w:bCs/>
      <w:sz w:val="32"/>
      <w:szCs w:val="32"/>
    </w:rPr>
  </w:style>
  <w:style w:type="paragraph" w:styleId="8">
    <w:name w:val="heading 4"/>
    <w:basedOn w:val="1"/>
    <w:next w:val="1"/>
    <w:link w:val="149"/>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135"/>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7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76"/>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84"/>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8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2"/>
    <w:link w:val="90"/>
    <w:qFormat/>
    <w:uiPriority w:val="0"/>
    <w:pPr>
      <w:spacing w:after="120"/>
      <w:ind w:left="420" w:leftChars="200"/>
    </w:pPr>
  </w:style>
  <w:style w:type="paragraph" w:customStyle="1" w:styleId="4">
    <w:name w:val="正文1"/>
    <w:basedOn w:val="1"/>
    <w:qFormat/>
    <w:uiPriority w:val="0"/>
    <w:pPr>
      <w:spacing w:line="360" w:lineRule="auto"/>
      <w:ind w:firstLine="480" w:firstLineChars="200"/>
    </w:pPr>
    <w:rPr>
      <w:sz w:val="24"/>
    </w:rPr>
  </w:style>
  <w:style w:type="paragraph" w:styleId="14">
    <w:name w:val="toc 7"/>
    <w:basedOn w:val="1"/>
    <w:next w:val="1"/>
    <w:qFormat/>
    <w:uiPriority w:val="0"/>
    <w:pPr>
      <w:ind w:left="2520" w:leftChars="1200"/>
    </w:pPr>
    <w:rPr>
      <w:rFonts w:ascii="Calibri" w:hAnsi="Calibri"/>
      <w:szCs w:val="22"/>
    </w:rPr>
  </w:style>
  <w:style w:type="paragraph" w:styleId="15">
    <w:name w:val="Normal Indent"/>
    <w:basedOn w:val="1"/>
    <w:qFormat/>
    <w:uiPriority w:val="0"/>
    <w:pPr>
      <w:widowControl/>
      <w:ind w:firstLine="420"/>
      <w:jc w:val="left"/>
    </w:pPr>
    <w:rPr>
      <w:kern w:val="0"/>
      <w:sz w:val="20"/>
      <w:szCs w:val="20"/>
    </w:rPr>
  </w:style>
  <w:style w:type="paragraph" w:styleId="16">
    <w:name w:val="Document Map"/>
    <w:basedOn w:val="1"/>
    <w:semiHidden/>
    <w:qFormat/>
    <w:uiPriority w:val="0"/>
    <w:pPr>
      <w:shd w:val="clear" w:color="auto" w:fill="000080"/>
    </w:pPr>
  </w:style>
  <w:style w:type="paragraph" w:styleId="17">
    <w:name w:val="annotation text"/>
    <w:basedOn w:val="1"/>
    <w:link w:val="121"/>
    <w:semiHidden/>
    <w:qFormat/>
    <w:uiPriority w:val="0"/>
    <w:pPr>
      <w:jc w:val="left"/>
    </w:pPr>
  </w:style>
  <w:style w:type="paragraph" w:styleId="18">
    <w:name w:val="Salutation"/>
    <w:basedOn w:val="1"/>
    <w:next w:val="1"/>
    <w:qFormat/>
    <w:uiPriority w:val="0"/>
    <w:rPr>
      <w:rFonts w:ascii="仿宋_GB2312" w:eastAsia="仿宋_GB2312"/>
      <w:sz w:val="24"/>
    </w:rPr>
  </w:style>
  <w:style w:type="paragraph" w:styleId="19">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w:basedOn w:val="1"/>
    <w:next w:val="21"/>
    <w:qFormat/>
    <w:uiPriority w:val="0"/>
    <w:pPr>
      <w:spacing w:after="120"/>
    </w:pPr>
  </w:style>
  <w:style w:type="paragraph" w:styleId="21">
    <w:name w:val="Body Text First Indent"/>
    <w:basedOn w:val="20"/>
    <w:qFormat/>
    <w:uiPriority w:val="0"/>
    <w:pPr>
      <w:ind w:firstLine="420" w:firstLineChars="100"/>
    </w:pPr>
  </w:style>
  <w:style w:type="paragraph" w:styleId="22">
    <w:name w:val="Block Text"/>
    <w:basedOn w:val="1"/>
    <w:qFormat/>
    <w:uiPriority w:val="0"/>
    <w:pPr>
      <w:ind w:left="1171" w:right="91" w:hanging="1080"/>
    </w:pPr>
    <w:rPr>
      <w:rFonts w:eastAsia="楷体_GB2312"/>
      <w:szCs w:val="20"/>
    </w:rPr>
  </w:style>
  <w:style w:type="paragraph" w:styleId="23">
    <w:name w:val="toc 5"/>
    <w:basedOn w:val="1"/>
    <w:next w:val="1"/>
    <w:qFormat/>
    <w:uiPriority w:val="0"/>
    <w:pPr>
      <w:ind w:left="1680" w:leftChars="800"/>
    </w:pPr>
    <w:rPr>
      <w:rFonts w:ascii="Calibri" w:hAnsi="Calibri"/>
      <w:szCs w:val="22"/>
    </w:rPr>
  </w:style>
  <w:style w:type="paragraph" w:styleId="24">
    <w:name w:val="toc 3"/>
    <w:basedOn w:val="1"/>
    <w:next w:val="1"/>
    <w:qFormat/>
    <w:uiPriority w:val="0"/>
    <w:pPr>
      <w:ind w:left="840" w:leftChars="400"/>
    </w:pPr>
  </w:style>
  <w:style w:type="paragraph" w:styleId="25">
    <w:name w:val="Plain Text"/>
    <w:basedOn w:val="1"/>
    <w:link w:val="145"/>
    <w:qFormat/>
    <w:uiPriority w:val="0"/>
    <w:rPr>
      <w:rFonts w:ascii="宋体" w:hAnsi="Courier New" w:cs="Courier New"/>
      <w:szCs w:val="21"/>
    </w:rPr>
  </w:style>
  <w:style w:type="paragraph" w:styleId="26">
    <w:name w:val="toc 8"/>
    <w:basedOn w:val="1"/>
    <w:next w:val="1"/>
    <w:qFormat/>
    <w:uiPriority w:val="0"/>
    <w:pPr>
      <w:ind w:left="2940" w:leftChars="1400"/>
    </w:pPr>
    <w:rPr>
      <w:rFonts w:ascii="Calibri" w:hAnsi="Calibri"/>
      <w:szCs w:val="22"/>
    </w:rPr>
  </w:style>
  <w:style w:type="paragraph" w:styleId="27">
    <w:name w:val="Date"/>
    <w:basedOn w:val="1"/>
    <w:next w:val="1"/>
    <w:link w:val="77"/>
    <w:qFormat/>
    <w:uiPriority w:val="0"/>
    <w:rPr>
      <w:sz w:val="24"/>
      <w:szCs w:val="20"/>
    </w:rPr>
  </w:style>
  <w:style w:type="paragraph" w:styleId="28">
    <w:name w:val="Body Text Indent 2"/>
    <w:basedOn w:val="1"/>
    <w:qFormat/>
    <w:uiPriority w:val="0"/>
    <w:pPr>
      <w:spacing w:after="120" w:line="480" w:lineRule="auto"/>
      <w:ind w:left="420" w:leftChars="200"/>
    </w:pPr>
  </w:style>
  <w:style w:type="paragraph" w:styleId="29">
    <w:name w:val="Balloon Text"/>
    <w:basedOn w:val="1"/>
    <w:link w:val="127"/>
    <w:qFormat/>
    <w:uiPriority w:val="0"/>
    <w:rPr>
      <w:rFonts w:ascii="Calibri" w:hAnsi="Calibri"/>
      <w:sz w:val="18"/>
      <w:szCs w:val="18"/>
    </w:rPr>
  </w:style>
  <w:style w:type="paragraph" w:styleId="30">
    <w:name w:val="footer"/>
    <w:basedOn w:val="1"/>
    <w:link w:val="153"/>
    <w:qFormat/>
    <w:uiPriority w:val="0"/>
    <w:pPr>
      <w:tabs>
        <w:tab w:val="center" w:pos="4153"/>
        <w:tab w:val="right" w:pos="8306"/>
      </w:tabs>
      <w:snapToGrid w:val="0"/>
      <w:jc w:val="left"/>
    </w:pPr>
    <w:rPr>
      <w:sz w:val="18"/>
      <w:szCs w:val="18"/>
    </w:rPr>
  </w:style>
  <w:style w:type="paragraph" w:styleId="31">
    <w:name w:val="header"/>
    <w:basedOn w:val="1"/>
    <w:link w:val="103"/>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0"/>
    <w:rPr>
      <w:rFonts w:ascii="华文中宋" w:eastAsia="华文中宋"/>
      <w:b/>
      <w:sz w:val="28"/>
      <w:szCs w:val="28"/>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rPr>
      <w:rFonts w:ascii="Calibri" w:hAnsi="Calibri"/>
      <w:szCs w:val="22"/>
    </w:rPr>
  </w:style>
  <w:style w:type="paragraph" w:styleId="36">
    <w:name w:val="Body Text Indent 3"/>
    <w:basedOn w:val="1"/>
    <w:link w:val="112"/>
    <w:qFormat/>
    <w:uiPriority w:val="0"/>
    <w:pPr>
      <w:spacing w:after="120"/>
      <w:ind w:left="420" w:leftChars="200"/>
    </w:pPr>
    <w:rPr>
      <w:sz w:val="16"/>
      <w:szCs w:val="16"/>
    </w:rPr>
  </w:style>
  <w:style w:type="paragraph" w:styleId="37">
    <w:name w:val="toc 2"/>
    <w:basedOn w:val="1"/>
    <w:next w:val="1"/>
    <w:qFormat/>
    <w:uiPriority w:val="0"/>
    <w:pPr>
      <w:ind w:left="420" w:leftChars="200"/>
    </w:pPr>
  </w:style>
  <w:style w:type="paragraph" w:styleId="38">
    <w:name w:val="toc 9"/>
    <w:basedOn w:val="1"/>
    <w:next w:val="1"/>
    <w:qFormat/>
    <w:uiPriority w:val="0"/>
    <w:pPr>
      <w:ind w:left="3360" w:leftChars="1600"/>
    </w:pPr>
    <w:rPr>
      <w:rFonts w:ascii="Calibri" w:hAnsi="Calibri"/>
      <w:szCs w:val="22"/>
    </w:rPr>
  </w:style>
  <w:style w:type="paragraph" w:styleId="39">
    <w:name w:val="Body Text 2"/>
    <w:basedOn w:val="1"/>
    <w:qFormat/>
    <w:uiPriority w:val="0"/>
    <w:pPr>
      <w:spacing w:after="120" w:line="480" w:lineRule="auto"/>
    </w:p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qFormat/>
    <w:uiPriority w:val="0"/>
    <w:pPr>
      <w:spacing w:before="240" w:after="60"/>
      <w:jc w:val="center"/>
      <w:outlineLvl w:val="0"/>
    </w:pPr>
    <w:rPr>
      <w:rFonts w:ascii="Cambria" w:hAnsi="Cambria"/>
      <w:b/>
      <w:sz w:val="32"/>
    </w:rPr>
  </w:style>
  <w:style w:type="paragraph" w:styleId="44">
    <w:name w:val="annotation subject"/>
    <w:basedOn w:val="17"/>
    <w:next w:val="17"/>
    <w:link w:val="80"/>
    <w:qFormat/>
    <w:uiPriority w:val="0"/>
    <w:rPr>
      <w:b/>
      <w:bCs/>
    </w:rPr>
  </w:style>
  <w:style w:type="table" w:styleId="46">
    <w:name w:val="Table Grid"/>
    <w:basedOn w:val="4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48">
    <w:name w:val="Strong"/>
    <w:qFormat/>
    <w:uiPriority w:val="0"/>
    <w:rPr>
      <w:b/>
      <w:bCs/>
    </w:rPr>
  </w:style>
  <w:style w:type="character" w:styleId="49">
    <w:name w:val="page number"/>
    <w:basedOn w:val="47"/>
    <w:qFormat/>
    <w:uiPriority w:val="0"/>
  </w:style>
  <w:style w:type="character" w:styleId="50">
    <w:name w:val="FollowedHyperlink"/>
    <w:basedOn w:val="47"/>
    <w:qFormat/>
    <w:uiPriority w:val="0"/>
    <w:rPr>
      <w:color w:val="5C5C5C"/>
      <w:u w:val="none"/>
    </w:rPr>
  </w:style>
  <w:style w:type="character" w:styleId="51">
    <w:name w:val="Emphasis"/>
    <w:qFormat/>
    <w:uiPriority w:val="0"/>
    <w:rPr>
      <w:rFonts w:ascii="Times New Roman" w:hAnsi="Times New Roman" w:eastAsia="宋体"/>
    </w:rPr>
  </w:style>
  <w:style w:type="character" w:styleId="52">
    <w:name w:val="HTML Definition"/>
    <w:qFormat/>
    <w:uiPriority w:val="0"/>
    <w:rPr>
      <w:rFonts w:ascii="Times New Roman" w:hAnsi="Times New Roman" w:eastAsia="宋体"/>
    </w:rPr>
  </w:style>
  <w:style w:type="character" w:styleId="53">
    <w:name w:val="HTML Typewriter"/>
    <w:basedOn w:val="47"/>
    <w:qFormat/>
    <w:uiPriority w:val="0"/>
    <w:rPr>
      <w:rFonts w:hint="default" w:ascii="monospace" w:hAnsi="monospace" w:eastAsia="monospace" w:cs="monospace"/>
      <w:sz w:val="20"/>
    </w:rPr>
  </w:style>
  <w:style w:type="character" w:styleId="54">
    <w:name w:val="HTML Acronym"/>
    <w:basedOn w:val="47"/>
    <w:qFormat/>
    <w:uiPriority w:val="0"/>
  </w:style>
  <w:style w:type="character" w:styleId="55">
    <w:name w:val="HTML Variable"/>
    <w:qFormat/>
    <w:uiPriority w:val="0"/>
    <w:rPr>
      <w:rFonts w:ascii="Times New Roman" w:hAnsi="Times New Roman" w:eastAsia="宋体"/>
    </w:rPr>
  </w:style>
  <w:style w:type="character" w:styleId="56">
    <w:name w:val="Hyperlink"/>
    <w:qFormat/>
    <w:uiPriority w:val="0"/>
    <w:rPr>
      <w:color w:val="136EC2"/>
      <w:u w:val="single"/>
    </w:rPr>
  </w:style>
  <w:style w:type="character" w:styleId="57">
    <w:name w:val="HTML Code"/>
    <w:qFormat/>
    <w:uiPriority w:val="0"/>
    <w:rPr>
      <w:rFonts w:ascii="Courier New" w:hAnsi="Courier New" w:eastAsia="Courier New" w:cs="Courier New"/>
      <w:sz w:val="20"/>
    </w:rPr>
  </w:style>
  <w:style w:type="character" w:styleId="58">
    <w:name w:val="annotation reference"/>
    <w:qFormat/>
    <w:uiPriority w:val="0"/>
    <w:rPr>
      <w:sz w:val="21"/>
      <w:szCs w:val="21"/>
    </w:rPr>
  </w:style>
  <w:style w:type="character" w:styleId="59">
    <w:name w:val="HTML Cite"/>
    <w:qFormat/>
    <w:uiPriority w:val="0"/>
    <w:rPr>
      <w:rFonts w:ascii="Times New Roman" w:hAnsi="Times New Roman" w:eastAsia="宋体"/>
    </w:rPr>
  </w:style>
  <w:style w:type="character" w:styleId="60">
    <w:name w:val="HTML Keyboard"/>
    <w:qFormat/>
    <w:uiPriority w:val="0"/>
    <w:rPr>
      <w:rFonts w:ascii="Courier New" w:hAnsi="Courier New" w:eastAsia="Courier New" w:cs="Courier New"/>
      <w:sz w:val="20"/>
    </w:rPr>
  </w:style>
  <w:style w:type="character" w:styleId="61">
    <w:name w:val="HTML Sample"/>
    <w:qFormat/>
    <w:uiPriority w:val="0"/>
    <w:rPr>
      <w:rFonts w:ascii="Courier New" w:hAnsi="Courier New" w:eastAsia="Courier New" w:cs="Courier New"/>
    </w:rPr>
  </w:style>
  <w:style w:type="paragraph" w:customStyle="1" w:styleId="6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63">
    <w:name w:val="正文首行缩进1"/>
    <w:basedOn w:val="1"/>
    <w:qFormat/>
    <w:uiPriority w:val="99"/>
    <w:pPr>
      <w:spacing w:after="120"/>
      <w:ind w:firstLine="420" w:firstLineChars="100"/>
    </w:pPr>
  </w:style>
  <w:style w:type="paragraph" w:customStyle="1" w:styleId="64">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65">
    <w:name w:val="目录 81"/>
    <w:basedOn w:val="1"/>
    <w:next w:val="1"/>
    <w:qFormat/>
    <w:uiPriority w:val="0"/>
    <w:pPr>
      <w:ind w:left="2940"/>
    </w:pPr>
    <w:rPr>
      <w:rFonts w:ascii="Calibri"/>
    </w:rPr>
  </w:style>
  <w:style w:type="character" w:customStyle="1" w:styleId="66">
    <w:name w:val="页眉 Char"/>
    <w:qFormat/>
    <w:uiPriority w:val="0"/>
    <w:rPr>
      <w:kern w:val="2"/>
      <w:sz w:val="18"/>
      <w:szCs w:val="18"/>
    </w:rPr>
  </w:style>
  <w:style w:type="character" w:customStyle="1" w:styleId="67">
    <w:name w:val="页脚 Char"/>
    <w:qFormat/>
    <w:uiPriority w:val="99"/>
    <w:rPr>
      <w:kern w:val="2"/>
      <w:sz w:val="18"/>
      <w:szCs w:val="18"/>
    </w:rPr>
  </w:style>
  <w:style w:type="character" w:customStyle="1" w:styleId="68">
    <w:name w:val="bds_nopic1"/>
    <w:qFormat/>
    <w:uiPriority w:val="0"/>
    <w:rPr>
      <w:rFonts w:ascii="Times New Roman" w:hAnsi="Times New Roman" w:eastAsia="宋体"/>
    </w:rPr>
  </w:style>
  <w:style w:type="character" w:customStyle="1" w:styleId="69">
    <w:name w:val="Font Style86"/>
    <w:unhideWhenUsed/>
    <w:qFormat/>
    <w:uiPriority w:val="0"/>
    <w:rPr>
      <w:rFonts w:hint="eastAsia" w:ascii="黑体" w:hAnsi="黑体" w:eastAsia="黑体"/>
      <w:spacing w:val="10"/>
      <w:sz w:val="30"/>
    </w:rPr>
  </w:style>
  <w:style w:type="character" w:customStyle="1" w:styleId="70">
    <w:name w:val="Char Char15"/>
    <w:qFormat/>
    <w:uiPriority w:val="0"/>
    <w:rPr>
      <w:b/>
      <w:bCs/>
      <w:sz w:val="24"/>
      <w:szCs w:val="24"/>
    </w:rPr>
  </w:style>
  <w:style w:type="character" w:customStyle="1" w:styleId="71">
    <w:name w:val="Font Style125"/>
    <w:unhideWhenUsed/>
    <w:qFormat/>
    <w:uiPriority w:val="0"/>
    <w:rPr>
      <w:rFonts w:hint="eastAsia" w:ascii="宋体" w:hAnsi="宋体" w:eastAsia="宋体"/>
      <w:b/>
      <w:sz w:val="26"/>
    </w:rPr>
  </w:style>
  <w:style w:type="character" w:customStyle="1" w:styleId="72">
    <w:name w:val="标题 6 Char1"/>
    <w:link w:val="10"/>
    <w:qFormat/>
    <w:uiPriority w:val="0"/>
    <w:rPr>
      <w:rFonts w:ascii="Arial" w:hAnsi="Arial" w:eastAsia="黑体"/>
      <w:b/>
      <w:bCs/>
      <w:sz w:val="24"/>
      <w:szCs w:val="24"/>
      <w:lang w:val="en-US" w:eastAsia="zh-CN" w:bidi="ar-SA"/>
    </w:rPr>
  </w:style>
  <w:style w:type="character" w:customStyle="1" w:styleId="73">
    <w:name w:val="标题 5 Char"/>
    <w:qFormat/>
    <w:uiPriority w:val="0"/>
    <w:rPr>
      <w:b/>
      <w:bCs/>
      <w:kern w:val="2"/>
      <w:sz w:val="28"/>
      <w:szCs w:val="28"/>
    </w:rPr>
  </w:style>
  <w:style w:type="character" w:customStyle="1" w:styleId="74">
    <w:name w:val="Font Style126"/>
    <w:unhideWhenUsed/>
    <w:qFormat/>
    <w:uiPriority w:val="0"/>
    <w:rPr>
      <w:rFonts w:hint="eastAsia" w:ascii="宋体" w:hAnsi="宋体" w:eastAsia="宋体"/>
      <w:b/>
      <w:spacing w:val="-30"/>
      <w:sz w:val="28"/>
    </w:rPr>
  </w:style>
  <w:style w:type="character" w:customStyle="1" w:styleId="75">
    <w:name w:val="Font Style116"/>
    <w:unhideWhenUsed/>
    <w:qFormat/>
    <w:uiPriority w:val="0"/>
    <w:rPr>
      <w:rFonts w:hint="eastAsia" w:ascii="宋体" w:hAnsi="宋体" w:eastAsia="宋体"/>
      <w:spacing w:val="-20"/>
      <w:sz w:val="24"/>
    </w:rPr>
  </w:style>
  <w:style w:type="character" w:customStyle="1" w:styleId="76">
    <w:name w:val="标题 7 Char1"/>
    <w:link w:val="11"/>
    <w:qFormat/>
    <w:uiPriority w:val="0"/>
    <w:rPr>
      <w:rFonts w:eastAsia="宋体"/>
      <w:b/>
      <w:bCs/>
      <w:sz w:val="24"/>
      <w:szCs w:val="24"/>
      <w:lang w:val="en-US" w:eastAsia="zh-CN" w:bidi="ar-SA"/>
    </w:rPr>
  </w:style>
  <w:style w:type="character" w:customStyle="1" w:styleId="77">
    <w:name w:val="日期 Char1"/>
    <w:link w:val="27"/>
    <w:qFormat/>
    <w:uiPriority w:val="0"/>
    <w:rPr>
      <w:rFonts w:eastAsia="宋体"/>
      <w:kern w:val="2"/>
      <w:sz w:val="24"/>
      <w:lang w:val="en-US" w:eastAsia="zh-CN" w:bidi="ar-SA"/>
    </w:rPr>
  </w:style>
  <w:style w:type="character" w:customStyle="1" w:styleId="78">
    <w:name w:val="标题 8 Char"/>
    <w:qFormat/>
    <w:uiPriority w:val="0"/>
    <w:rPr>
      <w:rFonts w:ascii="Arial" w:hAnsi="Arial" w:eastAsia="黑体"/>
      <w:sz w:val="24"/>
      <w:szCs w:val="24"/>
    </w:rPr>
  </w:style>
  <w:style w:type="character" w:customStyle="1" w:styleId="79">
    <w:name w:val="标题 2 Char1"/>
    <w:link w:val="6"/>
    <w:qFormat/>
    <w:uiPriority w:val="0"/>
    <w:rPr>
      <w:rFonts w:ascii="Arial" w:hAnsi="Arial" w:eastAsia="宋体"/>
      <w:b/>
      <w:bCs/>
      <w:kern w:val="2"/>
      <w:sz w:val="24"/>
      <w:szCs w:val="32"/>
      <w:lang w:val="en-US" w:eastAsia="zh-CN" w:bidi="ar-SA"/>
    </w:rPr>
  </w:style>
  <w:style w:type="character" w:customStyle="1" w:styleId="80">
    <w:name w:val="批注主题 Char1"/>
    <w:link w:val="44"/>
    <w:qFormat/>
    <w:uiPriority w:val="0"/>
    <w:rPr>
      <w:rFonts w:eastAsia="宋体"/>
      <w:b/>
      <w:bCs/>
      <w:kern w:val="2"/>
      <w:sz w:val="21"/>
      <w:szCs w:val="24"/>
      <w:lang w:val="en-US" w:eastAsia="zh-CN" w:bidi="ar-SA"/>
    </w:rPr>
  </w:style>
  <w:style w:type="character" w:customStyle="1" w:styleId="81">
    <w:name w:val="标题 3 Char"/>
    <w:qFormat/>
    <w:uiPriority w:val="0"/>
    <w:rPr>
      <w:b/>
      <w:bCs/>
      <w:sz w:val="24"/>
      <w:szCs w:val="24"/>
    </w:rPr>
  </w:style>
  <w:style w:type="character" w:customStyle="1" w:styleId="82">
    <w:name w:val="标题 1 Char"/>
    <w:qFormat/>
    <w:uiPriority w:val="0"/>
    <w:rPr>
      <w:rFonts w:ascii="Cambria" w:hAnsi="Cambria"/>
      <w:b/>
      <w:bCs/>
      <w:kern w:val="32"/>
      <w:sz w:val="32"/>
      <w:szCs w:val="32"/>
    </w:rPr>
  </w:style>
  <w:style w:type="character" w:customStyle="1" w:styleId="83">
    <w:name w:val="Font Style119"/>
    <w:unhideWhenUsed/>
    <w:qFormat/>
    <w:uiPriority w:val="0"/>
    <w:rPr>
      <w:rFonts w:hint="eastAsia" w:ascii="宋体" w:hAnsi="宋体" w:eastAsia="宋体"/>
      <w:sz w:val="24"/>
    </w:rPr>
  </w:style>
  <w:style w:type="character" w:customStyle="1" w:styleId="84">
    <w:name w:val="标题 8 Char1"/>
    <w:link w:val="12"/>
    <w:qFormat/>
    <w:uiPriority w:val="0"/>
    <w:rPr>
      <w:rFonts w:ascii="Arial" w:hAnsi="Arial" w:eastAsia="黑体"/>
      <w:sz w:val="24"/>
      <w:szCs w:val="24"/>
      <w:lang w:val="en-US" w:eastAsia="zh-CN" w:bidi="ar-SA"/>
    </w:rPr>
  </w:style>
  <w:style w:type="character" w:customStyle="1" w:styleId="85">
    <w:name w:val="Font Style127"/>
    <w:unhideWhenUsed/>
    <w:qFormat/>
    <w:uiPriority w:val="0"/>
    <w:rPr>
      <w:rFonts w:hint="eastAsia" w:ascii="Times New Roman" w:hAnsi="Times New Roman" w:eastAsia="Times New Roman"/>
      <w:sz w:val="20"/>
    </w:rPr>
  </w:style>
  <w:style w:type="character" w:customStyle="1" w:styleId="86">
    <w:name w:val="标题 2 Char"/>
    <w:link w:val="6"/>
    <w:qFormat/>
    <w:uiPriority w:val="0"/>
    <w:rPr>
      <w:rFonts w:ascii="Cambria" w:hAnsi="Cambria" w:eastAsia="宋体" w:cs="Times New Roman"/>
      <w:b/>
      <w:bCs/>
      <w:kern w:val="2"/>
      <w:sz w:val="32"/>
      <w:szCs w:val="32"/>
    </w:rPr>
  </w:style>
  <w:style w:type="character" w:customStyle="1" w:styleId="87">
    <w:name w:val="polysemyred"/>
    <w:qFormat/>
    <w:uiPriority w:val="0"/>
    <w:rPr>
      <w:rFonts w:ascii="Times New Roman" w:hAnsi="Times New Roman" w:eastAsia="宋体"/>
      <w:color w:val="FF6666"/>
      <w:sz w:val="18"/>
      <w:szCs w:val="18"/>
    </w:rPr>
  </w:style>
  <w:style w:type="character" w:customStyle="1" w:styleId="88">
    <w:name w:val="标题 9 Char1"/>
    <w:link w:val="13"/>
    <w:qFormat/>
    <w:uiPriority w:val="0"/>
    <w:rPr>
      <w:rFonts w:ascii="Arial" w:hAnsi="Arial" w:eastAsia="黑体"/>
      <w:sz w:val="21"/>
      <w:szCs w:val="21"/>
      <w:lang w:val="en-US" w:eastAsia="zh-CN" w:bidi="ar-SA"/>
    </w:rPr>
  </w:style>
  <w:style w:type="character" w:customStyle="1" w:styleId="89">
    <w:name w:val="sidecatalog-index2"/>
    <w:qFormat/>
    <w:uiPriority w:val="0"/>
    <w:rPr>
      <w:rFonts w:ascii="Arail" w:hAnsi="Arail" w:eastAsia="Arail" w:cs="Arail"/>
      <w:color w:val="999999"/>
      <w:sz w:val="21"/>
      <w:szCs w:val="21"/>
    </w:rPr>
  </w:style>
  <w:style w:type="character" w:customStyle="1" w:styleId="90">
    <w:name w:val="正文文本缩进 Char"/>
    <w:link w:val="3"/>
    <w:qFormat/>
    <w:uiPriority w:val="0"/>
    <w:rPr>
      <w:rFonts w:eastAsia="宋体"/>
      <w:kern w:val="2"/>
      <w:sz w:val="21"/>
      <w:szCs w:val="24"/>
      <w:lang w:val="en-US" w:eastAsia="zh-CN" w:bidi="ar-SA"/>
    </w:rPr>
  </w:style>
  <w:style w:type="character" w:customStyle="1" w:styleId="91">
    <w:name w:val="Char Char14"/>
    <w:qFormat/>
    <w:uiPriority w:val="0"/>
    <w:rPr>
      <w:rFonts w:ascii="Arial" w:hAnsi="Arial" w:eastAsia="黑体"/>
      <w:b/>
      <w:bCs/>
      <w:sz w:val="28"/>
      <w:szCs w:val="28"/>
      <w:lang w:val="en-US" w:eastAsia="zh-CN" w:bidi="ar-SA"/>
    </w:rPr>
  </w:style>
  <w:style w:type="character" w:customStyle="1" w:styleId="92">
    <w:name w:val="lemmatitleh12"/>
    <w:qFormat/>
    <w:uiPriority w:val="0"/>
    <w:rPr>
      <w:rFonts w:ascii="Times New Roman" w:hAnsi="Times New Roman" w:eastAsia="宋体"/>
    </w:rPr>
  </w:style>
  <w:style w:type="character" w:customStyle="1" w:styleId="93">
    <w:name w:val="标题 4 Char Char"/>
    <w:qFormat/>
    <w:uiPriority w:val="0"/>
    <w:rPr>
      <w:rFonts w:ascii="Arial" w:hAnsi="Arial" w:eastAsia="宋体"/>
      <w:b/>
      <w:bCs/>
      <w:kern w:val="2"/>
      <w:sz w:val="21"/>
      <w:szCs w:val="28"/>
      <w:lang w:val="en-US" w:eastAsia="zh-CN" w:bidi="ar-SA"/>
    </w:rPr>
  </w:style>
  <w:style w:type="character" w:customStyle="1" w:styleId="94">
    <w:name w:val="sidecatalog-dot"/>
    <w:qFormat/>
    <w:uiPriority w:val="0"/>
    <w:rPr>
      <w:rFonts w:ascii="Times New Roman" w:hAnsi="Times New Roman" w:eastAsia="宋体"/>
    </w:rPr>
  </w:style>
  <w:style w:type="character" w:customStyle="1" w:styleId="95">
    <w:name w:val="Font Style122"/>
    <w:unhideWhenUsed/>
    <w:qFormat/>
    <w:uiPriority w:val="0"/>
    <w:rPr>
      <w:rFonts w:hint="eastAsia" w:ascii="宋体" w:hAnsi="宋体" w:eastAsia="宋体"/>
      <w:spacing w:val="20"/>
      <w:sz w:val="24"/>
    </w:rPr>
  </w:style>
  <w:style w:type="character" w:customStyle="1" w:styleId="96">
    <w:name w:val="plus"/>
    <w:qFormat/>
    <w:uiPriority w:val="0"/>
    <w:rPr>
      <w:rFonts w:ascii="Times New Roman" w:hAnsi="Times New Roman" w:eastAsia="宋体"/>
      <w:b/>
      <w:vanish/>
      <w:color w:val="1F8DEF"/>
      <w:sz w:val="24"/>
      <w:szCs w:val="24"/>
    </w:rPr>
  </w:style>
  <w:style w:type="character" w:customStyle="1" w:styleId="97">
    <w:name w:val="Font Style121"/>
    <w:unhideWhenUsed/>
    <w:qFormat/>
    <w:uiPriority w:val="0"/>
    <w:rPr>
      <w:rFonts w:hint="eastAsia" w:ascii="宋体" w:hAnsi="宋体" w:eastAsia="宋体"/>
      <w:spacing w:val="-10"/>
      <w:sz w:val="30"/>
    </w:rPr>
  </w:style>
  <w:style w:type="character" w:customStyle="1" w:styleId="98">
    <w:name w:val="标题 6 Char"/>
    <w:qFormat/>
    <w:uiPriority w:val="0"/>
    <w:rPr>
      <w:rFonts w:ascii="Arial" w:hAnsi="Arial" w:eastAsia="黑体"/>
      <w:b/>
      <w:bCs/>
      <w:sz w:val="24"/>
      <w:szCs w:val="24"/>
    </w:rPr>
  </w:style>
  <w:style w:type="character" w:customStyle="1" w:styleId="99">
    <w:name w:val="纯文本 Char2"/>
    <w:qFormat/>
    <w:uiPriority w:val="0"/>
    <w:rPr>
      <w:rFonts w:ascii="宋体" w:hAnsi="Courier New" w:eastAsia="宋体"/>
      <w:kern w:val="2"/>
      <w:sz w:val="21"/>
      <w:szCs w:val="21"/>
      <w:lang w:val="en-US" w:eastAsia="zh-CN" w:bidi="ar-SA"/>
    </w:rPr>
  </w:style>
  <w:style w:type="character" w:customStyle="1" w:styleId="100">
    <w:name w:val="标题 3 Char1"/>
    <w:link w:val="7"/>
    <w:qFormat/>
    <w:uiPriority w:val="0"/>
    <w:rPr>
      <w:rFonts w:eastAsia="宋体"/>
      <w:b/>
      <w:bCs/>
      <w:kern w:val="2"/>
      <w:sz w:val="32"/>
      <w:szCs w:val="32"/>
      <w:lang w:val="en-US" w:eastAsia="zh-CN" w:bidi="ar-SA"/>
    </w:rPr>
  </w:style>
  <w:style w:type="character" w:customStyle="1" w:styleId="101">
    <w:name w:val="正文文本缩进 3 Char"/>
    <w:qFormat/>
    <w:uiPriority w:val="0"/>
    <w:rPr>
      <w:rFonts w:ascii="宋体" w:hAnsi="MS Sans Serif"/>
      <w:color w:val="000000"/>
      <w:sz w:val="24"/>
    </w:rPr>
  </w:style>
  <w:style w:type="character" w:customStyle="1" w:styleId="102">
    <w:name w:val="Char Char16"/>
    <w:qFormat/>
    <w:uiPriority w:val="0"/>
    <w:rPr>
      <w:rFonts w:ascii="宋体" w:hAnsi="Times New Roman" w:eastAsia="宋体"/>
      <w:b/>
      <w:sz w:val="24"/>
      <w:lang w:val="en-US" w:eastAsia="zh-CN" w:bidi="ar-SA"/>
    </w:rPr>
  </w:style>
  <w:style w:type="character" w:customStyle="1" w:styleId="103">
    <w:name w:val="页眉 Char1"/>
    <w:link w:val="31"/>
    <w:qFormat/>
    <w:uiPriority w:val="0"/>
    <w:rPr>
      <w:rFonts w:eastAsia="宋体"/>
      <w:kern w:val="2"/>
      <w:sz w:val="18"/>
      <w:szCs w:val="18"/>
      <w:lang w:val="en-US" w:eastAsia="zh-CN" w:bidi="ar-SA"/>
    </w:rPr>
  </w:style>
  <w:style w:type="character" w:customStyle="1" w:styleId="104">
    <w:name w:val="polysemyexp"/>
    <w:qFormat/>
    <w:uiPriority w:val="0"/>
    <w:rPr>
      <w:rFonts w:ascii="Times New Roman" w:hAnsi="Times New Roman" w:eastAsia="宋体"/>
      <w:color w:val="AAAAAA"/>
      <w:sz w:val="18"/>
      <w:szCs w:val="18"/>
    </w:rPr>
  </w:style>
  <w:style w:type="character" w:customStyle="1" w:styleId="105">
    <w:name w:val="Font Style124"/>
    <w:unhideWhenUsed/>
    <w:qFormat/>
    <w:uiPriority w:val="0"/>
    <w:rPr>
      <w:rFonts w:hint="eastAsia" w:ascii="宋体" w:hAnsi="宋体" w:eastAsia="宋体"/>
      <w:spacing w:val="30"/>
      <w:sz w:val="24"/>
    </w:rPr>
  </w:style>
  <w:style w:type="character" w:customStyle="1" w:styleId="106">
    <w:name w:val="p0 Char Char"/>
    <w:qFormat/>
    <w:uiPriority w:val="0"/>
    <w:rPr>
      <w:rFonts w:eastAsia="宋体"/>
      <w:kern w:val="2"/>
      <w:sz w:val="21"/>
      <w:szCs w:val="21"/>
      <w:lang w:val="en-US" w:eastAsia="zh-CN" w:bidi="ar-SA"/>
    </w:rPr>
  </w:style>
  <w:style w:type="character" w:customStyle="1" w:styleId="107">
    <w:name w:val="标题 Char"/>
    <w:qFormat/>
    <w:uiPriority w:val="0"/>
    <w:rPr>
      <w:rFonts w:ascii="Cambria" w:hAnsi="Cambria"/>
      <w:b/>
      <w:kern w:val="2"/>
      <w:sz w:val="32"/>
      <w:szCs w:val="24"/>
    </w:rPr>
  </w:style>
  <w:style w:type="character" w:customStyle="1" w:styleId="108">
    <w:name w:val="sidecatalog-dot1"/>
    <w:qFormat/>
    <w:uiPriority w:val="0"/>
    <w:rPr>
      <w:rFonts w:ascii="Times New Roman" w:hAnsi="Times New Roman" w:eastAsia="宋体"/>
    </w:rPr>
  </w:style>
  <w:style w:type="character" w:customStyle="1" w:styleId="109">
    <w:name w:val="标题 9 Char"/>
    <w:qFormat/>
    <w:uiPriority w:val="0"/>
    <w:rPr>
      <w:rFonts w:ascii="Arial" w:hAnsi="Arial" w:eastAsia="黑体"/>
      <w:sz w:val="21"/>
      <w:szCs w:val="21"/>
    </w:rPr>
  </w:style>
  <w:style w:type="character" w:customStyle="1" w:styleId="110">
    <w:name w:val="日期 Char"/>
    <w:qFormat/>
    <w:uiPriority w:val="0"/>
    <w:rPr>
      <w:kern w:val="2"/>
      <w:sz w:val="21"/>
      <w:szCs w:val="24"/>
    </w:rPr>
  </w:style>
  <w:style w:type="character" w:customStyle="1" w:styleId="111">
    <w:name w:val="bds_more7"/>
    <w:qFormat/>
    <w:uiPriority w:val="0"/>
    <w:rPr>
      <w:rFonts w:ascii="Times New Roman" w:hAnsi="Times New Roman" w:eastAsia="宋体"/>
    </w:rPr>
  </w:style>
  <w:style w:type="character" w:customStyle="1" w:styleId="112">
    <w:name w:val="正文文本缩进 3 Char1"/>
    <w:link w:val="36"/>
    <w:qFormat/>
    <w:uiPriority w:val="0"/>
    <w:rPr>
      <w:rFonts w:eastAsia="宋体"/>
      <w:kern w:val="2"/>
      <w:sz w:val="16"/>
      <w:szCs w:val="16"/>
      <w:lang w:val="en-US" w:eastAsia="zh-CN" w:bidi="ar-SA"/>
    </w:rPr>
  </w:style>
  <w:style w:type="character" w:customStyle="1" w:styleId="113">
    <w:name w:val="sort"/>
    <w:qFormat/>
    <w:uiPriority w:val="0"/>
    <w:rPr>
      <w:rFonts w:ascii="Times New Roman" w:hAnsi="Times New Roman" w:eastAsia="宋体"/>
      <w:color w:val="FFFFFF"/>
      <w:bdr w:val="single" w:color="auto" w:sz="24" w:space="0"/>
    </w:rPr>
  </w:style>
  <w:style w:type="character" w:customStyle="1" w:styleId="114">
    <w:name w:val="Font Style123"/>
    <w:unhideWhenUsed/>
    <w:qFormat/>
    <w:uiPriority w:val="0"/>
    <w:rPr>
      <w:rFonts w:hint="eastAsia" w:ascii="宋体" w:hAnsi="宋体" w:eastAsia="宋体"/>
      <w:b/>
      <w:sz w:val="32"/>
    </w:rPr>
  </w:style>
  <w:style w:type="character" w:customStyle="1" w:styleId="115">
    <w:name w:val="标题 7 Char"/>
    <w:qFormat/>
    <w:uiPriority w:val="0"/>
    <w:rPr>
      <w:b/>
      <w:bCs/>
      <w:sz w:val="24"/>
      <w:szCs w:val="24"/>
    </w:rPr>
  </w:style>
  <w:style w:type="character" w:customStyle="1" w:styleId="116">
    <w:name w:val="Font Style94"/>
    <w:unhideWhenUsed/>
    <w:qFormat/>
    <w:uiPriority w:val="0"/>
    <w:rPr>
      <w:rFonts w:hint="eastAsia" w:ascii="Times New Roman" w:hAnsi="Times New Roman" w:eastAsia="Times New Roman"/>
      <w:sz w:val="28"/>
    </w:rPr>
  </w:style>
  <w:style w:type="character" w:customStyle="1" w:styleId="117">
    <w:name w:val="标题 4 Char"/>
    <w:qFormat/>
    <w:uiPriority w:val="0"/>
    <w:rPr>
      <w:rFonts w:ascii="Arial" w:hAnsi="Arial" w:eastAsia="宋体" w:cs="Times New Roman"/>
      <w:b/>
      <w:bCs/>
      <w:szCs w:val="28"/>
    </w:rPr>
  </w:style>
  <w:style w:type="character" w:customStyle="1" w:styleId="118">
    <w:name w:val="Font Style133"/>
    <w:unhideWhenUsed/>
    <w:qFormat/>
    <w:uiPriority w:val="0"/>
    <w:rPr>
      <w:rFonts w:hint="eastAsia" w:ascii="宋体" w:hAnsi="宋体" w:eastAsia="宋体"/>
      <w:spacing w:val="30"/>
      <w:sz w:val="24"/>
    </w:rPr>
  </w:style>
  <w:style w:type="character" w:customStyle="1" w:styleId="119">
    <w:name w:val="bds_more9"/>
    <w:qFormat/>
    <w:uiPriority w:val="0"/>
    <w:rPr>
      <w:rFonts w:ascii="Times New Roman" w:hAnsi="Times New Roman" w:eastAsia="宋体"/>
    </w:rPr>
  </w:style>
  <w:style w:type="character" w:customStyle="1" w:styleId="120">
    <w:name w:val="标题 1 Char1"/>
    <w:link w:val="5"/>
    <w:qFormat/>
    <w:uiPriority w:val="0"/>
    <w:rPr>
      <w:rFonts w:eastAsia="宋体"/>
      <w:b/>
      <w:bCs/>
      <w:kern w:val="2"/>
      <w:sz w:val="24"/>
      <w:lang w:val="en-US" w:eastAsia="zh-CN" w:bidi="ar-SA"/>
    </w:rPr>
  </w:style>
  <w:style w:type="character" w:customStyle="1" w:styleId="121">
    <w:name w:val="批注文字 Char1"/>
    <w:link w:val="17"/>
    <w:qFormat/>
    <w:uiPriority w:val="0"/>
    <w:rPr>
      <w:rFonts w:eastAsia="宋体"/>
      <w:kern w:val="2"/>
      <w:sz w:val="21"/>
      <w:szCs w:val="24"/>
      <w:lang w:val="en-US" w:eastAsia="zh-CN" w:bidi="ar-SA"/>
    </w:rPr>
  </w:style>
  <w:style w:type="character" w:customStyle="1" w:styleId="122">
    <w:name w:val="Char Char17"/>
    <w:qFormat/>
    <w:uiPriority w:val="0"/>
    <w:rPr>
      <w:rFonts w:ascii="宋体" w:hAnsi="Times New Roman" w:eastAsia="宋体"/>
      <w:b/>
      <w:sz w:val="28"/>
      <w:lang w:val="en-US" w:eastAsia="zh-CN" w:bidi="ar-SA"/>
    </w:rPr>
  </w:style>
  <w:style w:type="character" w:customStyle="1" w:styleId="123">
    <w:name w:val="morelink-item"/>
    <w:qFormat/>
    <w:uiPriority w:val="0"/>
    <w:rPr>
      <w:rFonts w:ascii="Times New Roman" w:hAnsi="Times New Roman" w:eastAsia="宋体"/>
    </w:rPr>
  </w:style>
  <w:style w:type="character" w:customStyle="1" w:styleId="124">
    <w:name w:val="Font Style128"/>
    <w:unhideWhenUsed/>
    <w:qFormat/>
    <w:uiPriority w:val="0"/>
    <w:rPr>
      <w:rFonts w:hint="eastAsia" w:ascii="Times New Roman" w:hAnsi="Times New Roman" w:eastAsia="Times New Roman"/>
      <w:sz w:val="16"/>
    </w:rPr>
  </w:style>
  <w:style w:type="character" w:customStyle="1" w:styleId="125">
    <w:name w:val="Font Style117"/>
    <w:unhideWhenUsed/>
    <w:qFormat/>
    <w:uiPriority w:val="0"/>
    <w:rPr>
      <w:rFonts w:hint="eastAsia" w:ascii="宋体" w:hAnsi="宋体" w:eastAsia="宋体"/>
      <w:spacing w:val="20"/>
      <w:sz w:val="24"/>
    </w:rPr>
  </w:style>
  <w:style w:type="character" w:customStyle="1" w:styleId="126">
    <w:name w:val="批注框文本 Char"/>
    <w:qFormat/>
    <w:uiPriority w:val="0"/>
    <w:rPr>
      <w:kern w:val="2"/>
      <w:sz w:val="18"/>
      <w:szCs w:val="18"/>
    </w:rPr>
  </w:style>
  <w:style w:type="character" w:customStyle="1" w:styleId="127">
    <w:name w:val="批注框文本 Char1"/>
    <w:link w:val="29"/>
    <w:semiHidden/>
    <w:qFormat/>
    <w:locked/>
    <w:uiPriority w:val="0"/>
    <w:rPr>
      <w:rFonts w:ascii="Calibri" w:hAnsi="Calibri" w:eastAsia="宋体"/>
      <w:kern w:val="2"/>
      <w:sz w:val="18"/>
      <w:szCs w:val="18"/>
      <w:lang w:val="en-US" w:eastAsia="zh-CN" w:bidi="ar-SA"/>
    </w:rPr>
  </w:style>
  <w:style w:type="character" w:customStyle="1" w:styleId="128">
    <w:name w:val="sort1"/>
    <w:qFormat/>
    <w:uiPriority w:val="0"/>
    <w:rPr>
      <w:rFonts w:ascii="Times New Roman" w:hAnsi="Times New Roman" w:eastAsia="宋体"/>
    </w:rPr>
  </w:style>
  <w:style w:type="character" w:customStyle="1" w:styleId="129">
    <w:name w:val="bds_more6"/>
    <w:qFormat/>
    <w:uiPriority w:val="0"/>
    <w:rPr>
      <w:rFonts w:hint="eastAsia" w:ascii="宋体" w:hAnsi="宋体" w:eastAsia="宋体" w:cs="宋体"/>
    </w:rPr>
  </w:style>
  <w:style w:type="character" w:customStyle="1" w:styleId="130">
    <w:name w:val="sidecatalog-index1"/>
    <w:qFormat/>
    <w:uiPriority w:val="0"/>
    <w:rPr>
      <w:rFonts w:ascii="Arial" w:hAnsi="Arial" w:eastAsia="宋体" w:cs="Arial"/>
      <w:b/>
      <w:color w:val="999999"/>
      <w:sz w:val="21"/>
      <w:szCs w:val="21"/>
    </w:rPr>
  </w:style>
  <w:style w:type="character" w:customStyle="1" w:styleId="131">
    <w:name w:val="p0 Char"/>
    <w:link w:val="132"/>
    <w:qFormat/>
    <w:uiPriority w:val="0"/>
    <w:rPr>
      <w:rFonts w:eastAsia="宋体"/>
      <w:sz w:val="21"/>
      <w:szCs w:val="21"/>
      <w:lang w:val="en-US" w:eastAsia="zh-CN" w:bidi="ar-SA"/>
    </w:rPr>
  </w:style>
  <w:style w:type="paragraph" w:customStyle="1" w:styleId="132">
    <w:name w:val="p0"/>
    <w:basedOn w:val="1"/>
    <w:link w:val="131"/>
    <w:qFormat/>
    <w:uiPriority w:val="0"/>
    <w:pPr>
      <w:widowControl/>
    </w:pPr>
    <w:rPr>
      <w:kern w:val="0"/>
      <w:szCs w:val="21"/>
    </w:rPr>
  </w:style>
  <w:style w:type="character" w:customStyle="1" w:styleId="133">
    <w:name w:val="Font Style104"/>
    <w:unhideWhenUsed/>
    <w:qFormat/>
    <w:uiPriority w:val="0"/>
    <w:rPr>
      <w:rFonts w:hint="eastAsia" w:ascii="宋体" w:hAnsi="宋体" w:eastAsia="宋体"/>
      <w:spacing w:val="30"/>
      <w:sz w:val="18"/>
    </w:rPr>
  </w:style>
  <w:style w:type="character" w:customStyle="1" w:styleId="134">
    <w:name w:val="desc"/>
    <w:qFormat/>
    <w:uiPriority w:val="0"/>
    <w:rPr>
      <w:rFonts w:ascii="Times New Roman" w:hAnsi="Times New Roman" w:eastAsia="宋体"/>
      <w:color w:val="000000"/>
      <w:sz w:val="18"/>
      <w:szCs w:val="18"/>
    </w:rPr>
  </w:style>
  <w:style w:type="character" w:customStyle="1" w:styleId="135">
    <w:name w:val="标题 5 Char1"/>
    <w:link w:val="9"/>
    <w:qFormat/>
    <w:uiPriority w:val="0"/>
    <w:rPr>
      <w:rFonts w:eastAsia="宋体"/>
      <w:b/>
      <w:bCs/>
      <w:sz w:val="28"/>
      <w:szCs w:val="28"/>
      <w:lang w:val="en-US" w:eastAsia="zh-CN" w:bidi="ar-SA"/>
    </w:rPr>
  </w:style>
  <w:style w:type="character" w:customStyle="1" w:styleId="136">
    <w:name w:val="bds_more10"/>
    <w:qFormat/>
    <w:uiPriority w:val="0"/>
    <w:rPr>
      <w:rFonts w:ascii="Times New Roman" w:hAnsi="Times New Roman" w:eastAsia="宋体"/>
    </w:rPr>
  </w:style>
  <w:style w:type="character" w:customStyle="1" w:styleId="137">
    <w:name w:val="Font Style131"/>
    <w:unhideWhenUsed/>
    <w:qFormat/>
    <w:uiPriority w:val="0"/>
    <w:rPr>
      <w:rFonts w:hint="eastAsia" w:ascii="Times New Roman" w:hAnsi="Times New Roman" w:eastAsia="Times New Roman"/>
      <w:sz w:val="18"/>
    </w:rPr>
  </w:style>
  <w:style w:type="character" w:customStyle="1" w:styleId="138">
    <w:name w:val="批注文字 Char"/>
    <w:qFormat/>
    <w:uiPriority w:val="0"/>
    <w:rPr>
      <w:kern w:val="2"/>
      <w:sz w:val="21"/>
      <w:szCs w:val="24"/>
    </w:rPr>
  </w:style>
  <w:style w:type="character" w:customStyle="1" w:styleId="139">
    <w:name w:val="bds_more8"/>
    <w:qFormat/>
    <w:uiPriority w:val="0"/>
    <w:rPr>
      <w:rFonts w:ascii="Times New Roman" w:hAnsi="Times New Roman" w:eastAsia="宋体"/>
    </w:rPr>
  </w:style>
  <w:style w:type="character" w:customStyle="1" w:styleId="140">
    <w:name w:val="批注文字 Char Char"/>
    <w:qFormat/>
    <w:uiPriority w:val="0"/>
    <w:rPr>
      <w:kern w:val="2"/>
      <w:sz w:val="21"/>
      <w:szCs w:val="24"/>
      <w:lang w:bidi="ar-SA"/>
    </w:rPr>
  </w:style>
  <w:style w:type="character" w:customStyle="1" w:styleId="141">
    <w:name w:val="Font Style115"/>
    <w:unhideWhenUsed/>
    <w:qFormat/>
    <w:uiPriority w:val="0"/>
    <w:rPr>
      <w:rFonts w:hint="eastAsia" w:ascii="Times New Roman" w:hAnsi="Times New Roman" w:eastAsia="Times New Roman"/>
      <w:sz w:val="16"/>
    </w:rPr>
  </w:style>
  <w:style w:type="character" w:customStyle="1" w:styleId="142">
    <w:name w:val="bds_nopic"/>
    <w:qFormat/>
    <w:uiPriority w:val="0"/>
    <w:rPr>
      <w:rFonts w:ascii="Times New Roman" w:hAnsi="Times New Roman" w:eastAsia="宋体"/>
    </w:rPr>
  </w:style>
  <w:style w:type="character" w:customStyle="1" w:styleId="143">
    <w:name w:val="Font Style105"/>
    <w:unhideWhenUsed/>
    <w:qFormat/>
    <w:uiPriority w:val="0"/>
    <w:rPr>
      <w:rFonts w:hint="eastAsia" w:ascii="Times New Roman" w:hAnsi="Times New Roman" w:eastAsia="Times New Roman"/>
      <w:w w:val="60"/>
      <w:sz w:val="26"/>
    </w:rPr>
  </w:style>
  <w:style w:type="character" w:customStyle="1" w:styleId="144">
    <w:name w:val="标题 Char1"/>
    <w:qFormat/>
    <w:uiPriority w:val="0"/>
    <w:rPr>
      <w:rFonts w:ascii="Cambria" w:hAnsi="Cambria" w:eastAsia="宋体" w:cs="Times New Roman"/>
      <w:b/>
      <w:bCs/>
      <w:sz w:val="32"/>
      <w:szCs w:val="32"/>
    </w:rPr>
  </w:style>
  <w:style w:type="character" w:customStyle="1" w:styleId="145">
    <w:name w:val="纯文本 Char"/>
    <w:link w:val="25"/>
    <w:qFormat/>
    <w:locked/>
    <w:uiPriority w:val="0"/>
    <w:rPr>
      <w:rFonts w:ascii="宋体" w:hAnsi="Courier New" w:eastAsia="宋体" w:cs="Courier New"/>
      <w:kern w:val="2"/>
      <w:sz w:val="21"/>
      <w:szCs w:val="21"/>
      <w:lang w:val="en-US" w:eastAsia="zh-CN" w:bidi="ar-SA"/>
    </w:rPr>
  </w:style>
  <w:style w:type="character" w:customStyle="1" w:styleId="146">
    <w:name w:val="Font Style90"/>
    <w:unhideWhenUsed/>
    <w:qFormat/>
    <w:uiPriority w:val="0"/>
    <w:rPr>
      <w:rFonts w:hint="eastAsia" w:ascii="宋体" w:hAnsi="宋体" w:eastAsia="宋体"/>
      <w:b/>
      <w:spacing w:val="-20"/>
      <w:sz w:val="40"/>
    </w:rPr>
  </w:style>
  <w:style w:type="character" w:customStyle="1" w:styleId="147">
    <w:name w:val="Font Style134"/>
    <w:unhideWhenUsed/>
    <w:qFormat/>
    <w:uiPriority w:val="0"/>
    <w:rPr>
      <w:rFonts w:hint="eastAsia" w:ascii="宋体" w:hAnsi="宋体" w:eastAsia="宋体"/>
      <w:spacing w:val="20"/>
      <w:sz w:val="22"/>
    </w:rPr>
  </w:style>
  <w:style w:type="character" w:customStyle="1" w:styleId="148">
    <w:name w:val="Char Char6"/>
    <w:qFormat/>
    <w:uiPriority w:val="0"/>
    <w:rPr>
      <w:rFonts w:ascii="Arial" w:hAnsi="Arial" w:eastAsia="黑体"/>
      <w:sz w:val="24"/>
      <w:szCs w:val="24"/>
      <w:lang w:val="en-US" w:eastAsia="zh-CN" w:bidi="ar-SA"/>
    </w:rPr>
  </w:style>
  <w:style w:type="character" w:customStyle="1" w:styleId="149">
    <w:name w:val="标题 4 Char1"/>
    <w:link w:val="8"/>
    <w:qFormat/>
    <w:uiPriority w:val="0"/>
    <w:rPr>
      <w:rFonts w:ascii="Arial" w:hAnsi="Arial" w:eastAsia="黑体"/>
      <w:b/>
      <w:bCs/>
      <w:kern w:val="2"/>
      <w:sz w:val="28"/>
      <w:szCs w:val="28"/>
      <w:lang w:val="en-US" w:eastAsia="zh-CN" w:bidi="ar-SA"/>
    </w:rPr>
  </w:style>
  <w:style w:type="character" w:customStyle="1" w:styleId="150">
    <w:name w:val="批注主题 Char"/>
    <w:qFormat/>
    <w:uiPriority w:val="0"/>
    <w:rPr>
      <w:b/>
      <w:bCs/>
      <w:kern w:val="2"/>
      <w:sz w:val="21"/>
      <w:szCs w:val="24"/>
    </w:rPr>
  </w:style>
  <w:style w:type="character" w:customStyle="1" w:styleId="151">
    <w:name w:val="样式2 Char Char"/>
    <w:qFormat/>
    <w:uiPriority w:val="0"/>
    <w:rPr>
      <w:rFonts w:eastAsia="宋体"/>
      <w:kern w:val="2"/>
      <w:sz w:val="18"/>
      <w:szCs w:val="18"/>
      <w:lang w:val="en-US" w:eastAsia="zh-CN" w:bidi="ar-SA"/>
    </w:rPr>
  </w:style>
  <w:style w:type="character" w:customStyle="1" w:styleId="152">
    <w:name w:val="bds_nopic2"/>
    <w:qFormat/>
    <w:uiPriority w:val="0"/>
    <w:rPr>
      <w:rFonts w:ascii="Times New Roman" w:hAnsi="Times New Roman" w:eastAsia="宋体"/>
    </w:rPr>
  </w:style>
  <w:style w:type="character" w:customStyle="1" w:styleId="153">
    <w:name w:val="页脚 Char1"/>
    <w:link w:val="30"/>
    <w:qFormat/>
    <w:uiPriority w:val="0"/>
    <w:rPr>
      <w:rFonts w:eastAsia="宋体"/>
      <w:kern w:val="2"/>
      <w:sz w:val="18"/>
      <w:szCs w:val="18"/>
      <w:lang w:val="en-US" w:eastAsia="zh-CN" w:bidi="ar-SA"/>
    </w:rPr>
  </w:style>
  <w:style w:type="paragraph" w:customStyle="1" w:styleId="154">
    <w:name w:val="列出段落1"/>
    <w:basedOn w:val="1"/>
    <w:qFormat/>
    <w:uiPriority w:val="34"/>
    <w:pPr>
      <w:ind w:firstLine="420" w:firstLineChars="200"/>
    </w:pPr>
  </w:style>
  <w:style w:type="paragraph" w:customStyle="1" w:styleId="155">
    <w:name w:val="Style54"/>
    <w:basedOn w:val="1"/>
    <w:unhideWhenUsed/>
    <w:qFormat/>
    <w:uiPriority w:val="0"/>
  </w:style>
  <w:style w:type="paragraph" w:customStyle="1" w:styleId="15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Style50"/>
    <w:basedOn w:val="1"/>
    <w:unhideWhenUsed/>
    <w:qFormat/>
    <w:uiPriority w:val="0"/>
  </w:style>
  <w:style w:type="paragraph" w:customStyle="1" w:styleId="159">
    <w:name w:val="Char Char1 Char Char Char Char Char1 Char Char Char Char"/>
    <w:basedOn w:val="16"/>
    <w:qFormat/>
    <w:uiPriority w:val="0"/>
    <w:rPr>
      <w:rFonts w:ascii="Tahoma" w:hAnsi="Tahoma"/>
    </w:rPr>
  </w:style>
  <w:style w:type="paragraph" w:customStyle="1" w:styleId="160">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Style21"/>
    <w:basedOn w:val="1"/>
    <w:unhideWhenUsed/>
    <w:qFormat/>
    <w:uiPriority w:val="0"/>
    <w:pPr>
      <w:spacing w:line="566" w:lineRule="exact"/>
      <w:ind w:firstLine="682"/>
    </w:pPr>
  </w:style>
  <w:style w:type="paragraph" w:customStyle="1" w:styleId="162">
    <w:name w:val="Style42"/>
    <w:basedOn w:val="1"/>
    <w:unhideWhenUsed/>
    <w:qFormat/>
    <w:uiPriority w:val="0"/>
    <w:pPr>
      <w:spacing w:line="542" w:lineRule="exact"/>
      <w:ind w:firstLine="547"/>
    </w:pPr>
  </w:style>
  <w:style w:type="paragraph" w:customStyle="1" w:styleId="163">
    <w:name w:val="Style34"/>
    <w:basedOn w:val="1"/>
    <w:unhideWhenUsed/>
    <w:qFormat/>
    <w:uiPriority w:val="0"/>
    <w:pPr>
      <w:spacing w:line="375" w:lineRule="exact"/>
    </w:pPr>
  </w:style>
  <w:style w:type="paragraph" w:customStyle="1" w:styleId="164">
    <w:name w:val="Style56"/>
    <w:basedOn w:val="1"/>
    <w:unhideWhenUsed/>
    <w:qFormat/>
    <w:uiPriority w:val="0"/>
  </w:style>
  <w:style w:type="paragraph" w:customStyle="1" w:styleId="165">
    <w:name w:val="Style9"/>
    <w:basedOn w:val="1"/>
    <w:unhideWhenUsed/>
    <w:qFormat/>
    <w:uiPriority w:val="0"/>
  </w:style>
  <w:style w:type="paragraph" w:customStyle="1" w:styleId="1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7">
    <w:name w:val="样式 标题 2 + 宋体 五号 行距: 单倍行距"/>
    <w:basedOn w:val="6"/>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68">
    <w:name w:val="Style48"/>
    <w:basedOn w:val="1"/>
    <w:unhideWhenUsed/>
    <w:qFormat/>
    <w:uiPriority w:val="0"/>
    <w:pPr>
      <w:spacing w:line="542" w:lineRule="exact"/>
      <w:jc w:val="right"/>
    </w:pPr>
  </w:style>
  <w:style w:type="paragraph" w:customStyle="1" w:styleId="169">
    <w:name w:val="Char Char1 Char Char Char Char Char Char Char"/>
    <w:basedOn w:val="1"/>
    <w:qFormat/>
    <w:uiPriority w:val="0"/>
    <w:pPr>
      <w:widowControl/>
      <w:spacing w:after="160" w:line="240" w:lineRule="exact"/>
      <w:jc w:val="left"/>
    </w:pPr>
  </w:style>
  <w:style w:type="paragraph" w:customStyle="1" w:styleId="170">
    <w:name w:val="Style26"/>
    <w:basedOn w:val="1"/>
    <w:unhideWhenUsed/>
    <w:qFormat/>
    <w:uiPriority w:val="0"/>
  </w:style>
  <w:style w:type="paragraph" w:customStyle="1" w:styleId="171">
    <w:name w:val="Style62"/>
    <w:basedOn w:val="1"/>
    <w:unhideWhenUsed/>
    <w:qFormat/>
    <w:uiPriority w:val="0"/>
  </w:style>
  <w:style w:type="paragraph" w:customStyle="1" w:styleId="172">
    <w:name w:val="Style76"/>
    <w:basedOn w:val="1"/>
    <w:unhideWhenUsed/>
    <w:qFormat/>
    <w:uiPriority w:val="0"/>
  </w:style>
  <w:style w:type="paragraph" w:customStyle="1" w:styleId="173">
    <w:name w:val="Style64"/>
    <w:basedOn w:val="1"/>
    <w:unhideWhenUsed/>
    <w:qFormat/>
    <w:uiPriority w:val="0"/>
  </w:style>
  <w:style w:type="paragraph" w:customStyle="1" w:styleId="174">
    <w:name w:val="Style16"/>
    <w:basedOn w:val="1"/>
    <w:unhideWhenUsed/>
    <w:qFormat/>
    <w:uiPriority w:val="0"/>
    <w:pPr>
      <w:jc w:val="right"/>
    </w:pPr>
  </w:style>
  <w:style w:type="paragraph" w:customStyle="1" w:styleId="175">
    <w:name w:val="1"/>
    <w:basedOn w:val="1"/>
    <w:qFormat/>
    <w:uiPriority w:val="0"/>
    <w:pPr>
      <w:spacing w:afterLines="50" w:line="360" w:lineRule="auto"/>
    </w:pPr>
    <w:rPr>
      <w:rFonts w:ascii="宋体" w:hAnsi="宋体"/>
      <w:b/>
      <w:sz w:val="30"/>
      <w:szCs w:val="21"/>
    </w:rPr>
  </w:style>
  <w:style w:type="paragraph" w:customStyle="1" w:styleId="176">
    <w:name w:val="Style60"/>
    <w:basedOn w:val="1"/>
    <w:unhideWhenUsed/>
    <w:qFormat/>
    <w:uiPriority w:val="0"/>
    <w:pPr>
      <w:spacing w:line="566" w:lineRule="exact"/>
    </w:pPr>
  </w:style>
  <w:style w:type="paragraph" w:customStyle="1" w:styleId="177">
    <w:name w:val="Style71"/>
    <w:basedOn w:val="1"/>
    <w:unhideWhenUsed/>
    <w:qFormat/>
    <w:uiPriority w:val="0"/>
    <w:pPr>
      <w:spacing w:line="538" w:lineRule="exact"/>
      <w:ind w:firstLine="101"/>
    </w:pPr>
  </w:style>
  <w:style w:type="paragraph" w:customStyle="1" w:styleId="178">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79">
    <w:name w:val="正文文本缩进 3 New New"/>
    <w:basedOn w:val="1"/>
    <w:qFormat/>
    <w:uiPriority w:val="0"/>
    <w:pPr>
      <w:spacing w:line="400" w:lineRule="exact"/>
      <w:ind w:left="2" w:leftChars="1"/>
    </w:pPr>
    <w:rPr>
      <w:rFonts w:ascii="宋体" w:hAnsi="宋体"/>
    </w:rPr>
  </w:style>
  <w:style w:type="paragraph" w:customStyle="1" w:styleId="180">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
    <w:name w:val="Style11"/>
    <w:basedOn w:val="1"/>
    <w:unhideWhenUsed/>
    <w:qFormat/>
    <w:uiPriority w:val="0"/>
    <w:pPr>
      <w:spacing w:line="559" w:lineRule="exact"/>
      <w:ind w:firstLine="590"/>
    </w:pPr>
  </w:style>
  <w:style w:type="paragraph" w:customStyle="1" w:styleId="182">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83">
    <w:name w:val="附录标识"/>
    <w:basedOn w:val="184"/>
    <w:qFormat/>
    <w:uiPriority w:val="0"/>
    <w:pPr>
      <w:tabs>
        <w:tab w:val="left" w:pos="360"/>
        <w:tab w:val="left" w:pos="720"/>
        <w:tab w:val="left" w:pos="6405"/>
      </w:tabs>
      <w:spacing w:after="200"/>
    </w:pPr>
    <w:rPr>
      <w:sz w:val="21"/>
    </w:rPr>
  </w:style>
  <w:style w:type="paragraph" w:customStyle="1" w:styleId="184">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85">
    <w:name w:val="默认段落字体 Para Char Char Char Char Char Char Char Char Char Char Char Char Char Char Char Char Char Char Char"/>
    <w:basedOn w:val="1"/>
    <w:qFormat/>
    <w:uiPriority w:val="0"/>
  </w:style>
  <w:style w:type="paragraph" w:customStyle="1" w:styleId="186">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7">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8">
    <w:name w:val="Style15"/>
    <w:basedOn w:val="1"/>
    <w:unhideWhenUsed/>
    <w:qFormat/>
    <w:uiPriority w:val="0"/>
    <w:pPr>
      <w:spacing w:line="557" w:lineRule="exact"/>
      <w:ind w:firstLine="672"/>
    </w:pPr>
  </w:style>
  <w:style w:type="paragraph" w:customStyle="1" w:styleId="189">
    <w:name w:val="Style8"/>
    <w:basedOn w:val="1"/>
    <w:unhideWhenUsed/>
    <w:qFormat/>
    <w:uiPriority w:val="0"/>
    <w:pPr>
      <w:spacing w:line="566" w:lineRule="exact"/>
      <w:jc w:val="center"/>
    </w:pPr>
  </w:style>
  <w:style w:type="paragraph" w:customStyle="1" w:styleId="190">
    <w:name w:val="Style13"/>
    <w:basedOn w:val="1"/>
    <w:unhideWhenUsed/>
    <w:qFormat/>
    <w:uiPriority w:val="0"/>
  </w:style>
  <w:style w:type="paragraph" w:customStyle="1" w:styleId="191">
    <w:name w:val="Style52"/>
    <w:basedOn w:val="1"/>
    <w:unhideWhenUsed/>
    <w:qFormat/>
    <w:uiPriority w:val="0"/>
    <w:pPr>
      <w:spacing w:line="682" w:lineRule="exact"/>
      <w:ind w:firstLine="557"/>
    </w:pPr>
  </w:style>
  <w:style w:type="paragraph" w:customStyle="1" w:styleId="192">
    <w:name w:val="Style28"/>
    <w:basedOn w:val="1"/>
    <w:unhideWhenUsed/>
    <w:qFormat/>
    <w:uiPriority w:val="0"/>
    <w:pPr>
      <w:spacing w:line="552" w:lineRule="exact"/>
      <w:ind w:firstLine="547"/>
    </w:pPr>
  </w:style>
  <w:style w:type="paragraph" w:customStyle="1" w:styleId="193">
    <w:name w:val="Style27"/>
    <w:basedOn w:val="1"/>
    <w:unhideWhenUsed/>
    <w:qFormat/>
    <w:uiPriority w:val="0"/>
  </w:style>
  <w:style w:type="paragraph" w:customStyle="1" w:styleId="194">
    <w:name w:val="Style70"/>
    <w:basedOn w:val="1"/>
    <w:unhideWhenUsed/>
    <w:qFormat/>
    <w:uiPriority w:val="0"/>
    <w:pPr>
      <w:spacing w:line="549" w:lineRule="exact"/>
      <w:ind w:firstLine="686"/>
    </w:pPr>
  </w:style>
  <w:style w:type="paragraph" w:customStyle="1" w:styleId="195">
    <w:name w:val="表格内容"/>
    <w:basedOn w:val="20"/>
    <w:qFormat/>
    <w:uiPriority w:val="0"/>
    <w:pPr>
      <w:suppressLineNumbers/>
      <w:suppressAutoHyphens/>
      <w:jc w:val="left"/>
    </w:pPr>
    <w:rPr>
      <w:rFonts w:cs="Tahoma"/>
      <w:kern w:val="0"/>
      <w:sz w:val="24"/>
    </w:rPr>
  </w:style>
  <w:style w:type="paragraph" w:customStyle="1" w:styleId="196">
    <w:name w:val="Style23"/>
    <w:basedOn w:val="1"/>
    <w:unhideWhenUsed/>
    <w:qFormat/>
    <w:uiPriority w:val="0"/>
  </w:style>
  <w:style w:type="paragraph" w:customStyle="1" w:styleId="197">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Char1 Char Char Char 字元 Char Char 字元 Char 字元 Char1 Char Char Char"/>
    <w:basedOn w:val="1"/>
    <w:qFormat/>
    <w:uiPriority w:val="0"/>
    <w:rPr>
      <w:szCs w:val="20"/>
    </w:rPr>
  </w:style>
  <w:style w:type="paragraph" w:customStyle="1" w:styleId="199">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0">
    <w:name w:val="Style58"/>
    <w:basedOn w:val="1"/>
    <w:unhideWhenUsed/>
    <w:qFormat/>
    <w:uiPriority w:val="0"/>
    <w:pPr>
      <w:spacing w:line="413" w:lineRule="exact"/>
    </w:pPr>
  </w:style>
  <w:style w:type="paragraph" w:customStyle="1" w:styleId="201">
    <w:name w:val="Style36"/>
    <w:basedOn w:val="1"/>
    <w:unhideWhenUsed/>
    <w:qFormat/>
    <w:uiPriority w:val="0"/>
  </w:style>
  <w:style w:type="paragraph" w:customStyle="1" w:styleId="20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03">
    <w:name w:val="Style81"/>
    <w:basedOn w:val="1"/>
    <w:unhideWhenUsed/>
    <w:qFormat/>
    <w:uiPriority w:val="0"/>
    <w:pPr>
      <w:spacing w:line="547" w:lineRule="exact"/>
    </w:pPr>
  </w:style>
  <w:style w:type="paragraph" w:customStyle="1" w:styleId="204">
    <w:name w:val="Style72"/>
    <w:basedOn w:val="1"/>
    <w:unhideWhenUsed/>
    <w:qFormat/>
    <w:uiPriority w:val="0"/>
  </w:style>
  <w:style w:type="paragraph" w:customStyle="1" w:styleId="205">
    <w:name w:val="Style4"/>
    <w:basedOn w:val="1"/>
    <w:unhideWhenUsed/>
    <w:qFormat/>
    <w:uiPriority w:val="0"/>
  </w:style>
  <w:style w:type="paragraph" w:customStyle="1" w:styleId="206">
    <w:name w:val="Style74"/>
    <w:basedOn w:val="1"/>
    <w:unhideWhenUsed/>
    <w:qFormat/>
    <w:uiPriority w:val="0"/>
    <w:pPr>
      <w:spacing w:line="437" w:lineRule="exact"/>
    </w:pPr>
  </w:style>
  <w:style w:type="paragraph" w:customStyle="1" w:styleId="207">
    <w:name w:val="Style78"/>
    <w:basedOn w:val="1"/>
    <w:unhideWhenUsed/>
    <w:qFormat/>
    <w:uiPriority w:val="0"/>
  </w:style>
  <w:style w:type="paragraph" w:customStyle="1" w:styleId="208">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209">
    <w:name w:val="Style45"/>
    <w:basedOn w:val="1"/>
    <w:unhideWhenUsed/>
    <w:qFormat/>
    <w:uiPriority w:val="0"/>
  </w:style>
  <w:style w:type="paragraph" w:customStyle="1" w:styleId="210">
    <w:name w:val="Style24"/>
    <w:basedOn w:val="1"/>
    <w:unhideWhenUsed/>
    <w:qFormat/>
    <w:uiPriority w:val="0"/>
  </w:style>
  <w:style w:type="paragraph" w:customStyle="1" w:styleId="211">
    <w:name w:val="Style41"/>
    <w:basedOn w:val="1"/>
    <w:unhideWhenUsed/>
    <w:qFormat/>
    <w:uiPriority w:val="0"/>
    <w:pPr>
      <w:spacing w:line="542" w:lineRule="exact"/>
      <w:ind w:firstLine="125"/>
    </w:pPr>
  </w:style>
  <w:style w:type="paragraph" w:customStyle="1" w:styleId="212">
    <w:name w:val="Style10"/>
    <w:basedOn w:val="1"/>
    <w:unhideWhenUsed/>
    <w:qFormat/>
    <w:uiPriority w:val="0"/>
    <w:pPr>
      <w:spacing w:line="538" w:lineRule="exact"/>
    </w:pPr>
  </w:style>
  <w:style w:type="paragraph" w:customStyle="1" w:styleId="213">
    <w:name w:val="Char1 Char Char Char Char Char Char Char Char Char"/>
    <w:basedOn w:val="1"/>
    <w:qFormat/>
    <w:uiPriority w:val="0"/>
    <w:rPr>
      <w:szCs w:val="20"/>
    </w:rPr>
  </w:style>
  <w:style w:type="paragraph" w:customStyle="1" w:styleId="214">
    <w:name w:val="修订1"/>
    <w:qFormat/>
    <w:uiPriority w:val="0"/>
    <w:rPr>
      <w:rFonts w:ascii="Times New Roman" w:hAnsi="Times New Roman" w:eastAsia="宋体" w:cs="Times New Roman"/>
      <w:kern w:val="2"/>
      <w:sz w:val="21"/>
      <w:szCs w:val="24"/>
      <w:lang w:val="en-US" w:eastAsia="zh-CN" w:bidi="ar-SA"/>
    </w:rPr>
  </w:style>
  <w:style w:type="paragraph" w:customStyle="1" w:styleId="215">
    <w:name w:val="Style63"/>
    <w:basedOn w:val="1"/>
    <w:unhideWhenUsed/>
    <w:qFormat/>
    <w:uiPriority w:val="0"/>
    <w:pPr>
      <w:spacing w:line="564" w:lineRule="exact"/>
      <w:ind w:firstLine="682"/>
    </w:pPr>
  </w:style>
  <w:style w:type="paragraph" w:customStyle="1" w:styleId="216">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17">
    <w:name w:val="Style77"/>
    <w:basedOn w:val="1"/>
    <w:unhideWhenUsed/>
    <w:qFormat/>
    <w:uiPriority w:val="0"/>
  </w:style>
  <w:style w:type="paragraph" w:customStyle="1" w:styleId="218">
    <w:name w:val="Char Char1 Char Char Char"/>
    <w:basedOn w:val="1"/>
    <w:qFormat/>
    <w:uiPriority w:val="0"/>
    <w:rPr>
      <w:kern w:val="0"/>
      <w:sz w:val="20"/>
      <w:szCs w:val="20"/>
    </w:rPr>
  </w:style>
  <w:style w:type="paragraph" w:customStyle="1" w:styleId="219">
    <w:name w:val="列出段落2"/>
    <w:basedOn w:val="1"/>
    <w:qFormat/>
    <w:uiPriority w:val="0"/>
    <w:pPr>
      <w:ind w:firstLine="420" w:firstLineChars="200"/>
    </w:pPr>
    <w:rPr>
      <w:rFonts w:ascii="Calibri" w:hAnsi="Calibri" w:cs="Calibri"/>
      <w:szCs w:val="21"/>
    </w:rPr>
  </w:style>
  <w:style w:type="paragraph" w:customStyle="1" w:styleId="220">
    <w:name w:val="Style59"/>
    <w:basedOn w:val="1"/>
    <w:unhideWhenUsed/>
    <w:qFormat/>
    <w:uiPriority w:val="0"/>
  </w:style>
  <w:style w:type="paragraph" w:customStyle="1" w:styleId="221">
    <w:name w:val="Style73"/>
    <w:basedOn w:val="1"/>
    <w:unhideWhenUsed/>
    <w:qFormat/>
    <w:uiPriority w:val="0"/>
    <w:pPr>
      <w:spacing w:line="538" w:lineRule="exact"/>
      <w:ind w:firstLine="533"/>
    </w:pPr>
  </w:style>
  <w:style w:type="paragraph" w:customStyle="1" w:styleId="222">
    <w:name w:val="列出段落3"/>
    <w:basedOn w:val="1"/>
    <w:qFormat/>
    <w:uiPriority w:val="34"/>
    <w:pPr>
      <w:ind w:firstLine="420" w:firstLineChars="200"/>
    </w:pPr>
    <w:rPr>
      <w:rFonts w:ascii="Calibri" w:hAnsi="Calibri"/>
      <w:szCs w:val="22"/>
    </w:rPr>
  </w:style>
  <w:style w:type="paragraph" w:customStyle="1" w:styleId="223">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24">
    <w:name w:val="Style44"/>
    <w:basedOn w:val="1"/>
    <w:unhideWhenUsed/>
    <w:qFormat/>
    <w:uiPriority w:val="0"/>
  </w:style>
  <w:style w:type="paragraph" w:customStyle="1" w:styleId="225">
    <w:name w:val="Style5"/>
    <w:basedOn w:val="1"/>
    <w:unhideWhenUsed/>
    <w:qFormat/>
    <w:uiPriority w:val="0"/>
  </w:style>
  <w:style w:type="paragraph" w:customStyle="1" w:styleId="226">
    <w:name w:val="Char Char Char"/>
    <w:basedOn w:val="1"/>
    <w:qFormat/>
    <w:uiPriority w:val="0"/>
    <w:rPr>
      <w:rFonts w:ascii="宋体" w:hAnsi="宋体"/>
      <w:b/>
      <w:sz w:val="28"/>
      <w:szCs w:val="28"/>
    </w:rPr>
  </w:style>
  <w:style w:type="paragraph" w:customStyle="1" w:styleId="227">
    <w:name w:val="Style46"/>
    <w:basedOn w:val="1"/>
    <w:unhideWhenUsed/>
    <w:qFormat/>
    <w:uiPriority w:val="0"/>
    <w:pPr>
      <w:spacing w:line="672" w:lineRule="exact"/>
    </w:pPr>
  </w:style>
  <w:style w:type="paragraph" w:customStyle="1" w:styleId="228">
    <w:name w:val="Style29"/>
    <w:basedOn w:val="1"/>
    <w:unhideWhenUsed/>
    <w:qFormat/>
    <w:uiPriority w:val="0"/>
    <w:pPr>
      <w:spacing w:line="547" w:lineRule="exact"/>
      <w:ind w:firstLine="547"/>
    </w:pPr>
  </w:style>
  <w:style w:type="paragraph" w:customStyle="1" w:styleId="229">
    <w:name w:val="Char1 Char Char Char"/>
    <w:basedOn w:val="1"/>
    <w:qFormat/>
    <w:uiPriority w:val="0"/>
    <w:pPr>
      <w:widowControl/>
      <w:spacing w:after="160" w:line="240" w:lineRule="exact"/>
      <w:jc w:val="left"/>
    </w:pPr>
    <w:rPr>
      <w:kern w:val="0"/>
      <w:sz w:val="24"/>
      <w:szCs w:val="20"/>
    </w:rPr>
  </w:style>
  <w:style w:type="paragraph" w:customStyle="1" w:styleId="230">
    <w:name w:val="Style47"/>
    <w:basedOn w:val="1"/>
    <w:unhideWhenUsed/>
    <w:qFormat/>
    <w:uiPriority w:val="0"/>
  </w:style>
  <w:style w:type="paragraph" w:customStyle="1" w:styleId="231">
    <w:name w:val="Style80"/>
    <w:basedOn w:val="1"/>
    <w:unhideWhenUsed/>
    <w:qFormat/>
    <w:uiPriority w:val="0"/>
  </w:style>
  <w:style w:type="paragraph" w:customStyle="1" w:styleId="232">
    <w:name w:val="Style67"/>
    <w:basedOn w:val="1"/>
    <w:unhideWhenUsed/>
    <w:qFormat/>
    <w:uiPriority w:val="0"/>
    <w:pPr>
      <w:spacing w:line="566" w:lineRule="exact"/>
      <w:ind w:firstLine="552"/>
    </w:pPr>
  </w:style>
  <w:style w:type="paragraph" w:customStyle="1" w:styleId="233">
    <w:name w:val="Style53"/>
    <w:basedOn w:val="1"/>
    <w:unhideWhenUsed/>
    <w:qFormat/>
    <w:uiPriority w:val="0"/>
    <w:pPr>
      <w:spacing w:line="533" w:lineRule="exact"/>
      <w:ind w:firstLine="581"/>
    </w:pPr>
  </w:style>
  <w:style w:type="paragraph" w:customStyle="1" w:styleId="234">
    <w:name w:val="标题3"/>
    <w:basedOn w:val="5"/>
    <w:qFormat/>
    <w:uiPriority w:val="0"/>
    <w:pPr>
      <w:spacing w:beforeLines="50" w:afterLines="50" w:line="400" w:lineRule="exact"/>
      <w:jc w:val="both"/>
    </w:pPr>
    <w:rPr>
      <w:rFonts w:ascii="宋体" w:hAnsi="宋体"/>
      <w:kern w:val="32"/>
      <w:szCs w:val="32"/>
    </w:rPr>
  </w:style>
  <w:style w:type="paragraph" w:customStyle="1" w:styleId="235">
    <w:name w:val="1 Char Char Char Char"/>
    <w:basedOn w:val="1"/>
    <w:qFormat/>
    <w:uiPriority w:val="0"/>
  </w:style>
  <w:style w:type="paragraph" w:customStyle="1" w:styleId="236">
    <w:name w:val="Style65"/>
    <w:basedOn w:val="1"/>
    <w:unhideWhenUsed/>
    <w:qFormat/>
    <w:uiPriority w:val="0"/>
  </w:style>
  <w:style w:type="paragraph" w:customStyle="1" w:styleId="237">
    <w:name w:val="NO3"/>
    <w:basedOn w:val="1"/>
    <w:qFormat/>
    <w:uiPriority w:val="0"/>
    <w:pPr>
      <w:tabs>
        <w:tab w:val="left" w:pos="907"/>
      </w:tabs>
      <w:spacing w:line="360" w:lineRule="auto"/>
    </w:pPr>
    <w:rPr>
      <w:rFonts w:ascii="宋体" w:hAnsi="宋体"/>
      <w:sz w:val="24"/>
    </w:rPr>
  </w:style>
  <w:style w:type="paragraph" w:customStyle="1" w:styleId="238">
    <w:name w:val="_Style 39"/>
    <w:basedOn w:val="197"/>
    <w:qFormat/>
    <w:uiPriority w:val="0"/>
  </w:style>
  <w:style w:type="paragraph" w:customStyle="1" w:styleId="239">
    <w:name w:val="Char2"/>
    <w:basedOn w:val="1"/>
    <w:qFormat/>
    <w:uiPriority w:val="0"/>
    <w:pPr>
      <w:tabs>
        <w:tab w:val="left" w:pos="360"/>
      </w:tabs>
      <w:ind w:left="360" w:hanging="360" w:hangingChars="200"/>
    </w:pPr>
    <w:rPr>
      <w:sz w:val="24"/>
    </w:rPr>
  </w:style>
  <w:style w:type="paragraph" w:customStyle="1" w:styleId="240">
    <w:name w:val="p16"/>
    <w:basedOn w:val="1"/>
    <w:qFormat/>
    <w:uiPriority w:val="0"/>
    <w:pPr>
      <w:widowControl/>
      <w:jc w:val="left"/>
    </w:pPr>
    <w:rPr>
      <w:kern w:val="0"/>
      <w:szCs w:val="21"/>
    </w:rPr>
  </w:style>
  <w:style w:type="paragraph" w:customStyle="1" w:styleId="24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42">
    <w:name w:val="样式 标题 2 + Times New Roman 四号 非加粗 段前: 5 磅 段后: 0 磅 行距: 固定值 20..."/>
    <w:basedOn w:val="6"/>
    <w:qFormat/>
    <w:uiPriority w:val="0"/>
    <w:pPr>
      <w:spacing w:before="100" w:line="400" w:lineRule="exact"/>
    </w:pPr>
    <w:rPr>
      <w:rFonts w:ascii="Times New Roman" w:hAnsi="Times New Roman" w:eastAsia="黑体"/>
      <w:b w:val="0"/>
      <w:bCs w:val="0"/>
      <w:sz w:val="28"/>
      <w:szCs w:val="20"/>
    </w:rPr>
  </w:style>
  <w:style w:type="paragraph" w:customStyle="1" w:styleId="243">
    <w:name w:val="Style69"/>
    <w:basedOn w:val="1"/>
    <w:unhideWhenUsed/>
    <w:qFormat/>
    <w:uiPriority w:val="0"/>
    <w:pPr>
      <w:spacing w:line="557" w:lineRule="exact"/>
      <w:ind w:firstLine="1666"/>
    </w:pPr>
  </w:style>
  <w:style w:type="paragraph" w:customStyle="1" w:styleId="244">
    <w:name w:val="Style12"/>
    <w:basedOn w:val="1"/>
    <w:unhideWhenUsed/>
    <w:qFormat/>
    <w:uiPriority w:val="0"/>
    <w:pPr>
      <w:spacing w:line="564" w:lineRule="exact"/>
      <w:ind w:hanging="115"/>
    </w:pPr>
  </w:style>
  <w:style w:type="paragraph" w:customStyle="1" w:styleId="245">
    <w:name w:val="Style61"/>
    <w:basedOn w:val="1"/>
    <w:unhideWhenUsed/>
    <w:qFormat/>
    <w:uiPriority w:val="0"/>
  </w:style>
  <w:style w:type="paragraph" w:customStyle="1" w:styleId="246">
    <w:name w:val="标题2"/>
    <w:basedOn w:val="43"/>
    <w:qFormat/>
    <w:uiPriority w:val="0"/>
    <w:pPr>
      <w:spacing w:after="240"/>
      <w:jc w:val="left"/>
    </w:pPr>
    <w:rPr>
      <w:sz w:val="30"/>
    </w:rPr>
  </w:style>
  <w:style w:type="paragraph" w:customStyle="1" w:styleId="247">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48">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49">
    <w:name w:val="Style68"/>
    <w:basedOn w:val="1"/>
    <w:unhideWhenUsed/>
    <w:qFormat/>
    <w:uiPriority w:val="0"/>
    <w:pPr>
      <w:spacing w:line="547" w:lineRule="exact"/>
    </w:pPr>
  </w:style>
  <w:style w:type="paragraph" w:customStyle="1" w:styleId="250">
    <w:name w:val="标题 1 +"/>
    <w:basedOn w:val="5"/>
    <w:next w:val="1"/>
    <w:qFormat/>
    <w:uiPriority w:val="0"/>
    <w:pPr>
      <w:keepLines/>
      <w:spacing w:line="600" w:lineRule="auto"/>
    </w:pPr>
    <w:rPr>
      <w:rFonts w:eastAsia="黑体"/>
      <w:kern w:val="0"/>
      <w:sz w:val="32"/>
      <w:szCs w:val="32"/>
    </w:rPr>
  </w:style>
  <w:style w:type="character" w:customStyle="1" w:styleId="251">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252">
    <w:name w:val="font112"/>
    <w:basedOn w:val="47"/>
    <w:qFormat/>
    <w:uiPriority w:val="0"/>
    <w:rPr>
      <w:rFonts w:hint="default" w:ascii="Times New Roman" w:hAnsi="Times New Roman" w:cs="Times New Roman"/>
      <w:i/>
      <w:color w:val="000000"/>
      <w:sz w:val="20"/>
      <w:szCs w:val="20"/>
      <w:u w:val="none"/>
    </w:rPr>
  </w:style>
  <w:style w:type="character" w:customStyle="1" w:styleId="253">
    <w:name w:val="font101"/>
    <w:basedOn w:val="47"/>
    <w:qFormat/>
    <w:uiPriority w:val="0"/>
    <w:rPr>
      <w:rFonts w:hint="default" w:ascii="Times New Roman" w:hAnsi="Times New Roman" w:cs="Times New Roman"/>
      <w:color w:val="000000"/>
      <w:sz w:val="20"/>
      <w:szCs w:val="20"/>
      <w:u w:val="none"/>
    </w:rPr>
  </w:style>
  <w:style w:type="character" w:customStyle="1" w:styleId="254">
    <w:name w:val="font91"/>
    <w:basedOn w:val="47"/>
    <w:qFormat/>
    <w:uiPriority w:val="0"/>
    <w:rPr>
      <w:rFonts w:hint="eastAsia" w:ascii="宋体" w:hAnsi="宋体" w:eastAsia="宋体" w:cs="宋体"/>
      <w:color w:val="000000"/>
      <w:sz w:val="20"/>
      <w:szCs w:val="20"/>
      <w:u w:val="none"/>
    </w:rPr>
  </w:style>
  <w:style w:type="character" w:customStyle="1" w:styleId="255">
    <w:name w:val="l-btn-left"/>
    <w:basedOn w:val="47"/>
    <w:qFormat/>
    <w:uiPriority w:val="0"/>
  </w:style>
  <w:style w:type="character" w:customStyle="1" w:styleId="256">
    <w:name w:val="l-btn-left1"/>
    <w:basedOn w:val="47"/>
    <w:qFormat/>
    <w:uiPriority w:val="0"/>
  </w:style>
  <w:style w:type="character" w:customStyle="1" w:styleId="257">
    <w:name w:val="l-btn-left2"/>
    <w:basedOn w:val="47"/>
    <w:qFormat/>
    <w:uiPriority w:val="0"/>
  </w:style>
  <w:style w:type="character" w:customStyle="1" w:styleId="258">
    <w:name w:val="l-btn-left3"/>
    <w:basedOn w:val="47"/>
    <w:qFormat/>
    <w:uiPriority w:val="0"/>
  </w:style>
  <w:style w:type="character" w:customStyle="1" w:styleId="259">
    <w:name w:val="l-btn-text"/>
    <w:basedOn w:val="47"/>
    <w:qFormat/>
    <w:uiPriority w:val="0"/>
    <w:rPr>
      <w:sz w:val="18"/>
      <w:szCs w:val="18"/>
      <w:vertAlign w:val="baseline"/>
    </w:rPr>
  </w:style>
  <w:style w:type="character" w:customStyle="1" w:styleId="260">
    <w:name w:val="l-btn-icon-left"/>
    <w:basedOn w:val="47"/>
    <w:qFormat/>
    <w:uiPriority w:val="0"/>
  </w:style>
  <w:style w:type="character" w:customStyle="1" w:styleId="261">
    <w:name w:val="l-btn-icon-right"/>
    <w:basedOn w:val="47"/>
    <w:qFormat/>
    <w:uiPriority w:val="0"/>
  </w:style>
  <w:style w:type="character" w:customStyle="1" w:styleId="262">
    <w:name w:val="l-btn-empty"/>
    <w:basedOn w:val="47"/>
    <w:qFormat/>
    <w:uiPriority w:val="0"/>
  </w:style>
  <w:style w:type="character" w:customStyle="1" w:styleId="263">
    <w:name w:val="resizedivclass"/>
    <w:basedOn w:val="47"/>
    <w:qFormat/>
    <w:uiPriority w:val="0"/>
  </w:style>
  <w:style w:type="character" w:customStyle="1" w:styleId="264">
    <w:name w:val="no-border"/>
    <w:basedOn w:val="47"/>
    <w:qFormat/>
    <w:uiPriority w:val="0"/>
  </w:style>
  <w:style w:type="character" w:customStyle="1" w:styleId="265">
    <w:name w:val="textlabel"/>
    <w:basedOn w:val="47"/>
    <w:qFormat/>
    <w:uiPriority w:val="0"/>
  </w:style>
  <w:style w:type="character" w:customStyle="1" w:styleId="266">
    <w:name w:val="textcontent"/>
    <w:basedOn w:val="47"/>
    <w:qFormat/>
    <w:uiPriority w:val="0"/>
  </w:style>
  <w:style w:type="character" w:customStyle="1" w:styleId="267">
    <w:name w:val="must"/>
    <w:basedOn w:val="47"/>
    <w:qFormat/>
    <w:uiPriority w:val="0"/>
    <w:rPr>
      <w:color w:val="FF0000"/>
    </w:rPr>
  </w:style>
  <w:style w:type="character" w:customStyle="1" w:styleId="268">
    <w:name w:val="tablecontent2"/>
    <w:basedOn w:val="47"/>
    <w:qFormat/>
    <w:uiPriority w:val="0"/>
    <w:rPr>
      <w:shd w:val="clear" w:color="auto" w:fill="FFFFFF"/>
    </w:rPr>
  </w:style>
  <w:style w:type="character" w:customStyle="1" w:styleId="269">
    <w:name w:val="header-ico"/>
    <w:basedOn w:val="47"/>
    <w:qFormat/>
    <w:uiPriority w:val="0"/>
    <w:rPr>
      <w:sz w:val="21"/>
      <w:szCs w:val="21"/>
    </w:rPr>
  </w:style>
  <w:style w:type="paragraph" w:customStyle="1" w:styleId="270">
    <w:name w:val="样式2"/>
    <w:basedOn w:val="1"/>
    <w:next w:val="1"/>
    <w:qFormat/>
    <w:uiPriority w:val="0"/>
  </w:style>
  <w:style w:type="paragraph" w:customStyle="1" w:styleId="271">
    <w:name w:val="WPSOffice手动目录 1"/>
    <w:qFormat/>
    <w:uiPriority w:val="0"/>
    <w:rPr>
      <w:rFonts w:ascii="Times New Roman" w:hAnsi="Times New Roman" w:eastAsia="宋体" w:cs="Times New Roman"/>
      <w:lang w:val="en-US" w:eastAsia="zh-CN" w:bidi="ar-SA"/>
    </w:rPr>
  </w:style>
  <w:style w:type="paragraph" w:customStyle="1" w:styleId="272">
    <w:name w:val="WPSOffice手动目录 2"/>
    <w:qFormat/>
    <w:uiPriority w:val="0"/>
    <w:pPr>
      <w:ind w:left="200" w:leftChars="200"/>
    </w:pPr>
    <w:rPr>
      <w:rFonts w:ascii="Calibri" w:hAnsi="Calibri" w:eastAsia="宋体" w:cs="Times New Roman"/>
      <w:lang w:val="en-US" w:eastAsia="zh-CN" w:bidi="ar-SA"/>
    </w:rPr>
  </w:style>
  <w:style w:type="character" w:customStyle="1" w:styleId="273">
    <w:name w:val="wx-space"/>
    <w:basedOn w:val="47"/>
    <w:qFormat/>
    <w:uiPriority w:val="0"/>
  </w:style>
  <w:style w:type="character" w:customStyle="1" w:styleId="274">
    <w:name w:val="wx-space1"/>
    <w:basedOn w:val="47"/>
    <w:qFormat/>
    <w:uiPriority w:val="0"/>
  </w:style>
  <w:style w:type="character" w:customStyle="1" w:styleId="275">
    <w:name w:val="hover6"/>
    <w:basedOn w:val="47"/>
    <w:qFormat/>
    <w:uiPriority w:val="0"/>
    <w:rPr>
      <w:color w:val="000000"/>
      <w:shd w:val="clear" w:color="auto" w:fill="FFFFFF"/>
    </w:rPr>
  </w:style>
  <w:style w:type="character" w:customStyle="1" w:styleId="276">
    <w:name w:val="hover5"/>
    <w:basedOn w:val="47"/>
    <w:qFormat/>
    <w:uiPriority w:val="0"/>
    <w:rPr>
      <w:color w:val="000000"/>
      <w:shd w:val="clear" w:color="auto" w:fill="FFFFFF"/>
    </w:rPr>
  </w:style>
  <w:style w:type="character" w:customStyle="1" w:styleId="277">
    <w:name w:val="15"/>
    <w:basedOn w:val="47"/>
    <w:qFormat/>
    <w:uiPriority w:val="0"/>
    <w:rPr>
      <w:rFonts w:hint="default" w:ascii="Times New Roman" w:hAnsi="Times New Roman" w:cs="Times New Roman"/>
      <w:color w:val="0563C1"/>
      <w:sz w:val="20"/>
      <w:szCs w:val="20"/>
      <w:u w:val="single"/>
    </w:rPr>
  </w:style>
  <w:style w:type="paragraph" w:customStyle="1" w:styleId="278">
    <w:name w:val="Normal_0"/>
    <w:qFormat/>
    <w:uiPriority w:val="0"/>
    <w:rPr>
      <w:rFonts w:ascii="Times New Roman" w:hAnsi="Times New Roman" w:eastAsia="Times New Roman" w:cs="Times New Roman"/>
      <w:sz w:val="24"/>
      <w:szCs w:val="24"/>
      <w:lang w:val="en-US" w:eastAsia="zh-CN" w:bidi="ar-SA"/>
    </w:rPr>
  </w:style>
  <w:style w:type="paragraph" w:customStyle="1" w:styleId="279">
    <w:name w:val="首行缩进"/>
    <w:basedOn w:val="1"/>
    <w:qFormat/>
    <w:uiPriority w:val="0"/>
    <w:pPr>
      <w:ind w:firstLine="720"/>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53</Pages>
  <Words>25838</Words>
  <Characters>4501</Characters>
  <Lines>37</Lines>
  <Paragraphs>60</Paragraphs>
  <TotalTime>2</TotalTime>
  <ScaleCrop>false</ScaleCrop>
  <LinksUpToDate>false</LinksUpToDate>
  <CharactersWithSpaces>30279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2019-02-22T03:27:00Z</dcterms:created>
  <dc:creator>admin</dc:creator>
  <cp:lastModifiedBy>Administrator</cp:lastModifiedBy>
  <cp:lastPrinted>2024-08-29T15:34:00Z</cp:lastPrinted>
  <dcterms:modified xsi:type="dcterms:W3CDTF">2024-09-05T08:11:40Z</dcterms:modified>
  <dc:title>附件十一</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1113367568284EF9B467F6EA6AD197E1</vt:lpwstr>
  </property>
  <property fmtid="{D5CDD505-2E9C-101B-9397-08002B2CF9AE}" pid="4" name="commondata">
    <vt:lpwstr>eyJoZGlkIjoiMDgyMjU5MzI3NTdlNGRjZmJmYjYzNjg5YjEyN2Y0NzIifQ==</vt:lpwstr>
  </property>
</Properties>
</file>