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FCB7D">
      <w:pPr>
        <w:pStyle w:val="4"/>
        <w:jc w:val="center"/>
        <w:rPr>
          <w:color w:val="auto"/>
          <w:sz w:val="36"/>
          <w:szCs w:val="36"/>
          <w:highlight w:val="none"/>
        </w:rPr>
      </w:pPr>
      <w:r>
        <w:rPr>
          <w:rFonts w:hint="eastAsia"/>
          <w:color w:val="auto"/>
          <w:sz w:val="36"/>
          <w:szCs w:val="36"/>
          <w:highlight w:val="none"/>
          <w:lang w:val="en-US" w:eastAsia="zh-CN"/>
        </w:rPr>
        <w:t>四川税务2026年应用支撑平台汇聚区迁移和大数据平台升级服务项目公开</w:t>
      </w:r>
      <w:r>
        <w:rPr>
          <w:rFonts w:hint="eastAsia"/>
          <w:color w:val="auto"/>
          <w:sz w:val="36"/>
          <w:szCs w:val="36"/>
          <w:highlight w:val="none"/>
        </w:rPr>
        <w:t>招标</w:t>
      </w:r>
      <w:r>
        <w:rPr>
          <w:rFonts w:hint="eastAsia"/>
          <w:color w:val="auto"/>
          <w:sz w:val="36"/>
          <w:szCs w:val="36"/>
          <w:highlight w:val="none"/>
          <w:lang w:eastAsia="zh-CN"/>
        </w:rPr>
        <w:t>（</w:t>
      </w:r>
      <w:r>
        <w:rPr>
          <w:rFonts w:hint="eastAsia"/>
          <w:color w:val="auto"/>
          <w:sz w:val="36"/>
          <w:szCs w:val="36"/>
          <w:highlight w:val="none"/>
          <w:lang w:val="en-US" w:eastAsia="zh-CN"/>
        </w:rPr>
        <w:t>含资格预审</w:t>
      </w:r>
      <w:r>
        <w:rPr>
          <w:rFonts w:hint="eastAsia"/>
          <w:color w:val="auto"/>
          <w:sz w:val="36"/>
          <w:szCs w:val="36"/>
          <w:highlight w:val="none"/>
          <w:lang w:eastAsia="zh-CN"/>
        </w:rPr>
        <w:t>）</w:t>
      </w:r>
      <w:r>
        <w:rPr>
          <w:rFonts w:hint="eastAsia"/>
          <w:color w:val="auto"/>
          <w:sz w:val="36"/>
          <w:szCs w:val="36"/>
          <w:highlight w:val="none"/>
        </w:rPr>
        <w:t>公告</w:t>
      </w:r>
    </w:p>
    <w:p w14:paraId="18805B12">
      <w:pPr>
        <w:pBdr>
          <w:top w:val="single" w:color="auto" w:sz="4" w:space="1"/>
          <w:left w:val="single" w:color="auto" w:sz="4" w:space="4"/>
          <w:bottom w:val="single" w:color="auto" w:sz="4" w:space="1"/>
          <w:right w:val="single" w:color="auto" w:sz="4" w:space="4"/>
        </w:pBdr>
        <w:adjustRightInd w:val="0"/>
        <w:snapToGrid w:val="0"/>
        <w:spacing w:after="0" w:line="360" w:lineRule="auto"/>
        <w:rPr>
          <w:rFonts w:ascii="宋体" w:hAnsi="宋体" w:cs="宋体"/>
          <w:color w:val="auto"/>
          <w:sz w:val="24"/>
          <w:highlight w:val="none"/>
        </w:rPr>
      </w:pPr>
      <w:r>
        <w:rPr>
          <w:rFonts w:hint="eastAsia" w:ascii="宋体" w:hAnsi="宋体" w:cs="宋体"/>
          <w:color w:val="auto"/>
          <w:sz w:val="24"/>
          <w:highlight w:val="none"/>
        </w:rPr>
        <w:t>项目概况</w:t>
      </w:r>
    </w:p>
    <w:p w14:paraId="14D8D2B5">
      <w:pPr>
        <w:pBdr>
          <w:top w:val="single" w:color="auto" w:sz="4" w:space="1"/>
          <w:left w:val="single" w:color="auto" w:sz="4" w:space="4"/>
          <w:bottom w:val="single" w:color="auto" w:sz="4" w:space="1"/>
          <w:right w:val="single" w:color="auto" w:sz="4" w:space="4"/>
        </w:pBdr>
        <w:spacing w:line="360" w:lineRule="auto"/>
        <w:ind w:firstLine="480" w:firstLineChars="200"/>
        <w:rPr>
          <w:color w:val="auto"/>
          <w:highlight w:val="none"/>
        </w:rPr>
      </w:pPr>
      <w:r>
        <w:rPr>
          <w:rFonts w:hint="eastAsia" w:ascii="宋体" w:hAnsi="宋体" w:cs="宋体"/>
          <w:color w:val="auto"/>
          <w:sz w:val="24"/>
          <w:highlight w:val="none"/>
          <w:lang w:val="en-US" w:eastAsia="zh-CN"/>
        </w:rPr>
        <w:t>四川税务2026年应用支撑平台汇聚区迁移和大数据平台升级服务项目</w:t>
      </w:r>
      <w:r>
        <w:rPr>
          <w:rFonts w:hint="eastAsia" w:ascii="宋体" w:hAnsi="宋体" w:cs="宋体"/>
          <w:color w:val="auto"/>
          <w:sz w:val="24"/>
          <w:highlight w:val="none"/>
        </w:rPr>
        <w:t>的潜在投标人应通过</w:t>
      </w:r>
      <w:r>
        <w:rPr>
          <w:rFonts w:hint="eastAsia" w:ascii="宋体" w:hAnsi="宋体" w:cs="宋体"/>
          <w:bCs w:val="0"/>
          <w:color w:val="auto"/>
          <w:sz w:val="24"/>
          <w:highlight w:val="none"/>
          <w:u w:val="none"/>
        </w:rPr>
        <w:t>在线下载</w:t>
      </w:r>
      <w:r>
        <w:rPr>
          <w:rFonts w:hint="eastAsia" w:ascii="宋体" w:hAnsi="宋体" w:cs="宋体"/>
          <w:color w:val="auto"/>
          <w:sz w:val="24"/>
          <w:highlight w:val="none"/>
          <w:u w:val="none"/>
        </w:rPr>
        <w:t>方式</w:t>
      </w:r>
      <w:r>
        <w:rPr>
          <w:rFonts w:hint="eastAsia" w:ascii="宋体" w:hAnsi="宋体" w:cs="宋体"/>
          <w:color w:val="auto"/>
          <w:sz w:val="24"/>
          <w:highlight w:val="none"/>
        </w:rPr>
        <w:t>获取招标文件，并于</w:t>
      </w:r>
      <w:r>
        <w:rPr>
          <w:rFonts w:hint="eastAsia" w:ascii="宋体" w:hAnsi="宋体" w:cs="宋体"/>
          <w:color w:val="auto"/>
          <w:sz w:val="24"/>
          <w:highlight w:val="none"/>
          <w:u w:val="none"/>
          <w:lang w:val="en-US" w:eastAsia="zh-CN"/>
        </w:rPr>
        <w:t>2026年9月28日</w:t>
      </w:r>
      <w:r>
        <w:rPr>
          <w:rFonts w:hint="eastAsia" w:ascii="宋体" w:hAnsi="宋体" w:cs="宋体"/>
          <w:bCs w:val="0"/>
          <w:color w:val="auto"/>
          <w:sz w:val="24"/>
          <w:highlight w:val="none"/>
          <w:u w:val="none"/>
          <w:lang w:val="en-US" w:eastAsia="zh-CN"/>
        </w:rPr>
        <w:t>10</w:t>
      </w:r>
      <w:r>
        <w:rPr>
          <w:rFonts w:hint="eastAsia" w:ascii="宋体" w:hAnsi="宋体" w:cs="宋体"/>
          <w:bCs w:val="0"/>
          <w:color w:val="auto"/>
          <w:sz w:val="24"/>
          <w:highlight w:val="none"/>
          <w:u w:val="none"/>
        </w:rPr>
        <w:t>点</w:t>
      </w:r>
      <w:r>
        <w:rPr>
          <w:rFonts w:hint="eastAsia" w:ascii="宋体" w:hAnsi="宋体" w:cs="宋体"/>
          <w:bCs w:val="0"/>
          <w:color w:val="auto"/>
          <w:sz w:val="24"/>
          <w:highlight w:val="none"/>
          <w:u w:val="none"/>
          <w:lang w:val="en-US" w:eastAsia="zh-CN"/>
        </w:rPr>
        <w:t>30</w:t>
      </w:r>
      <w:r>
        <w:rPr>
          <w:rFonts w:hint="eastAsia" w:ascii="宋体" w:hAnsi="宋体" w:cs="宋体"/>
          <w:bCs w:val="0"/>
          <w:color w:val="auto"/>
          <w:sz w:val="24"/>
          <w:highlight w:val="none"/>
          <w:u w:val="none"/>
        </w:rPr>
        <w:t>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14:paraId="10AA1A45">
      <w:pPr>
        <w:pStyle w:val="13"/>
        <w:adjustRightInd w:val="0"/>
        <w:snapToGrid w:val="0"/>
        <w:spacing w:before="48" w:beforeLines="20" w:after="48" w:afterLines="20" w:line="360" w:lineRule="auto"/>
        <w:ind w:firstLine="480" w:firstLineChars="200"/>
        <w:rPr>
          <w:rFonts w:ascii="黑体" w:hAnsi="黑体" w:eastAsia="黑体" w:cs="黑体"/>
          <w:color w:val="auto"/>
          <w:sz w:val="24"/>
          <w:highlight w:val="none"/>
        </w:rPr>
      </w:pPr>
    </w:p>
    <w:p w14:paraId="4120A739">
      <w:pPr>
        <w:pStyle w:val="13"/>
        <w:adjustRightInd w:val="0"/>
        <w:snapToGrid w:val="0"/>
        <w:spacing w:before="48" w:beforeLines="20" w:after="48" w:afterLines="20" w:line="360" w:lineRule="auto"/>
        <w:ind w:firstLine="482" w:firstLineChars="200"/>
        <w:rPr>
          <w:rFonts w:ascii="黑体" w:hAnsi="黑体" w:eastAsia="黑体" w:cs="黑体"/>
          <w:b/>
          <w:bCs/>
          <w:color w:val="auto"/>
          <w:sz w:val="24"/>
          <w:highlight w:val="none"/>
        </w:rPr>
      </w:pPr>
      <w:r>
        <w:rPr>
          <w:rFonts w:hint="eastAsia" w:ascii="黑体" w:hAnsi="黑体" w:eastAsia="黑体" w:cs="黑体"/>
          <w:b/>
          <w:bCs/>
          <w:color w:val="auto"/>
          <w:sz w:val="24"/>
          <w:highlight w:val="none"/>
        </w:rPr>
        <w:t>一、项目基本情况</w:t>
      </w:r>
    </w:p>
    <w:p w14:paraId="503B75BC">
      <w:pPr>
        <w:pStyle w:val="13"/>
        <w:adjustRightInd w:val="0"/>
        <w:snapToGrid w:val="0"/>
        <w:spacing w:before="48" w:beforeLines="20" w:after="48" w:afterLines="20" w:line="360" w:lineRule="auto"/>
        <w:ind w:firstLine="482" w:firstLineChars="200"/>
        <w:rPr>
          <w:rFonts w:hint="eastAsia" w:ascii="宋体" w:hAnsi="宋体" w:eastAsia="宋体" w:cs="宋体"/>
          <w:b w:val="0"/>
          <w:bCs w:val="0"/>
          <w:color w:val="auto"/>
          <w:sz w:val="24"/>
          <w:highlight w:val="none"/>
          <w:lang w:val="en-US" w:eastAsia="zh-CN"/>
        </w:rPr>
      </w:pPr>
      <w:r>
        <w:rPr>
          <w:rFonts w:hint="eastAsia" w:ascii="宋体" w:hAnsi="宋体" w:cs="宋体"/>
          <w:b/>
          <w:bCs/>
          <w:color w:val="auto"/>
          <w:sz w:val="24"/>
          <w:highlight w:val="none"/>
        </w:rPr>
        <w:t>项目编号：</w:t>
      </w:r>
      <w:r>
        <w:rPr>
          <w:rFonts w:hint="eastAsia" w:ascii="宋体" w:hAnsi="宋体" w:cs="宋体"/>
          <w:b w:val="0"/>
          <w:bCs w:val="0"/>
          <w:color w:val="auto"/>
          <w:sz w:val="24"/>
          <w:highlight w:val="none"/>
          <w:lang w:val="en-US" w:eastAsia="zh-CN"/>
        </w:rPr>
        <w:t>HJQYHSJ-2026-23</w:t>
      </w:r>
    </w:p>
    <w:p w14:paraId="56EA4311">
      <w:pPr>
        <w:pStyle w:val="13"/>
        <w:adjustRightInd w:val="0"/>
        <w:snapToGrid w:val="0"/>
        <w:spacing w:before="48" w:beforeLines="20" w:after="48" w:afterLines="20" w:line="360" w:lineRule="auto"/>
        <w:ind w:firstLine="482" w:firstLineChars="200"/>
        <w:rPr>
          <w:rFonts w:hint="eastAsia" w:ascii="宋体" w:hAnsi="宋体" w:cs="宋体"/>
          <w:b w:val="0"/>
          <w:bCs w:val="0"/>
          <w:color w:val="auto"/>
          <w:sz w:val="24"/>
          <w:highlight w:val="none"/>
        </w:rPr>
      </w:pPr>
      <w:r>
        <w:rPr>
          <w:rFonts w:hint="eastAsia" w:ascii="宋体" w:hAnsi="宋体" w:cs="宋体"/>
          <w:b/>
          <w:bCs/>
          <w:color w:val="auto"/>
          <w:sz w:val="24"/>
          <w:highlight w:val="none"/>
        </w:rPr>
        <w:t>项目名称：</w:t>
      </w:r>
      <w:r>
        <w:rPr>
          <w:rFonts w:hint="eastAsia" w:ascii="宋体" w:hAnsi="宋体" w:cs="宋体"/>
          <w:b w:val="0"/>
          <w:bCs w:val="0"/>
          <w:color w:val="auto"/>
          <w:sz w:val="24"/>
          <w:highlight w:val="none"/>
          <w:lang w:val="en-US" w:eastAsia="zh-CN"/>
        </w:rPr>
        <w:t>四川税务2026年应用支撑平台汇聚区迁移和大数据平台升级服务项目</w:t>
      </w:r>
    </w:p>
    <w:p w14:paraId="01E0F2F9">
      <w:pPr>
        <w:pStyle w:val="13"/>
        <w:adjustRightInd w:val="0"/>
        <w:snapToGrid w:val="0"/>
        <w:spacing w:before="48" w:beforeLines="20" w:after="48" w:afterLines="20" w:line="360" w:lineRule="auto"/>
        <w:ind w:firstLine="482" w:firstLineChars="200"/>
        <w:rPr>
          <w:rFonts w:hint="eastAsia" w:ascii="宋体" w:hAnsi="宋体" w:cs="Times New Roman"/>
          <w:color w:val="auto"/>
          <w:szCs w:val="24"/>
          <w:highlight w:val="none"/>
          <w:shd w:val="clear" w:color="auto" w:fill="auto"/>
          <w:lang w:val="en-US" w:eastAsia="zh-CN"/>
        </w:rPr>
      </w:pPr>
      <w:r>
        <w:rPr>
          <w:rFonts w:hint="eastAsia" w:ascii="宋体" w:hAnsi="宋体" w:cs="宋体"/>
          <w:b/>
          <w:bCs/>
          <w:color w:val="auto"/>
          <w:sz w:val="24"/>
          <w:highlight w:val="none"/>
          <w:lang w:val="en-US" w:eastAsia="zh-CN"/>
        </w:rPr>
        <w:t>预算金额：3,272,600</w:t>
      </w:r>
      <w:r>
        <w:rPr>
          <w:rFonts w:hint="eastAsia" w:ascii="宋体" w:hAnsi="宋体" w:cs="宋体"/>
          <w:b w:val="0"/>
          <w:bCs w:val="0"/>
          <w:color w:val="auto"/>
          <w:sz w:val="24"/>
          <w:highlight w:val="none"/>
          <w:lang w:val="en-US" w:eastAsia="zh-CN"/>
        </w:rPr>
        <w:t>（元）</w:t>
      </w:r>
    </w:p>
    <w:p w14:paraId="54592C36">
      <w:pPr>
        <w:pStyle w:val="13"/>
        <w:adjustRightInd w:val="0"/>
        <w:snapToGrid w:val="0"/>
        <w:spacing w:before="48" w:beforeLines="20" w:after="48" w:afterLines="20"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最高限价</w:t>
      </w:r>
      <w:r>
        <w:rPr>
          <w:rFonts w:hint="eastAsia" w:ascii="宋体" w:hAnsi="宋体" w:cs="宋体"/>
          <w:color w:val="auto"/>
          <w:sz w:val="24"/>
          <w:highlight w:val="none"/>
        </w:rPr>
        <w:t>：</w:t>
      </w:r>
      <w:r>
        <w:rPr>
          <w:rFonts w:hint="eastAsia" w:ascii="宋体" w:hAnsi="宋体" w:cs="宋体"/>
          <w:b/>
          <w:bCs/>
          <w:color w:val="auto"/>
          <w:sz w:val="24"/>
          <w:highlight w:val="none"/>
          <w:lang w:val="en-US" w:eastAsia="zh-CN"/>
        </w:rPr>
        <w:t>3,272,600</w:t>
      </w:r>
      <w:r>
        <w:rPr>
          <w:rFonts w:hint="eastAsia" w:ascii="宋体" w:hAnsi="宋体" w:cs="宋体"/>
          <w:b w:val="0"/>
          <w:bCs w:val="0"/>
          <w:color w:val="auto"/>
          <w:sz w:val="24"/>
          <w:highlight w:val="none"/>
          <w:lang w:val="en-US" w:eastAsia="zh-CN"/>
        </w:rPr>
        <w:t>（元）</w:t>
      </w:r>
    </w:p>
    <w:p w14:paraId="2D21BA39">
      <w:pPr>
        <w:pStyle w:val="13"/>
        <w:adjustRightInd w:val="0"/>
        <w:snapToGrid w:val="0"/>
        <w:spacing w:before="48" w:beforeLines="20" w:after="48" w:afterLines="20" w:line="360" w:lineRule="auto"/>
        <w:ind w:firstLine="482" w:firstLineChars="200"/>
        <w:rPr>
          <w:rFonts w:hint="eastAsia" w:ascii="宋体" w:hAnsi="宋体" w:cs="Times New Roman"/>
          <w:color w:val="auto"/>
          <w:szCs w:val="24"/>
          <w:highlight w:val="none"/>
          <w:shd w:val="clear" w:color="auto" w:fill="auto"/>
          <w:lang w:val="en-US" w:eastAsia="zh-CN"/>
        </w:rPr>
      </w:pPr>
      <w:r>
        <w:rPr>
          <w:rFonts w:hint="eastAsia" w:ascii="黑体" w:hAnsi="黑体" w:eastAsia="黑体" w:cs="黑体"/>
          <w:b/>
          <w:bCs/>
          <w:color w:val="auto"/>
          <w:sz w:val="24"/>
          <w:highlight w:val="none"/>
          <w:lang w:val="en-US" w:eastAsia="zh-CN"/>
        </w:rPr>
        <w:t>采购需求：</w:t>
      </w:r>
      <w:bookmarkStart w:id="0" w:name="采购需求_zxzbgg_requireRemark_0"/>
      <w:r>
        <w:rPr>
          <w:rFonts w:hint="eastAsia" w:ascii="宋体" w:hAnsi="宋体" w:cs="Times New Roman"/>
          <w:color w:val="auto"/>
          <w:szCs w:val="24"/>
          <w:highlight w:val="none"/>
          <w:shd w:val="clear" w:color="auto" w:fill="auto"/>
          <w:lang w:val="en-US" w:eastAsia="zh-CN"/>
        </w:rPr>
        <w:t>详见采购文件技术部分。</w:t>
      </w:r>
      <w:bookmarkEnd w:id="0"/>
    </w:p>
    <w:p w14:paraId="1E747230">
      <w:pPr>
        <w:pStyle w:val="13"/>
        <w:adjustRightInd w:val="0"/>
        <w:snapToGrid w:val="0"/>
        <w:spacing w:before="48" w:beforeLines="20" w:after="48" w:afterLines="20" w:line="360" w:lineRule="auto"/>
        <w:ind w:firstLine="482" w:firstLineChars="200"/>
        <w:rPr>
          <w:rFonts w:hint="eastAsia" w:ascii="宋体" w:hAnsi="宋体" w:cs="宋体"/>
          <w:b w:val="0"/>
          <w:bCs w:val="0"/>
          <w:color w:val="auto"/>
          <w:sz w:val="24"/>
          <w:highlight w:val="none"/>
        </w:rPr>
      </w:pPr>
      <w:r>
        <w:rPr>
          <w:rFonts w:hint="eastAsia" w:ascii="宋体" w:hAnsi="宋体" w:cs="宋体"/>
          <w:b/>
          <w:bCs/>
          <w:color w:val="auto"/>
          <w:sz w:val="24"/>
          <w:highlight w:val="none"/>
        </w:rPr>
        <w:t>合同履行期限：</w:t>
      </w:r>
      <w:r>
        <w:rPr>
          <w:rFonts w:hint="eastAsia" w:ascii="宋体" w:hAnsi="宋体" w:cs="宋体"/>
          <w:b w:val="0"/>
          <w:bCs w:val="0"/>
          <w:color w:val="auto"/>
          <w:sz w:val="24"/>
          <w:highlight w:val="none"/>
        </w:rPr>
        <w:t>本项目自合同签订之日起6个月，其中应用支撑平台迁移服务应自合同签订之日按税务总局相关试点工作要求完成。</w:t>
      </w:r>
    </w:p>
    <w:p w14:paraId="2FE5A701">
      <w:pPr>
        <w:pStyle w:val="13"/>
        <w:adjustRightInd w:val="0"/>
        <w:snapToGrid w:val="0"/>
        <w:spacing w:before="48" w:beforeLines="20" w:after="48" w:afterLines="20" w:line="360" w:lineRule="auto"/>
        <w:ind w:firstLine="482" w:firstLineChars="200"/>
        <w:rPr>
          <w:rFonts w:hint="default" w:ascii="宋体" w:hAnsi="宋体" w:eastAsia="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项目实施地点：</w:t>
      </w:r>
      <w:r>
        <w:rPr>
          <w:rFonts w:hint="eastAsia" w:ascii="宋体" w:hAnsi="宋体" w:cs="宋体"/>
          <w:b w:val="0"/>
          <w:bCs w:val="0"/>
          <w:color w:val="auto"/>
          <w:sz w:val="24"/>
          <w:highlight w:val="none"/>
        </w:rPr>
        <w:t>采购人指定地点，即：国家税务总局四川省税务局（成都市武侯区临江东路2号/成都市锦江区滨江东路266号）。</w:t>
      </w:r>
    </w:p>
    <w:p w14:paraId="18A9FE9E">
      <w:pPr>
        <w:pStyle w:val="13"/>
        <w:adjustRightInd w:val="0"/>
        <w:snapToGrid w:val="0"/>
        <w:spacing w:before="48" w:beforeLines="20" w:after="48" w:afterLines="20"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本项目（是/否）接受联合体投标：是</w:t>
      </w:r>
    </w:p>
    <w:p w14:paraId="6BE76D83">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二、申请人的资格要求：</w:t>
      </w:r>
    </w:p>
    <w:p w14:paraId="69DCBD10">
      <w:pPr>
        <w:pStyle w:val="13"/>
        <w:adjustRightInd w:val="0"/>
        <w:snapToGrid w:val="0"/>
        <w:spacing w:before="48" w:beforeLines="20" w:after="48" w:afterLines="2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1.符合国家有关法律规定，在中国境内（指关境内）注册</w:t>
      </w:r>
      <w:r>
        <w:rPr>
          <w:rFonts w:hint="eastAsia" w:ascii="宋体" w:hAnsi="宋体"/>
          <w:color w:val="auto"/>
          <w:sz w:val="24"/>
          <w:highlight w:val="none"/>
          <w:lang w:eastAsia="zh-CN"/>
        </w:rPr>
        <w:t>，</w:t>
      </w:r>
      <w:r>
        <w:rPr>
          <w:rFonts w:hint="eastAsia" w:ascii="宋体" w:hAnsi="宋体"/>
          <w:color w:val="auto"/>
          <w:sz w:val="24"/>
          <w:highlight w:val="none"/>
        </w:rPr>
        <w:t>满足《中华人民共和国政府采购法》第二十二条规定</w:t>
      </w:r>
      <w:r>
        <w:rPr>
          <w:rFonts w:hint="eastAsia" w:ascii="宋体" w:hAnsi="宋体"/>
          <w:color w:val="auto"/>
          <w:sz w:val="24"/>
          <w:highlight w:val="none"/>
          <w:lang w:eastAsia="zh-CN"/>
        </w:rPr>
        <w:t>。</w:t>
      </w:r>
    </w:p>
    <w:p w14:paraId="42D0031C">
      <w:pPr>
        <w:pStyle w:val="13"/>
        <w:adjustRightInd w:val="0"/>
        <w:snapToGrid w:val="0"/>
        <w:spacing w:before="48" w:beforeLines="20" w:after="48" w:afterLines="20"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2.落实政府采购政策需满足的资格要求：</w:t>
      </w:r>
      <w:r>
        <w:rPr>
          <w:rFonts w:hint="eastAsia" w:ascii="宋体" w:hAnsi="宋体"/>
          <w:color w:val="auto"/>
          <w:sz w:val="24"/>
          <w:highlight w:val="none"/>
          <w:lang w:val="en-US" w:eastAsia="zh-CN"/>
        </w:rPr>
        <w:t>无</w:t>
      </w:r>
    </w:p>
    <w:p w14:paraId="7E7F7553">
      <w:pPr>
        <w:pStyle w:val="13"/>
        <w:adjustRightInd w:val="0"/>
        <w:snapToGrid w:val="0"/>
        <w:spacing w:before="48" w:beforeLines="20" w:after="48" w:afterLines="20" w:line="360" w:lineRule="auto"/>
        <w:ind w:firstLine="480" w:firstLineChars="200"/>
        <w:rPr>
          <w:rFonts w:hint="eastAsia" w:ascii="宋体" w:hAnsi="宋体" w:eastAsia="宋体"/>
          <w:color w:val="auto"/>
          <w:sz w:val="24"/>
          <w:highlight w:val="none"/>
          <w:lang w:val="en-US" w:eastAsia="zh-CN"/>
        </w:rPr>
      </w:pPr>
      <w:r>
        <w:rPr>
          <w:rFonts w:hint="eastAsia" w:ascii="宋体" w:hAnsi="宋体"/>
          <w:color w:val="auto"/>
          <w:sz w:val="24"/>
          <w:highlight w:val="none"/>
        </w:rPr>
        <w:t>3.本项目的特定资格要求：</w:t>
      </w:r>
      <w:r>
        <w:rPr>
          <w:rFonts w:hint="eastAsia" w:ascii="宋体" w:hAnsi="宋体"/>
          <w:color w:val="auto"/>
          <w:sz w:val="24"/>
          <w:highlight w:val="none"/>
          <w:lang w:val="en-US" w:eastAsia="zh-CN"/>
        </w:rPr>
        <w:t>无</w:t>
      </w:r>
    </w:p>
    <w:p w14:paraId="0B12056B">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三、获取招标文件</w:t>
      </w:r>
    </w:p>
    <w:p w14:paraId="0F8938AF">
      <w:pPr>
        <w:pStyle w:val="13"/>
        <w:adjustRightInd w:val="0"/>
        <w:snapToGrid w:val="0"/>
        <w:spacing w:before="48" w:beforeLines="20" w:after="48" w:afterLines="20" w:line="360" w:lineRule="auto"/>
        <w:ind w:firstLine="482" w:firstLineChars="200"/>
        <w:rPr>
          <w:rFonts w:ascii="宋体" w:hAnsi="宋体"/>
          <w:color w:val="auto"/>
          <w:sz w:val="24"/>
          <w:highlight w:val="none"/>
        </w:rPr>
      </w:pPr>
      <w:r>
        <w:rPr>
          <w:rFonts w:hint="eastAsia" w:ascii="黑体" w:hAnsi="黑体" w:eastAsia="黑体" w:cs="黑体"/>
          <w:b/>
          <w:bCs/>
          <w:color w:val="auto"/>
          <w:sz w:val="24"/>
          <w:highlight w:val="none"/>
          <w:lang w:val="en-US" w:eastAsia="zh-CN"/>
        </w:rPr>
        <w:t>时间：</w:t>
      </w:r>
      <w:r>
        <w:rPr>
          <w:rFonts w:hint="eastAsia" w:ascii="宋体" w:hAnsi="宋体"/>
          <w:bCs/>
          <w:color w:val="auto"/>
          <w:sz w:val="24"/>
          <w:highlight w:val="none"/>
          <w:lang w:val="en-US" w:eastAsia="zh-CN"/>
        </w:rPr>
        <w:t>2026年9月2日至2026年9月8日</w:t>
      </w:r>
      <w:r>
        <w:rPr>
          <w:rFonts w:hint="eastAsia" w:ascii="宋体" w:hAnsi="宋体" w:eastAsia="宋体" w:cs="Times New Roman"/>
          <w:color w:val="auto"/>
          <w:kern w:val="2"/>
          <w:sz w:val="24"/>
          <w:szCs w:val="24"/>
          <w:highlight w:val="none"/>
          <w:shd w:val="clear" w:color="auto" w:fill="auto"/>
          <w:lang w:val="en-US" w:eastAsia="zh-CN" w:bidi="ar-SA"/>
        </w:rPr>
        <w:t>9:30至17:00（北京时间，法定节</w:t>
      </w:r>
      <w:r>
        <w:rPr>
          <w:rFonts w:hint="eastAsia" w:ascii="宋体" w:hAnsi="宋体"/>
          <w:color w:val="auto"/>
          <w:sz w:val="24"/>
          <w:highlight w:val="none"/>
        </w:rPr>
        <w:t>假日除外）</w:t>
      </w:r>
    </w:p>
    <w:p w14:paraId="5CC6BC85">
      <w:pPr>
        <w:pStyle w:val="13"/>
        <w:adjustRightInd w:val="0"/>
        <w:snapToGrid w:val="0"/>
        <w:spacing w:before="48" w:beforeLines="20" w:after="48" w:afterLines="20" w:line="360" w:lineRule="auto"/>
        <w:ind w:firstLine="482" w:firstLineChars="200"/>
        <w:rPr>
          <w:rFonts w:hint="eastAsia" w:ascii="宋体" w:hAnsi="宋体"/>
          <w:bCs/>
          <w:color w:val="auto"/>
          <w:sz w:val="24"/>
          <w:highlight w:val="none"/>
        </w:rPr>
      </w:pPr>
      <w:r>
        <w:rPr>
          <w:rFonts w:hint="eastAsia" w:ascii="宋体" w:hAnsi="宋体"/>
          <w:b/>
          <w:bCs/>
          <w:color w:val="auto"/>
          <w:sz w:val="24"/>
          <w:highlight w:val="none"/>
        </w:rPr>
        <w:t>地点：</w:t>
      </w:r>
      <w:r>
        <w:rPr>
          <w:rFonts w:hint="eastAsia" w:ascii="宋体" w:hAnsi="宋体"/>
          <w:bCs/>
          <w:color w:val="auto"/>
          <w:sz w:val="24"/>
          <w:highlight w:val="none"/>
          <w:lang w:val="en-US" w:eastAsia="zh-CN"/>
        </w:rPr>
        <w:t>未注册供应商从“四川中志招标代理有限公司”官网（网址：http://www.sczzzb.com/）—点击“供应商注册”填写注册信息—注册成功登录账户—完善企业信息提交审核—审核成功登录账户点击欲报名项目—点击欲报名项目报名。已注册供应商可直接登录系统—点击供应商管理—报名管理正在报名项目—点击欲报名项目报名。</w:t>
      </w:r>
    </w:p>
    <w:p w14:paraId="1D8B4FBF">
      <w:pPr>
        <w:adjustRightInd w:val="0"/>
        <w:snapToGrid w:val="0"/>
        <w:spacing w:before="48" w:beforeLines="20" w:after="48" w:afterLines="20" w:line="360" w:lineRule="auto"/>
        <w:ind w:firstLine="482" w:firstLineChars="200"/>
        <w:rPr>
          <w:rFonts w:ascii="宋体" w:hAnsi="宋体"/>
          <w:bCs/>
          <w:color w:val="auto"/>
          <w:sz w:val="24"/>
          <w:highlight w:val="none"/>
          <w:shd w:val="clear" w:color="auto" w:fill="auto"/>
        </w:rPr>
      </w:pPr>
      <w:r>
        <w:rPr>
          <w:rFonts w:hint="eastAsia" w:ascii="宋体" w:hAnsi="宋体"/>
          <w:b/>
          <w:bCs/>
          <w:color w:val="auto"/>
          <w:sz w:val="24"/>
          <w:highlight w:val="none"/>
        </w:rPr>
        <w:t>方式：</w:t>
      </w:r>
      <w:r>
        <w:rPr>
          <w:rFonts w:hint="eastAsia" w:ascii="宋体" w:hAnsi="宋体"/>
          <w:bCs/>
          <w:color w:val="auto"/>
          <w:sz w:val="24"/>
          <w:highlight w:val="none"/>
          <w:shd w:val="clear" w:color="auto" w:fill="auto"/>
        </w:rPr>
        <w:t>在线下载</w:t>
      </w:r>
    </w:p>
    <w:p w14:paraId="1E014771">
      <w:pPr>
        <w:adjustRightInd w:val="0"/>
        <w:snapToGrid w:val="0"/>
        <w:spacing w:before="48" w:beforeLines="20" w:after="48" w:afterLines="20" w:line="360" w:lineRule="auto"/>
        <w:ind w:firstLine="482" w:firstLineChars="200"/>
        <w:rPr>
          <w:rFonts w:hint="default" w:ascii="宋体" w:hAnsi="宋体" w:eastAsia="宋体"/>
          <w:color w:val="auto"/>
          <w:sz w:val="24"/>
          <w:highlight w:val="none"/>
          <w:shd w:val="clear" w:color="auto" w:fill="auto"/>
          <w:lang w:val="en-US" w:eastAsia="zh-CN"/>
        </w:rPr>
      </w:pPr>
      <w:r>
        <w:rPr>
          <w:rFonts w:hint="eastAsia" w:ascii="宋体" w:hAnsi="宋体"/>
          <w:b/>
          <w:bCs/>
          <w:color w:val="auto"/>
          <w:sz w:val="24"/>
          <w:highlight w:val="none"/>
          <w:shd w:val="clear" w:color="auto" w:fill="auto"/>
        </w:rPr>
        <w:t>售价：</w:t>
      </w:r>
      <w:r>
        <w:rPr>
          <w:rFonts w:hint="eastAsia" w:ascii="宋体" w:hAnsi="宋体"/>
          <w:b w:val="0"/>
          <w:bCs w:val="0"/>
          <w:color w:val="auto"/>
          <w:sz w:val="24"/>
          <w:highlight w:val="none"/>
          <w:shd w:val="clear" w:color="auto" w:fill="auto"/>
          <w:lang w:val="en-US" w:eastAsia="zh-CN"/>
        </w:rPr>
        <w:t>人民币300元/份（售后不退，投标资格不能转让）</w:t>
      </w:r>
    </w:p>
    <w:p w14:paraId="2B8FF91A">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四、提交投标文件截止时间、开标时间和地点</w:t>
      </w:r>
    </w:p>
    <w:p w14:paraId="54BA3AF5">
      <w:pPr>
        <w:pStyle w:val="13"/>
        <w:adjustRightInd w:val="0"/>
        <w:snapToGrid w:val="0"/>
        <w:spacing w:before="48" w:beforeLines="20" w:after="48" w:afterLines="20" w:line="360" w:lineRule="auto"/>
        <w:ind w:firstLine="482" w:firstLineChars="200"/>
        <w:rPr>
          <w:rFonts w:ascii="宋体" w:hAnsi="宋体"/>
          <w:color w:val="auto"/>
          <w:sz w:val="24"/>
          <w:highlight w:val="none"/>
          <w:shd w:val="clear" w:color="auto" w:fill="auto"/>
        </w:rPr>
      </w:pPr>
      <w:r>
        <w:rPr>
          <w:rFonts w:hint="eastAsia" w:ascii="宋体" w:hAnsi="宋体"/>
          <w:b/>
          <w:bCs/>
          <w:color w:val="auto"/>
          <w:sz w:val="24"/>
          <w:highlight w:val="none"/>
          <w:shd w:val="clear" w:color="auto" w:fill="auto"/>
        </w:rPr>
        <w:t>时间：</w:t>
      </w:r>
      <w:r>
        <w:rPr>
          <w:rFonts w:hint="eastAsia" w:ascii="宋体" w:hAnsi="宋体" w:cs="宋体"/>
          <w:color w:val="auto"/>
          <w:sz w:val="24"/>
          <w:highlight w:val="none"/>
          <w:shd w:val="clear" w:color="auto" w:fill="auto"/>
          <w:lang w:val="en-US" w:eastAsia="zh-CN"/>
        </w:rPr>
        <w:t>2026年9月28日10时30分</w:t>
      </w:r>
      <w:r>
        <w:rPr>
          <w:rFonts w:hint="eastAsia" w:ascii="宋体" w:hAnsi="宋体"/>
          <w:color w:val="auto"/>
          <w:sz w:val="24"/>
          <w:highlight w:val="none"/>
          <w:shd w:val="clear" w:color="auto" w:fill="auto"/>
        </w:rPr>
        <w:t>（北京时间）</w:t>
      </w:r>
    </w:p>
    <w:p w14:paraId="41613E16">
      <w:pPr>
        <w:pStyle w:val="13"/>
        <w:adjustRightInd w:val="0"/>
        <w:snapToGrid w:val="0"/>
        <w:spacing w:before="48" w:beforeLines="20" w:after="48" w:afterLines="20" w:line="360" w:lineRule="auto"/>
        <w:ind w:firstLine="482" w:firstLineChars="200"/>
        <w:rPr>
          <w:rFonts w:ascii="宋体" w:hAnsi="宋体"/>
          <w:bCs/>
          <w:color w:val="auto"/>
          <w:sz w:val="24"/>
          <w:highlight w:val="none"/>
          <w:shd w:val="clear" w:color="auto" w:fill="auto"/>
        </w:rPr>
      </w:pPr>
      <w:r>
        <w:rPr>
          <w:rFonts w:hint="eastAsia" w:ascii="宋体" w:hAnsi="宋体"/>
          <w:b/>
          <w:bCs/>
          <w:color w:val="auto"/>
          <w:sz w:val="24"/>
          <w:highlight w:val="none"/>
          <w:shd w:val="clear" w:color="auto" w:fill="auto"/>
        </w:rPr>
        <w:t>地点：</w:t>
      </w:r>
      <w:r>
        <w:rPr>
          <w:rFonts w:hint="eastAsia" w:ascii="宋体" w:hAnsi="宋体" w:cs="宋体"/>
          <w:color w:val="auto"/>
          <w:sz w:val="24"/>
          <w:highlight w:val="none"/>
          <w:shd w:val="clear" w:color="auto" w:fill="auto"/>
          <w:lang w:val="en-US" w:eastAsia="zh-CN"/>
        </w:rPr>
        <w:t>成都市高新区吉泰五路88号（花样年•香年广场）3栋16层开标厅。</w:t>
      </w:r>
    </w:p>
    <w:p w14:paraId="302F5388">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五、公告期限</w:t>
      </w:r>
    </w:p>
    <w:p w14:paraId="2C802250">
      <w:pPr>
        <w:pStyle w:val="13"/>
        <w:adjustRightInd w:val="0"/>
        <w:snapToGrid w:val="0"/>
        <w:spacing w:before="48" w:beforeLines="20" w:after="48" w:afterLines="20" w:line="360" w:lineRule="auto"/>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自本公告发布之日起5个工作日。</w:t>
      </w:r>
    </w:p>
    <w:p w14:paraId="6F98ED71">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六、其他补充事宜</w:t>
      </w:r>
    </w:p>
    <w:p w14:paraId="43C8DBCD">
      <w:pPr>
        <w:pStyle w:val="13"/>
        <w:adjustRightInd w:val="0"/>
        <w:snapToGrid w:val="0"/>
        <w:spacing w:before="48" w:beforeLines="20" w:after="48" w:afterLines="20" w:line="360" w:lineRule="auto"/>
        <w:ind w:firstLine="480" w:firstLineChars="200"/>
        <w:rPr>
          <w:rFonts w:hint="eastAsia" w:ascii="宋体" w:hAnsi="宋体"/>
          <w:color w:val="auto"/>
          <w:szCs w:val="24"/>
          <w:highlight w:val="none"/>
          <w:lang w:val="en-US" w:eastAsia="zh-CN"/>
        </w:rPr>
      </w:pPr>
      <w:r>
        <w:rPr>
          <w:rFonts w:hint="eastAsia" w:ascii="宋体" w:hAnsi="宋体"/>
          <w:color w:val="auto"/>
          <w:szCs w:val="24"/>
          <w:highlight w:val="none"/>
          <w:shd w:val="clear" w:color="auto" w:fill="auto"/>
          <w:lang w:val="en-US" w:eastAsia="zh-CN"/>
        </w:rPr>
        <w:t>（1）供应商只有在“四川中志招标代理有限公司”官网完成获取招标文件申请并下载招标文件后才视作依法参与本项目。如未在“四川中志招标代理有限公司”官网内完成相关流程，引起的投标无效责任自</w:t>
      </w:r>
      <w:r>
        <w:rPr>
          <w:rFonts w:hint="eastAsia" w:ascii="宋体" w:hAnsi="宋体"/>
          <w:color w:val="auto"/>
          <w:szCs w:val="24"/>
          <w:highlight w:val="none"/>
          <w:lang w:val="en-US" w:eastAsia="zh-CN"/>
        </w:rPr>
        <w:t>负。</w:t>
      </w:r>
    </w:p>
    <w:p w14:paraId="3B7EB6FD">
      <w:pPr>
        <w:pStyle w:val="13"/>
        <w:adjustRightInd w:val="0"/>
        <w:snapToGrid w:val="0"/>
        <w:spacing w:before="48" w:beforeLines="20" w:after="48" w:afterLines="20" w:line="360" w:lineRule="auto"/>
        <w:ind w:firstLine="480" w:firstLineChars="200"/>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2）供应商获取招标文件时必须如实认真填写项目信息及供应商信息；若因供应商提供的错误信息，对自身投标事宜造成影响的，由供应商自行承担责任（供应商欲修改报名信息，请于报名截止时间前登陆“四川中志招标代理有限公司”官网修改报名信息）。</w:t>
      </w:r>
    </w:p>
    <w:p w14:paraId="02F12B3A">
      <w:pPr>
        <w:pStyle w:val="13"/>
        <w:adjustRightInd w:val="0"/>
        <w:snapToGrid w:val="0"/>
        <w:spacing w:before="48" w:beforeLines="20" w:after="48" w:afterLines="20" w:line="360" w:lineRule="auto"/>
        <w:ind w:firstLine="480" w:firstLineChars="200"/>
        <w:outlineLvl w:val="3"/>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（3）招标服务费：</w:t>
      </w:r>
    </w:p>
    <w:p w14:paraId="56566D9E">
      <w:pPr>
        <w:pStyle w:val="13"/>
        <w:adjustRightInd w:val="0"/>
        <w:snapToGrid w:val="0"/>
        <w:spacing w:before="48" w:beforeLines="20" w:after="48" w:afterLines="20" w:line="360" w:lineRule="auto"/>
        <w:ind w:firstLine="480" w:firstLineChars="200"/>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1.依照成本加合理利润的原则，以中标金额作为计算基数，按差额定率累进法进行计算，并按以下费率标准（服务采购项目）下浮40%收取：中标金额100万元以下，费率1.5%；中标金额100-500万元，费率0.8%；中标金额500-1000万元，费率0.45%；中标金额1000-5000万元，费率0.25%；中标金额5000-10000万元，费率0.1%；中标金额10000-100000万元，费率0.05%；中标金额100000万元以上，费率0.01%。</w:t>
      </w:r>
    </w:p>
    <w:p w14:paraId="62903E33">
      <w:pPr>
        <w:pStyle w:val="13"/>
        <w:adjustRightInd w:val="0"/>
        <w:snapToGrid w:val="0"/>
        <w:spacing w:before="48" w:beforeLines="20" w:after="48" w:afterLines="20" w:line="360" w:lineRule="auto"/>
        <w:ind w:firstLine="480" w:firstLineChars="200"/>
        <w:outlineLvl w:val="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2.服务费收款单位：</w:t>
      </w:r>
      <w:r>
        <w:rPr>
          <w:rFonts w:hint="eastAsia" w:ascii="宋体" w:hAnsi="宋体" w:eastAsia="宋体" w:cs="Times New Roman"/>
          <w:color w:val="auto"/>
          <w:kern w:val="2"/>
          <w:sz w:val="24"/>
          <w:szCs w:val="24"/>
          <w:highlight w:val="none"/>
          <w:lang w:val="en-US" w:eastAsia="zh-CN" w:bidi="ar-SA"/>
        </w:rPr>
        <w:t>四川中志招标代理有限公司</w:t>
      </w:r>
    </w:p>
    <w:p w14:paraId="5D482C29">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开户银行：中国建设银行成都高新支行</w:t>
      </w:r>
    </w:p>
    <w:p w14:paraId="69479576">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账号：51001406137051526738</w:t>
      </w:r>
    </w:p>
    <w:p w14:paraId="7B5C132F">
      <w:pPr>
        <w:pStyle w:val="13"/>
        <w:adjustRightInd w:val="0"/>
        <w:snapToGrid w:val="0"/>
        <w:spacing w:before="48" w:beforeLines="20" w:after="48" w:afterLines="20" w:line="360" w:lineRule="auto"/>
        <w:ind w:firstLine="480" w:firstLineChars="200"/>
        <w:outlineLvl w:val="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3.中标人在领取中标通知书前向采购代理机构交纳招标服务费。</w:t>
      </w:r>
    </w:p>
    <w:p w14:paraId="59A13F6E">
      <w:pPr>
        <w:pStyle w:val="13"/>
        <w:adjustRightInd w:val="0"/>
        <w:snapToGrid w:val="0"/>
        <w:spacing w:before="48" w:beforeLines="20" w:after="48" w:afterLines="20" w:line="360" w:lineRule="auto"/>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七、对本次招标提出询问，请按以下方式联系。</w:t>
      </w:r>
    </w:p>
    <w:p w14:paraId="17478A58">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1.采购人信息</w:t>
      </w:r>
    </w:p>
    <w:p w14:paraId="4266050D">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名称：国家税务总局四川省税务局</w:t>
      </w:r>
    </w:p>
    <w:p w14:paraId="1AB2261D">
      <w:pPr>
        <w:pStyle w:val="13"/>
        <w:adjustRightInd w:val="0"/>
        <w:snapToGrid w:val="0"/>
        <w:spacing w:before="48" w:beforeLines="20" w:after="48" w:afterLines="20" w:line="360" w:lineRule="auto"/>
        <w:ind w:firstLine="480" w:firstLineChars="200"/>
        <w:outlineLvl w:val="4"/>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地址：四川省成都市锦江区滨江东路266号</w:t>
      </w:r>
    </w:p>
    <w:p w14:paraId="6EA58C2B">
      <w:pPr>
        <w:pStyle w:val="13"/>
        <w:adjustRightInd w:val="0"/>
        <w:snapToGrid w:val="0"/>
        <w:spacing w:before="48" w:beforeLines="20" w:after="48" w:afterLines="20" w:line="360" w:lineRule="auto"/>
        <w:ind w:firstLine="480" w:firstLineChars="200"/>
        <w:outlineLvl w:val="4"/>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联系方式：028-86734</w:t>
      </w:r>
      <w:r>
        <w:rPr>
          <w:rFonts w:hint="eastAsia" w:ascii="宋体" w:hAnsi="宋体" w:cs="Times New Roman"/>
          <w:color w:val="auto"/>
          <w:kern w:val="2"/>
          <w:sz w:val="24"/>
          <w:szCs w:val="24"/>
          <w:highlight w:val="none"/>
          <w:lang w:val="en-US" w:eastAsia="zh-CN" w:bidi="ar-SA"/>
        </w:rPr>
        <w:t>911</w:t>
      </w:r>
    </w:p>
    <w:p w14:paraId="6014C55F">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2.项目联系方式</w:t>
      </w:r>
    </w:p>
    <w:p w14:paraId="40602546">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项目联系人：</w:t>
      </w:r>
      <w:r>
        <w:rPr>
          <w:rFonts w:hint="eastAsia" w:ascii="宋体" w:hAnsi="宋体" w:cs="Times New Roman"/>
          <w:color w:val="auto"/>
          <w:kern w:val="2"/>
          <w:sz w:val="24"/>
          <w:szCs w:val="24"/>
          <w:highlight w:val="none"/>
          <w:lang w:val="en-US" w:eastAsia="zh-CN" w:bidi="ar-SA"/>
        </w:rPr>
        <w:t>杨先生</w:t>
      </w:r>
    </w:p>
    <w:p w14:paraId="633BD291">
      <w:pPr>
        <w:pStyle w:val="13"/>
        <w:adjustRightInd w:val="0"/>
        <w:snapToGrid w:val="0"/>
        <w:spacing w:before="48" w:beforeLines="20" w:after="48" w:afterLines="20" w:line="360" w:lineRule="auto"/>
        <w:ind w:firstLine="480" w:firstLineChars="200"/>
        <w:outlineLvl w:val="4"/>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电话：028-8673</w:t>
      </w:r>
      <w:r>
        <w:rPr>
          <w:rFonts w:hint="eastAsia" w:ascii="宋体" w:hAnsi="宋体" w:cs="Times New Roman"/>
          <w:color w:val="auto"/>
          <w:kern w:val="2"/>
          <w:sz w:val="24"/>
          <w:szCs w:val="24"/>
          <w:highlight w:val="none"/>
          <w:lang w:val="en-US" w:eastAsia="zh-CN" w:bidi="ar-SA"/>
        </w:rPr>
        <w:t>4911</w:t>
      </w:r>
    </w:p>
    <w:p w14:paraId="3CE754FE">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3.采购代理机构：四川中志招标代理有限公司</w:t>
      </w:r>
    </w:p>
    <w:p w14:paraId="35E6AF79">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开户银行：中国建设银行成都市高新支行</w:t>
      </w:r>
    </w:p>
    <w:p w14:paraId="4D5F1398">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账号：51001406137051526738</w:t>
      </w:r>
    </w:p>
    <w:p w14:paraId="0DEAC8DC">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通讯地址：成都市高新区吉泰五路88号3栋7层1号（花样年•香年广场）</w:t>
      </w:r>
    </w:p>
    <w:p w14:paraId="37916AC3">
      <w:pPr>
        <w:pStyle w:val="13"/>
        <w:adjustRightInd w:val="0"/>
        <w:snapToGrid w:val="0"/>
        <w:spacing w:before="48" w:beforeLines="20" w:after="48" w:afterLines="20" w:line="360" w:lineRule="auto"/>
        <w:ind w:firstLine="480" w:firstLineChars="200"/>
        <w:outlineLvl w:val="4"/>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联系人：</w:t>
      </w:r>
      <w:r>
        <w:rPr>
          <w:rFonts w:hint="eastAsia" w:ascii="宋体" w:hAnsi="宋体" w:cs="Times New Roman"/>
          <w:color w:val="auto"/>
          <w:kern w:val="2"/>
          <w:sz w:val="24"/>
          <w:szCs w:val="24"/>
          <w:highlight w:val="none"/>
          <w:lang w:val="en-US" w:eastAsia="zh-CN" w:bidi="ar-SA"/>
        </w:rPr>
        <w:t>倪文科</w:t>
      </w:r>
      <w:r>
        <w:rPr>
          <w:rFonts w:hint="eastAsia" w:ascii="宋体" w:hAnsi="宋体" w:eastAsia="宋体" w:cs="Times New Roman"/>
          <w:color w:val="auto"/>
          <w:kern w:val="2"/>
          <w:sz w:val="24"/>
          <w:szCs w:val="24"/>
          <w:highlight w:val="none"/>
          <w:lang w:val="en-US" w:eastAsia="zh-CN" w:bidi="ar-SA"/>
        </w:rPr>
        <w:t>、李奇达、</w:t>
      </w:r>
      <w:r>
        <w:rPr>
          <w:rFonts w:hint="eastAsia" w:ascii="宋体" w:hAnsi="宋体" w:cs="Times New Roman"/>
          <w:color w:val="auto"/>
          <w:kern w:val="2"/>
          <w:sz w:val="24"/>
          <w:szCs w:val="24"/>
          <w:highlight w:val="none"/>
          <w:lang w:val="en-US" w:eastAsia="zh-CN" w:bidi="ar-SA"/>
        </w:rPr>
        <w:t>陈艳</w:t>
      </w:r>
    </w:p>
    <w:p w14:paraId="68FE062F">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电话：</w:t>
      </w:r>
    </w:p>
    <w:p w14:paraId="0B5A3F60">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028-65783579（报名相关事宜咨询）</w:t>
      </w:r>
    </w:p>
    <w:p w14:paraId="49AAC99C">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028-87333799-60</w:t>
      </w:r>
      <w:r>
        <w:rPr>
          <w:rFonts w:hint="eastAsia" w:ascii="宋体" w:hAnsi="宋体" w:cs="Times New Roman"/>
          <w:color w:val="auto"/>
          <w:kern w:val="2"/>
          <w:sz w:val="24"/>
          <w:szCs w:val="24"/>
          <w:highlight w:val="none"/>
          <w:lang w:val="en-US" w:eastAsia="zh-CN" w:bidi="ar-SA"/>
        </w:rPr>
        <w:t>4</w:t>
      </w:r>
      <w:r>
        <w:rPr>
          <w:rFonts w:hint="eastAsia" w:ascii="宋体" w:hAnsi="宋体" w:eastAsia="宋体" w:cs="Times New Roman"/>
          <w:color w:val="auto"/>
          <w:kern w:val="2"/>
          <w:sz w:val="24"/>
          <w:szCs w:val="24"/>
          <w:highlight w:val="none"/>
          <w:lang w:val="en-US" w:eastAsia="zh-CN" w:bidi="ar-SA"/>
        </w:rPr>
        <w:t>（采购项目相关事宜咨询）</w:t>
      </w:r>
    </w:p>
    <w:p w14:paraId="5048B739">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电子邮件：</w:t>
      </w:r>
    </w:p>
    <w:p w14:paraId="39B8A6DC">
      <w:pPr>
        <w:pStyle w:val="13"/>
        <w:adjustRightInd w:val="0"/>
        <w:snapToGrid w:val="0"/>
        <w:spacing w:before="48" w:beforeLines="20" w:after="48" w:afterLines="20" w:line="360" w:lineRule="auto"/>
        <w:ind w:firstLine="480" w:firstLineChars="200"/>
        <w:outlineLvl w:val="4"/>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采购项目咨询：niwenke@sczz84510079.com</w:t>
      </w:r>
    </w:p>
    <w:p w14:paraId="11BA0CE5">
      <w:pPr>
        <w:pStyle w:val="13"/>
        <w:adjustRightInd w:val="0"/>
        <w:snapToGrid w:val="0"/>
        <w:spacing w:before="48" w:beforeLines="20" w:after="48" w:afterLines="20" w:line="360" w:lineRule="auto"/>
        <w:ind w:firstLine="480" w:firstLineChars="200"/>
        <w:outlineLvl w:val="4"/>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开取发票：fapiao@sczz84510079.com</w:t>
      </w:r>
    </w:p>
    <w:p w14:paraId="0C4CF281">
      <w:pPr>
        <w:rPr>
          <w:rFonts w:hint="eastAsia" w:ascii="宋体" w:hAnsi="宋体" w:eastAsia="宋体" w:cs="宋体"/>
        </w:rPr>
      </w:pPr>
      <w:r>
        <w:rPr>
          <w:rFonts w:hint="eastAsia" w:ascii="宋体" w:hAnsi="宋体" w:eastAsia="宋体" w:cs="宋体"/>
        </w:rPr>
        <w:br w:type="page"/>
      </w:r>
    </w:p>
    <w:p w14:paraId="2D471097">
      <w:pP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附件：</w:t>
      </w:r>
    </w:p>
    <w:p w14:paraId="0DA59D4E">
      <w:pPr>
        <w:pStyle w:val="5"/>
        <w:keepNext w:val="0"/>
        <w:pageBreakBefore w:val="0"/>
        <w:widowControl/>
        <w:numPr>
          <w:ilvl w:val="1"/>
          <w:numId w:val="0"/>
        </w:numPr>
        <w:tabs>
          <w:tab w:val="clear" w:pos="2400"/>
        </w:tabs>
        <w:suppressAutoHyphens/>
        <w:kinsoku/>
        <w:wordWrap/>
        <w:topLinePunct w:val="0"/>
        <w:bidi w:val="0"/>
        <w:adjustRightInd w:val="0"/>
        <w:snapToGrid w:val="0"/>
        <w:spacing w:before="0" w:beforeLines="0" w:after="0" w:afterLines="0" w:line="360" w:lineRule="auto"/>
        <w:ind w:left="0" w:leftChars="0" w:firstLine="562" w:firstLineChars="200"/>
        <w:jc w:val="left"/>
        <w:outlineLvl w:val="0"/>
        <w:rPr>
          <w:rFonts w:hint="eastAsia" w:ascii="仿宋" w:hAnsi="仿宋" w:eastAsia="仿宋" w:cs="仿宋"/>
          <w:b/>
          <w:bCs/>
          <w:i w:val="0"/>
          <w:iCs w:val="0"/>
          <w:color w:val="000000"/>
          <w:sz w:val="28"/>
          <w:szCs w:val="28"/>
          <w:highlight w:val="none"/>
        </w:rPr>
      </w:pPr>
      <w:r>
        <w:rPr>
          <w:rFonts w:hint="eastAsia" w:ascii="仿宋" w:hAnsi="仿宋" w:eastAsia="仿宋" w:cs="仿宋"/>
          <w:b/>
          <w:bCs/>
          <w:i w:val="0"/>
          <w:iCs w:val="0"/>
          <w:color w:val="auto"/>
          <w:kern w:val="2"/>
          <w:sz w:val="28"/>
          <w:szCs w:val="28"/>
        </w:rPr>
        <w:t>一、项目建设背景</w:t>
      </w:r>
    </w:p>
    <w:p w14:paraId="2C75039D">
      <w:pPr>
        <w:keepNext w:val="0"/>
        <w:keepLines w:val="0"/>
        <w:pageBreakBefore w:val="0"/>
        <w:widowControl/>
        <w:numPr>
          <w:ilvl w:val="0"/>
          <w:numId w:val="0"/>
        </w:numPr>
        <w:suppressLineNumbers w:val="0"/>
        <w:kinsoku/>
        <w:wordWrap/>
        <w:topLinePunct w:val="0"/>
        <w:bidi w:val="0"/>
        <w:spacing w:after="0" w:line="360" w:lineRule="auto"/>
        <w:ind w:left="0" w:leftChars="0" w:firstLine="560" w:firstLineChars="200"/>
        <w:jc w:val="left"/>
        <w:rPr>
          <w:rFonts w:hint="eastAsia" w:ascii="仿宋" w:hAnsi="仿宋" w:eastAsia="仿宋" w:cs="仿宋"/>
          <w:b w:val="0"/>
          <w:bCs w:val="0"/>
          <w:color w:val="auto"/>
          <w:kern w:val="2"/>
          <w:sz w:val="28"/>
          <w:szCs w:val="28"/>
          <w:lang w:eastAsia="zh-CN"/>
        </w:rPr>
      </w:pPr>
      <w:r>
        <w:rPr>
          <w:rFonts w:hint="eastAsia" w:ascii="仿宋" w:hAnsi="仿宋" w:eastAsia="仿宋" w:cs="仿宋"/>
          <w:b w:val="0"/>
          <w:bCs w:val="0"/>
          <w:color w:val="auto"/>
          <w:kern w:val="2"/>
          <w:sz w:val="28"/>
          <w:szCs w:val="28"/>
          <w:lang w:eastAsia="zh-CN"/>
        </w:rPr>
        <w:t>（</w:t>
      </w:r>
      <w:r>
        <w:rPr>
          <w:rFonts w:hint="eastAsia" w:ascii="仿宋" w:hAnsi="仿宋" w:eastAsia="仿宋" w:cs="仿宋"/>
          <w:b w:val="0"/>
          <w:bCs w:val="0"/>
          <w:color w:val="auto"/>
          <w:kern w:val="2"/>
          <w:sz w:val="28"/>
          <w:szCs w:val="28"/>
        </w:rPr>
        <w:t>一</w:t>
      </w:r>
      <w:r>
        <w:rPr>
          <w:rFonts w:hint="eastAsia" w:ascii="仿宋" w:hAnsi="仿宋" w:eastAsia="仿宋" w:cs="仿宋"/>
          <w:b w:val="0"/>
          <w:bCs w:val="0"/>
          <w:color w:val="auto"/>
          <w:kern w:val="2"/>
          <w:sz w:val="28"/>
          <w:szCs w:val="28"/>
          <w:lang w:eastAsia="zh-CN"/>
        </w:rPr>
        <w:t>）项目背景</w:t>
      </w:r>
    </w:p>
    <w:p w14:paraId="08E62C1E">
      <w:pPr>
        <w:keepNext w:val="0"/>
        <w:keepLines w:val="0"/>
        <w:pageBreakBefore w:val="0"/>
        <w:widowControl/>
        <w:numPr>
          <w:ilvl w:val="0"/>
          <w:numId w:val="0"/>
        </w:numPr>
        <w:suppressLineNumbers w:val="0"/>
        <w:kinsoku/>
        <w:wordWrap/>
        <w:topLinePunct w:val="0"/>
        <w:bidi w:val="0"/>
        <w:spacing w:after="0" w:line="360" w:lineRule="auto"/>
        <w:ind w:left="0" w:leftChars="0" w:firstLine="560" w:firstLineChars="20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国家税务总局四川省税务局应用支撑平台汇聚金税三期、金税四期系统数据，是税收核心业务运行、数据汇聚共享的核心枢纽，该平台原采用VERTICA数据库。现需将其迁移至省局部署的腾讯云TChouse数据库，同时计划2026年底完成税费业务生产系统上云，届时生产系统源端数据库、表结构及数据接入均将调整，需同步完成省局大数据平台适配改造。现需采购专业技术服务，支撑本次系统迁移及升级改造工作。</w:t>
      </w:r>
    </w:p>
    <w:p w14:paraId="54084727">
      <w:pPr>
        <w:pStyle w:val="5"/>
        <w:keepNext w:val="0"/>
        <w:pageBreakBefore w:val="0"/>
        <w:widowControl/>
        <w:numPr>
          <w:ilvl w:val="1"/>
          <w:numId w:val="0"/>
        </w:numPr>
        <w:tabs>
          <w:tab w:val="clear" w:pos="2400"/>
        </w:tabs>
        <w:suppressAutoHyphens/>
        <w:kinsoku/>
        <w:wordWrap/>
        <w:topLinePunct w:val="0"/>
        <w:bidi w:val="0"/>
        <w:adjustRightInd w:val="0"/>
        <w:snapToGrid w:val="0"/>
        <w:spacing w:before="0" w:beforeLines="0" w:after="0" w:afterLines="0" w:line="360" w:lineRule="auto"/>
        <w:ind w:left="0" w:leftChars="0" w:firstLine="562" w:firstLineChars="200"/>
        <w:jc w:val="left"/>
        <w:outlineLvl w:val="0"/>
        <w:rPr>
          <w:rFonts w:hint="eastAsia" w:ascii="仿宋" w:hAnsi="仿宋" w:eastAsia="仿宋" w:cs="仿宋"/>
          <w:b/>
          <w:bCs/>
          <w:i w:val="0"/>
          <w:iCs w:val="0"/>
          <w:color w:val="auto"/>
          <w:kern w:val="2"/>
          <w:sz w:val="28"/>
          <w:szCs w:val="28"/>
        </w:rPr>
      </w:pPr>
      <w:bookmarkStart w:id="1" w:name="_Toc89768316"/>
      <w:r>
        <w:rPr>
          <w:rFonts w:hint="eastAsia" w:ascii="仿宋" w:hAnsi="仿宋" w:eastAsia="仿宋" w:cs="仿宋"/>
          <w:b/>
          <w:bCs/>
          <w:i w:val="0"/>
          <w:iCs w:val="0"/>
          <w:color w:val="auto"/>
          <w:kern w:val="2"/>
          <w:sz w:val="28"/>
          <w:szCs w:val="28"/>
        </w:rPr>
        <w:t>二、采购数量、业务、技术需求</w:t>
      </w:r>
      <w:bookmarkEnd w:id="1"/>
    </w:p>
    <w:p w14:paraId="69D76204">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 w:eastAsia="zh-CN" w:bidi="ar-SA"/>
        </w:rPr>
        <w:t>★</w:t>
      </w:r>
      <w:r>
        <w:rPr>
          <w:rFonts w:hint="eastAsia" w:ascii="仿宋" w:hAnsi="仿宋" w:eastAsia="仿宋" w:cs="仿宋"/>
          <w:b w:val="0"/>
          <w:bCs w:val="0"/>
          <w:kern w:val="2"/>
          <w:sz w:val="28"/>
          <w:szCs w:val="28"/>
          <w:lang w:val="en-US" w:eastAsia="zh-CN" w:bidi="ar-SA"/>
        </w:rPr>
        <w:t>（一）本项目采购内容</w:t>
      </w:r>
    </w:p>
    <w:p w14:paraId="0BD476F8">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本项目拟采购服务团队完成以下相关工作：</w:t>
      </w:r>
    </w:p>
    <w:p w14:paraId="1786B033">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1.应用支撑平台迁移</w:t>
      </w:r>
    </w:p>
    <w:p w14:paraId="59739DC5">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eastAsia="zh-CN"/>
        </w:rPr>
      </w:pPr>
      <w:r>
        <w:rPr>
          <w:rFonts w:hint="eastAsia" w:ascii="仿宋" w:hAnsi="仿宋" w:eastAsia="仿宋" w:cs="仿宋"/>
          <w:sz w:val="28"/>
          <w:szCs w:val="28"/>
          <w:lang w:val="en-US" w:eastAsia="zh-CN"/>
        </w:rPr>
        <w:t>主要包括三个方面的工作内容：一是汇聚区的数据库和应用迁移。将现有汇聚区从Vertica数据库迁移到金四云平台基础资源扩容后的</w:t>
      </w:r>
      <w:r>
        <w:rPr>
          <w:rFonts w:hint="eastAsia" w:ascii="仿宋" w:hAnsi="仿宋" w:eastAsia="仿宋" w:cs="仿宋"/>
          <w:sz w:val="28"/>
          <w:szCs w:val="28"/>
          <w:lang w:val="en" w:eastAsia="zh-CN"/>
        </w:rPr>
        <w:t>TChouse数据库</w:t>
      </w:r>
      <w:r>
        <w:rPr>
          <w:rFonts w:hint="eastAsia" w:ascii="仿宋" w:hAnsi="仿宋" w:eastAsia="仿宋" w:cs="仿宋"/>
          <w:sz w:val="28"/>
          <w:szCs w:val="28"/>
          <w:lang w:val="en-US" w:eastAsia="zh-CN"/>
        </w:rPr>
        <w:t>，并将应用、数据迁移到新的环境。二是汇聚区为省局大数据平台供数。为确保数据一致性、减少数据汇聚工作量，并避免从生产系统直接汇聚数据对业务的影响，项目实施过程中将汇聚区作为省局大数据平台主要数据源端，为后期省局大数据平台获取同步数据提供支撑。三是会统核算业务系统迁移。因会统核算业务系统部署在应用支撑平台，采用的是 Vertica 数据库底座，需同步整体迁移到 TCHouse 数据库。</w:t>
      </w:r>
    </w:p>
    <w:p w14:paraId="19907252">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2.大数据平台升级</w:t>
      </w:r>
    </w:p>
    <w:p w14:paraId="72C68B53">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主要包括两个方面、6项工作内容。</w:t>
      </w:r>
    </w:p>
    <w:p w14:paraId="17259891">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eastAsia="zh-CN"/>
        </w:rPr>
      </w:pPr>
      <w:r>
        <w:rPr>
          <w:rFonts w:hint="eastAsia" w:ascii="仿宋" w:hAnsi="仿宋" w:eastAsia="仿宋" w:cs="仿宋"/>
          <w:sz w:val="28"/>
          <w:szCs w:val="28"/>
          <w:lang w:val="en-US" w:eastAsia="zh-CN"/>
        </w:rPr>
        <w:t>一方面，需要对原有金三系统建设的决策二包本地数据分析类特色应用迁移到大数据平台。经与业主部门确认，我省</w:t>
      </w:r>
      <w:r>
        <w:rPr>
          <w:rFonts w:hint="eastAsia" w:ascii="仿宋" w:hAnsi="仿宋" w:eastAsia="仿宋" w:cs="仿宋"/>
          <w:sz w:val="28"/>
          <w:szCs w:val="28"/>
          <w:lang w:eastAsia="zh-CN"/>
        </w:rPr>
        <w:t>保留迁移改造的只有“大企业税收服务与管理”项目，涉及6个板块、</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1个功能。</w:t>
      </w:r>
    </w:p>
    <w:p w14:paraId="48F0188B">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eastAsia="zh-CN"/>
        </w:rPr>
      </w:pPr>
      <w:r>
        <w:rPr>
          <w:rFonts w:hint="eastAsia" w:ascii="仿宋" w:hAnsi="仿宋" w:eastAsia="仿宋" w:cs="仿宋"/>
          <w:sz w:val="28"/>
          <w:szCs w:val="28"/>
          <w:lang w:val="en-US" w:eastAsia="zh-CN"/>
        </w:rPr>
        <w:t>另一方面，大数据平台需要应对税费业务系统试点进行必要的优化升级改造。包括：一是数据源调整与同步。在实现应用支撑平台汇聚区为大数据平台供数的基础上，同步完成大数据平台所需的数据分析类查询应用明细数据同步链路设计、数据同步工具验证、数据汇聚、监控及数据对账等工作。二是数据加工升级改造。根据数据源端变化情况，对现有大数据平台的数据加工进行改造，主要更换为应用支撑平台汇聚区现有中间层和宽表，同时改造需要保留的我省特色数仓、宽表、指标和支撑其他系统的数据服务。三是应用功能升级改造。调整现有应用功能数据加工的数据源、取数逻辑，并将部分原来使用Vertica数据库的应用加工、查询进行迁移，如：社保费全流程监控、房地产一体式管理、数展通、耕地占用税电子信息、企业所得税基础管理、税费征管报表中心等功能。四是BI报表升级改造。根据数据源端变化情况，对省局大数据平台BI报表进行适配改造，数量较多，大的类型包括：税收风险管理监控报表、“六税两费”专项管理报表、数据质量治理报表、出口业务报表、货劳专项管理报表、稽查案件管理报表、税费申报质量评价报表、社保费征管基础报表、非税管理报表等。五是数据共享类服务升级改造。包括支撑生产系统的接口且需要在大数据平台完成数据加工服务的部分加工进行升级改造，以及纯对外提供数据的共享类数据接口升级改造，涉及外部16个部门，如省政府共享责任清单、促进中小微企业融资信息、成渝经济圈建设等。</w:t>
      </w:r>
    </w:p>
    <w:p w14:paraId="04751261">
      <w:pPr>
        <w:pageBreakBefore w:val="0"/>
        <w:numPr>
          <w:ilvl w:val="0"/>
          <w:numId w:val="0"/>
        </w:numPr>
        <w:kinsoku/>
        <w:wordWrap/>
        <w:topLinePunct w:val="0"/>
        <w:bidi w:val="0"/>
        <w:spacing w:after="0" w:line="360" w:lineRule="auto"/>
        <w:ind w:left="0" w:leftChars="0"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上述服务预算合计为327.26万元。</w:t>
      </w:r>
    </w:p>
    <w:p w14:paraId="2D327ED4">
      <w:pPr>
        <w:keepNext w:val="0"/>
        <w:keepLines w:val="0"/>
        <w:pageBreakBefore w:val="0"/>
        <w:widowControl w:val="0"/>
        <w:kinsoku/>
        <w:wordWrap/>
        <w:overflowPunct w:val="0"/>
        <w:topLinePunct w:val="0"/>
        <w:autoSpaceDE w:val="0"/>
        <w:autoSpaceDN w:val="0"/>
        <w:bidi w:val="0"/>
        <w:adjustRightInd w:val="0"/>
        <w:snapToGrid w:val="0"/>
        <w:spacing w:after="0" w:line="360" w:lineRule="auto"/>
        <w:ind w:firstLine="560" w:firstLineChars="200"/>
        <w:textAlignment w:val="baseline"/>
        <w:rPr>
          <w:rFonts w:hint="eastAsia" w:ascii="仿宋" w:hAnsi="仿宋" w:eastAsia="仿宋" w:cs="仿宋"/>
          <w:b w:val="0"/>
          <w:bCs w:val="0"/>
          <w:i w:val="0"/>
          <w:iCs w:val="0"/>
          <w:color w:val="auto"/>
          <w:kern w:val="2"/>
          <w:sz w:val="28"/>
          <w:szCs w:val="28"/>
          <w:highlight w:val="none"/>
          <w:lang w:val="en-US" w:eastAsia="zh-CN" w:bidi="ar-SA"/>
        </w:rPr>
      </w:pPr>
      <w:r>
        <w:rPr>
          <w:rFonts w:hint="eastAsia" w:ascii="仿宋" w:hAnsi="仿宋" w:eastAsia="仿宋" w:cs="仿宋"/>
          <w:sz w:val="28"/>
          <w:szCs w:val="28"/>
          <w:lang w:val="en-US" w:eastAsia="zh-CN"/>
        </w:rPr>
        <w:t>项目整体服务时限从合同签订生效之日起6个月。</w:t>
      </w:r>
      <w:bookmarkStart w:id="2" w:name="_GoBack"/>
      <w:bookmarkEnd w:id="2"/>
    </w:p>
    <w:p w14:paraId="5177460A">
      <w:pPr>
        <w:keepNext w:val="0"/>
        <w:keepLines w:val="0"/>
        <w:pageBreakBefore w:val="0"/>
        <w:widowControl w:val="0"/>
        <w:kinsoku/>
        <w:wordWrap/>
        <w:overflowPunct w:val="0"/>
        <w:topLinePunct w:val="0"/>
        <w:autoSpaceDE w:val="0"/>
        <w:autoSpaceDN w:val="0"/>
        <w:bidi w:val="0"/>
        <w:adjustRightInd w:val="0"/>
        <w:snapToGrid w:val="0"/>
        <w:spacing w:after="0" w:line="360" w:lineRule="auto"/>
        <w:ind w:firstLine="640" w:firstLineChars="200"/>
        <w:textAlignment w:val="baseline"/>
        <w:rPr>
          <w:rFonts w:hint="eastAsia" w:ascii="宋体" w:hAnsi="宋体" w:eastAsia="宋体" w:cs="宋体"/>
          <w:b w:val="0"/>
          <w:bCs w:val="0"/>
          <w:i w:val="0"/>
          <w:iCs w:val="0"/>
          <w:color w:val="auto"/>
          <w:kern w:val="2"/>
          <w:sz w:val="32"/>
          <w:szCs w:val="32"/>
          <w:highlight w:val="none"/>
          <w:lang w:val="en-US" w:eastAsia="zh-CN" w:bidi="ar-SA"/>
        </w:rPr>
      </w:pPr>
    </w:p>
    <w:p w14:paraId="2D5C0721">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lvlText w:val="第%1章 "/>
      <w:lvlJc w:val="left"/>
      <w:pPr>
        <w:tabs>
          <w:tab w:val="left" w:pos="2400"/>
        </w:tabs>
        <w:ind w:left="1392" w:hanging="432"/>
      </w:pPr>
      <w:rPr>
        <w:rFonts w:hint="eastAsia" w:ascii="Times New Roman" w:hAnsi="Times New Roman" w:cs="Times New Roman"/>
        <w:i w:val="0"/>
        <w:iCs w:val="0"/>
        <w:caps w:val="0"/>
        <w:smallCaps w:val="0"/>
        <w:spacing w:val="0"/>
        <w:kern w:val="0"/>
        <w:position w:val="0"/>
        <w:u w:val="none"/>
        <w:lang w:val="en-US"/>
      </w:rPr>
    </w:lvl>
    <w:lvl w:ilvl="1" w:tentative="0">
      <w:start w:val="1"/>
      <w:numFmt w:val="decimal"/>
      <w:pStyle w:val="5"/>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964"/>
        </w:tabs>
        <w:ind w:left="964" w:hanging="964"/>
      </w:pPr>
      <w:rPr>
        <w:rFonts w:cs="Times New Roman"/>
        <w:b w:val="0"/>
        <w:bCs w:val="0"/>
        <w:i w:val="0"/>
        <w:iCs w:val="0"/>
        <w:caps w:val="0"/>
        <w:smallCaps w:val="0"/>
        <w:vanish w:val="0"/>
        <w:spacing w:val="0"/>
        <w:position w:val="0"/>
        <w:u w:val="none"/>
        <w:vertAlign w:val="baseline"/>
      </w:rPr>
    </w:lvl>
    <w:lvl w:ilvl="4" w:tentative="0">
      <w:start w:val="1"/>
      <w:numFmt w:val="decimal"/>
      <w:lvlText w:val="%1.%2.%3.%4.%5"/>
      <w:lvlJc w:val="left"/>
      <w:pPr>
        <w:tabs>
          <w:tab w:val="left" w:pos="1008"/>
        </w:tabs>
        <w:ind w:left="1008" w:hanging="1008"/>
      </w:pPr>
      <w:rPr>
        <w:lang w:eastAsia="zh-CN"/>
      </w:rPr>
    </w:lvl>
    <w:lvl w:ilvl="5" w:tentative="0">
      <w:start w:val="1"/>
      <w:numFmt w:val="decimal"/>
      <w:lvlText w:val="%1.%2.%3.%4.%5.%6"/>
      <w:lvlJc w:val="left"/>
      <w:pPr>
        <w:tabs>
          <w:tab w:val="left" w:pos="2145"/>
        </w:tabs>
        <w:ind w:left="2145" w:hanging="1152"/>
      </w:pPr>
      <w:rPr>
        <w:color w:val="auto"/>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6173D"/>
    <w:rsid w:val="0077716B"/>
    <w:rsid w:val="00A43F33"/>
    <w:rsid w:val="040D7426"/>
    <w:rsid w:val="042C58BC"/>
    <w:rsid w:val="077E510E"/>
    <w:rsid w:val="0B76173D"/>
    <w:rsid w:val="0E4911F7"/>
    <w:rsid w:val="0F8F1F26"/>
    <w:rsid w:val="12B3021D"/>
    <w:rsid w:val="1DFB3719"/>
    <w:rsid w:val="1F06171C"/>
    <w:rsid w:val="28751C87"/>
    <w:rsid w:val="2C573818"/>
    <w:rsid w:val="2F2B33C9"/>
    <w:rsid w:val="423F7558"/>
    <w:rsid w:val="4FC25B59"/>
    <w:rsid w:val="54476691"/>
    <w:rsid w:val="54D60B08"/>
    <w:rsid w:val="5782384F"/>
    <w:rsid w:val="59B40E14"/>
    <w:rsid w:val="5D4C2CEA"/>
    <w:rsid w:val="62792B78"/>
    <w:rsid w:val="64C233DA"/>
    <w:rsid w:val="70172471"/>
    <w:rsid w:val="75444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val="0"/>
      <w:spacing w:before="340" w:after="330" w:line="576" w:lineRule="auto"/>
      <w:ind w:left="0" w:right="0"/>
      <w:jc w:val="both"/>
      <w:outlineLvl w:val="0"/>
    </w:pPr>
    <w:rPr>
      <w:rFonts w:ascii="Times New Roman" w:hAnsi="Times New Roman" w:eastAsia="宋体" w:cs="Times New Roman"/>
      <w:b/>
      <w:bCs/>
      <w:kern w:val="44"/>
      <w:sz w:val="44"/>
      <w:szCs w:val="44"/>
      <w:lang w:val="en-US" w:eastAsia="zh-CN" w:bidi="ar-SA"/>
    </w:rPr>
  </w:style>
  <w:style w:type="paragraph" w:styleId="5">
    <w:name w:val="heading 2"/>
    <w:basedOn w:val="1"/>
    <w:next w:val="1"/>
    <w:qFormat/>
    <w:uiPriority w:val="0"/>
    <w:pPr>
      <w:keepNext/>
      <w:keepLines/>
      <w:widowControl w:val="0"/>
      <w:numPr>
        <w:ilvl w:val="1"/>
        <w:numId w:val="1"/>
      </w:numPr>
      <w:tabs>
        <w:tab w:val="left" w:pos="2400"/>
      </w:tabs>
      <w:spacing w:before="260" w:afterLines="50" w:line="416" w:lineRule="auto"/>
      <w:jc w:val="both"/>
      <w:outlineLvl w:val="1"/>
    </w:pPr>
    <w:rPr>
      <w:rFonts w:ascii="Arial" w:hAnsi="Arial" w:eastAsia="黑体" w:cs="Calibri"/>
      <w:sz w:val="32"/>
      <w:szCs w:val="32"/>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2"/>
      </w:numPr>
      <w:spacing w:before="280" w:after="156" w:line="377" w:lineRule="auto"/>
      <w:jc w:val="left"/>
      <w:outlineLvl w:val="4"/>
    </w:pPr>
    <w:rPr>
      <w:rFonts w:ascii="Arial" w:hAnsi="Arial" w:eastAsia="黑体" w:cs="黑体"/>
      <w:b/>
      <w:kern w:val="0"/>
      <w:sz w:val="24"/>
      <w:szCs w:val="28"/>
    </w:rPr>
  </w:style>
  <w:style w:type="paragraph" w:customStyle="1" w:styleId="3">
    <w:name w:val="正文（绿盟科技）"/>
    <w:qFormat/>
    <w:uiPriority w:val="0"/>
    <w:pPr>
      <w:spacing w:after="160" w:line="300" w:lineRule="auto"/>
    </w:pPr>
    <w:rPr>
      <w:rFonts w:ascii="Arial" w:hAnsi="Arial" w:eastAsia="宋体" w:cs="黑体"/>
      <w:sz w:val="21"/>
      <w:szCs w:val="21"/>
      <w:lang w:val="en-US" w:eastAsia="zh-CN" w:bidi="ar-SA"/>
    </w:rPr>
  </w:style>
  <w:style w:type="paragraph" w:styleId="6">
    <w:name w:val="Body Text"/>
    <w:basedOn w:val="1"/>
    <w:next w:val="7"/>
    <w:semiHidden/>
    <w:qFormat/>
    <w:uiPriority w:val="0"/>
    <w:rPr>
      <w:rFonts w:ascii="微软雅黑" w:hAnsi="微软雅黑" w:eastAsia="微软雅黑" w:cs="微软雅黑"/>
      <w:sz w:val="17"/>
      <w:szCs w:val="17"/>
      <w:lang w:val="en-US" w:eastAsia="en-US" w:bidi="ar-SA"/>
    </w:rPr>
  </w:style>
  <w:style w:type="paragraph" w:styleId="7">
    <w:name w:val="Body Text First Indent 2"/>
    <w:basedOn w:val="8"/>
    <w:next w:val="1"/>
    <w:unhideWhenUsed/>
    <w:qFormat/>
    <w:uiPriority w:val="99"/>
    <w:pPr>
      <w:spacing w:line="360" w:lineRule="auto"/>
      <w:ind w:firstLine="420" w:firstLineChars="200"/>
    </w:pPr>
  </w:style>
  <w:style w:type="paragraph" w:styleId="8">
    <w:name w:val="Body Text Indent"/>
    <w:basedOn w:val="1"/>
    <w:next w:val="7"/>
    <w:qFormat/>
    <w:uiPriority w:val="0"/>
    <w:pPr>
      <w:ind w:firstLine="360"/>
    </w:pPr>
    <w:rPr>
      <w:rFonts w:ascii="Times New Roman" w:hAnsi="Times New Roman" w:eastAsia="宋体" w:cs="Times New Roman"/>
      <w:kern w:val="0"/>
      <w:sz w:val="20"/>
      <w:szCs w:val="20"/>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0"/>
    <w:pPr>
      <w:tabs>
        <w:tab w:val="center" w:pos="4153"/>
        <w:tab w:val="right" w:pos="8306"/>
      </w:tabs>
      <w:spacing w:line="240" w:lineRule="auto"/>
      <w:ind w:firstLine="0" w:firstLineChars="0"/>
      <w:jc w:val="center"/>
    </w:pPr>
    <w:rPr>
      <w:rFonts w:ascii="等线" w:hAnsi="等线" w:eastAsia="等线" w:cs="Times New Roman"/>
      <w:sz w:val="18"/>
      <w:szCs w:val="18"/>
    </w:rPr>
  </w:style>
  <w:style w:type="paragraph" w:customStyle="1" w:styleId="13">
    <w:name w:val="正常"/>
    <w:basedOn w:val="14"/>
    <w:qFormat/>
    <w:uiPriority w:val="0"/>
    <w:rPr>
      <w:sz w:val="24"/>
    </w:rPr>
  </w:style>
  <w:style w:type="paragraph" w:customStyle="1" w:styleId="14">
    <w:name w:val="小正常"/>
    <w:basedOn w:val="1"/>
    <w:qFormat/>
    <w:uiPriority w:val="0"/>
    <w:rPr>
      <w:rFonts w:cs="Times New Roman"/>
      <w:sz w:val="20"/>
      <w:szCs w:val="20"/>
    </w:rPr>
  </w:style>
  <w:style w:type="paragraph" w:customStyle="1" w:styleId="15">
    <w:name w:val="Normal Indent1"/>
    <w:qFormat/>
    <w:uiPriority w:val="0"/>
    <w:pPr>
      <w:spacing w:after="160" w:afterLines="50" w:line="360" w:lineRule="auto"/>
      <w:ind w:firstLine="420" w:firstLineChars="200"/>
    </w:pPr>
    <w:rPr>
      <w:rFonts w:ascii="Times New Roman" w:hAnsi="Times New Roman" w:eastAsia="宋体" w:cs="Times New Roman"/>
      <w:lang w:val="en-US" w:eastAsia="zh-CN" w:bidi="ar-SA"/>
    </w:rPr>
  </w:style>
  <w:style w:type="paragraph" w:customStyle="1" w:styleId="16">
    <w:name w:val="MsoNormal"/>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2624</Words>
  <Characters>2990</Characters>
  <Lines>0</Lines>
  <Paragraphs>0</Paragraphs>
  <TotalTime>0</TotalTime>
  <ScaleCrop>false</ScaleCrop>
  <LinksUpToDate>false</LinksUpToDate>
  <CharactersWithSpaces>2994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2025-06-30T06:50:00Z</dcterms:created>
  <dc:creator>ZZ-H</dc:creator>
  <cp:lastModifiedBy>YoYo</cp:lastModifiedBy>
  <dcterms:modified xsi:type="dcterms:W3CDTF">2026-09-01T02:32:01Z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FB5FCF4A597E4240BDA8DD91826DE08F_11</vt:lpwstr>
  </property>
  <property fmtid="{D5CDD505-2E9C-101B-9397-08002B2CF9AE}" pid="4" name="KSOTemplateDocerSaveRecord">
    <vt:lpwstr>eyJoZGlkIjoiYWE2ZGI1NDAwMjFmMzU3YjY5MDJiZDRkYWQ5ZGE2ODUiLCJ1c2VySWQiOiI0MzczOTIzNTkifQ==</vt:lpwstr>
  </property>
</Properties>
</file>