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C05A1">
      <w:pPr>
        <w:ind w:left="630" w:right="630"/>
        <w:jc w:val="center"/>
        <w:rPr>
          <w:rFonts w:hint="eastAsia" w:cs="宋体"/>
          <w:b/>
          <w:bCs/>
          <w:sz w:val="40"/>
          <w:szCs w:val="52"/>
        </w:rPr>
      </w:pPr>
      <w:bookmarkStart w:id="0" w:name="_Toc144974479"/>
      <w:bookmarkStart w:id="1" w:name="_Toc179632527"/>
      <w:bookmarkStart w:id="2" w:name="_Toc152045511"/>
      <w:bookmarkStart w:id="3" w:name="_Toc152042287"/>
    </w:p>
    <w:p w14:paraId="3A61D6B0">
      <w:pPr>
        <w:ind w:left="630" w:right="630"/>
        <w:jc w:val="center"/>
        <w:rPr>
          <w:rFonts w:cs="宋体"/>
          <w:b/>
          <w:bCs/>
          <w:sz w:val="40"/>
          <w:szCs w:val="52"/>
        </w:rPr>
      </w:pPr>
    </w:p>
    <w:p w14:paraId="3BD65B8A">
      <w:pPr>
        <w:ind w:left="630" w:right="630"/>
        <w:jc w:val="center"/>
        <w:rPr>
          <w:rFonts w:hint="eastAsia" w:eastAsia="宋体"/>
          <w:b/>
          <w:bCs/>
          <w:color w:val="000000" w:themeColor="text1"/>
          <w:sz w:val="40"/>
          <w:szCs w:val="52"/>
          <w:lang w:eastAsia="zh-CN"/>
          <w14:textFill>
            <w14:solidFill>
              <w14:schemeClr w14:val="tx1"/>
            </w14:solidFill>
          </w14:textFill>
        </w:rPr>
      </w:pPr>
      <w:r>
        <w:rPr>
          <w:rFonts w:hint="eastAsia" w:cs="宋体"/>
          <w:b/>
          <w:bCs/>
          <w:sz w:val="40"/>
          <w:szCs w:val="52"/>
          <w:lang w:eastAsia="zh-CN"/>
        </w:rPr>
        <w:t>永吉县2024年农村既有建筑节能改造</w:t>
      </w:r>
    </w:p>
    <w:p w14:paraId="0C741487"/>
    <w:p w14:paraId="5A5245B5">
      <w:pPr>
        <w:pStyle w:val="6"/>
      </w:pPr>
    </w:p>
    <w:p w14:paraId="5689A329">
      <w:pPr>
        <w:jc w:val="center"/>
        <w:rPr>
          <w:b/>
          <w:bCs/>
          <w:color w:val="000000" w:themeColor="text1"/>
          <w:sz w:val="20"/>
          <w:szCs w:val="21"/>
          <w14:textFill>
            <w14:solidFill>
              <w14:schemeClr w14:val="tx1"/>
            </w14:solidFill>
          </w14:textFill>
        </w:rPr>
      </w:pPr>
      <w:r>
        <w:rPr>
          <w:b/>
          <w:bCs/>
          <w:color w:val="000000" w:themeColor="text1"/>
          <w:sz w:val="72"/>
          <w14:textFill>
            <w14:solidFill>
              <w14:schemeClr w14:val="tx1"/>
            </w14:solidFill>
          </w14:textFill>
        </w:rPr>
        <w:t>竞争性磋商文件</w:t>
      </w:r>
    </w:p>
    <w:p w14:paraId="56012ECE">
      <w:pPr>
        <w:jc w:val="center"/>
        <w:rPr>
          <w:b/>
          <w:bCs/>
          <w:color w:val="000000" w:themeColor="text1"/>
          <w:szCs w:val="21"/>
          <w14:textFill>
            <w14:solidFill>
              <w14:schemeClr w14:val="tx1"/>
            </w14:solidFill>
          </w14:textFill>
        </w:rPr>
      </w:pPr>
    </w:p>
    <w:p w14:paraId="56FA7373">
      <w:pPr>
        <w:jc w:val="center"/>
        <w:rPr>
          <w:rFonts w:hint="eastAsia" w:eastAsia="宋体"/>
          <w:b/>
          <w:bCs/>
          <w:color w:val="000000" w:themeColor="text1"/>
          <w:sz w:val="28"/>
          <w:szCs w:val="21"/>
          <w:lang w:eastAsia="zh-CN"/>
          <w14:textFill>
            <w14:solidFill>
              <w14:schemeClr w14:val="tx1"/>
            </w14:solidFill>
          </w14:textFill>
        </w:rPr>
      </w:pPr>
      <w:r>
        <w:rPr>
          <w:rFonts w:hint="eastAsia" w:eastAsia="宋体"/>
          <w:b/>
          <w:bCs/>
          <w:color w:val="000000" w:themeColor="text1"/>
          <w:sz w:val="28"/>
          <w:szCs w:val="21"/>
          <w:lang w:eastAsia="zh-CN"/>
          <w14:textFill>
            <w14:solidFill>
              <w14:schemeClr w14:val="tx1"/>
            </w14:solidFill>
          </w14:textFill>
        </w:rPr>
        <w:drawing>
          <wp:inline distT="0" distB="0" distL="114300" distR="114300">
            <wp:extent cx="4542790" cy="1931670"/>
            <wp:effectExtent l="0" t="0" r="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2"/>
                    <a:srcRect l="8937" t="32729" r="4662" b="30531"/>
                    <a:stretch>
                      <a:fillRect/>
                    </a:stretch>
                  </pic:blipFill>
                  <pic:spPr>
                    <a:xfrm>
                      <a:off x="0" y="0"/>
                      <a:ext cx="4542790" cy="1931670"/>
                    </a:xfrm>
                    <a:prstGeom prst="rect">
                      <a:avLst/>
                    </a:prstGeom>
                  </pic:spPr>
                </pic:pic>
              </a:graphicData>
            </a:graphic>
          </wp:inline>
        </w:drawing>
      </w:r>
    </w:p>
    <w:p w14:paraId="5C3E5214">
      <w:pPr>
        <w:pStyle w:val="37"/>
        <w:ind w:left="480" w:firstLine="643"/>
        <w:rPr>
          <w:b/>
          <w:bCs/>
          <w:color w:val="000000" w:themeColor="text1"/>
          <w:sz w:val="32"/>
          <w:highlight w:val="none"/>
          <w14:textFill>
            <w14:solidFill>
              <w14:schemeClr w14:val="tx1"/>
            </w14:solidFill>
          </w14:textFill>
        </w:rPr>
      </w:pPr>
    </w:p>
    <w:p w14:paraId="414DD150">
      <w:pPr>
        <w:ind w:firstLine="964" w:firstLineChars="300"/>
        <w:jc w:val="left"/>
        <w:rPr>
          <w:rFonts w:hint="eastAsia" w:eastAsia="宋体"/>
          <w:b/>
          <w:bCs/>
          <w:color w:val="000000" w:themeColor="text1"/>
          <w:sz w:val="32"/>
          <w:highlight w:val="none"/>
          <w:lang w:eastAsia="zh-CN"/>
          <w14:textFill>
            <w14:solidFill>
              <w14:schemeClr w14:val="tx1"/>
            </w14:solidFill>
          </w14:textFill>
        </w:rPr>
      </w:pPr>
      <w:r>
        <w:rPr>
          <w:b/>
          <w:bCs/>
          <w:color w:val="000000" w:themeColor="text1"/>
          <w:sz w:val="32"/>
          <w:highlight w:val="none"/>
          <w14:textFill>
            <w14:solidFill>
              <w14:schemeClr w14:val="tx1"/>
            </w14:solidFill>
          </w14:textFill>
        </w:rPr>
        <w:t>招标项目编号：</w:t>
      </w:r>
      <w:r>
        <w:rPr>
          <w:rFonts w:hint="eastAsia"/>
          <w:b/>
          <w:bCs/>
          <w:color w:val="000000" w:themeColor="text1"/>
          <w:sz w:val="32"/>
          <w:highlight w:val="none"/>
          <w:lang w:eastAsia="zh-CN"/>
          <w14:textFill>
            <w14:solidFill>
              <w14:schemeClr w14:val="tx1"/>
            </w14:solidFill>
          </w14:textFill>
        </w:rPr>
        <w:t>采购计划-[2024]-00190号-QJ1008</w:t>
      </w:r>
    </w:p>
    <w:p w14:paraId="137DA326">
      <w:pPr>
        <w:jc w:val="left"/>
        <w:rPr>
          <w:b/>
          <w:bCs/>
          <w:color w:val="000000" w:themeColor="text1"/>
          <w:sz w:val="32"/>
          <w14:textFill>
            <w14:solidFill>
              <w14:schemeClr w14:val="tx1"/>
            </w14:solidFill>
          </w14:textFill>
        </w:rPr>
      </w:pPr>
    </w:p>
    <w:p w14:paraId="35696FE2">
      <w:pPr>
        <w:snapToGrid w:val="0"/>
        <w:ind w:firstLine="964" w:firstLineChars="300"/>
        <w:jc w:val="left"/>
        <w:rPr>
          <w:b/>
          <w:bCs/>
          <w:color w:val="000000" w:themeColor="text1"/>
          <w:sz w:val="32"/>
          <w:szCs w:val="32"/>
          <w14:textFill>
            <w14:solidFill>
              <w14:schemeClr w14:val="tx1"/>
            </w14:solidFill>
          </w14:textFill>
        </w:rPr>
      </w:pPr>
      <w:r>
        <w:rPr>
          <w:b/>
          <w:bCs/>
          <w:color w:val="000000" w:themeColor="text1"/>
          <w:sz w:val="32"/>
          <w14:textFill>
            <w14:solidFill>
              <w14:schemeClr w14:val="tx1"/>
            </w14:solidFill>
          </w14:textFill>
        </w:rPr>
        <w:t>招  标</w:t>
      </w:r>
      <w:r>
        <w:rPr>
          <w:rFonts w:hint="eastAsia"/>
          <w:b/>
          <w:bCs/>
          <w:color w:val="000000" w:themeColor="text1"/>
          <w:sz w:val="32"/>
          <w14:textFill>
            <w14:solidFill>
              <w14:schemeClr w14:val="tx1"/>
            </w14:solidFill>
          </w14:textFill>
        </w:rPr>
        <w:t xml:space="preserve"> </w:t>
      </w:r>
      <w:r>
        <w:rPr>
          <w:b/>
          <w:bCs/>
          <w:color w:val="000000" w:themeColor="text1"/>
          <w:sz w:val="32"/>
          <w14:textFill>
            <w14:solidFill>
              <w14:schemeClr w14:val="tx1"/>
            </w14:solidFill>
          </w14:textFill>
        </w:rPr>
        <w:t xml:space="preserve"> 人：</w:t>
      </w:r>
      <w:r>
        <w:rPr>
          <w:rFonts w:hint="eastAsia"/>
          <w:b/>
          <w:color w:val="000000" w:themeColor="text1"/>
          <w:sz w:val="32"/>
          <w:szCs w:val="32"/>
          <w14:textFill>
            <w14:solidFill>
              <w14:schemeClr w14:val="tx1"/>
            </w14:solidFill>
          </w14:textFill>
        </w:rPr>
        <w:t>永吉县北大湖镇人民政府</w:t>
      </w:r>
    </w:p>
    <w:p w14:paraId="1CCF5867">
      <w:pPr>
        <w:snapToGrid w:val="0"/>
        <w:jc w:val="left"/>
        <w:rPr>
          <w:b/>
          <w:bCs/>
          <w:color w:val="000000" w:themeColor="text1"/>
          <w:sz w:val="32"/>
          <w14:textFill>
            <w14:solidFill>
              <w14:schemeClr w14:val="tx1"/>
            </w14:solidFill>
          </w14:textFill>
        </w:rPr>
      </w:pPr>
    </w:p>
    <w:p w14:paraId="7A828362">
      <w:pPr>
        <w:snapToGrid w:val="0"/>
        <w:ind w:firstLine="964" w:firstLineChars="300"/>
        <w:jc w:val="left"/>
        <w:rPr>
          <w:rFonts w:hint="eastAsia" w:eastAsia="宋体"/>
          <w:b/>
          <w:bCs/>
          <w:color w:val="000000" w:themeColor="text1"/>
          <w:sz w:val="32"/>
          <w:lang w:eastAsia="zh-CN"/>
          <w14:textFill>
            <w14:solidFill>
              <w14:schemeClr w14:val="tx1"/>
            </w14:solidFill>
          </w14:textFill>
        </w:rPr>
      </w:pPr>
      <w:r>
        <w:rPr>
          <w:b/>
          <w:bCs/>
          <w:color w:val="000000" w:themeColor="text1"/>
          <w:sz w:val="32"/>
          <w14:textFill>
            <w14:solidFill>
              <w14:schemeClr w14:val="tx1"/>
            </w14:solidFill>
          </w14:textFill>
        </w:rPr>
        <w:t>招标代理机构：</w:t>
      </w:r>
      <w:r>
        <w:rPr>
          <w:rFonts w:hint="eastAsia"/>
          <w:b/>
          <w:bCs/>
          <w:color w:val="000000" w:themeColor="text1"/>
          <w:sz w:val="32"/>
          <w:lang w:eastAsia="zh-CN"/>
          <w14:textFill>
            <w14:solidFill>
              <w14:schemeClr w14:val="tx1"/>
            </w14:solidFill>
          </w14:textFill>
        </w:rPr>
        <w:t>乾景项目管理（吉林）有限公司</w:t>
      </w:r>
    </w:p>
    <w:p w14:paraId="5D171FFD">
      <w:pPr>
        <w:jc w:val="center"/>
        <w:rPr>
          <w:b/>
          <w:bCs/>
          <w:color w:val="000000" w:themeColor="text1"/>
          <w:sz w:val="32"/>
          <w14:textFill>
            <w14:solidFill>
              <w14:schemeClr w14:val="tx1"/>
            </w14:solidFill>
          </w14:textFill>
        </w:rPr>
      </w:pPr>
    </w:p>
    <w:p w14:paraId="523BB1DE">
      <w:pPr>
        <w:jc w:val="center"/>
        <w:rPr>
          <w:b/>
          <w:bCs/>
          <w:color w:val="000000" w:themeColor="text1"/>
          <w:sz w:val="32"/>
          <w14:textFill>
            <w14:solidFill>
              <w14:schemeClr w14:val="tx1"/>
            </w14:solidFill>
          </w14:textFill>
        </w:rPr>
      </w:pPr>
      <w:r>
        <w:rPr>
          <w:b/>
          <w:bCs/>
          <w:color w:val="000000" w:themeColor="text1"/>
          <w:sz w:val="32"/>
          <w14:textFill>
            <w14:solidFill>
              <w14:schemeClr w14:val="tx1"/>
            </w14:solidFill>
          </w14:textFill>
        </w:rPr>
        <w:t>二</w:t>
      </w:r>
      <w:r>
        <w:rPr>
          <w:rFonts w:hint="eastAsia"/>
          <w:b/>
          <w:bCs/>
          <w:color w:val="000000" w:themeColor="text1"/>
          <w:sz w:val="32"/>
          <w14:textFill>
            <w14:solidFill>
              <w14:schemeClr w14:val="tx1"/>
            </w14:solidFill>
          </w14:textFill>
        </w:rPr>
        <w:t>零</w:t>
      </w:r>
      <w:r>
        <w:rPr>
          <w:b/>
          <w:bCs/>
          <w:color w:val="000000" w:themeColor="text1"/>
          <w:sz w:val="32"/>
          <w14:textFill>
            <w14:solidFill>
              <w14:schemeClr w14:val="tx1"/>
            </w14:solidFill>
          </w14:textFill>
        </w:rPr>
        <w:t>二</w:t>
      </w:r>
      <w:r>
        <w:rPr>
          <w:rFonts w:hint="eastAsia"/>
          <w:b/>
          <w:bCs/>
          <w:color w:val="000000" w:themeColor="text1"/>
          <w:sz w:val="32"/>
          <w:lang w:val="en-US" w:eastAsia="zh-CN"/>
          <w14:textFill>
            <w14:solidFill>
              <w14:schemeClr w14:val="tx1"/>
            </w14:solidFill>
          </w14:textFill>
        </w:rPr>
        <w:t>四</w:t>
      </w:r>
      <w:r>
        <w:rPr>
          <w:rFonts w:hint="eastAsia"/>
          <w:b/>
          <w:bCs/>
          <w:color w:val="000000" w:themeColor="text1"/>
          <w:sz w:val="32"/>
          <w14:textFill>
            <w14:solidFill>
              <w14:schemeClr w14:val="tx1"/>
            </w14:solidFill>
          </w14:textFill>
        </w:rPr>
        <w:t>年</w:t>
      </w:r>
      <w:r>
        <w:rPr>
          <w:rFonts w:hint="eastAsia"/>
          <w:b/>
          <w:bCs/>
          <w:color w:val="000000" w:themeColor="text1"/>
          <w:sz w:val="32"/>
          <w:lang w:val="en-US" w:eastAsia="zh-CN"/>
          <w14:textFill>
            <w14:solidFill>
              <w14:schemeClr w14:val="tx1"/>
            </w14:solidFill>
          </w14:textFill>
        </w:rPr>
        <w:t>十</w:t>
      </w:r>
      <w:r>
        <w:rPr>
          <w:b/>
          <w:bCs/>
          <w:color w:val="000000" w:themeColor="text1"/>
          <w:sz w:val="32"/>
          <w14:textFill>
            <w14:solidFill>
              <w14:schemeClr w14:val="tx1"/>
            </w14:solidFill>
          </w14:textFill>
        </w:rPr>
        <w:t>月</w:t>
      </w:r>
    </w:p>
    <w:p w14:paraId="006273B1">
      <w:pPr>
        <w:rPr>
          <w:b/>
          <w:bCs/>
          <w:lang w:val="zh-CN"/>
        </w:rPr>
      </w:pPr>
      <w:r>
        <w:rPr>
          <w:b/>
          <w:bCs/>
          <w:lang w:val="zh-CN"/>
        </w:rPr>
        <w:br w:type="page"/>
      </w:r>
    </w:p>
    <w:p w14:paraId="4F015830">
      <w:pPr>
        <w:pStyle w:val="93"/>
        <w:jc w:val="center"/>
        <w:rPr>
          <w:b/>
          <w:bCs/>
        </w:rPr>
      </w:pPr>
      <w:r>
        <w:rPr>
          <w:b/>
          <w:bCs/>
          <w:lang w:val="zh-CN"/>
        </w:rPr>
        <w:t>目</w:t>
      </w:r>
      <w:r>
        <w:rPr>
          <w:rFonts w:hint="eastAsia"/>
          <w:b/>
          <w:bCs/>
          <w:lang w:val="zh-CN"/>
        </w:rPr>
        <w:t xml:space="preserve"> </w:t>
      </w:r>
      <w:r>
        <w:rPr>
          <w:b/>
          <w:bCs/>
          <w:lang w:val="zh-CN"/>
        </w:rPr>
        <w:t xml:space="preserve">   录</w:t>
      </w:r>
    </w:p>
    <w:p w14:paraId="30410BB9">
      <w:pPr>
        <w:pStyle w:val="26"/>
        <w:tabs>
          <w:tab w:val="right" w:leader="dot" w:pos="8306"/>
        </w:tabs>
      </w:pPr>
      <w:r>
        <w:rPr>
          <w:b w:val="0"/>
          <w:bCs w:val="0"/>
          <w:caps w:val="0"/>
        </w:rPr>
        <w:fldChar w:fldCharType="begin"/>
      </w:r>
      <w:r>
        <w:rPr>
          <w:b w:val="0"/>
          <w:bCs w:val="0"/>
          <w:caps w:val="0"/>
        </w:rPr>
        <w:instrText xml:space="preserve"> TOC \o "1-3" \h \z \u </w:instrText>
      </w:r>
      <w:r>
        <w:rPr>
          <w:b w:val="0"/>
          <w:bCs w:val="0"/>
          <w:caps w:val="0"/>
        </w:rPr>
        <w:fldChar w:fldCharType="separate"/>
      </w:r>
      <w:r>
        <w:rPr>
          <w:bCs w:val="0"/>
          <w:caps w:val="0"/>
        </w:rPr>
        <w:fldChar w:fldCharType="begin"/>
      </w:r>
      <w:r>
        <w:rPr>
          <w:bCs w:val="0"/>
          <w:caps w:val="0"/>
        </w:rPr>
        <w:instrText xml:space="preserve"> HYPERLINK \l _Toc3810 </w:instrText>
      </w:r>
      <w:r>
        <w:rPr>
          <w:bCs w:val="0"/>
          <w:caps w:val="0"/>
        </w:rPr>
        <w:fldChar w:fldCharType="separate"/>
      </w:r>
      <w:r>
        <w:rPr>
          <w:rFonts w:hint="eastAsia"/>
        </w:rPr>
        <w:t>第</w:t>
      </w:r>
      <w:r>
        <w:t>一章</w:t>
      </w:r>
      <w:r>
        <w:rPr>
          <w:rFonts w:hint="eastAsia"/>
        </w:rPr>
        <w:t xml:space="preserve"> 竞争性磋商公告</w:t>
      </w:r>
      <w:r>
        <w:tab/>
      </w:r>
      <w:r>
        <w:fldChar w:fldCharType="begin"/>
      </w:r>
      <w:r>
        <w:instrText xml:space="preserve"> PAGEREF _Toc3810 \h </w:instrText>
      </w:r>
      <w:r>
        <w:fldChar w:fldCharType="separate"/>
      </w:r>
      <w:r>
        <w:t>2</w:t>
      </w:r>
      <w:r>
        <w:fldChar w:fldCharType="end"/>
      </w:r>
      <w:r>
        <w:rPr>
          <w:bCs w:val="0"/>
          <w:caps w:val="0"/>
        </w:rPr>
        <w:fldChar w:fldCharType="end"/>
      </w:r>
    </w:p>
    <w:p w14:paraId="422A24E0">
      <w:pPr>
        <w:pStyle w:val="26"/>
        <w:tabs>
          <w:tab w:val="right" w:leader="dot" w:pos="8306"/>
        </w:tabs>
      </w:pPr>
      <w:r>
        <w:rPr>
          <w:bCs/>
          <w:caps/>
          <w:szCs w:val="20"/>
        </w:rPr>
        <w:fldChar w:fldCharType="begin"/>
      </w:r>
      <w:r>
        <w:rPr>
          <w:bCs/>
          <w:caps/>
          <w:szCs w:val="20"/>
        </w:rPr>
        <w:instrText xml:space="preserve"> HYPERLINK \l _Toc21904 </w:instrText>
      </w:r>
      <w:r>
        <w:rPr>
          <w:bCs/>
          <w:caps/>
          <w:szCs w:val="20"/>
        </w:rPr>
        <w:fldChar w:fldCharType="separate"/>
      </w:r>
      <w:r>
        <w:rPr>
          <w:rFonts w:hint="eastAsia"/>
        </w:rPr>
        <w:t>第二章 响应单位须知</w:t>
      </w:r>
      <w:r>
        <w:tab/>
      </w:r>
      <w:r>
        <w:fldChar w:fldCharType="begin"/>
      </w:r>
      <w:r>
        <w:instrText xml:space="preserve"> PAGEREF _Toc21904 \h </w:instrText>
      </w:r>
      <w:r>
        <w:fldChar w:fldCharType="separate"/>
      </w:r>
      <w:r>
        <w:t>6</w:t>
      </w:r>
      <w:r>
        <w:fldChar w:fldCharType="end"/>
      </w:r>
      <w:r>
        <w:rPr>
          <w:bCs/>
          <w:caps/>
          <w:szCs w:val="20"/>
        </w:rPr>
        <w:fldChar w:fldCharType="end"/>
      </w:r>
    </w:p>
    <w:p w14:paraId="33D1470B">
      <w:pPr>
        <w:pStyle w:val="26"/>
        <w:tabs>
          <w:tab w:val="right" w:leader="dot" w:pos="8306"/>
        </w:tabs>
      </w:pPr>
      <w:r>
        <w:rPr>
          <w:bCs/>
          <w:caps/>
          <w:szCs w:val="20"/>
        </w:rPr>
        <w:fldChar w:fldCharType="begin"/>
      </w:r>
      <w:r>
        <w:rPr>
          <w:bCs/>
          <w:caps/>
          <w:szCs w:val="20"/>
        </w:rPr>
        <w:instrText xml:space="preserve"> HYPERLINK \l _Toc22470 </w:instrText>
      </w:r>
      <w:r>
        <w:rPr>
          <w:bCs/>
          <w:caps/>
          <w:szCs w:val="20"/>
        </w:rPr>
        <w:fldChar w:fldCharType="separate"/>
      </w:r>
      <w:r>
        <w:rPr>
          <w:rFonts w:hint="eastAsia"/>
        </w:rPr>
        <w:t>第三章 评标办法（综合评估法）</w:t>
      </w:r>
      <w:r>
        <w:tab/>
      </w:r>
      <w:r>
        <w:fldChar w:fldCharType="begin"/>
      </w:r>
      <w:r>
        <w:instrText xml:space="preserve"> PAGEREF _Toc22470 \h </w:instrText>
      </w:r>
      <w:r>
        <w:fldChar w:fldCharType="separate"/>
      </w:r>
      <w:r>
        <w:t>21</w:t>
      </w:r>
      <w:r>
        <w:fldChar w:fldCharType="end"/>
      </w:r>
      <w:r>
        <w:rPr>
          <w:bCs/>
          <w:caps/>
          <w:szCs w:val="20"/>
        </w:rPr>
        <w:fldChar w:fldCharType="end"/>
      </w:r>
    </w:p>
    <w:p w14:paraId="48036F58">
      <w:pPr>
        <w:pStyle w:val="26"/>
        <w:tabs>
          <w:tab w:val="right" w:leader="dot" w:pos="8306"/>
        </w:tabs>
      </w:pPr>
      <w:r>
        <w:rPr>
          <w:bCs/>
          <w:caps/>
          <w:szCs w:val="20"/>
        </w:rPr>
        <w:fldChar w:fldCharType="begin"/>
      </w:r>
      <w:r>
        <w:rPr>
          <w:bCs/>
          <w:caps/>
          <w:szCs w:val="20"/>
        </w:rPr>
        <w:instrText xml:space="preserve"> HYPERLINK \l _Toc30801 </w:instrText>
      </w:r>
      <w:r>
        <w:rPr>
          <w:bCs/>
          <w:caps/>
          <w:szCs w:val="20"/>
        </w:rPr>
        <w:fldChar w:fldCharType="separate"/>
      </w:r>
      <w:r>
        <w:rPr>
          <w:rFonts w:hint="eastAsia"/>
        </w:rPr>
        <w:t>第四章 合同条款及格式</w:t>
      </w:r>
      <w:r>
        <w:tab/>
      </w:r>
      <w:r>
        <w:fldChar w:fldCharType="begin"/>
      </w:r>
      <w:r>
        <w:instrText xml:space="preserve"> PAGEREF _Toc30801 \h </w:instrText>
      </w:r>
      <w:r>
        <w:fldChar w:fldCharType="separate"/>
      </w:r>
      <w:r>
        <w:t>37</w:t>
      </w:r>
      <w:r>
        <w:fldChar w:fldCharType="end"/>
      </w:r>
      <w:r>
        <w:rPr>
          <w:bCs/>
          <w:caps/>
          <w:szCs w:val="20"/>
        </w:rPr>
        <w:fldChar w:fldCharType="end"/>
      </w:r>
    </w:p>
    <w:p w14:paraId="620D4B19">
      <w:pPr>
        <w:pStyle w:val="26"/>
        <w:tabs>
          <w:tab w:val="right" w:leader="dot" w:pos="8306"/>
        </w:tabs>
      </w:pPr>
      <w:r>
        <w:rPr>
          <w:bCs/>
          <w:caps/>
          <w:szCs w:val="20"/>
        </w:rPr>
        <w:fldChar w:fldCharType="begin"/>
      </w:r>
      <w:r>
        <w:rPr>
          <w:bCs/>
          <w:caps/>
          <w:szCs w:val="20"/>
        </w:rPr>
        <w:instrText xml:space="preserve"> HYPERLINK \l _Toc25440 </w:instrText>
      </w:r>
      <w:r>
        <w:rPr>
          <w:bCs/>
          <w:caps/>
          <w:szCs w:val="20"/>
        </w:rPr>
        <w:fldChar w:fldCharType="separate"/>
      </w:r>
      <w:r>
        <w:rPr>
          <w:rFonts w:hint="eastAsia"/>
        </w:rPr>
        <w:t>第五</w:t>
      </w:r>
      <w:r>
        <w:rPr>
          <w:rFonts w:hint="eastAsia"/>
          <w:bCs w:val="0"/>
          <w:szCs w:val="48"/>
        </w:rPr>
        <w:t>章 工程量清单</w:t>
      </w:r>
      <w:r>
        <w:tab/>
      </w:r>
      <w:r>
        <w:fldChar w:fldCharType="begin"/>
      </w:r>
      <w:r>
        <w:instrText xml:space="preserve"> PAGEREF _Toc25440 \h </w:instrText>
      </w:r>
      <w:r>
        <w:fldChar w:fldCharType="separate"/>
      </w:r>
      <w:r>
        <w:t>58</w:t>
      </w:r>
      <w:r>
        <w:fldChar w:fldCharType="end"/>
      </w:r>
      <w:r>
        <w:rPr>
          <w:bCs/>
          <w:caps/>
          <w:szCs w:val="20"/>
        </w:rPr>
        <w:fldChar w:fldCharType="end"/>
      </w:r>
    </w:p>
    <w:p w14:paraId="469CB29B">
      <w:pPr>
        <w:pStyle w:val="26"/>
        <w:tabs>
          <w:tab w:val="right" w:leader="dot" w:pos="8306"/>
        </w:tabs>
      </w:pPr>
      <w:r>
        <w:rPr>
          <w:bCs/>
          <w:caps/>
          <w:szCs w:val="20"/>
        </w:rPr>
        <w:fldChar w:fldCharType="begin"/>
      </w:r>
      <w:r>
        <w:rPr>
          <w:bCs/>
          <w:caps/>
          <w:szCs w:val="20"/>
        </w:rPr>
        <w:instrText xml:space="preserve"> HYPERLINK \l _Toc13715 </w:instrText>
      </w:r>
      <w:r>
        <w:rPr>
          <w:bCs/>
          <w:caps/>
          <w:szCs w:val="20"/>
        </w:rPr>
        <w:fldChar w:fldCharType="separate"/>
      </w:r>
      <w:r>
        <w:rPr>
          <w:rFonts w:hint="eastAsia"/>
        </w:rPr>
        <w:t>第六章 图纸</w:t>
      </w:r>
      <w:r>
        <w:tab/>
      </w:r>
      <w:r>
        <w:fldChar w:fldCharType="begin"/>
      </w:r>
      <w:r>
        <w:instrText xml:space="preserve"> PAGEREF _Toc13715 \h </w:instrText>
      </w:r>
      <w:r>
        <w:fldChar w:fldCharType="separate"/>
      </w:r>
      <w:r>
        <w:t>59</w:t>
      </w:r>
      <w:r>
        <w:fldChar w:fldCharType="end"/>
      </w:r>
      <w:r>
        <w:rPr>
          <w:bCs/>
          <w:caps/>
          <w:szCs w:val="20"/>
        </w:rPr>
        <w:fldChar w:fldCharType="end"/>
      </w:r>
    </w:p>
    <w:p w14:paraId="7C2B29A6">
      <w:pPr>
        <w:pStyle w:val="26"/>
        <w:tabs>
          <w:tab w:val="right" w:leader="dot" w:pos="8306"/>
        </w:tabs>
      </w:pPr>
      <w:r>
        <w:rPr>
          <w:bCs/>
          <w:caps/>
          <w:szCs w:val="20"/>
        </w:rPr>
        <w:fldChar w:fldCharType="begin"/>
      </w:r>
      <w:r>
        <w:rPr>
          <w:bCs/>
          <w:caps/>
          <w:szCs w:val="20"/>
        </w:rPr>
        <w:instrText xml:space="preserve"> HYPERLINK \l _Toc22661 </w:instrText>
      </w:r>
      <w:r>
        <w:rPr>
          <w:bCs/>
          <w:caps/>
          <w:szCs w:val="20"/>
        </w:rPr>
        <w:fldChar w:fldCharType="separate"/>
      </w:r>
      <w:r>
        <w:rPr>
          <w:rFonts w:hint="eastAsia"/>
        </w:rPr>
        <w:t>第七章 技术标准和要求</w:t>
      </w:r>
      <w:r>
        <w:tab/>
      </w:r>
      <w:r>
        <w:fldChar w:fldCharType="begin"/>
      </w:r>
      <w:r>
        <w:instrText xml:space="preserve"> PAGEREF _Toc22661 \h </w:instrText>
      </w:r>
      <w:r>
        <w:fldChar w:fldCharType="separate"/>
      </w:r>
      <w:r>
        <w:t>60</w:t>
      </w:r>
      <w:r>
        <w:fldChar w:fldCharType="end"/>
      </w:r>
      <w:r>
        <w:rPr>
          <w:bCs/>
          <w:caps/>
          <w:szCs w:val="20"/>
        </w:rPr>
        <w:fldChar w:fldCharType="end"/>
      </w:r>
    </w:p>
    <w:p w14:paraId="76D0A098">
      <w:pPr>
        <w:pStyle w:val="26"/>
        <w:tabs>
          <w:tab w:val="right" w:leader="dot" w:pos="8306"/>
        </w:tabs>
      </w:pPr>
      <w:r>
        <w:rPr>
          <w:bCs/>
          <w:caps/>
          <w:szCs w:val="20"/>
        </w:rPr>
        <w:fldChar w:fldCharType="begin"/>
      </w:r>
      <w:r>
        <w:rPr>
          <w:bCs/>
          <w:caps/>
          <w:szCs w:val="20"/>
        </w:rPr>
        <w:instrText xml:space="preserve"> HYPERLINK \l _Toc26619 </w:instrText>
      </w:r>
      <w:r>
        <w:rPr>
          <w:bCs/>
          <w:caps/>
          <w:szCs w:val="20"/>
        </w:rPr>
        <w:fldChar w:fldCharType="separate"/>
      </w:r>
      <w:r>
        <w:rPr>
          <w:rFonts w:hint="eastAsia"/>
        </w:rPr>
        <w:t>第八章 响应文件格式</w:t>
      </w:r>
      <w:r>
        <w:tab/>
      </w:r>
      <w:r>
        <w:fldChar w:fldCharType="begin"/>
      </w:r>
      <w:r>
        <w:instrText xml:space="preserve"> PAGEREF _Toc26619 \h </w:instrText>
      </w:r>
      <w:r>
        <w:fldChar w:fldCharType="separate"/>
      </w:r>
      <w:r>
        <w:t>62</w:t>
      </w:r>
      <w:r>
        <w:fldChar w:fldCharType="end"/>
      </w:r>
      <w:r>
        <w:rPr>
          <w:bCs/>
          <w:caps/>
          <w:szCs w:val="20"/>
        </w:rPr>
        <w:fldChar w:fldCharType="end"/>
      </w:r>
    </w:p>
    <w:p w14:paraId="03DEA431">
      <w:pPr>
        <w:pStyle w:val="32"/>
        <w:tabs>
          <w:tab w:val="right" w:leader="dot" w:pos="8306"/>
        </w:tabs>
      </w:pPr>
      <w:r>
        <w:rPr>
          <w:bCs/>
          <w:caps/>
          <w:szCs w:val="20"/>
        </w:rPr>
        <w:fldChar w:fldCharType="begin"/>
      </w:r>
      <w:r>
        <w:rPr>
          <w:bCs/>
          <w:caps/>
          <w:szCs w:val="20"/>
        </w:rPr>
        <w:instrText xml:space="preserve"> HYPERLINK \l _Toc16874 </w:instrText>
      </w:r>
      <w:r>
        <w:rPr>
          <w:bCs/>
          <w:caps/>
          <w:szCs w:val="20"/>
        </w:rPr>
        <w:fldChar w:fldCharType="separate"/>
      </w:r>
      <w:r>
        <w:t>一、投标函及投标函附录</w:t>
      </w:r>
      <w:r>
        <w:tab/>
      </w:r>
      <w:r>
        <w:fldChar w:fldCharType="begin"/>
      </w:r>
      <w:r>
        <w:instrText xml:space="preserve"> PAGEREF _Toc16874 \h </w:instrText>
      </w:r>
      <w:r>
        <w:fldChar w:fldCharType="separate"/>
      </w:r>
      <w:r>
        <w:t>65</w:t>
      </w:r>
      <w:r>
        <w:fldChar w:fldCharType="end"/>
      </w:r>
      <w:r>
        <w:rPr>
          <w:bCs/>
          <w:caps/>
          <w:szCs w:val="20"/>
        </w:rPr>
        <w:fldChar w:fldCharType="end"/>
      </w:r>
    </w:p>
    <w:p w14:paraId="3F1C9FCB">
      <w:pPr>
        <w:pStyle w:val="18"/>
        <w:tabs>
          <w:tab w:val="right" w:leader="dot" w:pos="8306"/>
        </w:tabs>
      </w:pPr>
      <w:r>
        <w:rPr>
          <w:bCs/>
          <w:caps/>
          <w:szCs w:val="20"/>
        </w:rPr>
        <w:fldChar w:fldCharType="begin"/>
      </w:r>
      <w:r>
        <w:rPr>
          <w:bCs/>
          <w:caps/>
          <w:szCs w:val="20"/>
        </w:rPr>
        <w:instrText xml:space="preserve"> HYPERLINK \l _Toc1947 </w:instrText>
      </w:r>
      <w:r>
        <w:rPr>
          <w:bCs/>
          <w:caps/>
          <w:szCs w:val="20"/>
        </w:rPr>
        <w:fldChar w:fldCharType="separate"/>
      </w:r>
      <w:r>
        <w:t>（一）投标函</w:t>
      </w:r>
      <w:r>
        <w:tab/>
      </w:r>
      <w:r>
        <w:fldChar w:fldCharType="begin"/>
      </w:r>
      <w:r>
        <w:instrText xml:space="preserve"> PAGEREF _Toc1947 \h </w:instrText>
      </w:r>
      <w:r>
        <w:fldChar w:fldCharType="separate"/>
      </w:r>
      <w:r>
        <w:t>65</w:t>
      </w:r>
      <w:r>
        <w:fldChar w:fldCharType="end"/>
      </w:r>
      <w:r>
        <w:rPr>
          <w:bCs/>
          <w:caps/>
          <w:szCs w:val="20"/>
        </w:rPr>
        <w:fldChar w:fldCharType="end"/>
      </w:r>
    </w:p>
    <w:p w14:paraId="425FE1B0">
      <w:pPr>
        <w:pStyle w:val="18"/>
        <w:tabs>
          <w:tab w:val="right" w:leader="dot" w:pos="8306"/>
        </w:tabs>
      </w:pPr>
      <w:r>
        <w:rPr>
          <w:bCs/>
          <w:caps/>
          <w:szCs w:val="20"/>
        </w:rPr>
        <w:fldChar w:fldCharType="begin"/>
      </w:r>
      <w:r>
        <w:rPr>
          <w:bCs/>
          <w:caps/>
          <w:szCs w:val="20"/>
        </w:rPr>
        <w:instrText xml:space="preserve"> HYPERLINK \l _Toc14010 </w:instrText>
      </w:r>
      <w:r>
        <w:rPr>
          <w:bCs/>
          <w:caps/>
          <w:szCs w:val="20"/>
        </w:rPr>
        <w:fldChar w:fldCharType="separate"/>
      </w:r>
      <w:r>
        <w:t>（二）投标函附录</w:t>
      </w:r>
      <w:r>
        <w:tab/>
      </w:r>
      <w:r>
        <w:fldChar w:fldCharType="begin"/>
      </w:r>
      <w:r>
        <w:instrText xml:space="preserve"> PAGEREF _Toc14010 \h </w:instrText>
      </w:r>
      <w:r>
        <w:fldChar w:fldCharType="separate"/>
      </w:r>
      <w:r>
        <w:t>66</w:t>
      </w:r>
      <w:r>
        <w:fldChar w:fldCharType="end"/>
      </w:r>
      <w:r>
        <w:rPr>
          <w:bCs/>
          <w:caps/>
          <w:szCs w:val="20"/>
        </w:rPr>
        <w:fldChar w:fldCharType="end"/>
      </w:r>
    </w:p>
    <w:p w14:paraId="7B3073F4">
      <w:pPr>
        <w:pStyle w:val="32"/>
        <w:tabs>
          <w:tab w:val="right" w:leader="dot" w:pos="8306"/>
        </w:tabs>
      </w:pPr>
      <w:r>
        <w:rPr>
          <w:bCs/>
          <w:caps/>
          <w:szCs w:val="20"/>
        </w:rPr>
        <w:fldChar w:fldCharType="begin"/>
      </w:r>
      <w:r>
        <w:rPr>
          <w:bCs/>
          <w:caps/>
          <w:szCs w:val="20"/>
        </w:rPr>
        <w:instrText xml:space="preserve"> HYPERLINK \l _Toc30901 </w:instrText>
      </w:r>
      <w:r>
        <w:rPr>
          <w:bCs/>
          <w:caps/>
          <w:szCs w:val="20"/>
        </w:rPr>
        <w:fldChar w:fldCharType="separate"/>
      </w:r>
      <w:r>
        <w:rPr>
          <w:rFonts w:hint="eastAsia"/>
          <w:lang w:val="en-US" w:eastAsia="zh-CN"/>
        </w:rPr>
        <w:t>二、</w:t>
      </w:r>
      <w:r>
        <w:rPr>
          <w:rFonts w:hint="eastAsia"/>
        </w:rPr>
        <w:t>开标一览表</w:t>
      </w:r>
      <w:r>
        <w:tab/>
      </w:r>
      <w:r>
        <w:fldChar w:fldCharType="begin"/>
      </w:r>
      <w:r>
        <w:instrText xml:space="preserve"> PAGEREF _Toc30901 \h </w:instrText>
      </w:r>
      <w:r>
        <w:fldChar w:fldCharType="separate"/>
      </w:r>
      <w:r>
        <w:t>67</w:t>
      </w:r>
      <w:r>
        <w:fldChar w:fldCharType="end"/>
      </w:r>
      <w:r>
        <w:rPr>
          <w:bCs/>
          <w:caps/>
          <w:szCs w:val="20"/>
        </w:rPr>
        <w:fldChar w:fldCharType="end"/>
      </w:r>
    </w:p>
    <w:p w14:paraId="57BC64C5">
      <w:pPr>
        <w:pStyle w:val="18"/>
        <w:tabs>
          <w:tab w:val="right" w:leader="dot" w:pos="8306"/>
        </w:tabs>
      </w:pPr>
      <w:r>
        <w:rPr>
          <w:bCs/>
          <w:caps/>
          <w:szCs w:val="20"/>
        </w:rPr>
        <w:fldChar w:fldCharType="begin"/>
      </w:r>
      <w:r>
        <w:rPr>
          <w:bCs/>
          <w:caps/>
          <w:szCs w:val="20"/>
        </w:rPr>
        <w:instrText xml:space="preserve"> HYPERLINK \l _Toc5361 </w:instrText>
      </w:r>
      <w:r>
        <w:rPr>
          <w:bCs/>
          <w:caps/>
          <w:szCs w:val="20"/>
        </w:rPr>
        <w:fldChar w:fldCharType="separate"/>
      </w:r>
      <w:r>
        <w:rPr>
          <w:rFonts w:hint="eastAsia"/>
        </w:rPr>
        <w:t>最终报价表</w:t>
      </w:r>
      <w:r>
        <w:tab/>
      </w:r>
      <w:r>
        <w:fldChar w:fldCharType="begin"/>
      </w:r>
      <w:r>
        <w:instrText xml:space="preserve"> PAGEREF _Toc5361 \h </w:instrText>
      </w:r>
      <w:r>
        <w:fldChar w:fldCharType="separate"/>
      </w:r>
      <w:r>
        <w:t>68</w:t>
      </w:r>
      <w:r>
        <w:fldChar w:fldCharType="end"/>
      </w:r>
      <w:r>
        <w:rPr>
          <w:bCs/>
          <w:caps/>
          <w:szCs w:val="20"/>
        </w:rPr>
        <w:fldChar w:fldCharType="end"/>
      </w:r>
    </w:p>
    <w:p w14:paraId="647E99B7">
      <w:pPr>
        <w:pStyle w:val="32"/>
        <w:tabs>
          <w:tab w:val="right" w:leader="dot" w:pos="8306"/>
        </w:tabs>
      </w:pPr>
      <w:r>
        <w:rPr>
          <w:bCs/>
          <w:caps/>
          <w:szCs w:val="20"/>
        </w:rPr>
        <w:fldChar w:fldCharType="begin"/>
      </w:r>
      <w:r>
        <w:rPr>
          <w:bCs/>
          <w:caps/>
          <w:szCs w:val="20"/>
        </w:rPr>
        <w:instrText xml:space="preserve"> HYPERLINK \l _Toc26918 </w:instrText>
      </w:r>
      <w:r>
        <w:rPr>
          <w:bCs/>
          <w:caps/>
          <w:szCs w:val="20"/>
        </w:rPr>
        <w:fldChar w:fldCharType="separate"/>
      </w:r>
      <w:r>
        <w:rPr>
          <w:rFonts w:hint="eastAsia"/>
          <w:lang w:val="en-US" w:eastAsia="zh-CN"/>
        </w:rPr>
        <w:t>三</w:t>
      </w:r>
      <w:r>
        <w:rPr>
          <w:rFonts w:hint="eastAsia"/>
        </w:rPr>
        <w:t>、法定代表人身份证明</w:t>
      </w:r>
      <w:r>
        <w:rPr>
          <w:rFonts w:hint="eastAsia"/>
          <w:lang w:val="en-US" w:eastAsia="zh-CN"/>
        </w:rPr>
        <w:t>及授权委托书</w:t>
      </w:r>
      <w:r>
        <w:tab/>
      </w:r>
      <w:r>
        <w:fldChar w:fldCharType="begin"/>
      </w:r>
      <w:r>
        <w:instrText xml:space="preserve"> PAGEREF _Toc26918 \h </w:instrText>
      </w:r>
      <w:r>
        <w:fldChar w:fldCharType="separate"/>
      </w:r>
      <w:r>
        <w:t>69</w:t>
      </w:r>
      <w:r>
        <w:fldChar w:fldCharType="end"/>
      </w:r>
      <w:r>
        <w:rPr>
          <w:bCs/>
          <w:caps/>
          <w:szCs w:val="20"/>
        </w:rPr>
        <w:fldChar w:fldCharType="end"/>
      </w:r>
    </w:p>
    <w:p w14:paraId="7C2C6380">
      <w:pPr>
        <w:pStyle w:val="18"/>
        <w:tabs>
          <w:tab w:val="right" w:leader="dot" w:pos="8306"/>
        </w:tabs>
      </w:pPr>
      <w:r>
        <w:rPr>
          <w:bCs/>
          <w:caps/>
          <w:szCs w:val="20"/>
        </w:rPr>
        <w:fldChar w:fldCharType="begin"/>
      </w:r>
      <w:r>
        <w:rPr>
          <w:bCs/>
          <w:caps/>
          <w:szCs w:val="20"/>
        </w:rPr>
        <w:instrText xml:space="preserve"> HYPERLINK \l _Toc17277 </w:instrText>
      </w:r>
      <w:r>
        <w:rPr>
          <w:bCs/>
          <w:caps/>
          <w:szCs w:val="20"/>
        </w:rPr>
        <w:fldChar w:fldCharType="separate"/>
      </w:r>
      <w:r>
        <w:rPr>
          <w:rFonts w:hint="eastAsia"/>
          <w:lang w:val="en-US" w:eastAsia="zh-CN"/>
        </w:rPr>
        <w:t>（一）</w:t>
      </w:r>
      <w:r>
        <w:rPr>
          <w:rFonts w:hint="eastAsia"/>
        </w:rPr>
        <w:t>法定代表人身份证明</w:t>
      </w:r>
      <w:r>
        <w:tab/>
      </w:r>
      <w:r>
        <w:fldChar w:fldCharType="begin"/>
      </w:r>
      <w:r>
        <w:instrText xml:space="preserve"> PAGEREF _Toc17277 \h </w:instrText>
      </w:r>
      <w:r>
        <w:fldChar w:fldCharType="separate"/>
      </w:r>
      <w:r>
        <w:t>69</w:t>
      </w:r>
      <w:r>
        <w:fldChar w:fldCharType="end"/>
      </w:r>
      <w:r>
        <w:rPr>
          <w:bCs/>
          <w:caps/>
          <w:szCs w:val="20"/>
        </w:rPr>
        <w:fldChar w:fldCharType="end"/>
      </w:r>
    </w:p>
    <w:p w14:paraId="511E3677">
      <w:pPr>
        <w:pStyle w:val="18"/>
        <w:tabs>
          <w:tab w:val="right" w:leader="dot" w:pos="8306"/>
        </w:tabs>
      </w:pPr>
      <w:r>
        <w:rPr>
          <w:bCs/>
          <w:caps/>
          <w:szCs w:val="20"/>
        </w:rPr>
        <w:fldChar w:fldCharType="begin"/>
      </w:r>
      <w:r>
        <w:rPr>
          <w:bCs/>
          <w:caps/>
          <w:szCs w:val="20"/>
        </w:rPr>
        <w:instrText xml:space="preserve"> HYPERLINK \l _Toc31365 </w:instrText>
      </w:r>
      <w:r>
        <w:rPr>
          <w:bCs/>
          <w:caps/>
          <w:szCs w:val="20"/>
        </w:rPr>
        <w:fldChar w:fldCharType="separate"/>
      </w:r>
      <w:r>
        <w:rPr>
          <w:rFonts w:hint="eastAsia"/>
          <w:lang w:eastAsia="zh-CN"/>
        </w:rPr>
        <w:t>（</w:t>
      </w:r>
      <w:r>
        <w:rPr>
          <w:rFonts w:hint="eastAsia"/>
          <w:lang w:val="en-US" w:eastAsia="zh-CN"/>
        </w:rPr>
        <w:t>二</w:t>
      </w:r>
      <w:r>
        <w:rPr>
          <w:rFonts w:hint="eastAsia"/>
          <w:lang w:eastAsia="zh-CN"/>
        </w:rPr>
        <w:t>）</w:t>
      </w:r>
      <w:r>
        <w:rPr>
          <w:rFonts w:hint="eastAsia"/>
        </w:rPr>
        <w:t>授权委托书</w:t>
      </w:r>
      <w:r>
        <w:tab/>
      </w:r>
      <w:r>
        <w:fldChar w:fldCharType="begin"/>
      </w:r>
      <w:r>
        <w:instrText xml:space="preserve"> PAGEREF _Toc31365 \h </w:instrText>
      </w:r>
      <w:r>
        <w:fldChar w:fldCharType="separate"/>
      </w:r>
      <w:r>
        <w:t>70</w:t>
      </w:r>
      <w:r>
        <w:fldChar w:fldCharType="end"/>
      </w:r>
      <w:r>
        <w:rPr>
          <w:bCs/>
          <w:caps/>
          <w:szCs w:val="20"/>
        </w:rPr>
        <w:fldChar w:fldCharType="end"/>
      </w:r>
    </w:p>
    <w:p w14:paraId="12CECF86">
      <w:pPr>
        <w:pStyle w:val="32"/>
        <w:tabs>
          <w:tab w:val="right" w:leader="dot" w:pos="8306"/>
        </w:tabs>
      </w:pPr>
      <w:r>
        <w:rPr>
          <w:bCs/>
          <w:caps/>
          <w:szCs w:val="20"/>
        </w:rPr>
        <w:fldChar w:fldCharType="begin"/>
      </w:r>
      <w:r>
        <w:rPr>
          <w:bCs/>
          <w:caps/>
          <w:szCs w:val="20"/>
        </w:rPr>
        <w:instrText xml:space="preserve"> HYPERLINK \l _Toc25202 </w:instrText>
      </w:r>
      <w:r>
        <w:rPr>
          <w:bCs/>
          <w:caps/>
          <w:szCs w:val="20"/>
        </w:rPr>
        <w:fldChar w:fldCharType="separate"/>
      </w:r>
      <w:r>
        <w:rPr>
          <w:rFonts w:hint="eastAsia"/>
        </w:rPr>
        <w:t>四、投标保证金</w:t>
      </w:r>
      <w:r>
        <w:rPr>
          <w:rFonts w:hint="eastAsia"/>
          <w:lang w:eastAsia="zh-CN"/>
        </w:rPr>
        <w:t>（</w:t>
      </w:r>
      <w:r>
        <w:rPr>
          <w:rFonts w:hint="eastAsia" w:ascii="宋体" w:hAnsi="宋体"/>
          <w:szCs w:val="21"/>
        </w:rPr>
        <w:t>非保函形式</w:t>
      </w:r>
      <w:r>
        <w:rPr>
          <w:rFonts w:hint="eastAsia"/>
          <w:lang w:eastAsia="zh-CN"/>
        </w:rPr>
        <w:t>）</w:t>
      </w:r>
      <w:r>
        <w:tab/>
      </w:r>
      <w:r>
        <w:fldChar w:fldCharType="begin"/>
      </w:r>
      <w:r>
        <w:instrText xml:space="preserve"> PAGEREF _Toc25202 \h </w:instrText>
      </w:r>
      <w:r>
        <w:fldChar w:fldCharType="separate"/>
      </w:r>
      <w:r>
        <w:t>71</w:t>
      </w:r>
      <w:r>
        <w:fldChar w:fldCharType="end"/>
      </w:r>
      <w:r>
        <w:rPr>
          <w:bCs/>
          <w:caps/>
          <w:szCs w:val="20"/>
        </w:rPr>
        <w:fldChar w:fldCharType="end"/>
      </w:r>
    </w:p>
    <w:p w14:paraId="5E75B754">
      <w:pPr>
        <w:pStyle w:val="32"/>
        <w:tabs>
          <w:tab w:val="right" w:leader="dot" w:pos="8306"/>
        </w:tabs>
      </w:pPr>
      <w:r>
        <w:rPr>
          <w:bCs/>
          <w:caps/>
          <w:szCs w:val="20"/>
        </w:rPr>
        <w:fldChar w:fldCharType="begin"/>
      </w:r>
      <w:r>
        <w:rPr>
          <w:bCs/>
          <w:caps/>
          <w:szCs w:val="20"/>
        </w:rPr>
        <w:instrText xml:space="preserve"> HYPERLINK \l _Toc9739 </w:instrText>
      </w:r>
      <w:r>
        <w:rPr>
          <w:bCs/>
          <w:caps/>
          <w:szCs w:val="20"/>
        </w:rPr>
        <w:fldChar w:fldCharType="separate"/>
      </w:r>
      <w:r>
        <w:rPr>
          <w:rFonts w:hint="eastAsia"/>
        </w:rPr>
        <w:t>四、投标保证金</w:t>
      </w:r>
      <w:r>
        <w:rPr>
          <w:rFonts w:hint="eastAsia"/>
          <w:lang w:eastAsia="zh-CN"/>
        </w:rPr>
        <w:t>（</w:t>
      </w:r>
      <w:r>
        <w:rPr>
          <w:rFonts w:hint="eastAsia" w:ascii="宋体" w:hAnsi="宋体"/>
          <w:szCs w:val="21"/>
        </w:rPr>
        <w:t>保函形式</w:t>
      </w:r>
      <w:r>
        <w:rPr>
          <w:rFonts w:hint="eastAsia"/>
          <w:lang w:eastAsia="zh-CN"/>
        </w:rPr>
        <w:t>）</w:t>
      </w:r>
      <w:r>
        <w:tab/>
      </w:r>
      <w:r>
        <w:fldChar w:fldCharType="begin"/>
      </w:r>
      <w:r>
        <w:instrText xml:space="preserve"> PAGEREF _Toc9739 \h </w:instrText>
      </w:r>
      <w:r>
        <w:fldChar w:fldCharType="separate"/>
      </w:r>
      <w:r>
        <w:t>72</w:t>
      </w:r>
      <w:r>
        <w:fldChar w:fldCharType="end"/>
      </w:r>
      <w:r>
        <w:rPr>
          <w:bCs/>
          <w:caps/>
          <w:szCs w:val="20"/>
        </w:rPr>
        <w:fldChar w:fldCharType="end"/>
      </w:r>
    </w:p>
    <w:p w14:paraId="1A044EA0">
      <w:pPr>
        <w:pStyle w:val="32"/>
        <w:tabs>
          <w:tab w:val="right" w:leader="dot" w:pos="8306"/>
        </w:tabs>
      </w:pPr>
      <w:r>
        <w:rPr>
          <w:bCs/>
          <w:caps/>
          <w:szCs w:val="20"/>
        </w:rPr>
        <w:fldChar w:fldCharType="begin"/>
      </w:r>
      <w:r>
        <w:rPr>
          <w:bCs/>
          <w:caps/>
          <w:szCs w:val="20"/>
        </w:rPr>
        <w:instrText xml:space="preserve"> HYPERLINK \l _Toc16853 </w:instrText>
      </w:r>
      <w:r>
        <w:rPr>
          <w:bCs/>
          <w:caps/>
          <w:szCs w:val="20"/>
        </w:rPr>
        <w:fldChar w:fldCharType="separate"/>
      </w:r>
      <w:r>
        <w:rPr>
          <w:rFonts w:hint="eastAsia"/>
        </w:rPr>
        <w:t>五、已标价工程量清单</w:t>
      </w:r>
      <w:r>
        <w:tab/>
      </w:r>
      <w:r>
        <w:fldChar w:fldCharType="begin"/>
      </w:r>
      <w:r>
        <w:instrText xml:space="preserve"> PAGEREF _Toc16853 \h </w:instrText>
      </w:r>
      <w:r>
        <w:fldChar w:fldCharType="separate"/>
      </w:r>
      <w:r>
        <w:t>73</w:t>
      </w:r>
      <w:r>
        <w:fldChar w:fldCharType="end"/>
      </w:r>
      <w:r>
        <w:rPr>
          <w:bCs/>
          <w:caps/>
          <w:szCs w:val="20"/>
        </w:rPr>
        <w:fldChar w:fldCharType="end"/>
      </w:r>
    </w:p>
    <w:p w14:paraId="4F19C8FB">
      <w:pPr>
        <w:pStyle w:val="32"/>
        <w:tabs>
          <w:tab w:val="right" w:leader="dot" w:pos="8306"/>
        </w:tabs>
      </w:pPr>
      <w:r>
        <w:rPr>
          <w:bCs/>
          <w:caps/>
          <w:szCs w:val="20"/>
        </w:rPr>
        <w:fldChar w:fldCharType="begin"/>
      </w:r>
      <w:r>
        <w:rPr>
          <w:bCs/>
          <w:caps/>
          <w:szCs w:val="20"/>
        </w:rPr>
        <w:instrText xml:space="preserve"> HYPERLINK \l _Toc28840 </w:instrText>
      </w:r>
      <w:r>
        <w:rPr>
          <w:bCs/>
          <w:caps/>
          <w:szCs w:val="20"/>
        </w:rPr>
        <w:fldChar w:fldCharType="separate"/>
      </w:r>
      <w:r>
        <w:rPr>
          <w:rFonts w:hint="eastAsia"/>
        </w:rPr>
        <w:t>六、施工组织设计</w:t>
      </w:r>
      <w:r>
        <w:tab/>
      </w:r>
      <w:r>
        <w:fldChar w:fldCharType="begin"/>
      </w:r>
      <w:r>
        <w:instrText xml:space="preserve"> PAGEREF _Toc28840 \h </w:instrText>
      </w:r>
      <w:r>
        <w:fldChar w:fldCharType="separate"/>
      </w:r>
      <w:r>
        <w:t>74</w:t>
      </w:r>
      <w:r>
        <w:fldChar w:fldCharType="end"/>
      </w:r>
      <w:r>
        <w:rPr>
          <w:bCs/>
          <w:caps/>
          <w:szCs w:val="20"/>
        </w:rPr>
        <w:fldChar w:fldCharType="end"/>
      </w:r>
    </w:p>
    <w:p w14:paraId="66384BFB">
      <w:pPr>
        <w:pStyle w:val="18"/>
        <w:tabs>
          <w:tab w:val="right" w:leader="dot" w:pos="8306"/>
        </w:tabs>
      </w:pPr>
      <w:r>
        <w:rPr>
          <w:bCs/>
          <w:caps/>
          <w:szCs w:val="20"/>
        </w:rPr>
        <w:fldChar w:fldCharType="begin"/>
      </w:r>
      <w:r>
        <w:rPr>
          <w:bCs/>
          <w:caps/>
          <w:szCs w:val="20"/>
        </w:rPr>
        <w:instrText xml:space="preserve"> HYPERLINK \l _Toc31691 </w:instrText>
      </w:r>
      <w:r>
        <w:rPr>
          <w:bCs/>
          <w:caps/>
          <w:szCs w:val="20"/>
        </w:rPr>
        <w:fldChar w:fldCharType="separate"/>
      </w:r>
      <w:r>
        <w:t>附表一：拟投入本</w:t>
      </w:r>
      <w:r>
        <w:rPr>
          <w:rFonts w:hint="eastAsia"/>
        </w:rPr>
        <w:t>项目</w:t>
      </w:r>
      <w:r>
        <w:t>的主要施工设备表</w:t>
      </w:r>
      <w:r>
        <w:tab/>
      </w:r>
      <w:r>
        <w:fldChar w:fldCharType="begin"/>
      </w:r>
      <w:r>
        <w:instrText xml:space="preserve"> PAGEREF _Toc31691 \h </w:instrText>
      </w:r>
      <w:r>
        <w:fldChar w:fldCharType="separate"/>
      </w:r>
      <w:r>
        <w:t>75</w:t>
      </w:r>
      <w:r>
        <w:fldChar w:fldCharType="end"/>
      </w:r>
      <w:r>
        <w:rPr>
          <w:bCs/>
          <w:caps/>
          <w:szCs w:val="20"/>
        </w:rPr>
        <w:fldChar w:fldCharType="end"/>
      </w:r>
    </w:p>
    <w:p w14:paraId="39790448">
      <w:pPr>
        <w:pStyle w:val="18"/>
        <w:tabs>
          <w:tab w:val="right" w:leader="dot" w:pos="8306"/>
        </w:tabs>
      </w:pPr>
      <w:r>
        <w:rPr>
          <w:bCs/>
          <w:caps/>
          <w:szCs w:val="20"/>
        </w:rPr>
        <w:fldChar w:fldCharType="begin"/>
      </w:r>
      <w:r>
        <w:rPr>
          <w:bCs/>
          <w:caps/>
          <w:szCs w:val="20"/>
        </w:rPr>
        <w:instrText xml:space="preserve"> HYPERLINK \l _Toc30978 </w:instrText>
      </w:r>
      <w:r>
        <w:rPr>
          <w:bCs/>
          <w:caps/>
          <w:szCs w:val="20"/>
        </w:rPr>
        <w:fldChar w:fldCharType="separate"/>
      </w:r>
      <w:r>
        <w:t>附表</w:t>
      </w:r>
      <w:r>
        <w:rPr>
          <w:rFonts w:hint="eastAsia"/>
        </w:rPr>
        <w:t>二</w:t>
      </w:r>
      <w:r>
        <w:t>：劳动力计划表</w:t>
      </w:r>
      <w:r>
        <w:tab/>
      </w:r>
      <w:r>
        <w:fldChar w:fldCharType="begin"/>
      </w:r>
      <w:r>
        <w:instrText xml:space="preserve"> PAGEREF _Toc30978 \h </w:instrText>
      </w:r>
      <w:r>
        <w:fldChar w:fldCharType="separate"/>
      </w:r>
      <w:r>
        <w:t>76</w:t>
      </w:r>
      <w:r>
        <w:fldChar w:fldCharType="end"/>
      </w:r>
      <w:r>
        <w:rPr>
          <w:bCs/>
          <w:caps/>
          <w:szCs w:val="20"/>
        </w:rPr>
        <w:fldChar w:fldCharType="end"/>
      </w:r>
    </w:p>
    <w:p w14:paraId="348FD852">
      <w:pPr>
        <w:pStyle w:val="18"/>
        <w:tabs>
          <w:tab w:val="right" w:leader="dot" w:pos="8306"/>
        </w:tabs>
      </w:pPr>
      <w:r>
        <w:rPr>
          <w:bCs/>
          <w:caps/>
          <w:szCs w:val="20"/>
        </w:rPr>
        <w:fldChar w:fldCharType="begin"/>
      </w:r>
      <w:r>
        <w:rPr>
          <w:bCs/>
          <w:caps/>
          <w:szCs w:val="20"/>
        </w:rPr>
        <w:instrText xml:space="preserve"> HYPERLINK \l _Toc13611 </w:instrText>
      </w:r>
      <w:r>
        <w:rPr>
          <w:bCs/>
          <w:caps/>
          <w:szCs w:val="20"/>
        </w:rPr>
        <w:fldChar w:fldCharType="separate"/>
      </w:r>
      <w:r>
        <w:t>附表</w:t>
      </w:r>
      <w:r>
        <w:rPr>
          <w:rFonts w:hint="eastAsia"/>
        </w:rPr>
        <w:t>三</w:t>
      </w:r>
      <w:r>
        <w:t>：</w:t>
      </w:r>
      <w:r>
        <w:rPr>
          <w:rFonts w:hint="eastAsia"/>
        </w:rPr>
        <w:t>拟配备本工程的试验和检测仪器设备表</w:t>
      </w:r>
      <w:r>
        <w:tab/>
      </w:r>
      <w:r>
        <w:fldChar w:fldCharType="begin"/>
      </w:r>
      <w:r>
        <w:instrText xml:space="preserve"> PAGEREF _Toc13611 \h </w:instrText>
      </w:r>
      <w:r>
        <w:fldChar w:fldCharType="separate"/>
      </w:r>
      <w:r>
        <w:t>76</w:t>
      </w:r>
      <w:r>
        <w:fldChar w:fldCharType="end"/>
      </w:r>
      <w:r>
        <w:rPr>
          <w:bCs/>
          <w:caps/>
          <w:szCs w:val="20"/>
        </w:rPr>
        <w:fldChar w:fldCharType="end"/>
      </w:r>
    </w:p>
    <w:p w14:paraId="0DC8DB4A">
      <w:pPr>
        <w:pStyle w:val="18"/>
        <w:tabs>
          <w:tab w:val="right" w:leader="dot" w:pos="8306"/>
        </w:tabs>
      </w:pPr>
      <w:r>
        <w:rPr>
          <w:bCs/>
          <w:caps/>
          <w:szCs w:val="20"/>
        </w:rPr>
        <w:fldChar w:fldCharType="begin"/>
      </w:r>
      <w:r>
        <w:rPr>
          <w:bCs/>
          <w:caps/>
          <w:szCs w:val="20"/>
        </w:rPr>
        <w:instrText xml:space="preserve"> HYPERLINK \l _Toc30257 </w:instrText>
      </w:r>
      <w:r>
        <w:rPr>
          <w:bCs/>
          <w:caps/>
          <w:szCs w:val="20"/>
        </w:rPr>
        <w:fldChar w:fldCharType="separate"/>
      </w:r>
      <w:r>
        <w:t>附表</w:t>
      </w:r>
      <w:r>
        <w:rPr>
          <w:rFonts w:hint="eastAsia"/>
        </w:rPr>
        <w:t>四</w:t>
      </w:r>
      <w:r>
        <w:t>：</w:t>
      </w:r>
      <w:r>
        <w:rPr>
          <w:rFonts w:hint="eastAsia"/>
        </w:rPr>
        <w:t>计划开、竣工日期和施工网络图</w:t>
      </w:r>
      <w:r>
        <w:tab/>
      </w:r>
      <w:r>
        <w:fldChar w:fldCharType="begin"/>
      </w:r>
      <w:r>
        <w:instrText xml:space="preserve"> PAGEREF _Toc30257 \h </w:instrText>
      </w:r>
      <w:r>
        <w:fldChar w:fldCharType="separate"/>
      </w:r>
      <w:r>
        <w:t>77</w:t>
      </w:r>
      <w:r>
        <w:fldChar w:fldCharType="end"/>
      </w:r>
      <w:r>
        <w:rPr>
          <w:bCs/>
          <w:caps/>
          <w:szCs w:val="20"/>
        </w:rPr>
        <w:fldChar w:fldCharType="end"/>
      </w:r>
    </w:p>
    <w:p w14:paraId="15C4E342">
      <w:pPr>
        <w:pStyle w:val="18"/>
        <w:tabs>
          <w:tab w:val="right" w:leader="dot" w:pos="8306"/>
        </w:tabs>
      </w:pPr>
      <w:r>
        <w:rPr>
          <w:bCs/>
          <w:caps/>
          <w:szCs w:val="20"/>
        </w:rPr>
        <w:fldChar w:fldCharType="begin"/>
      </w:r>
      <w:r>
        <w:rPr>
          <w:bCs/>
          <w:caps/>
          <w:szCs w:val="20"/>
        </w:rPr>
        <w:instrText xml:space="preserve"> HYPERLINK \l _Toc24525 </w:instrText>
      </w:r>
      <w:r>
        <w:rPr>
          <w:bCs/>
          <w:caps/>
          <w:szCs w:val="20"/>
        </w:rPr>
        <w:fldChar w:fldCharType="separate"/>
      </w:r>
      <w:r>
        <w:t>附表</w:t>
      </w:r>
      <w:r>
        <w:rPr>
          <w:rFonts w:hint="eastAsia"/>
        </w:rPr>
        <w:t>五</w:t>
      </w:r>
      <w:r>
        <w:t>：施工总平面图</w:t>
      </w:r>
      <w:r>
        <w:tab/>
      </w:r>
      <w:r>
        <w:fldChar w:fldCharType="begin"/>
      </w:r>
      <w:r>
        <w:instrText xml:space="preserve"> PAGEREF _Toc24525 \h </w:instrText>
      </w:r>
      <w:r>
        <w:fldChar w:fldCharType="separate"/>
      </w:r>
      <w:r>
        <w:t>77</w:t>
      </w:r>
      <w:r>
        <w:fldChar w:fldCharType="end"/>
      </w:r>
      <w:r>
        <w:rPr>
          <w:bCs/>
          <w:caps/>
          <w:szCs w:val="20"/>
        </w:rPr>
        <w:fldChar w:fldCharType="end"/>
      </w:r>
    </w:p>
    <w:p w14:paraId="24AEF2B2">
      <w:pPr>
        <w:pStyle w:val="18"/>
        <w:tabs>
          <w:tab w:val="right" w:leader="dot" w:pos="8306"/>
        </w:tabs>
      </w:pPr>
      <w:r>
        <w:rPr>
          <w:bCs/>
          <w:caps/>
          <w:szCs w:val="20"/>
        </w:rPr>
        <w:fldChar w:fldCharType="begin"/>
      </w:r>
      <w:r>
        <w:rPr>
          <w:bCs/>
          <w:caps/>
          <w:szCs w:val="20"/>
        </w:rPr>
        <w:instrText xml:space="preserve"> HYPERLINK \l _Toc13670 </w:instrText>
      </w:r>
      <w:r>
        <w:rPr>
          <w:bCs/>
          <w:caps/>
          <w:szCs w:val="20"/>
        </w:rPr>
        <w:fldChar w:fldCharType="separate"/>
      </w:r>
      <w:r>
        <w:t>附表</w:t>
      </w:r>
      <w:r>
        <w:rPr>
          <w:rFonts w:hint="eastAsia"/>
        </w:rPr>
        <w:t>六</w:t>
      </w:r>
      <w:r>
        <w:t>：</w:t>
      </w:r>
      <w:r>
        <w:rPr>
          <w:rFonts w:hint="eastAsia"/>
        </w:rPr>
        <w:t>临时用地表</w:t>
      </w:r>
      <w:r>
        <w:tab/>
      </w:r>
      <w:r>
        <w:fldChar w:fldCharType="begin"/>
      </w:r>
      <w:r>
        <w:instrText xml:space="preserve"> PAGEREF _Toc13670 \h </w:instrText>
      </w:r>
      <w:r>
        <w:fldChar w:fldCharType="separate"/>
      </w:r>
      <w:r>
        <w:t>77</w:t>
      </w:r>
      <w:r>
        <w:fldChar w:fldCharType="end"/>
      </w:r>
      <w:r>
        <w:rPr>
          <w:bCs/>
          <w:caps/>
          <w:szCs w:val="20"/>
        </w:rPr>
        <w:fldChar w:fldCharType="end"/>
      </w:r>
    </w:p>
    <w:p w14:paraId="4D0B94AB">
      <w:pPr>
        <w:pStyle w:val="32"/>
        <w:tabs>
          <w:tab w:val="right" w:leader="dot" w:pos="8306"/>
        </w:tabs>
      </w:pPr>
      <w:r>
        <w:rPr>
          <w:bCs/>
          <w:caps/>
          <w:szCs w:val="20"/>
        </w:rPr>
        <w:fldChar w:fldCharType="begin"/>
      </w:r>
      <w:r>
        <w:rPr>
          <w:bCs/>
          <w:caps/>
          <w:szCs w:val="20"/>
        </w:rPr>
        <w:instrText xml:space="preserve"> HYPERLINK \l _Toc29695 </w:instrText>
      </w:r>
      <w:r>
        <w:rPr>
          <w:bCs/>
          <w:caps/>
          <w:szCs w:val="20"/>
        </w:rPr>
        <w:fldChar w:fldCharType="separate"/>
      </w:r>
      <w:r>
        <w:rPr>
          <w:rFonts w:hint="eastAsia"/>
        </w:rPr>
        <w:t>七、项目管理机构</w:t>
      </w:r>
      <w:r>
        <w:tab/>
      </w:r>
      <w:r>
        <w:fldChar w:fldCharType="begin"/>
      </w:r>
      <w:r>
        <w:instrText xml:space="preserve"> PAGEREF _Toc29695 \h </w:instrText>
      </w:r>
      <w:r>
        <w:fldChar w:fldCharType="separate"/>
      </w:r>
      <w:r>
        <w:t>78</w:t>
      </w:r>
      <w:r>
        <w:fldChar w:fldCharType="end"/>
      </w:r>
      <w:r>
        <w:rPr>
          <w:bCs/>
          <w:caps/>
          <w:szCs w:val="20"/>
        </w:rPr>
        <w:fldChar w:fldCharType="end"/>
      </w:r>
    </w:p>
    <w:p w14:paraId="769E34FD">
      <w:pPr>
        <w:pStyle w:val="18"/>
        <w:tabs>
          <w:tab w:val="right" w:leader="dot" w:pos="8306"/>
        </w:tabs>
      </w:pPr>
      <w:r>
        <w:rPr>
          <w:bCs/>
          <w:caps/>
          <w:szCs w:val="20"/>
        </w:rPr>
        <w:fldChar w:fldCharType="begin"/>
      </w:r>
      <w:r>
        <w:rPr>
          <w:bCs/>
          <w:caps/>
          <w:szCs w:val="20"/>
        </w:rPr>
        <w:instrText xml:space="preserve"> HYPERLINK \l _Toc22002 </w:instrText>
      </w:r>
      <w:r>
        <w:rPr>
          <w:bCs/>
          <w:caps/>
          <w:szCs w:val="20"/>
        </w:rPr>
        <w:fldChar w:fldCharType="separate"/>
      </w:r>
      <w:r>
        <w:t>（一）项目管理机构组成表</w:t>
      </w:r>
      <w:r>
        <w:tab/>
      </w:r>
      <w:r>
        <w:fldChar w:fldCharType="begin"/>
      </w:r>
      <w:r>
        <w:instrText xml:space="preserve"> PAGEREF _Toc22002 \h </w:instrText>
      </w:r>
      <w:r>
        <w:fldChar w:fldCharType="separate"/>
      </w:r>
      <w:r>
        <w:t>78</w:t>
      </w:r>
      <w:r>
        <w:fldChar w:fldCharType="end"/>
      </w:r>
      <w:r>
        <w:rPr>
          <w:bCs/>
          <w:caps/>
          <w:szCs w:val="20"/>
        </w:rPr>
        <w:fldChar w:fldCharType="end"/>
      </w:r>
    </w:p>
    <w:p w14:paraId="1EC95B71">
      <w:pPr>
        <w:pStyle w:val="18"/>
        <w:tabs>
          <w:tab w:val="right" w:leader="dot" w:pos="8306"/>
        </w:tabs>
      </w:pPr>
      <w:r>
        <w:rPr>
          <w:bCs/>
          <w:caps/>
          <w:szCs w:val="20"/>
        </w:rPr>
        <w:fldChar w:fldCharType="begin"/>
      </w:r>
      <w:r>
        <w:rPr>
          <w:bCs/>
          <w:caps/>
          <w:szCs w:val="20"/>
        </w:rPr>
        <w:instrText xml:space="preserve"> HYPERLINK \l _Toc786 </w:instrText>
      </w:r>
      <w:r>
        <w:rPr>
          <w:bCs/>
          <w:caps/>
          <w:szCs w:val="20"/>
        </w:rPr>
        <w:fldChar w:fldCharType="separate"/>
      </w:r>
      <w:r>
        <w:rPr>
          <w:rFonts w:hint="eastAsia"/>
        </w:rPr>
        <w:t>（二）主要人员简历表</w:t>
      </w:r>
      <w:r>
        <w:tab/>
      </w:r>
      <w:r>
        <w:fldChar w:fldCharType="begin"/>
      </w:r>
      <w:r>
        <w:instrText xml:space="preserve"> PAGEREF _Toc786 \h </w:instrText>
      </w:r>
      <w:r>
        <w:fldChar w:fldCharType="separate"/>
      </w:r>
      <w:r>
        <w:t>79</w:t>
      </w:r>
      <w:r>
        <w:fldChar w:fldCharType="end"/>
      </w:r>
      <w:r>
        <w:rPr>
          <w:bCs/>
          <w:caps/>
          <w:szCs w:val="20"/>
        </w:rPr>
        <w:fldChar w:fldCharType="end"/>
      </w:r>
    </w:p>
    <w:p w14:paraId="19D3828E">
      <w:pPr>
        <w:pStyle w:val="32"/>
        <w:tabs>
          <w:tab w:val="right" w:leader="dot" w:pos="8306"/>
        </w:tabs>
      </w:pPr>
      <w:r>
        <w:rPr>
          <w:bCs/>
          <w:caps/>
          <w:szCs w:val="20"/>
        </w:rPr>
        <w:fldChar w:fldCharType="begin"/>
      </w:r>
      <w:r>
        <w:rPr>
          <w:bCs/>
          <w:caps/>
          <w:szCs w:val="20"/>
        </w:rPr>
        <w:instrText xml:space="preserve"> HYPERLINK \l _Toc15930 </w:instrText>
      </w:r>
      <w:r>
        <w:rPr>
          <w:bCs/>
          <w:caps/>
          <w:szCs w:val="20"/>
        </w:rPr>
        <w:fldChar w:fldCharType="separate"/>
      </w:r>
      <w:r>
        <w:rPr>
          <w:rFonts w:hint="eastAsia"/>
        </w:rPr>
        <w:t>八、资格审查资料</w:t>
      </w:r>
      <w:r>
        <w:tab/>
      </w:r>
      <w:r>
        <w:fldChar w:fldCharType="begin"/>
      </w:r>
      <w:r>
        <w:instrText xml:space="preserve"> PAGEREF _Toc15930 \h </w:instrText>
      </w:r>
      <w:r>
        <w:fldChar w:fldCharType="separate"/>
      </w:r>
      <w:r>
        <w:t>81</w:t>
      </w:r>
      <w:r>
        <w:fldChar w:fldCharType="end"/>
      </w:r>
      <w:r>
        <w:rPr>
          <w:bCs/>
          <w:caps/>
          <w:szCs w:val="20"/>
        </w:rPr>
        <w:fldChar w:fldCharType="end"/>
      </w:r>
    </w:p>
    <w:p w14:paraId="47A00A2F">
      <w:pPr>
        <w:pStyle w:val="18"/>
        <w:tabs>
          <w:tab w:val="right" w:leader="dot" w:pos="8306"/>
        </w:tabs>
      </w:pPr>
      <w:r>
        <w:rPr>
          <w:bCs/>
          <w:caps/>
          <w:szCs w:val="20"/>
        </w:rPr>
        <w:fldChar w:fldCharType="begin"/>
      </w:r>
      <w:r>
        <w:rPr>
          <w:bCs/>
          <w:caps/>
          <w:szCs w:val="20"/>
        </w:rPr>
        <w:instrText xml:space="preserve"> HYPERLINK \l _Toc21210 </w:instrText>
      </w:r>
      <w:r>
        <w:rPr>
          <w:bCs/>
          <w:caps/>
          <w:szCs w:val="20"/>
        </w:rPr>
        <w:fldChar w:fldCharType="separate"/>
      </w:r>
      <w:r>
        <w:t>（一）响应单位基本情况表</w:t>
      </w:r>
      <w:r>
        <w:tab/>
      </w:r>
      <w:r>
        <w:fldChar w:fldCharType="begin"/>
      </w:r>
      <w:r>
        <w:instrText xml:space="preserve"> PAGEREF _Toc21210 \h </w:instrText>
      </w:r>
      <w:r>
        <w:fldChar w:fldCharType="separate"/>
      </w:r>
      <w:r>
        <w:t>81</w:t>
      </w:r>
      <w:r>
        <w:fldChar w:fldCharType="end"/>
      </w:r>
      <w:r>
        <w:rPr>
          <w:bCs/>
          <w:caps/>
          <w:szCs w:val="20"/>
        </w:rPr>
        <w:fldChar w:fldCharType="end"/>
      </w:r>
    </w:p>
    <w:p w14:paraId="439D8DD8">
      <w:pPr>
        <w:pStyle w:val="18"/>
        <w:tabs>
          <w:tab w:val="right" w:leader="dot" w:pos="8306"/>
        </w:tabs>
      </w:pPr>
      <w:r>
        <w:rPr>
          <w:bCs/>
          <w:caps/>
          <w:szCs w:val="20"/>
        </w:rPr>
        <w:fldChar w:fldCharType="begin"/>
      </w:r>
      <w:r>
        <w:rPr>
          <w:bCs/>
          <w:caps/>
          <w:szCs w:val="20"/>
        </w:rPr>
        <w:instrText xml:space="preserve"> HYPERLINK \l _Toc22943 </w:instrText>
      </w:r>
      <w:r>
        <w:rPr>
          <w:bCs/>
          <w:caps/>
          <w:szCs w:val="20"/>
        </w:rPr>
        <w:fldChar w:fldCharType="separate"/>
      </w:r>
      <w:r>
        <w:t>（二）近年财务状况表</w:t>
      </w:r>
      <w:r>
        <w:tab/>
      </w:r>
      <w:r>
        <w:fldChar w:fldCharType="begin"/>
      </w:r>
      <w:r>
        <w:instrText xml:space="preserve"> PAGEREF _Toc22943 \h </w:instrText>
      </w:r>
      <w:r>
        <w:fldChar w:fldCharType="separate"/>
      </w:r>
      <w:r>
        <w:t>82</w:t>
      </w:r>
      <w:r>
        <w:fldChar w:fldCharType="end"/>
      </w:r>
      <w:r>
        <w:rPr>
          <w:bCs/>
          <w:caps/>
          <w:szCs w:val="20"/>
        </w:rPr>
        <w:fldChar w:fldCharType="end"/>
      </w:r>
    </w:p>
    <w:p w14:paraId="2A8686A9">
      <w:pPr>
        <w:pStyle w:val="18"/>
        <w:tabs>
          <w:tab w:val="right" w:leader="dot" w:pos="8306"/>
        </w:tabs>
      </w:pPr>
      <w:r>
        <w:rPr>
          <w:bCs/>
          <w:caps/>
          <w:szCs w:val="20"/>
        </w:rPr>
        <w:fldChar w:fldCharType="begin"/>
      </w:r>
      <w:r>
        <w:rPr>
          <w:bCs/>
          <w:caps/>
          <w:szCs w:val="20"/>
        </w:rPr>
        <w:instrText xml:space="preserve"> HYPERLINK \l _Toc29328 </w:instrText>
      </w:r>
      <w:r>
        <w:rPr>
          <w:bCs/>
          <w:caps/>
          <w:szCs w:val="20"/>
        </w:rPr>
        <w:fldChar w:fldCharType="separate"/>
      </w:r>
      <w:r>
        <w:t>（三）近年完成的类似项目情况表</w:t>
      </w:r>
      <w:r>
        <w:tab/>
      </w:r>
      <w:r>
        <w:fldChar w:fldCharType="begin"/>
      </w:r>
      <w:r>
        <w:instrText xml:space="preserve"> PAGEREF _Toc29328 \h </w:instrText>
      </w:r>
      <w:r>
        <w:fldChar w:fldCharType="separate"/>
      </w:r>
      <w:r>
        <w:t>83</w:t>
      </w:r>
      <w:r>
        <w:fldChar w:fldCharType="end"/>
      </w:r>
      <w:r>
        <w:rPr>
          <w:bCs/>
          <w:caps/>
          <w:szCs w:val="20"/>
        </w:rPr>
        <w:fldChar w:fldCharType="end"/>
      </w:r>
    </w:p>
    <w:p w14:paraId="3673AD8D">
      <w:pPr>
        <w:pStyle w:val="18"/>
        <w:tabs>
          <w:tab w:val="right" w:leader="dot" w:pos="8306"/>
        </w:tabs>
      </w:pPr>
      <w:r>
        <w:rPr>
          <w:bCs/>
          <w:caps/>
          <w:szCs w:val="20"/>
        </w:rPr>
        <w:fldChar w:fldCharType="begin"/>
      </w:r>
      <w:r>
        <w:rPr>
          <w:bCs/>
          <w:caps/>
          <w:szCs w:val="20"/>
        </w:rPr>
        <w:instrText xml:space="preserve"> HYPERLINK \l _Toc28267 </w:instrText>
      </w:r>
      <w:r>
        <w:rPr>
          <w:bCs/>
          <w:caps/>
          <w:szCs w:val="20"/>
        </w:rPr>
        <w:fldChar w:fldCharType="separate"/>
      </w:r>
      <w:r>
        <w:t>（四）正在</w:t>
      </w:r>
      <w:r>
        <w:rPr>
          <w:rFonts w:hint="eastAsia"/>
        </w:rPr>
        <w:t>实施</w:t>
      </w:r>
      <w:r>
        <w:t>的和新承接的项目情况表</w:t>
      </w:r>
      <w:r>
        <w:tab/>
      </w:r>
      <w:r>
        <w:fldChar w:fldCharType="begin"/>
      </w:r>
      <w:r>
        <w:instrText xml:space="preserve"> PAGEREF _Toc28267 \h </w:instrText>
      </w:r>
      <w:r>
        <w:fldChar w:fldCharType="separate"/>
      </w:r>
      <w:r>
        <w:t>84</w:t>
      </w:r>
      <w:r>
        <w:fldChar w:fldCharType="end"/>
      </w:r>
      <w:r>
        <w:rPr>
          <w:bCs/>
          <w:caps/>
          <w:szCs w:val="20"/>
        </w:rPr>
        <w:fldChar w:fldCharType="end"/>
      </w:r>
    </w:p>
    <w:p w14:paraId="708930EF">
      <w:pPr>
        <w:pStyle w:val="18"/>
        <w:tabs>
          <w:tab w:val="right" w:leader="dot" w:pos="8306"/>
        </w:tabs>
      </w:pPr>
      <w:r>
        <w:rPr>
          <w:bCs/>
          <w:caps/>
          <w:szCs w:val="20"/>
        </w:rPr>
        <w:fldChar w:fldCharType="begin"/>
      </w:r>
      <w:r>
        <w:rPr>
          <w:bCs/>
          <w:caps/>
          <w:szCs w:val="20"/>
        </w:rPr>
        <w:instrText xml:space="preserve"> HYPERLINK \l _Toc31620 </w:instrText>
      </w:r>
      <w:r>
        <w:rPr>
          <w:bCs/>
          <w:caps/>
          <w:szCs w:val="20"/>
        </w:rPr>
        <w:fldChar w:fldCharType="separate"/>
      </w:r>
      <w:r>
        <w:t>（</w:t>
      </w:r>
      <w:r>
        <w:rPr>
          <w:rFonts w:hint="eastAsia"/>
        </w:rPr>
        <w:t>五</w:t>
      </w:r>
      <w:r>
        <w:t>）</w:t>
      </w:r>
      <w:r>
        <w:rPr>
          <w:rFonts w:hint="eastAsia"/>
        </w:rPr>
        <w:t>企业诚信证明</w:t>
      </w:r>
      <w:r>
        <w:tab/>
      </w:r>
      <w:r>
        <w:fldChar w:fldCharType="begin"/>
      </w:r>
      <w:r>
        <w:instrText xml:space="preserve"> PAGEREF _Toc31620 \h </w:instrText>
      </w:r>
      <w:r>
        <w:fldChar w:fldCharType="separate"/>
      </w:r>
      <w:r>
        <w:t>85</w:t>
      </w:r>
      <w:r>
        <w:fldChar w:fldCharType="end"/>
      </w:r>
      <w:r>
        <w:rPr>
          <w:bCs/>
          <w:caps/>
          <w:szCs w:val="20"/>
        </w:rPr>
        <w:fldChar w:fldCharType="end"/>
      </w:r>
    </w:p>
    <w:p w14:paraId="4C173E25">
      <w:pPr>
        <w:pStyle w:val="18"/>
        <w:tabs>
          <w:tab w:val="right" w:leader="dot" w:pos="8306"/>
        </w:tabs>
      </w:pPr>
      <w:r>
        <w:rPr>
          <w:bCs/>
          <w:caps/>
          <w:szCs w:val="20"/>
        </w:rPr>
        <w:fldChar w:fldCharType="begin"/>
      </w:r>
      <w:r>
        <w:rPr>
          <w:bCs/>
          <w:caps/>
          <w:szCs w:val="20"/>
        </w:rPr>
        <w:instrText xml:space="preserve"> HYPERLINK \l _Toc5169 </w:instrText>
      </w:r>
      <w:r>
        <w:rPr>
          <w:bCs/>
          <w:caps/>
          <w:szCs w:val="20"/>
        </w:rPr>
        <w:fldChar w:fldCharType="separate"/>
      </w:r>
      <w:r>
        <w:rPr>
          <w:rFonts w:hint="eastAsia"/>
          <w:lang w:val="en-US" w:eastAsia="zh-CN"/>
        </w:rPr>
        <w:t>（六）有依法缴纳税收和社会保障资金证明</w:t>
      </w:r>
      <w:r>
        <w:tab/>
      </w:r>
      <w:r>
        <w:fldChar w:fldCharType="begin"/>
      </w:r>
      <w:r>
        <w:instrText xml:space="preserve"> PAGEREF _Toc5169 \h </w:instrText>
      </w:r>
      <w:r>
        <w:fldChar w:fldCharType="separate"/>
      </w:r>
      <w:r>
        <w:t>86</w:t>
      </w:r>
      <w:r>
        <w:fldChar w:fldCharType="end"/>
      </w:r>
      <w:r>
        <w:rPr>
          <w:bCs/>
          <w:caps/>
          <w:szCs w:val="20"/>
        </w:rPr>
        <w:fldChar w:fldCharType="end"/>
      </w:r>
    </w:p>
    <w:p w14:paraId="0B6ACDED">
      <w:pPr>
        <w:pStyle w:val="32"/>
        <w:tabs>
          <w:tab w:val="right" w:leader="dot" w:pos="8306"/>
        </w:tabs>
      </w:pPr>
      <w:r>
        <w:rPr>
          <w:bCs/>
          <w:caps/>
          <w:szCs w:val="20"/>
        </w:rPr>
        <w:fldChar w:fldCharType="begin"/>
      </w:r>
      <w:r>
        <w:rPr>
          <w:bCs/>
          <w:caps/>
          <w:szCs w:val="20"/>
        </w:rPr>
        <w:instrText xml:space="preserve"> HYPERLINK \l _Toc1135 </w:instrText>
      </w:r>
      <w:r>
        <w:rPr>
          <w:bCs/>
          <w:caps/>
          <w:szCs w:val="20"/>
        </w:rPr>
        <w:fldChar w:fldCharType="separate"/>
      </w:r>
      <w:r>
        <w:rPr>
          <w:rFonts w:hint="eastAsia"/>
        </w:rPr>
        <w:t>九、其他资料</w:t>
      </w:r>
      <w:r>
        <w:tab/>
      </w:r>
      <w:r>
        <w:fldChar w:fldCharType="begin"/>
      </w:r>
      <w:r>
        <w:instrText xml:space="preserve"> PAGEREF _Toc1135 \h </w:instrText>
      </w:r>
      <w:r>
        <w:fldChar w:fldCharType="separate"/>
      </w:r>
      <w:r>
        <w:t>87</w:t>
      </w:r>
      <w:r>
        <w:fldChar w:fldCharType="end"/>
      </w:r>
      <w:r>
        <w:rPr>
          <w:bCs/>
          <w:caps/>
          <w:szCs w:val="20"/>
        </w:rPr>
        <w:fldChar w:fldCharType="end"/>
      </w:r>
    </w:p>
    <w:p w14:paraId="0F7B933E">
      <w:pPr>
        <w:spacing w:line="240" w:lineRule="auto"/>
      </w:pPr>
      <w:r>
        <w:rPr>
          <w:bCs/>
          <w:caps/>
          <w:szCs w:val="20"/>
        </w:rPr>
        <w:fldChar w:fldCharType="end"/>
      </w:r>
    </w:p>
    <w:p w14:paraId="6232AF6F">
      <w:r>
        <w:br w:type="page"/>
      </w:r>
      <w:bookmarkStart w:id="4" w:name="_Hlk71701354"/>
    </w:p>
    <w:p w14:paraId="300FD545"/>
    <w:p w14:paraId="42DE0FB8"/>
    <w:p w14:paraId="12F56430"/>
    <w:p w14:paraId="126695F2">
      <w:pPr>
        <w:tabs>
          <w:tab w:val="left" w:pos="2535"/>
        </w:tabs>
      </w:pPr>
    </w:p>
    <w:p w14:paraId="6D1F3C3A"/>
    <w:p w14:paraId="10E1CD3A"/>
    <w:p w14:paraId="5D38D62C"/>
    <w:p w14:paraId="349924D8"/>
    <w:p w14:paraId="1D1D9C3E"/>
    <w:p w14:paraId="4A7208E4"/>
    <w:p w14:paraId="7F8257DA"/>
    <w:bookmarkEnd w:id="4"/>
    <w:p w14:paraId="140AD752">
      <w:pPr>
        <w:pStyle w:val="3"/>
      </w:pPr>
      <w:bookmarkStart w:id="5" w:name="_Toc3810"/>
      <w:bookmarkStart w:id="6" w:name="_Toc43721415"/>
      <w:bookmarkStart w:id="7" w:name="_Toc71552334"/>
      <w:bookmarkStart w:id="8" w:name="_Toc71552368"/>
      <w:r>
        <w:rPr>
          <w:rFonts w:hint="eastAsia"/>
        </w:rPr>
        <w:t>第</w:t>
      </w:r>
      <w:r>
        <w:t>一章</w:t>
      </w:r>
      <w:r>
        <w:rPr>
          <w:rFonts w:hint="eastAsia"/>
        </w:rPr>
        <w:t xml:space="preserve"> 竞争性磋商公告</w:t>
      </w:r>
      <w:bookmarkEnd w:id="5"/>
      <w:bookmarkEnd w:id="6"/>
      <w:bookmarkEnd w:id="7"/>
      <w:bookmarkEnd w:id="8"/>
    </w:p>
    <w:p w14:paraId="233B3CF7">
      <w:pPr>
        <w:widowControl/>
        <w:spacing w:line="240" w:lineRule="auto"/>
        <w:jc w:val="left"/>
        <w:rPr>
          <w:b/>
          <w:bCs/>
        </w:rPr>
      </w:pPr>
      <w:bookmarkStart w:id="9" w:name="_Hlk71556335"/>
      <w:r>
        <w:rPr>
          <w:b/>
          <w:bCs/>
        </w:rPr>
        <w:br w:type="page"/>
      </w:r>
    </w:p>
    <w:p w14:paraId="7C6041A6">
      <w:pPr>
        <w:jc w:val="center"/>
        <w:rPr>
          <w:rFonts w:hint="eastAsia" w:eastAsia="宋体" w:cs="仿宋"/>
          <w:b/>
          <w:bCs/>
          <w:sz w:val="32"/>
          <w:szCs w:val="32"/>
          <w:lang w:eastAsia="zh-CN"/>
        </w:rPr>
      </w:pPr>
      <w:bookmarkStart w:id="10" w:name="_Hlk137767122"/>
      <w:r>
        <w:rPr>
          <w:rFonts w:hint="eastAsia" w:cs="仿宋"/>
          <w:b/>
          <w:bCs/>
          <w:sz w:val="32"/>
          <w:szCs w:val="32"/>
          <w:lang w:eastAsia="zh-CN"/>
        </w:rPr>
        <w:t>永吉县2024年农村既有建筑节能改造</w:t>
      </w:r>
    </w:p>
    <w:p w14:paraId="1ED3FA75">
      <w:pPr>
        <w:jc w:val="center"/>
        <w:rPr>
          <w:rFonts w:cs="仿宋"/>
          <w:b/>
          <w:bCs/>
          <w:sz w:val="32"/>
          <w:szCs w:val="32"/>
        </w:rPr>
      </w:pPr>
      <w:r>
        <w:rPr>
          <w:rFonts w:cs="仿宋"/>
          <w:b/>
          <w:bCs/>
          <w:sz w:val="32"/>
          <w:szCs w:val="32"/>
        </w:rPr>
        <w:t>竞争性磋商公告</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64DD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1" w:type="dxa"/>
          </w:tcPr>
          <w:p w14:paraId="1203BDDA">
            <w:pPr>
              <w:rPr>
                <w:rFonts w:cs="仿宋"/>
              </w:rPr>
            </w:pPr>
            <w:r>
              <w:rPr>
                <w:rFonts w:cs="仿宋"/>
              </w:rPr>
              <w:t>项目概况</w:t>
            </w:r>
          </w:p>
        </w:tc>
      </w:tr>
      <w:tr w14:paraId="2170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51" w:type="dxa"/>
          </w:tcPr>
          <w:p w14:paraId="3D9F0B25">
            <w:pPr>
              <w:rPr>
                <w:rFonts w:cs="仿宋"/>
              </w:rPr>
            </w:pPr>
            <w:r>
              <w:rPr>
                <w:rFonts w:hint="eastAsia" w:cs="仿宋"/>
                <w:lang w:eastAsia="zh-CN"/>
              </w:rPr>
              <w:t>永吉县2024年农村既有建筑节能改造</w:t>
            </w:r>
            <w:r>
              <w:rPr>
                <w:rFonts w:cs="仿宋"/>
              </w:rPr>
              <w:t>的潜在供应商应在</w:t>
            </w:r>
            <w:r>
              <w:rPr>
                <w:rFonts w:hint="eastAsia" w:cs="仿宋"/>
              </w:rPr>
              <w:t>政采云平台（</w:t>
            </w:r>
            <w:r>
              <w:rPr>
                <w:rFonts w:cs="仿宋"/>
              </w:rPr>
              <w:t>http：//www.zcygov.cn）线上获取磋商文件，并于</w:t>
            </w:r>
            <w:r>
              <w:rPr>
                <w:rFonts w:hint="eastAsia" w:cs="仿宋"/>
                <w:lang w:eastAsia="zh-CN"/>
              </w:rPr>
              <w:t>2024年10月21日13时30分</w:t>
            </w:r>
            <w:r>
              <w:rPr>
                <w:rFonts w:cs="仿宋"/>
              </w:rPr>
              <w:t>（北京时间）前提交响应文件。</w:t>
            </w:r>
          </w:p>
        </w:tc>
      </w:tr>
    </w:tbl>
    <w:p w14:paraId="555413C2">
      <w:pPr>
        <w:rPr>
          <w:rFonts w:cs="仿宋"/>
        </w:rPr>
      </w:pPr>
      <w:bookmarkStart w:id="11" w:name="_Toc28359089"/>
      <w:bookmarkStart w:id="12" w:name="_Toc35393798"/>
      <w:bookmarkStart w:id="13" w:name="_Toc28359012"/>
      <w:bookmarkStart w:id="14" w:name="_Toc35393629"/>
      <w:r>
        <w:rPr>
          <w:rFonts w:cs="仿宋"/>
        </w:rPr>
        <w:t>一、项目基本情况</w:t>
      </w:r>
      <w:bookmarkEnd w:id="11"/>
      <w:bookmarkEnd w:id="12"/>
      <w:bookmarkEnd w:id="13"/>
      <w:bookmarkEnd w:id="14"/>
    </w:p>
    <w:p w14:paraId="4293AD93">
      <w:pPr>
        <w:rPr>
          <w:rFonts w:cs="仿宋"/>
        </w:rPr>
      </w:pPr>
      <w:r>
        <w:rPr>
          <w:rFonts w:cs="仿宋"/>
        </w:rPr>
        <w:t>1.项目编号</w:t>
      </w:r>
      <w:r>
        <w:rPr>
          <w:rFonts w:cs="仿宋"/>
          <w:highlight w:val="none"/>
        </w:rPr>
        <w:t>：</w:t>
      </w:r>
      <w:r>
        <w:rPr>
          <w:rFonts w:hint="eastAsia" w:cs="仿宋"/>
          <w:highlight w:val="none"/>
          <w:lang w:eastAsia="zh-CN"/>
        </w:rPr>
        <w:t>采购计划-[2024]-00190号-QJ1008</w:t>
      </w:r>
      <w:r>
        <w:rPr>
          <w:rFonts w:cs="仿宋"/>
        </w:rPr>
        <w:t>。</w:t>
      </w:r>
    </w:p>
    <w:p w14:paraId="59887161">
      <w:pPr>
        <w:rPr>
          <w:rFonts w:cs="仿宋"/>
        </w:rPr>
      </w:pPr>
      <w:r>
        <w:rPr>
          <w:rFonts w:cs="仿宋"/>
        </w:rPr>
        <w:t>2.项目名称：</w:t>
      </w:r>
      <w:r>
        <w:rPr>
          <w:rFonts w:hint="eastAsia" w:cs="仿宋"/>
          <w:lang w:eastAsia="zh-CN"/>
        </w:rPr>
        <w:t>永吉县2024年农村既有建筑节能改造</w:t>
      </w:r>
      <w:r>
        <w:rPr>
          <w:rFonts w:cs="仿宋"/>
        </w:rPr>
        <w:t>。</w:t>
      </w:r>
    </w:p>
    <w:p w14:paraId="4334E9DA">
      <w:pPr>
        <w:rPr>
          <w:rFonts w:cs="仿宋"/>
        </w:rPr>
      </w:pPr>
      <w:r>
        <w:rPr>
          <w:rFonts w:cs="仿宋"/>
        </w:rPr>
        <w:t>3.采购方式：竞争性磋商。</w:t>
      </w:r>
    </w:p>
    <w:p w14:paraId="609B0AD8">
      <w:pPr>
        <w:rPr>
          <w:rFonts w:cs="仿宋"/>
        </w:rPr>
      </w:pPr>
      <w:r>
        <w:rPr>
          <w:rFonts w:cs="仿宋"/>
        </w:rPr>
        <w:t>4.预算</w:t>
      </w:r>
      <w:r>
        <w:rPr>
          <w:rFonts w:hint="eastAsia" w:cs="仿宋"/>
        </w:rPr>
        <w:t>金额（最高限价）</w:t>
      </w:r>
      <w:r>
        <w:rPr>
          <w:rFonts w:cs="仿宋"/>
        </w:rPr>
        <w:t>：</w:t>
      </w:r>
      <w:r>
        <w:rPr>
          <w:rFonts w:hint="eastAsia" w:cs="仿宋"/>
          <w:lang w:eastAsia="zh-CN"/>
        </w:rPr>
        <w:t>102.1200万元</w:t>
      </w:r>
      <w:r>
        <w:rPr>
          <w:rFonts w:cs="仿宋"/>
        </w:rPr>
        <w:t>。</w:t>
      </w:r>
    </w:p>
    <w:p w14:paraId="03580D9E">
      <w:pPr>
        <w:rPr>
          <w:rFonts w:cs="仿宋"/>
        </w:rPr>
      </w:pPr>
      <w:r>
        <w:rPr>
          <w:rFonts w:cs="仿宋"/>
        </w:rPr>
        <w:t>5.</w:t>
      </w:r>
      <w:r>
        <w:rPr>
          <w:rFonts w:hint="eastAsia" w:cs="仿宋"/>
        </w:rPr>
        <w:t>建设地点：永吉县</w:t>
      </w:r>
      <w:r>
        <w:rPr>
          <w:rFonts w:hint="eastAsia" w:cs="仿宋"/>
          <w:lang w:val="en-US" w:eastAsia="zh-CN"/>
        </w:rPr>
        <w:t>北大湖</w:t>
      </w:r>
      <w:r>
        <w:rPr>
          <w:rFonts w:hint="eastAsia" w:cs="仿宋"/>
        </w:rPr>
        <w:t>镇</w:t>
      </w:r>
      <w:r>
        <w:rPr>
          <w:rFonts w:hint="eastAsia" w:cs="仿宋"/>
          <w:lang w:eastAsia="zh-CN"/>
        </w:rPr>
        <w:t>。</w:t>
      </w:r>
    </w:p>
    <w:p w14:paraId="12C287EB">
      <w:pPr>
        <w:rPr>
          <w:rFonts w:cs="仿宋"/>
          <w:highlight w:val="none"/>
        </w:rPr>
      </w:pPr>
      <w:r>
        <w:rPr>
          <w:rFonts w:cs="仿宋"/>
        </w:rPr>
        <w:t>6.</w:t>
      </w:r>
      <w:r>
        <w:rPr>
          <w:rFonts w:hint="eastAsia" w:cs="仿宋"/>
        </w:rPr>
        <w:t>计</w:t>
      </w:r>
      <w:r>
        <w:rPr>
          <w:rFonts w:hint="eastAsia" w:cs="仿宋"/>
          <w:highlight w:val="none"/>
        </w:rPr>
        <w:t>划</w:t>
      </w:r>
      <w:r>
        <w:rPr>
          <w:rFonts w:cs="仿宋"/>
          <w:highlight w:val="none"/>
        </w:rPr>
        <w:t>工期：</w:t>
      </w:r>
      <w:bookmarkStart w:id="15" w:name="OLE_LINK1"/>
      <w:r>
        <w:rPr>
          <w:rFonts w:hint="eastAsia" w:cs="仿宋"/>
          <w:highlight w:val="none"/>
          <w:lang w:eastAsia="zh-CN"/>
        </w:rPr>
        <w:t>自合同签订之日起至2024年10月31日前完成</w:t>
      </w:r>
      <w:bookmarkEnd w:id="15"/>
      <w:r>
        <w:rPr>
          <w:rFonts w:cs="仿宋"/>
          <w:highlight w:val="none"/>
        </w:rPr>
        <w:t>。</w:t>
      </w:r>
    </w:p>
    <w:p w14:paraId="07AB1D72">
      <w:pPr>
        <w:rPr>
          <w:rFonts w:cs="仿宋"/>
          <w:highlight w:val="none"/>
        </w:rPr>
      </w:pPr>
      <w:r>
        <w:rPr>
          <w:rFonts w:cs="仿宋"/>
          <w:highlight w:val="none"/>
        </w:rPr>
        <w:t>7.质量标准：符合国家现行相关工程施工质量验收合格标准。</w:t>
      </w:r>
    </w:p>
    <w:p w14:paraId="296708B3">
      <w:pPr>
        <w:rPr>
          <w:rFonts w:cs="仿宋"/>
          <w:highlight w:val="none"/>
        </w:rPr>
      </w:pPr>
      <w:r>
        <w:rPr>
          <w:rFonts w:cs="仿宋"/>
          <w:highlight w:val="none"/>
        </w:rPr>
        <w:t>8.采购需求：</w:t>
      </w:r>
      <w:r>
        <w:rPr>
          <w:rFonts w:hint="eastAsia" w:cs="仿宋"/>
          <w:highlight w:val="none"/>
          <w:lang w:eastAsia="zh-CN"/>
        </w:rPr>
        <w:t>对北大湖276户农户的房屋进行外墙保温。</w:t>
      </w:r>
      <w:r>
        <w:rPr>
          <w:rFonts w:cs="仿宋"/>
          <w:highlight w:val="none"/>
        </w:rPr>
        <w:t>（详见</w:t>
      </w:r>
      <w:r>
        <w:rPr>
          <w:rFonts w:hint="eastAsia" w:cs="仿宋"/>
          <w:highlight w:val="none"/>
          <w:lang w:val="en-US" w:eastAsia="zh-CN"/>
        </w:rPr>
        <w:t>磋商文件</w:t>
      </w:r>
      <w:r>
        <w:rPr>
          <w:rFonts w:cs="仿宋"/>
          <w:highlight w:val="none"/>
        </w:rPr>
        <w:t>）</w:t>
      </w:r>
    </w:p>
    <w:p w14:paraId="7790D786">
      <w:pPr>
        <w:rPr>
          <w:rFonts w:hint="eastAsia" w:cs="仿宋"/>
          <w:highlight w:val="none"/>
        </w:rPr>
      </w:pPr>
      <w:r>
        <w:rPr>
          <w:rFonts w:hint="eastAsia" w:cs="仿宋"/>
          <w:highlight w:val="none"/>
          <w:lang w:val="en-US" w:eastAsia="zh-CN"/>
        </w:rPr>
        <w:t>9.</w:t>
      </w:r>
      <w:r>
        <w:rPr>
          <w:rFonts w:hint="eastAsia" w:cs="仿宋"/>
          <w:highlight w:val="none"/>
        </w:rPr>
        <w:t>资格审查方式：资格后审。</w:t>
      </w:r>
    </w:p>
    <w:p w14:paraId="4EC2FEC6">
      <w:pPr>
        <w:rPr>
          <w:rFonts w:cs="仿宋"/>
          <w:highlight w:val="none"/>
        </w:rPr>
      </w:pPr>
      <w:r>
        <w:rPr>
          <w:rFonts w:hint="eastAsia" w:cs="仿宋"/>
          <w:highlight w:val="none"/>
          <w:lang w:val="en-US" w:eastAsia="zh-CN"/>
        </w:rPr>
        <w:t>10.</w:t>
      </w:r>
      <w:r>
        <w:rPr>
          <w:rFonts w:cs="仿宋"/>
          <w:highlight w:val="none"/>
        </w:rPr>
        <w:t>本项目不接受联合体</w:t>
      </w:r>
      <w:r>
        <w:rPr>
          <w:rFonts w:hint="eastAsia" w:cs="仿宋"/>
          <w:highlight w:val="none"/>
        </w:rPr>
        <w:t>投标</w:t>
      </w:r>
      <w:r>
        <w:rPr>
          <w:rFonts w:cs="仿宋"/>
          <w:highlight w:val="none"/>
        </w:rPr>
        <w:t>。</w:t>
      </w:r>
      <w:bookmarkStart w:id="16" w:name="_Toc35393630"/>
      <w:bookmarkStart w:id="17" w:name="_Toc28359013"/>
      <w:bookmarkStart w:id="18" w:name="_Toc35393799"/>
      <w:bookmarkStart w:id="19" w:name="_Toc28359090"/>
    </w:p>
    <w:p w14:paraId="00564221">
      <w:pPr>
        <w:rPr>
          <w:rFonts w:cs="仿宋"/>
        </w:rPr>
      </w:pPr>
      <w:r>
        <w:rPr>
          <w:rFonts w:cs="仿宋"/>
        </w:rPr>
        <w:t>二、申请人的资格要求：</w:t>
      </w:r>
      <w:bookmarkEnd w:id="16"/>
      <w:bookmarkEnd w:id="17"/>
      <w:bookmarkEnd w:id="18"/>
      <w:bookmarkEnd w:id="19"/>
    </w:p>
    <w:p w14:paraId="4D2075F3">
      <w:pPr>
        <w:rPr>
          <w:rFonts w:cs="仿宋"/>
        </w:rPr>
      </w:pPr>
      <w:r>
        <w:rPr>
          <w:rFonts w:cs="仿宋"/>
        </w:rPr>
        <w:t>1.满足《中华人民共和国政府采购法》第二十二条规定：</w:t>
      </w:r>
    </w:p>
    <w:p w14:paraId="5DE638B6">
      <w:pPr>
        <w:pStyle w:val="47"/>
        <w:spacing w:line="360" w:lineRule="auto"/>
        <w:rPr>
          <w:rFonts w:hAnsi="宋体"/>
        </w:rPr>
      </w:pPr>
      <w:r>
        <w:rPr>
          <w:rFonts w:hAnsi="宋体"/>
        </w:rPr>
        <w:t>(1)具有独立承担民事责任的能力；</w:t>
      </w:r>
    </w:p>
    <w:p w14:paraId="427ED8AF">
      <w:pPr>
        <w:pStyle w:val="47"/>
        <w:spacing w:line="360" w:lineRule="auto"/>
        <w:rPr>
          <w:rFonts w:hAnsi="宋体"/>
        </w:rPr>
      </w:pPr>
      <w:r>
        <w:rPr>
          <w:rFonts w:hAnsi="宋体"/>
        </w:rPr>
        <w:t>(2)具有良好的商业信誉和健全的财务会计制度；</w:t>
      </w:r>
    </w:p>
    <w:p w14:paraId="11E9A9AD">
      <w:pPr>
        <w:pStyle w:val="47"/>
        <w:spacing w:line="360" w:lineRule="auto"/>
        <w:rPr>
          <w:rFonts w:hAnsi="宋体"/>
        </w:rPr>
      </w:pPr>
      <w:r>
        <w:rPr>
          <w:rFonts w:hAnsi="宋体"/>
        </w:rPr>
        <w:t>(3)具有履行合同所必需的设备和专业技术能力；</w:t>
      </w:r>
    </w:p>
    <w:p w14:paraId="358A12D8">
      <w:pPr>
        <w:pStyle w:val="47"/>
        <w:spacing w:line="360" w:lineRule="auto"/>
        <w:rPr>
          <w:rFonts w:hAnsi="宋体"/>
        </w:rPr>
      </w:pPr>
      <w:r>
        <w:rPr>
          <w:rFonts w:hAnsi="宋体"/>
        </w:rPr>
        <w:t>(4)有依法缴纳税收和社会保障资金的良好记录；</w:t>
      </w:r>
    </w:p>
    <w:p w14:paraId="0461E3A8">
      <w:pPr>
        <w:pStyle w:val="47"/>
        <w:spacing w:line="360" w:lineRule="auto"/>
        <w:rPr>
          <w:rFonts w:hAnsi="宋体"/>
        </w:rPr>
      </w:pPr>
      <w:r>
        <w:rPr>
          <w:rFonts w:hAnsi="宋体"/>
        </w:rPr>
        <w:t>(5)参加政府采购活动前三年内，在经营活动中没有重大违法记录；</w:t>
      </w:r>
    </w:p>
    <w:p w14:paraId="1BB443B7">
      <w:pPr>
        <w:pStyle w:val="47"/>
        <w:spacing w:line="360" w:lineRule="auto"/>
        <w:rPr>
          <w:rFonts w:hAnsi="宋体"/>
        </w:rPr>
      </w:pPr>
      <w:r>
        <w:rPr>
          <w:rFonts w:hAnsi="宋体"/>
        </w:rPr>
        <w:t>(6)法律、行政法规规定的其他条件。</w:t>
      </w:r>
    </w:p>
    <w:p w14:paraId="65B48D82">
      <w:pPr>
        <w:rPr>
          <w:rFonts w:cs="仿宋"/>
        </w:rPr>
      </w:pPr>
      <w:r>
        <w:rPr>
          <w:rFonts w:cs="仿宋"/>
        </w:rPr>
        <w:t>2.落实政府采购政策需满足的资格要求：</w:t>
      </w:r>
      <w:r>
        <w:rPr>
          <w:rFonts w:hint="eastAsia" w:cs="仿宋"/>
        </w:rPr>
        <w:t>本项目属于</w:t>
      </w:r>
      <w:r>
        <w:rPr>
          <w:rFonts w:hint="eastAsia" w:cs="仿宋"/>
          <w:b/>
          <w:bCs/>
        </w:rPr>
        <w:t>专门</w:t>
      </w:r>
      <w:r>
        <w:rPr>
          <w:rFonts w:hint="eastAsia" w:cs="仿宋"/>
        </w:rPr>
        <w:t>面向中小企业采购项目。</w:t>
      </w:r>
      <w:r>
        <w:rPr>
          <w:rFonts w:cs="仿宋"/>
        </w:rPr>
        <w:t>本次招标活动对于满足国家采购政策要求的响应单位按照相关规定的扶持政策执行，详见竞争性磋商文件。</w:t>
      </w:r>
    </w:p>
    <w:p w14:paraId="57D865B7">
      <w:pPr>
        <w:rPr>
          <w:rFonts w:cs="仿宋"/>
        </w:rPr>
      </w:pPr>
      <w:r>
        <w:rPr>
          <w:rFonts w:cs="仿宋"/>
        </w:rPr>
        <w:t>3.本项目的特定资格要求：</w:t>
      </w:r>
    </w:p>
    <w:p w14:paraId="5608D28C">
      <w:pPr>
        <w:rPr>
          <w:rFonts w:cs="仿宋"/>
        </w:rPr>
      </w:pPr>
      <w:bookmarkStart w:id="20" w:name="_Toc28359014"/>
      <w:bookmarkStart w:id="21" w:name="_Toc28359091"/>
      <w:r>
        <w:rPr>
          <w:rFonts w:cs="仿宋"/>
        </w:rPr>
        <w:t>(1)</w:t>
      </w:r>
      <w:r>
        <w:rPr>
          <w:rFonts w:hint="eastAsia" w:cs="仿宋"/>
          <w:lang w:val="en-US" w:eastAsia="zh-CN"/>
        </w:rPr>
        <w:t>投标</w:t>
      </w:r>
      <w:r>
        <w:rPr>
          <w:rFonts w:cs="仿宋"/>
        </w:rPr>
        <w:t>人须具备建设行政主管部门核发的</w:t>
      </w:r>
      <w:r>
        <w:rPr>
          <w:rFonts w:hint="eastAsia" w:cs="仿宋"/>
          <w:b/>
          <w:lang w:eastAsia="zh-CN"/>
        </w:rPr>
        <w:t>建筑工程施工总承包二级及以上资质</w:t>
      </w:r>
      <w:r>
        <w:rPr>
          <w:rFonts w:cs="仿宋"/>
        </w:rPr>
        <w:t>，具有安全生产许可证，并在人员、设备、资金等方面具有相应的施工能力。</w:t>
      </w:r>
    </w:p>
    <w:p w14:paraId="3E7359AB">
      <w:pPr>
        <w:rPr>
          <w:rFonts w:cs="仿宋"/>
        </w:rPr>
      </w:pPr>
      <w:bookmarkStart w:id="22" w:name="_Toc35393800"/>
      <w:bookmarkStart w:id="23" w:name="_Toc35393631"/>
      <w:r>
        <w:rPr>
          <w:rFonts w:cs="仿宋"/>
        </w:rPr>
        <w:t>(2)拟派出的项目经理须具备建设行政主管部门核发的</w:t>
      </w:r>
      <w:r>
        <w:rPr>
          <w:rFonts w:hint="eastAsia" w:cs="仿宋"/>
          <w:b/>
          <w:lang w:eastAsia="zh-CN"/>
        </w:rPr>
        <w:t>建筑工程专业二级及以上注册建造师资格</w:t>
      </w:r>
      <w:r>
        <w:rPr>
          <w:rFonts w:hint="eastAsia" w:cs="仿宋"/>
          <w:b w:val="0"/>
          <w:bCs/>
          <w:lang w:eastAsia="zh-CN"/>
        </w:rPr>
        <w:t>，</w:t>
      </w:r>
      <w:r>
        <w:rPr>
          <w:rFonts w:cs="仿宋"/>
        </w:rPr>
        <w:t>并具备有效的安全生产考核合格证书。</w:t>
      </w:r>
    </w:p>
    <w:p w14:paraId="50C063F4">
      <w:pPr>
        <w:rPr>
          <w:rFonts w:hint="eastAsia" w:eastAsia="宋体" w:cs="仿宋"/>
          <w:lang w:eastAsia="zh-CN"/>
        </w:rPr>
      </w:pPr>
      <w:r>
        <w:rPr>
          <w:rFonts w:cs="仿宋"/>
        </w:rPr>
        <w:t>(3)拒绝列入政府不良行为记录期间的企业或个人投标</w:t>
      </w:r>
      <w:r>
        <w:rPr>
          <w:rFonts w:hint="eastAsia" w:cs="仿宋"/>
          <w:lang w:eastAsia="zh-CN"/>
        </w:rPr>
        <w:t>。</w:t>
      </w:r>
    </w:p>
    <w:p w14:paraId="24A4B0DE">
      <w:pPr>
        <w:rPr>
          <w:rFonts w:cs="仿宋"/>
        </w:rPr>
      </w:pPr>
      <w:r>
        <w:rPr>
          <w:rFonts w:cs="仿宋"/>
        </w:rPr>
        <w:t>(4)投标人须在“中国裁判文书网”（wenshu.court.gov.cn）无行贿犯罪记录：本公司（案由：单位行贿罪）和个人（指法定代表人）（案由：行贿罪）</w:t>
      </w:r>
      <w:r>
        <w:rPr>
          <w:rFonts w:hint="eastAsia" w:cs="仿宋"/>
        </w:rPr>
        <w:t>。</w:t>
      </w:r>
    </w:p>
    <w:p w14:paraId="5060F829">
      <w:pPr>
        <w:rPr>
          <w:rFonts w:cs="仿宋"/>
        </w:rPr>
      </w:pPr>
      <w:r>
        <w:rPr>
          <w:rFonts w:cs="仿宋"/>
        </w:rPr>
        <w:t>(</w:t>
      </w:r>
      <w:r>
        <w:rPr>
          <w:rFonts w:hint="eastAsia" w:cs="仿宋"/>
          <w:lang w:val="en-US" w:eastAsia="zh-CN"/>
        </w:rPr>
        <w:t>5</w:t>
      </w:r>
      <w:r>
        <w:rPr>
          <w:rFonts w:cs="仿宋"/>
        </w:rPr>
        <w:t>)投标人须在“信用中国”网站(www.creditchina.gov.cn)未被列入“失信被执行人、重大税收违法案件当事人名单、政府采购严重违法失信名单”的记录名单。</w:t>
      </w:r>
    </w:p>
    <w:p w14:paraId="1F52F976">
      <w:pPr>
        <w:rPr>
          <w:rFonts w:cs="仿宋"/>
        </w:rPr>
      </w:pPr>
      <w:r>
        <w:rPr>
          <w:rFonts w:cs="仿宋"/>
        </w:rPr>
        <w:t>(</w:t>
      </w:r>
      <w:r>
        <w:rPr>
          <w:rFonts w:hint="eastAsia" w:cs="仿宋"/>
          <w:lang w:val="en-US" w:eastAsia="zh-CN"/>
        </w:rPr>
        <w:t>6</w:t>
      </w:r>
      <w:r>
        <w:rPr>
          <w:rFonts w:cs="仿宋"/>
        </w:rPr>
        <w:t>)未在“中国政府采购网”网站（http://www.ccgp.gov.cn/）平台中列入政府采购严重违法失信行为记录名单。</w:t>
      </w:r>
    </w:p>
    <w:p w14:paraId="19EA57F4">
      <w:pPr>
        <w:rPr>
          <w:rFonts w:cs="仿宋"/>
        </w:rPr>
      </w:pPr>
      <w:r>
        <w:rPr>
          <w:rFonts w:cs="仿宋"/>
        </w:rPr>
        <w:t>(</w:t>
      </w:r>
      <w:r>
        <w:rPr>
          <w:rFonts w:hint="eastAsia" w:cs="仿宋"/>
          <w:lang w:val="en-US" w:eastAsia="zh-CN"/>
        </w:rPr>
        <w:t>7</w:t>
      </w:r>
      <w:r>
        <w:rPr>
          <w:rFonts w:cs="仿宋"/>
        </w:rPr>
        <w:t>)企业名称不同但法定代表人为同一个自然人的两个或者两个以上的投标人不得参加同一项目的投标。如果出现上述情况，相关投标人的投标均将被拒绝。</w:t>
      </w:r>
    </w:p>
    <w:p w14:paraId="58BC1611">
      <w:pPr>
        <w:rPr>
          <w:rFonts w:cs="仿宋"/>
        </w:rPr>
      </w:pPr>
      <w:r>
        <w:rPr>
          <w:rFonts w:cs="仿宋"/>
        </w:rPr>
        <w:t>三、获取采购文件</w:t>
      </w:r>
      <w:bookmarkEnd w:id="20"/>
      <w:bookmarkEnd w:id="21"/>
      <w:bookmarkEnd w:id="22"/>
      <w:bookmarkEnd w:id="23"/>
    </w:p>
    <w:p w14:paraId="0FECD51C">
      <w:pPr>
        <w:rPr>
          <w:rFonts w:cs="仿宋"/>
        </w:rPr>
      </w:pPr>
      <w:r>
        <w:rPr>
          <w:rFonts w:hint="eastAsia" w:cs="仿宋"/>
        </w:rPr>
        <w:t>1</w:t>
      </w:r>
      <w:r>
        <w:rPr>
          <w:rFonts w:cs="仿宋"/>
        </w:rPr>
        <w:t>.</w:t>
      </w:r>
      <w:r>
        <w:rPr>
          <w:rFonts w:hint="eastAsia" w:cs="仿宋"/>
        </w:rPr>
        <w:t>时间：</w:t>
      </w:r>
      <w:r>
        <w:rPr>
          <w:rFonts w:hint="eastAsia" w:cs="仿宋"/>
          <w:lang w:eastAsia="zh-CN"/>
        </w:rPr>
        <w:t>2024年10月09日至2024年10月15日</w:t>
      </w:r>
      <w:r>
        <w:rPr>
          <w:rFonts w:cs="仿宋"/>
        </w:rPr>
        <w:t>1</w:t>
      </w:r>
      <w:r>
        <w:rPr>
          <w:rFonts w:hint="eastAsia" w:cs="仿宋"/>
          <w:lang w:val="en-US" w:eastAsia="zh-CN"/>
        </w:rPr>
        <w:t>6</w:t>
      </w:r>
      <w:r>
        <w:rPr>
          <w:rFonts w:cs="仿宋"/>
        </w:rPr>
        <w:t>:00止</w:t>
      </w:r>
      <w:r>
        <w:rPr>
          <w:rFonts w:hint="eastAsia" w:ascii="宋体" w:hAnsi="宋体" w:eastAsia="宋体" w:cs="宋体"/>
          <w:color w:val="auto"/>
          <w:sz w:val="24"/>
          <w:highlight w:val="none"/>
        </w:rPr>
        <w:t>（北京时间，法定节假日除外）</w:t>
      </w:r>
      <w:r>
        <w:rPr>
          <w:rFonts w:cs="仿宋"/>
        </w:rPr>
        <w:t>。</w:t>
      </w:r>
    </w:p>
    <w:p w14:paraId="05232DE7">
      <w:pPr>
        <w:rPr>
          <w:rFonts w:cs="仿宋"/>
        </w:rPr>
      </w:pPr>
      <w:r>
        <w:rPr>
          <w:rFonts w:hint="eastAsia" w:cs="仿宋"/>
        </w:rPr>
        <w:t>2</w:t>
      </w:r>
      <w:r>
        <w:rPr>
          <w:rFonts w:cs="仿宋"/>
        </w:rPr>
        <w:t>.</w:t>
      </w:r>
      <w:r>
        <w:rPr>
          <w:rFonts w:hint="eastAsia" w:cs="仿宋"/>
        </w:rPr>
        <w:t>地点：政采云平台（</w:t>
      </w:r>
      <w:r>
        <w:rPr>
          <w:rFonts w:cs="仿宋"/>
        </w:rPr>
        <w:t>http：//www.zcygov.cn）</w:t>
      </w:r>
      <w:r>
        <w:rPr>
          <w:rFonts w:hint="eastAsia" w:cs="仿宋"/>
        </w:rPr>
        <w:t>线上获取。</w:t>
      </w:r>
    </w:p>
    <w:p w14:paraId="052D2652">
      <w:pPr>
        <w:rPr>
          <w:rFonts w:cs="仿宋"/>
        </w:rPr>
      </w:pPr>
      <w:r>
        <w:rPr>
          <w:rFonts w:hint="eastAsia" w:cs="仿宋"/>
        </w:rPr>
        <w:t>3</w:t>
      </w:r>
      <w:r>
        <w:rPr>
          <w:rFonts w:cs="仿宋"/>
        </w:rPr>
        <w:t>.</w:t>
      </w:r>
      <w:r>
        <w:rPr>
          <w:rFonts w:hint="eastAsia" w:cs="仿宋"/>
        </w:rPr>
        <w:t>方式：供应商登录政采云平台</w:t>
      </w:r>
      <w:r>
        <w:rPr>
          <w:rFonts w:cs="仿宋"/>
        </w:rPr>
        <w:t>https://www.zcygov.cn/在线申请获取采购文件（进入“项目采购”应用，在获取采购文件菜单中选择项目，申请获取采购文件）</w:t>
      </w:r>
      <w:r>
        <w:rPr>
          <w:rFonts w:hint="eastAsia" w:cs="仿宋"/>
        </w:rPr>
        <w:t>。</w:t>
      </w:r>
    </w:p>
    <w:p w14:paraId="4AD46529">
      <w:pPr>
        <w:rPr>
          <w:rFonts w:cs="仿宋"/>
        </w:rPr>
      </w:pPr>
      <w:r>
        <w:rPr>
          <w:rFonts w:hint="eastAsia" w:cs="仿宋"/>
        </w:rPr>
        <w:t>4</w:t>
      </w:r>
      <w:r>
        <w:rPr>
          <w:rFonts w:cs="仿宋"/>
        </w:rPr>
        <w:t>.</w:t>
      </w:r>
      <w:r>
        <w:rPr>
          <w:rFonts w:hint="eastAsia" w:cs="仿宋"/>
        </w:rPr>
        <w:t>售价：</w:t>
      </w:r>
      <w:r>
        <w:rPr>
          <w:rFonts w:cs="仿宋"/>
        </w:rPr>
        <w:t>0.00元。</w:t>
      </w:r>
    </w:p>
    <w:p w14:paraId="03BAA2BB">
      <w:pPr>
        <w:rPr>
          <w:rFonts w:hint="eastAsia" w:cs="仿宋"/>
        </w:rPr>
      </w:pPr>
      <w:bookmarkStart w:id="24" w:name="_Toc28359092"/>
      <w:bookmarkStart w:id="25" w:name="_Toc28359015"/>
      <w:bookmarkStart w:id="26" w:name="_Toc35393632"/>
      <w:bookmarkStart w:id="27" w:name="_Toc35393801"/>
      <w:r>
        <w:rPr>
          <w:rFonts w:cs="仿宋"/>
        </w:rPr>
        <w:t>四、响应文件提交</w:t>
      </w:r>
      <w:bookmarkEnd w:id="24"/>
      <w:bookmarkEnd w:id="25"/>
      <w:bookmarkEnd w:id="26"/>
      <w:bookmarkEnd w:id="27"/>
    </w:p>
    <w:p w14:paraId="4E3178C9">
      <w:pPr>
        <w:rPr>
          <w:rFonts w:cs="仿宋"/>
        </w:rPr>
      </w:pPr>
      <w:r>
        <w:rPr>
          <w:rFonts w:cs="仿宋"/>
        </w:rPr>
        <w:t>1.截止时间：</w:t>
      </w:r>
      <w:r>
        <w:rPr>
          <w:rFonts w:hint="eastAsia" w:cs="仿宋"/>
          <w:lang w:eastAsia="zh-CN"/>
        </w:rPr>
        <w:t>2024年10月21日13时30分</w:t>
      </w:r>
      <w:r>
        <w:rPr>
          <w:rFonts w:cs="仿宋"/>
        </w:rPr>
        <w:t>（北京时间）。</w:t>
      </w:r>
    </w:p>
    <w:p w14:paraId="578D09E2">
      <w:pPr>
        <w:rPr>
          <w:rFonts w:hint="eastAsia" w:cs="仿宋"/>
        </w:rPr>
      </w:pPr>
      <w:r>
        <w:rPr>
          <w:rFonts w:cs="仿宋"/>
        </w:rPr>
        <w:t>2.地点：</w:t>
      </w:r>
      <w:r>
        <w:rPr>
          <w:rFonts w:hint="eastAsia" w:cs="仿宋"/>
        </w:rPr>
        <w:t>“政采云”平台</w:t>
      </w:r>
      <w:r>
        <w:rPr>
          <w:rFonts w:hint="eastAsia" w:cs="仿宋"/>
          <w:lang w:eastAsia="zh-CN"/>
        </w:rPr>
        <w:t>，</w:t>
      </w:r>
      <w:r>
        <w:rPr>
          <w:rFonts w:hint="eastAsia" w:cs="仿宋"/>
        </w:rPr>
        <w:t>本项目执行电子化招投标，供应商须通过政府采购云平台（网址：http:// www.zcygov.cn）递交电子版响应文件。</w:t>
      </w:r>
    </w:p>
    <w:p w14:paraId="2F8A8394">
      <w:pPr>
        <w:rPr>
          <w:rFonts w:hint="eastAsia" w:cs="仿宋"/>
          <w:lang w:val="en-US" w:eastAsia="zh-CN"/>
        </w:rPr>
      </w:pPr>
      <w:r>
        <w:rPr>
          <w:rFonts w:hint="eastAsia" w:cs="仿宋"/>
          <w:lang w:val="en-US" w:eastAsia="zh-CN"/>
        </w:rPr>
        <w:t>五、开启</w:t>
      </w:r>
    </w:p>
    <w:p w14:paraId="70380DBE">
      <w:pPr>
        <w:rPr>
          <w:rFonts w:hint="eastAsia" w:eastAsia="宋体" w:cs="仿宋"/>
          <w:lang w:eastAsia="zh-CN"/>
        </w:rPr>
      </w:pPr>
      <w:r>
        <w:rPr>
          <w:rFonts w:hint="eastAsia" w:cs="仿宋"/>
          <w:lang w:val="en-US" w:eastAsia="zh-CN"/>
        </w:rPr>
        <w:t>1.时间：</w:t>
      </w:r>
      <w:r>
        <w:rPr>
          <w:rFonts w:hint="eastAsia" w:cs="仿宋"/>
          <w:lang w:eastAsia="zh-CN"/>
        </w:rPr>
        <w:t>2024年10月21日13时30分</w:t>
      </w:r>
      <w:r>
        <w:rPr>
          <w:rFonts w:cs="仿宋"/>
        </w:rPr>
        <w:t>（北京时间）</w:t>
      </w:r>
      <w:r>
        <w:rPr>
          <w:rFonts w:hint="eastAsia" w:cs="仿宋"/>
          <w:lang w:eastAsia="zh-CN"/>
        </w:rPr>
        <w:t>。</w:t>
      </w:r>
    </w:p>
    <w:p w14:paraId="16437269">
      <w:pPr>
        <w:rPr>
          <w:rFonts w:cs="仿宋"/>
        </w:rPr>
      </w:pPr>
      <w:r>
        <w:rPr>
          <w:rFonts w:hint="eastAsia" w:cs="仿宋"/>
          <w:lang w:val="en-US" w:eastAsia="zh-CN"/>
        </w:rPr>
        <w:t>2</w:t>
      </w:r>
      <w:r>
        <w:rPr>
          <w:rFonts w:cs="仿宋"/>
        </w:rPr>
        <w:t>.地点：</w:t>
      </w:r>
      <w:r>
        <w:rPr>
          <w:rFonts w:hint="eastAsia" w:cs="仿宋"/>
        </w:rPr>
        <w:t>永吉县政务服务中心五楼524开标室（永吉县口前镇建设东路2345号）</w:t>
      </w:r>
      <w:r>
        <w:rPr>
          <w:rFonts w:cs="仿宋"/>
        </w:rPr>
        <w:t>。</w:t>
      </w:r>
      <w:bookmarkStart w:id="28" w:name="_Toc35393634"/>
      <w:bookmarkStart w:id="29" w:name="_Toc28359094"/>
      <w:bookmarkStart w:id="30" w:name="_Toc35393803"/>
      <w:bookmarkStart w:id="31" w:name="_Toc28359017"/>
    </w:p>
    <w:p w14:paraId="4578B3A4">
      <w:pPr>
        <w:rPr>
          <w:rFonts w:cs="仿宋"/>
        </w:rPr>
      </w:pPr>
      <w:r>
        <w:rPr>
          <w:rFonts w:hint="eastAsia" w:cs="仿宋"/>
          <w:lang w:val="en-US" w:eastAsia="zh-CN"/>
        </w:rPr>
        <w:t>六</w:t>
      </w:r>
      <w:r>
        <w:rPr>
          <w:rFonts w:cs="仿宋"/>
        </w:rPr>
        <w:t>、公告期限</w:t>
      </w:r>
      <w:bookmarkEnd w:id="28"/>
      <w:bookmarkEnd w:id="29"/>
      <w:bookmarkEnd w:id="30"/>
      <w:bookmarkEnd w:id="31"/>
    </w:p>
    <w:p w14:paraId="36F1B1B8">
      <w:pPr>
        <w:rPr>
          <w:rFonts w:cs="仿宋"/>
        </w:rPr>
      </w:pPr>
      <w:r>
        <w:rPr>
          <w:rFonts w:cs="仿宋"/>
        </w:rPr>
        <w:t>自本公告发布之日起5个工作日。</w:t>
      </w:r>
      <w:bookmarkStart w:id="32" w:name="_Toc35393635"/>
      <w:bookmarkStart w:id="33" w:name="_Toc35393804"/>
    </w:p>
    <w:bookmarkEnd w:id="32"/>
    <w:bookmarkEnd w:id="33"/>
    <w:p w14:paraId="04B98CA1">
      <w:pPr>
        <w:rPr>
          <w:rFonts w:cs="仿宋"/>
        </w:rPr>
      </w:pPr>
      <w:r>
        <w:rPr>
          <w:rFonts w:hint="eastAsia" w:cs="仿宋"/>
          <w:lang w:val="en-US" w:eastAsia="zh-CN"/>
        </w:rPr>
        <w:t>七</w:t>
      </w:r>
      <w:r>
        <w:rPr>
          <w:rFonts w:cs="仿宋"/>
        </w:rPr>
        <w:t>、其他补充事宜</w:t>
      </w:r>
    </w:p>
    <w:p w14:paraId="3CD94CC9">
      <w:pPr>
        <w:rPr>
          <w:rFonts w:hint="eastAsia" w:cs="仿宋"/>
        </w:rPr>
      </w:pPr>
      <w:bookmarkStart w:id="34" w:name="_Toc35393805"/>
      <w:bookmarkStart w:id="35" w:name="_Toc35393636"/>
      <w:bookmarkStart w:id="36" w:name="_Toc28359018"/>
      <w:bookmarkStart w:id="37" w:name="_Toc28359095"/>
      <w:r>
        <w:rPr>
          <w:rFonts w:hint="eastAsia" w:cs="仿宋"/>
        </w:rPr>
        <w:t>1.供应商在政府采购云平台网注册入库成为正式供应商后，在平台上按《政府采购项目电子交易管理操作指南-供应商》进行投标操作。投标人须办理数字证书方可参加投标。</w:t>
      </w:r>
    </w:p>
    <w:p w14:paraId="7B9B2217">
      <w:pPr>
        <w:rPr>
          <w:rFonts w:hint="eastAsia" w:cs="仿宋"/>
        </w:rPr>
      </w:pPr>
      <w:r>
        <w:rPr>
          <w:rFonts w:hint="eastAsia" w:cs="仿宋"/>
        </w:rPr>
        <w:t>2.收到CA锁以后在“政采云”登陆界面，点击CA登录-CA驱动下载-下载并安装政采云投标客户端和CA驱动，账号绑定CA后才能进行投标文件制作。</w:t>
      </w:r>
    </w:p>
    <w:p w14:paraId="2352BCFA">
      <w:pPr>
        <w:rPr>
          <w:rFonts w:hint="eastAsia" w:cs="仿宋"/>
        </w:rPr>
      </w:pPr>
      <w:r>
        <w:rPr>
          <w:rFonts w:hint="eastAsia" w:cs="仿宋"/>
        </w:rPr>
        <w:t>3.若对项目采购电子交易系统操作有疑问，可登录“政采云”平台，点击右侧咨询小采，获取采小蜜智能服务管家帮助，或拨打政采云服务热线95763获取帮助。</w:t>
      </w:r>
    </w:p>
    <w:p w14:paraId="47613CF8">
      <w:pPr>
        <w:rPr>
          <w:rFonts w:hint="eastAsia" w:cs="仿宋"/>
        </w:rPr>
      </w:pPr>
      <w:r>
        <w:rPr>
          <w:rFonts w:hint="eastAsia" w:cs="仿宋"/>
        </w:rPr>
        <w:t>4.本次公告在政府采购云平台（同步推送到吉林省政府采购网）、中国政府采购网上同时发布。</w:t>
      </w:r>
    </w:p>
    <w:p w14:paraId="1F6BF963">
      <w:pPr>
        <w:rPr>
          <w:rFonts w:cs="仿宋"/>
        </w:rPr>
      </w:pPr>
      <w:r>
        <w:rPr>
          <w:rFonts w:hint="eastAsia" w:cs="仿宋"/>
          <w:lang w:val="en-US" w:eastAsia="zh-CN"/>
        </w:rPr>
        <w:t>八</w:t>
      </w:r>
      <w:r>
        <w:rPr>
          <w:rFonts w:cs="仿宋"/>
        </w:rPr>
        <w:t>、凡对本次采购提出询问，请按以下方式联系。</w:t>
      </w:r>
      <w:bookmarkEnd w:id="34"/>
      <w:bookmarkEnd w:id="35"/>
      <w:bookmarkEnd w:id="36"/>
      <w:bookmarkEnd w:id="37"/>
    </w:p>
    <w:p w14:paraId="43D181A0">
      <w:pPr>
        <w:rPr>
          <w:rFonts w:cs="仿宋"/>
        </w:rPr>
      </w:pPr>
      <w:bookmarkStart w:id="38" w:name="_Hlk50987349"/>
      <w:r>
        <w:rPr>
          <w:rFonts w:cs="仿宋"/>
        </w:rPr>
        <w:t>1.采购人信息</w:t>
      </w:r>
    </w:p>
    <w:p w14:paraId="1E431452">
      <w:pPr>
        <w:rPr>
          <w:rFonts w:cs="仿宋"/>
        </w:rPr>
      </w:pPr>
      <w:r>
        <w:rPr>
          <w:rFonts w:cs="仿宋"/>
        </w:rPr>
        <w:t>名    称：</w:t>
      </w:r>
      <w:r>
        <w:rPr>
          <w:rFonts w:hint="eastAsia" w:cs="仿宋"/>
        </w:rPr>
        <w:t>永吉县北大湖镇人民政府</w:t>
      </w:r>
    </w:p>
    <w:p w14:paraId="6D946CA4">
      <w:pPr>
        <w:rPr>
          <w:rFonts w:cs="仿宋"/>
        </w:rPr>
      </w:pPr>
      <w:r>
        <w:rPr>
          <w:rFonts w:cs="仿宋"/>
        </w:rPr>
        <w:t>地    址：</w:t>
      </w:r>
      <w:r>
        <w:rPr>
          <w:rFonts w:hint="eastAsia" w:cs="仿宋"/>
        </w:rPr>
        <w:t>永吉县北大湖镇五里河大街128号</w:t>
      </w:r>
    </w:p>
    <w:p w14:paraId="48D8458E">
      <w:pPr>
        <w:rPr>
          <w:rFonts w:hint="eastAsia" w:eastAsia="宋体" w:cs="仿宋"/>
          <w:lang w:eastAsia="zh-CN"/>
        </w:rPr>
      </w:pPr>
      <w:r>
        <w:rPr>
          <w:rFonts w:cs="仿宋"/>
        </w:rPr>
        <w:t>联系方式：</w:t>
      </w:r>
      <w:r>
        <w:rPr>
          <w:rFonts w:hint="eastAsia" w:cs="仿宋"/>
          <w:lang w:val="en-US" w:eastAsia="zh-CN"/>
        </w:rPr>
        <w:t>许可</w:t>
      </w:r>
      <w:r>
        <w:rPr>
          <w:rFonts w:hint="eastAsia" w:cs="仿宋"/>
          <w:lang w:eastAsia="zh-CN"/>
        </w:rPr>
        <w:t xml:space="preserve"> 0432-64288411</w:t>
      </w:r>
    </w:p>
    <w:p w14:paraId="662CF5A9">
      <w:pPr>
        <w:rPr>
          <w:rFonts w:cs="仿宋"/>
        </w:rPr>
      </w:pPr>
      <w:bookmarkStart w:id="39" w:name="_Toc35393807"/>
      <w:bookmarkStart w:id="40" w:name="_Toc35393638"/>
      <w:bookmarkStart w:id="41" w:name="_Toc28359097"/>
      <w:bookmarkStart w:id="42" w:name="_Toc28359020"/>
      <w:r>
        <w:rPr>
          <w:rFonts w:cs="仿宋"/>
        </w:rPr>
        <w:t>2.采购代理机构信息</w:t>
      </w:r>
      <w:bookmarkEnd w:id="39"/>
      <w:bookmarkEnd w:id="40"/>
      <w:bookmarkEnd w:id="41"/>
      <w:bookmarkEnd w:id="42"/>
    </w:p>
    <w:p w14:paraId="45EEA0AA">
      <w:pPr>
        <w:rPr>
          <w:rFonts w:hint="eastAsia" w:eastAsia="宋体" w:cs="仿宋"/>
          <w:lang w:eastAsia="zh-CN"/>
        </w:rPr>
      </w:pPr>
      <w:r>
        <w:rPr>
          <w:rFonts w:cs="仿宋"/>
        </w:rPr>
        <w:t>名    称：</w:t>
      </w:r>
      <w:r>
        <w:rPr>
          <w:rFonts w:hint="eastAsia" w:cs="仿宋"/>
          <w:lang w:eastAsia="zh-CN"/>
        </w:rPr>
        <w:t>乾景项目管理（吉林）有限公司</w:t>
      </w:r>
    </w:p>
    <w:p w14:paraId="770632AE">
      <w:pPr>
        <w:rPr>
          <w:rFonts w:hint="eastAsia" w:eastAsia="宋体" w:cs="仿宋"/>
          <w:lang w:eastAsia="zh-CN"/>
        </w:rPr>
      </w:pPr>
      <w:r>
        <w:rPr>
          <w:rFonts w:cs="仿宋"/>
        </w:rPr>
        <w:t>地    址：</w:t>
      </w:r>
      <w:r>
        <w:rPr>
          <w:rFonts w:hint="eastAsia" w:cs="仿宋"/>
          <w:lang w:eastAsia="zh-CN"/>
        </w:rPr>
        <w:t>吉林市丰满区宜山路88号创业服务大厦203B-189室</w:t>
      </w:r>
    </w:p>
    <w:p w14:paraId="385F2B48">
      <w:pPr>
        <w:rPr>
          <w:rFonts w:hint="eastAsia" w:eastAsia="宋体" w:cs="仿宋"/>
          <w:lang w:eastAsia="zh-CN"/>
        </w:rPr>
      </w:pPr>
      <w:r>
        <w:rPr>
          <w:rFonts w:cs="仿宋"/>
        </w:rPr>
        <w:t>联系方式：</w:t>
      </w:r>
      <w:r>
        <w:rPr>
          <w:rFonts w:hint="eastAsia" w:cs="仿宋"/>
          <w:lang w:eastAsia="zh-CN"/>
        </w:rPr>
        <w:t>胡英男</w:t>
      </w:r>
      <w:r>
        <w:rPr>
          <w:rFonts w:cs="仿宋"/>
        </w:rPr>
        <w:t xml:space="preserve"> </w:t>
      </w:r>
      <w:r>
        <w:rPr>
          <w:rFonts w:hint="eastAsia" w:cs="仿宋"/>
          <w:lang w:eastAsia="zh-CN"/>
        </w:rPr>
        <w:t>0432-63288777</w:t>
      </w:r>
    </w:p>
    <w:p w14:paraId="2E7BFB7B">
      <w:pPr>
        <w:rPr>
          <w:rFonts w:cs="仿宋"/>
        </w:rPr>
      </w:pPr>
      <w:bookmarkStart w:id="43" w:name="_Toc28359021"/>
      <w:bookmarkStart w:id="44" w:name="_Toc35393639"/>
      <w:bookmarkStart w:id="45" w:name="_Toc28359098"/>
      <w:bookmarkStart w:id="46" w:name="_Toc35393808"/>
      <w:r>
        <w:rPr>
          <w:rFonts w:cs="仿宋"/>
        </w:rPr>
        <w:t>3.项目联系方式</w:t>
      </w:r>
      <w:bookmarkEnd w:id="43"/>
      <w:bookmarkEnd w:id="44"/>
      <w:bookmarkEnd w:id="45"/>
      <w:bookmarkEnd w:id="46"/>
    </w:p>
    <w:p w14:paraId="0B31A9BE">
      <w:pPr>
        <w:rPr>
          <w:rFonts w:hint="eastAsia" w:eastAsia="宋体" w:cs="仿宋"/>
          <w:lang w:eastAsia="zh-CN"/>
        </w:rPr>
      </w:pPr>
      <w:r>
        <w:rPr>
          <w:rFonts w:cs="仿宋"/>
        </w:rPr>
        <w:t>项目联系人：</w:t>
      </w:r>
      <w:r>
        <w:rPr>
          <w:rFonts w:hint="eastAsia" w:cs="仿宋"/>
          <w:lang w:eastAsia="zh-CN"/>
        </w:rPr>
        <w:t>胡英男</w:t>
      </w:r>
    </w:p>
    <w:p w14:paraId="0BB00E7E">
      <w:pPr>
        <w:rPr>
          <w:rFonts w:hint="eastAsia" w:eastAsia="宋体" w:cs="仿宋"/>
          <w:lang w:eastAsia="zh-CN"/>
        </w:rPr>
      </w:pPr>
      <w:r>
        <w:rPr>
          <w:rFonts w:cs="仿宋"/>
        </w:rPr>
        <w:t>电    话：</w:t>
      </w:r>
      <w:bookmarkEnd w:id="38"/>
      <w:r>
        <w:rPr>
          <w:rFonts w:hint="eastAsia" w:cs="仿宋"/>
          <w:lang w:eastAsia="zh-CN"/>
        </w:rPr>
        <w:t>0432-63288777</w:t>
      </w:r>
    </w:p>
    <w:p w14:paraId="5B03DB4B">
      <w:pPr>
        <w:pStyle w:val="47"/>
      </w:pPr>
      <w:r>
        <w:rPr>
          <w:rFonts w:hint="eastAsia"/>
        </w:rPr>
        <w:t>4</w:t>
      </w:r>
      <w:r>
        <w:t>.</w:t>
      </w:r>
      <w:r>
        <w:rPr>
          <w:rFonts w:hint="eastAsia"/>
        </w:rPr>
        <w:t>监督部门：永吉县政府采购管理办公室</w:t>
      </w:r>
    </w:p>
    <w:p w14:paraId="678C41D9">
      <w:pPr>
        <w:wordWrap w:val="0"/>
        <w:jc w:val="right"/>
      </w:pPr>
      <w:r>
        <w:rPr>
          <w:rFonts w:cs="仿宋"/>
        </w:rPr>
        <w:t>202</w:t>
      </w:r>
      <w:r>
        <w:rPr>
          <w:rFonts w:hint="eastAsia" w:cs="仿宋"/>
          <w:lang w:val="en-US" w:eastAsia="zh-CN"/>
        </w:rPr>
        <w:t>4</w:t>
      </w:r>
      <w:r>
        <w:rPr>
          <w:rFonts w:cs="仿宋"/>
        </w:rPr>
        <w:t>年</w:t>
      </w:r>
      <w:r>
        <w:rPr>
          <w:rFonts w:hint="eastAsia" w:cs="仿宋"/>
          <w:lang w:val="en-US" w:eastAsia="zh-CN"/>
        </w:rPr>
        <w:t>10</w:t>
      </w:r>
      <w:r>
        <w:rPr>
          <w:rFonts w:cs="仿宋"/>
        </w:rPr>
        <w:t>月</w:t>
      </w:r>
      <w:r>
        <w:rPr>
          <w:rFonts w:hint="eastAsia" w:cs="仿宋"/>
          <w:lang w:val="en-US" w:eastAsia="zh-CN"/>
        </w:rPr>
        <w:t>09</w:t>
      </w:r>
      <w:r>
        <w:rPr>
          <w:rFonts w:cs="仿宋"/>
        </w:rPr>
        <w:t>日</w:t>
      </w:r>
      <w:bookmarkEnd w:id="10"/>
    </w:p>
    <w:p w14:paraId="6C84DE81">
      <w:pPr>
        <w:ind w:right="480"/>
      </w:pPr>
    </w:p>
    <w:bookmarkEnd w:id="9"/>
    <w:p w14:paraId="258DCA22">
      <w:pPr>
        <w:widowControl/>
        <w:spacing w:line="240" w:lineRule="auto"/>
        <w:jc w:val="left"/>
      </w:pPr>
      <w:r>
        <w:br w:type="page"/>
      </w:r>
    </w:p>
    <w:p w14:paraId="7CEC37FC"/>
    <w:p w14:paraId="727073C2"/>
    <w:p w14:paraId="73F407E6">
      <w:bookmarkStart w:id="47" w:name="_Toc71552369"/>
      <w:bookmarkStart w:id="48" w:name="_Toc43721416"/>
      <w:bookmarkStart w:id="49" w:name="_Toc71552335"/>
    </w:p>
    <w:p w14:paraId="4CD71D2F"/>
    <w:p w14:paraId="392806A6"/>
    <w:p w14:paraId="2A2B9AFE"/>
    <w:p w14:paraId="605DC023"/>
    <w:p w14:paraId="2D0174D4"/>
    <w:p w14:paraId="3F628A43"/>
    <w:p w14:paraId="103C3D82"/>
    <w:p w14:paraId="7D8189C8"/>
    <w:p w14:paraId="2AA9C046"/>
    <w:p w14:paraId="641FD561">
      <w:pPr>
        <w:pStyle w:val="3"/>
      </w:pPr>
      <w:bookmarkStart w:id="50" w:name="_Toc21904"/>
      <w:r>
        <w:rPr>
          <w:rFonts w:hint="eastAsia"/>
        </w:rPr>
        <w:t>第二章 响应单位须知</w:t>
      </w:r>
      <w:bookmarkEnd w:id="47"/>
      <w:bookmarkEnd w:id="48"/>
      <w:bookmarkEnd w:id="49"/>
      <w:bookmarkEnd w:id="50"/>
    </w:p>
    <w:p w14:paraId="54DBE57E"/>
    <w:p w14:paraId="6155092C"/>
    <w:p w14:paraId="57843BA5">
      <w:pPr>
        <w:jc w:val="center"/>
        <w:rPr>
          <w:b/>
          <w:bCs/>
        </w:rPr>
      </w:pPr>
      <w:r>
        <w:br w:type="page"/>
      </w:r>
      <w:r>
        <w:rPr>
          <w:rFonts w:hint="eastAsia"/>
          <w:b/>
          <w:bCs/>
        </w:rPr>
        <w:t>响应单位须知前附表</w:t>
      </w:r>
    </w:p>
    <w:tbl>
      <w:tblPr>
        <w:tblStyle w:val="38"/>
        <w:tblW w:w="9072" w:type="dxa"/>
        <w:jc w:val="center"/>
        <w:tblLayout w:type="fixed"/>
        <w:tblCellMar>
          <w:top w:w="0" w:type="dxa"/>
          <w:left w:w="108" w:type="dxa"/>
          <w:bottom w:w="0" w:type="dxa"/>
          <w:right w:w="108" w:type="dxa"/>
        </w:tblCellMar>
      </w:tblPr>
      <w:tblGrid>
        <w:gridCol w:w="988"/>
        <w:gridCol w:w="1984"/>
        <w:gridCol w:w="6100"/>
      </w:tblGrid>
      <w:tr w14:paraId="4E665F89">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64CCF8D">
            <w:pPr>
              <w:spacing w:line="240" w:lineRule="auto"/>
              <w:jc w:val="center"/>
              <w:rPr>
                <w:b/>
                <w:bCs/>
                <w:sz w:val="21"/>
                <w:szCs w:val="21"/>
              </w:rPr>
            </w:pPr>
            <w:r>
              <w:rPr>
                <w:b/>
                <w:bCs/>
                <w:sz w:val="21"/>
                <w:szCs w:val="21"/>
              </w:rPr>
              <w:t>条款号</w:t>
            </w:r>
          </w:p>
        </w:tc>
        <w:tc>
          <w:tcPr>
            <w:tcW w:w="1984" w:type="dxa"/>
            <w:tcBorders>
              <w:top w:val="single" w:color="auto" w:sz="4" w:space="0"/>
              <w:left w:val="single" w:color="auto" w:sz="4" w:space="0"/>
              <w:bottom w:val="single" w:color="auto" w:sz="4" w:space="0"/>
              <w:right w:val="single" w:color="auto" w:sz="4" w:space="0"/>
            </w:tcBorders>
            <w:vAlign w:val="center"/>
          </w:tcPr>
          <w:p w14:paraId="39E57F96">
            <w:pPr>
              <w:spacing w:line="240" w:lineRule="auto"/>
              <w:jc w:val="center"/>
              <w:rPr>
                <w:b/>
                <w:bCs/>
                <w:sz w:val="21"/>
                <w:szCs w:val="21"/>
              </w:rPr>
            </w:pPr>
            <w:r>
              <w:rPr>
                <w:b/>
                <w:bCs/>
                <w:sz w:val="21"/>
                <w:szCs w:val="21"/>
              </w:rPr>
              <w:t>条</w:t>
            </w:r>
            <w:r>
              <w:rPr>
                <w:rFonts w:hint="eastAsia"/>
                <w:b/>
                <w:bCs/>
                <w:sz w:val="21"/>
                <w:szCs w:val="21"/>
              </w:rPr>
              <w:t xml:space="preserve"> </w:t>
            </w:r>
            <w:r>
              <w:rPr>
                <w:b/>
                <w:bCs/>
                <w:sz w:val="21"/>
                <w:szCs w:val="21"/>
              </w:rPr>
              <w:t>款 名 称</w:t>
            </w:r>
          </w:p>
        </w:tc>
        <w:tc>
          <w:tcPr>
            <w:tcW w:w="6100" w:type="dxa"/>
            <w:tcBorders>
              <w:top w:val="single" w:color="auto" w:sz="4" w:space="0"/>
              <w:left w:val="single" w:color="auto" w:sz="4" w:space="0"/>
              <w:bottom w:val="single" w:color="auto" w:sz="4" w:space="0"/>
              <w:right w:val="single" w:color="auto" w:sz="4" w:space="0"/>
            </w:tcBorders>
            <w:vAlign w:val="center"/>
          </w:tcPr>
          <w:p w14:paraId="42EC5F61">
            <w:pPr>
              <w:spacing w:line="240" w:lineRule="auto"/>
              <w:jc w:val="center"/>
              <w:rPr>
                <w:b/>
                <w:bCs/>
                <w:sz w:val="21"/>
                <w:szCs w:val="21"/>
              </w:rPr>
            </w:pPr>
            <w:r>
              <w:rPr>
                <w:b/>
                <w:bCs/>
                <w:sz w:val="21"/>
                <w:szCs w:val="21"/>
              </w:rPr>
              <w:t>编  列  内  容</w:t>
            </w:r>
          </w:p>
        </w:tc>
      </w:tr>
      <w:tr w14:paraId="64C137CD">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583EDFE">
            <w:pPr>
              <w:spacing w:line="240" w:lineRule="auto"/>
              <w:rPr>
                <w:sz w:val="21"/>
                <w:szCs w:val="21"/>
              </w:rPr>
            </w:pPr>
            <w:r>
              <w:rPr>
                <w:sz w:val="21"/>
                <w:szCs w:val="21"/>
              </w:rPr>
              <w:t>1.1.2</w:t>
            </w:r>
          </w:p>
        </w:tc>
        <w:tc>
          <w:tcPr>
            <w:tcW w:w="1984" w:type="dxa"/>
            <w:tcBorders>
              <w:top w:val="single" w:color="auto" w:sz="4" w:space="0"/>
              <w:left w:val="single" w:color="auto" w:sz="4" w:space="0"/>
              <w:bottom w:val="single" w:color="auto" w:sz="4" w:space="0"/>
              <w:right w:val="single" w:color="auto" w:sz="4" w:space="0"/>
            </w:tcBorders>
            <w:vAlign w:val="center"/>
          </w:tcPr>
          <w:p w14:paraId="27B820B9">
            <w:pPr>
              <w:spacing w:line="240" w:lineRule="auto"/>
              <w:rPr>
                <w:sz w:val="21"/>
                <w:szCs w:val="21"/>
              </w:rPr>
            </w:pPr>
            <w:r>
              <w:rPr>
                <w:sz w:val="21"/>
                <w:szCs w:val="21"/>
              </w:rPr>
              <w:t>采购单位</w:t>
            </w:r>
          </w:p>
        </w:tc>
        <w:tc>
          <w:tcPr>
            <w:tcW w:w="6100" w:type="dxa"/>
            <w:tcBorders>
              <w:top w:val="single" w:color="auto" w:sz="4" w:space="0"/>
              <w:left w:val="single" w:color="auto" w:sz="4" w:space="0"/>
              <w:bottom w:val="single" w:color="auto" w:sz="4" w:space="0"/>
              <w:right w:val="single" w:color="auto" w:sz="4" w:space="0"/>
            </w:tcBorders>
            <w:vAlign w:val="center"/>
          </w:tcPr>
          <w:p w14:paraId="1967FB5C">
            <w:pPr>
              <w:spacing w:line="240" w:lineRule="auto"/>
              <w:rPr>
                <w:rFonts w:cs="仿宋"/>
                <w:sz w:val="21"/>
                <w:szCs w:val="21"/>
              </w:rPr>
            </w:pPr>
            <w:r>
              <w:rPr>
                <w:rFonts w:cs="仿宋"/>
                <w:sz w:val="21"/>
                <w:szCs w:val="21"/>
              </w:rPr>
              <w:t>名    称：</w:t>
            </w:r>
            <w:r>
              <w:rPr>
                <w:rFonts w:hint="eastAsia" w:cs="仿宋"/>
                <w:sz w:val="21"/>
                <w:szCs w:val="21"/>
              </w:rPr>
              <w:t>永吉县北大湖镇人民政府</w:t>
            </w:r>
          </w:p>
          <w:p w14:paraId="60C5B596">
            <w:pPr>
              <w:spacing w:line="240" w:lineRule="auto"/>
              <w:rPr>
                <w:rFonts w:cs="仿宋"/>
                <w:sz w:val="21"/>
                <w:szCs w:val="21"/>
              </w:rPr>
            </w:pPr>
            <w:r>
              <w:rPr>
                <w:rFonts w:cs="仿宋"/>
                <w:sz w:val="21"/>
                <w:szCs w:val="21"/>
              </w:rPr>
              <w:t>地    址：</w:t>
            </w:r>
            <w:r>
              <w:rPr>
                <w:rFonts w:hint="eastAsia" w:cs="仿宋"/>
                <w:sz w:val="21"/>
                <w:szCs w:val="21"/>
              </w:rPr>
              <w:t>永吉县北大湖镇五里河大街128号</w:t>
            </w:r>
          </w:p>
          <w:p w14:paraId="02A9A160">
            <w:pPr>
              <w:spacing w:line="240" w:lineRule="auto"/>
              <w:rPr>
                <w:rFonts w:hint="eastAsia" w:eastAsia="宋体" w:cs="仿宋"/>
                <w:sz w:val="21"/>
                <w:szCs w:val="21"/>
                <w:lang w:eastAsia="zh-CN"/>
              </w:rPr>
            </w:pPr>
            <w:r>
              <w:rPr>
                <w:rFonts w:cs="仿宋"/>
                <w:sz w:val="21"/>
                <w:szCs w:val="21"/>
              </w:rPr>
              <w:t>联系方式：</w:t>
            </w:r>
            <w:r>
              <w:rPr>
                <w:rFonts w:hint="eastAsia" w:cs="仿宋"/>
                <w:sz w:val="21"/>
                <w:szCs w:val="21"/>
                <w:lang w:val="en-US" w:eastAsia="zh-CN"/>
              </w:rPr>
              <w:t>许可</w:t>
            </w:r>
            <w:r>
              <w:rPr>
                <w:rFonts w:hint="eastAsia" w:cs="仿宋"/>
                <w:sz w:val="21"/>
                <w:szCs w:val="21"/>
                <w:lang w:eastAsia="zh-CN"/>
              </w:rPr>
              <w:t xml:space="preserve"> 0432-64288411</w:t>
            </w:r>
          </w:p>
        </w:tc>
      </w:tr>
      <w:tr w14:paraId="692C63C4">
        <w:tblPrEx>
          <w:tblCellMar>
            <w:top w:w="0" w:type="dxa"/>
            <w:left w:w="108" w:type="dxa"/>
            <w:bottom w:w="0" w:type="dxa"/>
            <w:right w:w="108" w:type="dxa"/>
          </w:tblCellMar>
        </w:tblPrEx>
        <w:trPr>
          <w:trHeight w:val="94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99D77F7">
            <w:pPr>
              <w:spacing w:line="240" w:lineRule="auto"/>
              <w:rPr>
                <w:sz w:val="21"/>
                <w:szCs w:val="21"/>
              </w:rPr>
            </w:pPr>
            <w:r>
              <w:rPr>
                <w:sz w:val="21"/>
                <w:szCs w:val="21"/>
              </w:rPr>
              <w:t>1.1.3</w:t>
            </w:r>
          </w:p>
        </w:tc>
        <w:tc>
          <w:tcPr>
            <w:tcW w:w="1984" w:type="dxa"/>
            <w:tcBorders>
              <w:top w:val="single" w:color="auto" w:sz="4" w:space="0"/>
              <w:left w:val="single" w:color="auto" w:sz="4" w:space="0"/>
              <w:bottom w:val="single" w:color="auto" w:sz="4" w:space="0"/>
              <w:right w:val="single" w:color="auto" w:sz="4" w:space="0"/>
            </w:tcBorders>
            <w:vAlign w:val="center"/>
          </w:tcPr>
          <w:p w14:paraId="2B9F79F8">
            <w:pPr>
              <w:spacing w:line="240" w:lineRule="auto"/>
              <w:rPr>
                <w:sz w:val="21"/>
                <w:szCs w:val="21"/>
              </w:rPr>
            </w:pPr>
            <w:r>
              <w:rPr>
                <w:sz w:val="21"/>
                <w:szCs w:val="21"/>
              </w:rPr>
              <w:t>招标代理机构</w:t>
            </w:r>
          </w:p>
        </w:tc>
        <w:tc>
          <w:tcPr>
            <w:tcW w:w="6100" w:type="dxa"/>
            <w:tcBorders>
              <w:top w:val="single" w:color="auto" w:sz="4" w:space="0"/>
              <w:left w:val="single" w:color="auto" w:sz="4" w:space="0"/>
              <w:bottom w:val="single" w:color="auto" w:sz="4" w:space="0"/>
              <w:right w:val="single" w:color="auto" w:sz="4" w:space="0"/>
            </w:tcBorders>
            <w:vAlign w:val="center"/>
          </w:tcPr>
          <w:p w14:paraId="75883EEB">
            <w:pPr>
              <w:spacing w:line="240" w:lineRule="auto"/>
              <w:rPr>
                <w:rFonts w:hint="eastAsia" w:eastAsia="宋体"/>
                <w:sz w:val="21"/>
                <w:szCs w:val="21"/>
                <w:lang w:eastAsia="zh-CN"/>
              </w:rPr>
            </w:pPr>
            <w:r>
              <w:rPr>
                <w:rFonts w:hint="eastAsia"/>
                <w:sz w:val="21"/>
                <w:szCs w:val="21"/>
              </w:rPr>
              <w:t>名    称：</w:t>
            </w:r>
            <w:r>
              <w:rPr>
                <w:rFonts w:hint="eastAsia"/>
                <w:sz w:val="21"/>
                <w:szCs w:val="21"/>
                <w:lang w:eastAsia="zh-CN"/>
              </w:rPr>
              <w:t>乾景项目管理（吉林）有限公司</w:t>
            </w:r>
          </w:p>
          <w:p w14:paraId="0DE39752">
            <w:pPr>
              <w:spacing w:line="240" w:lineRule="auto"/>
              <w:rPr>
                <w:rFonts w:hint="eastAsia" w:eastAsia="宋体"/>
                <w:sz w:val="21"/>
                <w:szCs w:val="21"/>
                <w:lang w:eastAsia="zh-CN"/>
              </w:rPr>
            </w:pPr>
            <w:r>
              <w:rPr>
                <w:rFonts w:hint="eastAsia"/>
                <w:sz w:val="21"/>
                <w:szCs w:val="21"/>
              </w:rPr>
              <w:t xml:space="preserve">地 </w:t>
            </w:r>
            <w:r>
              <w:rPr>
                <w:sz w:val="21"/>
                <w:szCs w:val="21"/>
              </w:rPr>
              <w:t xml:space="preserve">   </w:t>
            </w:r>
            <w:r>
              <w:rPr>
                <w:rFonts w:hint="eastAsia"/>
                <w:sz w:val="21"/>
                <w:szCs w:val="21"/>
              </w:rPr>
              <w:t>址：</w:t>
            </w:r>
            <w:r>
              <w:rPr>
                <w:rFonts w:hint="eastAsia"/>
                <w:sz w:val="21"/>
                <w:szCs w:val="21"/>
                <w:lang w:eastAsia="zh-CN"/>
              </w:rPr>
              <w:t>吉林市丰满区宜山路88号创业服务大厦203B-189室</w:t>
            </w:r>
          </w:p>
          <w:p w14:paraId="03A9A601">
            <w:pPr>
              <w:spacing w:line="240" w:lineRule="auto"/>
              <w:rPr>
                <w:rFonts w:hint="eastAsia" w:eastAsia="宋体"/>
                <w:sz w:val="21"/>
                <w:szCs w:val="21"/>
                <w:lang w:eastAsia="zh-CN"/>
              </w:rPr>
            </w:pPr>
            <w:r>
              <w:rPr>
                <w:rFonts w:hint="eastAsia"/>
                <w:sz w:val="21"/>
                <w:szCs w:val="21"/>
              </w:rPr>
              <w:t>联系方式：</w:t>
            </w:r>
            <w:r>
              <w:rPr>
                <w:rFonts w:hint="eastAsia"/>
                <w:sz w:val="21"/>
                <w:szCs w:val="21"/>
                <w:lang w:eastAsia="zh-CN"/>
              </w:rPr>
              <w:t>胡英男</w:t>
            </w:r>
            <w:r>
              <w:rPr>
                <w:rFonts w:hint="eastAsia"/>
                <w:sz w:val="21"/>
                <w:szCs w:val="21"/>
              </w:rPr>
              <w:t xml:space="preserve"> </w:t>
            </w:r>
            <w:r>
              <w:rPr>
                <w:rFonts w:hint="eastAsia"/>
                <w:sz w:val="21"/>
                <w:szCs w:val="21"/>
                <w:lang w:eastAsia="zh-CN"/>
              </w:rPr>
              <w:t>0432-63288777</w:t>
            </w:r>
          </w:p>
        </w:tc>
      </w:tr>
      <w:tr w14:paraId="613B52B7">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B73CF40">
            <w:pPr>
              <w:spacing w:line="240" w:lineRule="auto"/>
              <w:rPr>
                <w:sz w:val="21"/>
                <w:szCs w:val="21"/>
              </w:rPr>
            </w:pPr>
            <w:r>
              <w:rPr>
                <w:sz w:val="21"/>
                <w:szCs w:val="21"/>
              </w:rPr>
              <w:t>1.1.4</w:t>
            </w:r>
          </w:p>
        </w:tc>
        <w:tc>
          <w:tcPr>
            <w:tcW w:w="1984" w:type="dxa"/>
            <w:tcBorders>
              <w:top w:val="single" w:color="auto" w:sz="4" w:space="0"/>
              <w:left w:val="single" w:color="auto" w:sz="4" w:space="0"/>
              <w:bottom w:val="single" w:color="auto" w:sz="4" w:space="0"/>
              <w:right w:val="single" w:color="auto" w:sz="4" w:space="0"/>
            </w:tcBorders>
            <w:vAlign w:val="center"/>
          </w:tcPr>
          <w:p w14:paraId="3BF56263">
            <w:pPr>
              <w:spacing w:line="240" w:lineRule="auto"/>
              <w:rPr>
                <w:sz w:val="21"/>
                <w:szCs w:val="21"/>
              </w:rPr>
            </w:pPr>
            <w:r>
              <w:rPr>
                <w:sz w:val="21"/>
                <w:szCs w:val="21"/>
              </w:rPr>
              <w:t>项目名称</w:t>
            </w:r>
          </w:p>
        </w:tc>
        <w:tc>
          <w:tcPr>
            <w:tcW w:w="6100" w:type="dxa"/>
            <w:tcBorders>
              <w:top w:val="single" w:color="auto" w:sz="4" w:space="0"/>
              <w:left w:val="single" w:color="auto" w:sz="4" w:space="0"/>
              <w:bottom w:val="single" w:color="auto" w:sz="4" w:space="0"/>
              <w:right w:val="single" w:color="auto" w:sz="4" w:space="0"/>
            </w:tcBorders>
            <w:vAlign w:val="center"/>
          </w:tcPr>
          <w:p w14:paraId="6C091C0B">
            <w:pPr>
              <w:spacing w:line="240" w:lineRule="auto"/>
              <w:rPr>
                <w:rFonts w:hint="eastAsia" w:eastAsia="宋体"/>
                <w:sz w:val="21"/>
                <w:szCs w:val="21"/>
                <w:lang w:eastAsia="zh-CN"/>
              </w:rPr>
            </w:pPr>
            <w:r>
              <w:rPr>
                <w:rFonts w:hint="eastAsia"/>
                <w:sz w:val="21"/>
                <w:szCs w:val="21"/>
                <w:lang w:eastAsia="zh-CN"/>
              </w:rPr>
              <w:t>永吉县2024年农村既有建筑节能改造</w:t>
            </w:r>
          </w:p>
        </w:tc>
      </w:tr>
      <w:tr w14:paraId="47346A8A">
        <w:tblPrEx>
          <w:tblCellMar>
            <w:top w:w="0" w:type="dxa"/>
            <w:left w:w="108" w:type="dxa"/>
            <w:bottom w:w="0" w:type="dxa"/>
            <w:right w:w="108" w:type="dxa"/>
          </w:tblCellMar>
        </w:tblPrEx>
        <w:trPr>
          <w:trHeight w:val="36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3E59152">
            <w:pPr>
              <w:spacing w:line="240" w:lineRule="auto"/>
              <w:rPr>
                <w:sz w:val="21"/>
                <w:szCs w:val="21"/>
              </w:rPr>
            </w:pPr>
            <w:r>
              <w:rPr>
                <w:sz w:val="21"/>
                <w:szCs w:val="21"/>
              </w:rPr>
              <w:t>1.1.5</w:t>
            </w:r>
          </w:p>
        </w:tc>
        <w:tc>
          <w:tcPr>
            <w:tcW w:w="1984" w:type="dxa"/>
            <w:tcBorders>
              <w:top w:val="single" w:color="auto" w:sz="4" w:space="0"/>
              <w:left w:val="single" w:color="auto" w:sz="4" w:space="0"/>
              <w:bottom w:val="single" w:color="auto" w:sz="4" w:space="0"/>
              <w:right w:val="single" w:color="auto" w:sz="4" w:space="0"/>
            </w:tcBorders>
            <w:vAlign w:val="center"/>
          </w:tcPr>
          <w:p w14:paraId="6B8A399C">
            <w:pPr>
              <w:spacing w:line="240" w:lineRule="auto"/>
              <w:rPr>
                <w:sz w:val="21"/>
                <w:szCs w:val="21"/>
              </w:rPr>
            </w:pPr>
            <w:r>
              <w:rPr>
                <w:sz w:val="21"/>
                <w:szCs w:val="21"/>
              </w:rPr>
              <w:t>建设地点</w:t>
            </w:r>
          </w:p>
        </w:tc>
        <w:tc>
          <w:tcPr>
            <w:tcW w:w="6100" w:type="dxa"/>
            <w:tcBorders>
              <w:top w:val="single" w:color="auto" w:sz="4" w:space="0"/>
              <w:left w:val="single" w:color="auto" w:sz="4" w:space="0"/>
              <w:bottom w:val="single" w:color="auto" w:sz="4" w:space="0"/>
              <w:right w:val="single" w:color="auto" w:sz="4" w:space="0"/>
            </w:tcBorders>
            <w:vAlign w:val="center"/>
          </w:tcPr>
          <w:p w14:paraId="103ACEAA">
            <w:pPr>
              <w:spacing w:line="240" w:lineRule="auto"/>
              <w:rPr>
                <w:rFonts w:hint="default" w:eastAsia="宋体"/>
                <w:sz w:val="21"/>
                <w:szCs w:val="21"/>
                <w:lang w:val="en-US" w:eastAsia="zh-CN"/>
              </w:rPr>
            </w:pPr>
            <w:r>
              <w:rPr>
                <w:rFonts w:hint="eastAsia"/>
                <w:sz w:val="21"/>
                <w:szCs w:val="21"/>
                <w:lang w:val="en-US" w:eastAsia="zh-CN"/>
              </w:rPr>
              <w:t>永吉县北大湖镇</w:t>
            </w:r>
          </w:p>
        </w:tc>
      </w:tr>
      <w:tr w14:paraId="615B1FF2">
        <w:tblPrEx>
          <w:tblCellMar>
            <w:top w:w="0" w:type="dxa"/>
            <w:left w:w="108" w:type="dxa"/>
            <w:bottom w:w="0" w:type="dxa"/>
            <w:right w:w="108" w:type="dxa"/>
          </w:tblCellMar>
        </w:tblPrEx>
        <w:trPr>
          <w:trHeight w:val="35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6135322">
            <w:pPr>
              <w:spacing w:line="240" w:lineRule="auto"/>
              <w:rPr>
                <w:sz w:val="21"/>
                <w:szCs w:val="21"/>
              </w:rPr>
            </w:pPr>
            <w:r>
              <w:rPr>
                <w:sz w:val="21"/>
                <w:szCs w:val="21"/>
              </w:rPr>
              <w:t>1.2.1</w:t>
            </w:r>
          </w:p>
        </w:tc>
        <w:tc>
          <w:tcPr>
            <w:tcW w:w="1984" w:type="dxa"/>
            <w:tcBorders>
              <w:top w:val="single" w:color="auto" w:sz="4" w:space="0"/>
              <w:left w:val="single" w:color="auto" w:sz="4" w:space="0"/>
              <w:bottom w:val="single" w:color="auto" w:sz="4" w:space="0"/>
              <w:right w:val="single" w:color="auto" w:sz="4" w:space="0"/>
            </w:tcBorders>
            <w:vAlign w:val="center"/>
          </w:tcPr>
          <w:p w14:paraId="487BECA3">
            <w:pPr>
              <w:spacing w:line="240" w:lineRule="auto"/>
              <w:rPr>
                <w:sz w:val="21"/>
                <w:szCs w:val="21"/>
              </w:rPr>
            </w:pPr>
            <w:r>
              <w:rPr>
                <w:sz w:val="21"/>
                <w:szCs w:val="21"/>
              </w:rPr>
              <w:t>资金来源</w:t>
            </w:r>
          </w:p>
        </w:tc>
        <w:tc>
          <w:tcPr>
            <w:tcW w:w="6100" w:type="dxa"/>
            <w:tcBorders>
              <w:top w:val="single" w:color="auto" w:sz="4" w:space="0"/>
              <w:left w:val="single" w:color="auto" w:sz="4" w:space="0"/>
              <w:bottom w:val="single" w:color="auto" w:sz="4" w:space="0"/>
              <w:right w:val="single" w:color="auto" w:sz="4" w:space="0"/>
            </w:tcBorders>
            <w:vAlign w:val="center"/>
          </w:tcPr>
          <w:p w14:paraId="01293B32">
            <w:pPr>
              <w:spacing w:line="240" w:lineRule="auto"/>
              <w:rPr>
                <w:sz w:val="21"/>
                <w:szCs w:val="21"/>
              </w:rPr>
            </w:pPr>
            <w:r>
              <w:rPr>
                <w:rFonts w:hint="eastAsia"/>
                <w:sz w:val="21"/>
                <w:szCs w:val="21"/>
              </w:rPr>
              <w:t>财政资金</w:t>
            </w:r>
          </w:p>
        </w:tc>
      </w:tr>
      <w:tr w14:paraId="1B7FC836">
        <w:tblPrEx>
          <w:tblCellMar>
            <w:top w:w="0" w:type="dxa"/>
            <w:left w:w="108" w:type="dxa"/>
            <w:bottom w:w="0" w:type="dxa"/>
            <w:right w:w="108" w:type="dxa"/>
          </w:tblCellMar>
        </w:tblPrEx>
        <w:trPr>
          <w:trHeight w:val="35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77F016B">
            <w:pPr>
              <w:spacing w:line="240" w:lineRule="auto"/>
              <w:rPr>
                <w:sz w:val="21"/>
                <w:szCs w:val="21"/>
              </w:rPr>
            </w:pPr>
            <w:r>
              <w:rPr>
                <w:sz w:val="21"/>
                <w:szCs w:val="21"/>
              </w:rPr>
              <w:t>1.2.2</w:t>
            </w:r>
          </w:p>
        </w:tc>
        <w:tc>
          <w:tcPr>
            <w:tcW w:w="1984" w:type="dxa"/>
            <w:tcBorders>
              <w:top w:val="single" w:color="auto" w:sz="4" w:space="0"/>
              <w:left w:val="single" w:color="auto" w:sz="4" w:space="0"/>
              <w:bottom w:val="single" w:color="auto" w:sz="4" w:space="0"/>
              <w:right w:val="single" w:color="auto" w:sz="4" w:space="0"/>
            </w:tcBorders>
            <w:vAlign w:val="center"/>
          </w:tcPr>
          <w:p w14:paraId="3DEEAAAA">
            <w:pPr>
              <w:spacing w:line="240" w:lineRule="auto"/>
              <w:rPr>
                <w:sz w:val="21"/>
                <w:szCs w:val="21"/>
              </w:rPr>
            </w:pPr>
            <w:r>
              <w:rPr>
                <w:rFonts w:hint="eastAsia"/>
                <w:sz w:val="21"/>
                <w:szCs w:val="21"/>
              </w:rPr>
              <w:t>资金</w:t>
            </w:r>
            <w:r>
              <w:rPr>
                <w:sz w:val="21"/>
                <w:szCs w:val="21"/>
              </w:rPr>
              <w:t>落实情况</w:t>
            </w:r>
          </w:p>
        </w:tc>
        <w:tc>
          <w:tcPr>
            <w:tcW w:w="6100" w:type="dxa"/>
            <w:tcBorders>
              <w:top w:val="single" w:color="auto" w:sz="4" w:space="0"/>
              <w:left w:val="single" w:color="auto" w:sz="4" w:space="0"/>
              <w:bottom w:val="single" w:color="auto" w:sz="4" w:space="0"/>
              <w:right w:val="single" w:color="auto" w:sz="4" w:space="0"/>
            </w:tcBorders>
            <w:vAlign w:val="center"/>
          </w:tcPr>
          <w:p w14:paraId="5B21FE89">
            <w:pPr>
              <w:spacing w:line="240" w:lineRule="auto"/>
              <w:rPr>
                <w:sz w:val="21"/>
                <w:szCs w:val="21"/>
              </w:rPr>
            </w:pPr>
            <w:r>
              <w:rPr>
                <w:rFonts w:hint="eastAsia"/>
                <w:sz w:val="21"/>
                <w:szCs w:val="21"/>
              </w:rPr>
              <w:t>已落实</w:t>
            </w:r>
          </w:p>
        </w:tc>
      </w:tr>
      <w:tr w14:paraId="28706A64">
        <w:tblPrEx>
          <w:tblCellMar>
            <w:top w:w="0" w:type="dxa"/>
            <w:left w:w="108" w:type="dxa"/>
            <w:bottom w:w="0" w:type="dxa"/>
            <w:right w:w="108" w:type="dxa"/>
          </w:tblCellMar>
        </w:tblPrEx>
        <w:trPr>
          <w:trHeight w:val="9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4E246A4">
            <w:pPr>
              <w:spacing w:line="240" w:lineRule="auto"/>
              <w:rPr>
                <w:sz w:val="21"/>
                <w:szCs w:val="21"/>
              </w:rPr>
            </w:pPr>
            <w:r>
              <w:rPr>
                <w:sz w:val="21"/>
                <w:szCs w:val="21"/>
              </w:rPr>
              <w:t>1.</w:t>
            </w:r>
            <w:r>
              <w:rPr>
                <w:rFonts w:hint="eastAsia"/>
                <w:sz w:val="21"/>
                <w:szCs w:val="21"/>
              </w:rPr>
              <w:t>3</w:t>
            </w:r>
            <w:r>
              <w:rPr>
                <w:sz w:val="21"/>
                <w:szCs w:val="21"/>
              </w:rPr>
              <w:t>.1</w:t>
            </w:r>
          </w:p>
        </w:tc>
        <w:tc>
          <w:tcPr>
            <w:tcW w:w="1984" w:type="dxa"/>
            <w:tcBorders>
              <w:top w:val="single" w:color="auto" w:sz="4" w:space="0"/>
              <w:left w:val="single" w:color="auto" w:sz="4" w:space="0"/>
              <w:bottom w:val="single" w:color="auto" w:sz="4" w:space="0"/>
              <w:right w:val="single" w:color="auto" w:sz="4" w:space="0"/>
            </w:tcBorders>
            <w:vAlign w:val="center"/>
          </w:tcPr>
          <w:p w14:paraId="07A5BBAE">
            <w:pPr>
              <w:spacing w:line="240" w:lineRule="auto"/>
              <w:rPr>
                <w:rFonts w:hint="default" w:eastAsia="宋体"/>
                <w:sz w:val="21"/>
                <w:szCs w:val="21"/>
                <w:lang w:val="en-US" w:eastAsia="zh-CN"/>
              </w:rPr>
            </w:pPr>
            <w:r>
              <w:rPr>
                <w:rFonts w:hint="eastAsia"/>
                <w:sz w:val="21"/>
                <w:szCs w:val="21"/>
                <w:lang w:val="en-US" w:eastAsia="zh-CN"/>
              </w:rPr>
              <w:t>采购需求</w:t>
            </w:r>
          </w:p>
        </w:tc>
        <w:tc>
          <w:tcPr>
            <w:tcW w:w="6100" w:type="dxa"/>
            <w:tcBorders>
              <w:top w:val="single" w:color="auto" w:sz="4" w:space="0"/>
              <w:left w:val="single" w:color="auto" w:sz="4" w:space="0"/>
              <w:bottom w:val="single" w:color="auto" w:sz="4" w:space="0"/>
              <w:right w:val="single" w:color="auto" w:sz="4" w:space="0"/>
            </w:tcBorders>
            <w:vAlign w:val="center"/>
          </w:tcPr>
          <w:p w14:paraId="4378A0DD">
            <w:pPr>
              <w:spacing w:line="240" w:lineRule="auto"/>
              <w:rPr>
                <w:sz w:val="21"/>
                <w:szCs w:val="21"/>
              </w:rPr>
            </w:pPr>
            <w:r>
              <w:rPr>
                <w:rFonts w:hint="eastAsia"/>
                <w:sz w:val="21"/>
                <w:szCs w:val="21"/>
              </w:rPr>
              <w:t>对北大湖276户农户的房屋进行外墙保温</w:t>
            </w:r>
          </w:p>
        </w:tc>
      </w:tr>
      <w:tr w14:paraId="6A7F37AD">
        <w:tblPrEx>
          <w:tblCellMar>
            <w:top w:w="0" w:type="dxa"/>
            <w:left w:w="108" w:type="dxa"/>
            <w:bottom w:w="0" w:type="dxa"/>
            <w:right w:w="108" w:type="dxa"/>
          </w:tblCellMar>
        </w:tblPrEx>
        <w:trPr>
          <w:trHeight w:val="34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8B3EDDB">
            <w:pPr>
              <w:spacing w:line="240" w:lineRule="auto"/>
              <w:rPr>
                <w:sz w:val="21"/>
                <w:szCs w:val="21"/>
              </w:rPr>
            </w:pPr>
            <w:r>
              <w:rPr>
                <w:sz w:val="21"/>
                <w:szCs w:val="21"/>
              </w:rPr>
              <w:t>1.3.2</w:t>
            </w:r>
          </w:p>
        </w:tc>
        <w:tc>
          <w:tcPr>
            <w:tcW w:w="1984" w:type="dxa"/>
            <w:tcBorders>
              <w:top w:val="single" w:color="auto" w:sz="4" w:space="0"/>
              <w:left w:val="single" w:color="auto" w:sz="4" w:space="0"/>
              <w:bottom w:val="single" w:color="auto" w:sz="4" w:space="0"/>
              <w:right w:val="single" w:color="auto" w:sz="4" w:space="0"/>
            </w:tcBorders>
            <w:vAlign w:val="center"/>
          </w:tcPr>
          <w:p w14:paraId="5DA60BF8">
            <w:pPr>
              <w:spacing w:line="240" w:lineRule="auto"/>
              <w:rPr>
                <w:sz w:val="21"/>
                <w:szCs w:val="21"/>
                <w:highlight w:val="none"/>
              </w:rPr>
            </w:pPr>
            <w:r>
              <w:rPr>
                <w:sz w:val="21"/>
                <w:szCs w:val="21"/>
                <w:highlight w:val="none"/>
              </w:rPr>
              <w:t>计划工期</w:t>
            </w:r>
          </w:p>
        </w:tc>
        <w:tc>
          <w:tcPr>
            <w:tcW w:w="6100" w:type="dxa"/>
            <w:tcBorders>
              <w:top w:val="single" w:color="auto" w:sz="4" w:space="0"/>
              <w:left w:val="single" w:color="auto" w:sz="4" w:space="0"/>
              <w:bottom w:val="single" w:color="auto" w:sz="4" w:space="0"/>
              <w:right w:val="single" w:color="auto" w:sz="4" w:space="0"/>
            </w:tcBorders>
            <w:vAlign w:val="center"/>
          </w:tcPr>
          <w:p w14:paraId="7E7458B4">
            <w:pPr>
              <w:spacing w:line="240" w:lineRule="auto"/>
              <w:rPr>
                <w:rFonts w:hint="eastAsia" w:eastAsia="宋体"/>
                <w:sz w:val="21"/>
                <w:szCs w:val="21"/>
                <w:highlight w:val="none"/>
                <w:lang w:eastAsia="zh-CN"/>
              </w:rPr>
            </w:pPr>
            <w:r>
              <w:rPr>
                <w:rFonts w:hint="eastAsia"/>
                <w:sz w:val="21"/>
                <w:szCs w:val="21"/>
                <w:highlight w:val="none"/>
                <w:lang w:eastAsia="zh-CN"/>
              </w:rPr>
              <w:t>自合同签订之日起至2024年10月31日前完成</w:t>
            </w:r>
          </w:p>
        </w:tc>
      </w:tr>
      <w:tr w14:paraId="386B841D">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5CE1E1F">
            <w:pPr>
              <w:spacing w:line="240" w:lineRule="auto"/>
              <w:rPr>
                <w:sz w:val="21"/>
                <w:szCs w:val="21"/>
              </w:rPr>
            </w:pPr>
            <w:r>
              <w:rPr>
                <w:sz w:val="21"/>
                <w:szCs w:val="21"/>
              </w:rPr>
              <w:t>1.3.3</w:t>
            </w:r>
          </w:p>
        </w:tc>
        <w:tc>
          <w:tcPr>
            <w:tcW w:w="1984" w:type="dxa"/>
            <w:tcBorders>
              <w:top w:val="single" w:color="auto" w:sz="4" w:space="0"/>
              <w:left w:val="single" w:color="auto" w:sz="4" w:space="0"/>
              <w:bottom w:val="single" w:color="auto" w:sz="4" w:space="0"/>
              <w:right w:val="single" w:color="auto" w:sz="4" w:space="0"/>
            </w:tcBorders>
            <w:vAlign w:val="center"/>
          </w:tcPr>
          <w:p w14:paraId="4091E22E">
            <w:pPr>
              <w:spacing w:line="240" w:lineRule="auto"/>
              <w:rPr>
                <w:rFonts w:hint="eastAsia"/>
                <w:sz w:val="21"/>
                <w:szCs w:val="21"/>
              </w:rPr>
            </w:pPr>
            <w:r>
              <w:rPr>
                <w:sz w:val="21"/>
                <w:szCs w:val="21"/>
              </w:rPr>
              <w:t>质量</w:t>
            </w:r>
            <w:r>
              <w:rPr>
                <w:rFonts w:hint="eastAsia"/>
                <w:sz w:val="21"/>
                <w:szCs w:val="21"/>
              </w:rPr>
              <w:t>标准</w:t>
            </w:r>
          </w:p>
        </w:tc>
        <w:tc>
          <w:tcPr>
            <w:tcW w:w="6100" w:type="dxa"/>
            <w:tcBorders>
              <w:top w:val="single" w:color="auto" w:sz="4" w:space="0"/>
              <w:left w:val="single" w:color="auto" w:sz="4" w:space="0"/>
              <w:bottom w:val="single" w:color="auto" w:sz="4" w:space="0"/>
              <w:right w:val="single" w:color="auto" w:sz="4" w:space="0"/>
            </w:tcBorders>
            <w:vAlign w:val="center"/>
          </w:tcPr>
          <w:p w14:paraId="420C8557">
            <w:pPr>
              <w:spacing w:line="240" w:lineRule="auto"/>
              <w:rPr>
                <w:sz w:val="21"/>
                <w:szCs w:val="21"/>
              </w:rPr>
            </w:pPr>
            <w:r>
              <w:rPr>
                <w:rFonts w:hint="eastAsia"/>
                <w:sz w:val="21"/>
                <w:szCs w:val="21"/>
              </w:rPr>
              <w:t>符合国家现行相关工程施工质量验收合格标准</w:t>
            </w:r>
          </w:p>
        </w:tc>
      </w:tr>
      <w:tr w14:paraId="258B06FC">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C3F55F">
            <w:pPr>
              <w:spacing w:line="240" w:lineRule="auto"/>
              <w:rPr>
                <w:sz w:val="21"/>
                <w:szCs w:val="21"/>
              </w:rPr>
            </w:pPr>
            <w:r>
              <w:rPr>
                <w:sz w:val="21"/>
                <w:szCs w:val="21"/>
              </w:rPr>
              <w:t>1.4.1</w:t>
            </w:r>
          </w:p>
        </w:tc>
        <w:tc>
          <w:tcPr>
            <w:tcW w:w="1984" w:type="dxa"/>
            <w:tcBorders>
              <w:top w:val="single" w:color="auto" w:sz="4" w:space="0"/>
              <w:left w:val="single" w:color="auto" w:sz="4" w:space="0"/>
              <w:bottom w:val="single" w:color="auto" w:sz="4" w:space="0"/>
              <w:right w:val="single" w:color="auto" w:sz="4" w:space="0"/>
            </w:tcBorders>
            <w:vAlign w:val="center"/>
          </w:tcPr>
          <w:p w14:paraId="583E5A80">
            <w:pPr>
              <w:spacing w:line="240" w:lineRule="auto"/>
              <w:rPr>
                <w:sz w:val="21"/>
                <w:szCs w:val="21"/>
              </w:rPr>
            </w:pPr>
            <w:r>
              <w:rPr>
                <w:sz w:val="21"/>
                <w:szCs w:val="21"/>
              </w:rPr>
              <w:t>响应单位资质条件、能力</w:t>
            </w:r>
            <w:r>
              <w:rPr>
                <w:rFonts w:hint="eastAsia"/>
                <w:sz w:val="21"/>
                <w:szCs w:val="21"/>
              </w:rPr>
              <w:t>和信誉</w:t>
            </w:r>
          </w:p>
        </w:tc>
        <w:tc>
          <w:tcPr>
            <w:tcW w:w="6100" w:type="dxa"/>
            <w:tcBorders>
              <w:top w:val="single" w:color="auto" w:sz="4" w:space="0"/>
              <w:left w:val="single" w:color="auto" w:sz="4" w:space="0"/>
              <w:bottom w:val="single" w:color="auto" w:sz="4" w:space="0"/>
              <w:right w:val="single" w:color="auto" w:sz="4" w:space="0"/>
            </w:tcBorders>
            <w:vAlign w:val="center"/>
          </w:tcPr>
          <w:p w14:paraId="3F74563B">
            <w:pPr>
              <w:spacing w:line="240" w:lineRule="auto"/>
              <w:rPr>
                <w:sz w:val="21"/>
                <w:szCs w:val="21"/>
              </w:rPr>
            </w:pPr>
            <w:r>
              <w:rPr>
                <w:rFonts w:hint="eastAsia"/>
                <w:b/>
                <w:sz w:val="21"/>
                <w:szCs w:val="21"/>
              </w:rPr>
              <w:t>1、资质条件</w:t>
            </w:r>
            <w:r>
              <w:rPr>
                <w:rFonts w:hint="eastAsia"/>
                <w:sz w:val="21"/>
                <w:szCs w:val="21"/>
              </w:rPr>
              <w:t>：具备建设行政主管部门核发的【</w:t>
            </w:r>
            <w:r>
              <w:rPr>
                <w:rFonts w:hint="eastAsia" w:cs="仿宋"/>
                <w:b/>
                <w:sz w:val="21"/>
                <w:szCs w:val="21"/>
                <w:lang w:eastAsia="zh-CN"/>
              </w:rPr>
              <w:t>建筑工程施工总承包二级及以上资质</w:t>
            </w:r>
            <w:r>
              <w:rPr>
                <w:rFonts w:hint="eastAsia"/>
                <w:sz w:val="21"/>
                <w:szCs w:val="21"/>
              </w:rPr>
              <w:t>】，并具有安全生产许可证，在人员、设备、资金等方面具有相应能力的法人或其他组织。</w:t>
            </w:r>
          </w:p>
          <w:p w14:paraId="08119781">
            <w:pPr>
              <w:spacing w:line="240" w:lineRule="auto"/>
              <w:rPr>
                <w:sz w:val="21"/>
                <w:szCs w:val="21"/>
              </w:rPr>
            </w:pPr>
            <w:r>
              <w:rPr>
                <w:rFonts w:hint="eastAsia"/>
                <w:b/>
                <w:sz w:val="21"/>
                <w:szCs w:val="21"/>
              </w:rPr>
              <w:t>2、财务要求</w:t>
            </w:r>
            <w:r>
              <w:rPr>
                <w:rFonts w:hint="eastAsia"/>
                <w:sz w:val="21"/>
                <w:szCs w:val="21"/>
              </w:rPr>
              <w:t>：</w:t>
            </w:r>
            <w:bookmarkStart w:id="51" w:name="EB88c304ae66d54d4997740a2267c73b30"/>
            <w:r>
              <w:rPr>
                <w:rFonts w:hint="eastAsia" w:cs="宋体"/>
                <w:sz w:val="21"/>
                <w:szCs w:val="21"/>
              </w:rPr>
              <w:t>提供近三年（</w:t>
            </w:r>
            <w:r>
              <w:rPr>
                <w:rFonts w:hint="eastAsia" w:cs="宋体"/>
                <w:sz w:val="21"/>
                <w:szCs w:val="21"/>
                <w:lang w:eastAsia="zh-CN"/>
              </w:rPr>
              <w:t>2021-2023年</w:t>
            </w:r>
            <w:r>
              <w:rPr>
                <w:rFonts w:hint="eastAsia" w:cs="宋体"/>
                <w:sz w:val="21"/>
                <w:szCs w:val="21"/>
              </w:rPr>
              <w:t>）经会计师事务所审计的财务审计报告或财务报表（新成立企业财务要求为从成立之日起至今）或基本开户行出具的银行资信证明文件。</w:t>
            </w:r>
            <w:bookmarkEnd w:id="51"/>
          </w:p>
          <w:p w14:paraId="23C0B9EE">
            <w:pPr>
              <w:spacing w:line="240" w:lineRule="auto"/>
              <w:jc w:val="left"/>
              <w:rPr>
                <w:sz w:val="21"/>
                <w:szCs w:val="21"/>
                <w:lang w:val="zh-CN"/>
              </w:rPr>
            </w:pPr>
            <w:r>
              <w:rPr>
                <w:rFonts w:hint="eastAsia"/>
                <w:b/>
                <w:sz w:val="21"/>
                <w:szCs w:val="21"/>
              </w:rPr>
              <w:t>3、业绩要求</w:t>
            </w:r>
            <w:r>
              <w:rPr>
                <w:rFonts w:hint="eastAsia"/>
                <w:sz w:val="21"/>
                <w:szCs w:val="21"/>
              </w:rPr>
              <w:t>：</w:t>
            </w:r>
            <w:r>
              <w:rPr>
                <w:rFonts w:hint="eastAsia"/>
                <w:sz w:val="21"/>
                <w:szCs w:val="21"/>
                <w:lang w:val="zh-CN"/>
              </w:rPr>
              <w:t>提供近三年（2021年至今）同类项目类似工程业绩，</w:t>
            </w:r>
            <w:r>
              <w:rPr>
                <w:rFonts w:hint="eastAsia"/>
                <w:sz w:val="21"/>
                <w:szCs w:val="21"/>
              </w:rPr>
              <w:t>投标</w:t>
            </w:r>
            <w:r>
              <w:rPr>
                <w:sz w:val="21"/>
                <w:szCs w:val="21"/>
              </w:rPr>
              <w:t>文件</w:t>
            </w:r>
            <w:r>
              <w:rPr>
                <w:rFonts w:hint="eastAsia"/>
                <w:sz w:val="21"/>
                <w:szCs w:val="21"/>
              </w:rPr>
              <w:t>中</w:t>
            </w:r>
            <w:r>
              <w:rPr>
                <w:sz w:val="21"/>
                <w:szCs w:val="21"/>
              </w:rPr>
              <w:t>附中标通知书或合同协议书</w:t>
            </w:r>
            <w:r>
              <w:rPr>
                <w:rFonts w:hint="eastAsia"/>
                <w:sz w:val="21"/>
                <w:szCs w:val="21"/>
              </w:rPr>
              <w:t>或</w:t>
            </w:r>
            <w:r>
              <w:rPr>
                <w:sz w:val="21"/>
                <w:szCs w:val="21"/>
              </w:rPr>
              <w:t>竣工验收报告复印件</w:t>
            </w:r>
            <w:r>
              <w:rPr>
                <w:rFonts w:hint="eastAsia"/>
                <w:sz w:val="21"/>
                <w:szCs w:val="21"/>
              </w:rPr>
              <w:t>加盖</w:t>
            </w:r>
            <w:r>
              <w:rPr>
                <w:sz w:val="21"/>
                <w:szCs w:val="21"/>
              </w:rPr>
              <w:t>公章</w:t>
            </w:r>
            <w:r>
              <w:rPr>
                <w:rFonts w:hint="eastAsia"/>
                <w:sz w:val="21"/>
                <w:szCs w:val="21"/>
                <w:lang w:val="zh-CN"/>
              </w:rPr>
              <w:t>。</w:t>
            </w:r>
          </w:p>
          <w:p w14:paraId="2B0F080F">
            <w:pPr>
              <w:spacing w:line="240" w:lineRule="auto"/>
              <w:rPr>
                <w:sz w:val="21"/>
                <w:szCs w:val="21"/>
              </w:rPr>
            </w:pPr>
            <w:r>
              <w:rPr>
                <w:rFonts w:hint="eastAsia"/>
                <w:b/>
                <w:sz w:val="21"/>
                <w:szCs w:val="21"/>
              </w:rPr>
              <w:t>4、信誉要求：</w:t>
            </w:r>
            <w:r>
              <w:rPr>
                <w:rFonts w:hint="eastAsia"/>
                <w:sz w:val="21"/>
                <w:szCs w:val="21"/>
              </w:rPr>
              <w:t>近三年内，无政府不良行为记录，响应单位没有骗取中标或严重违约以及重大工程事故等，须出具法定代表人签署并加盖公章的承诺书。投标人须在“中国裁判文书网”（wenshu.court.gov.cn）无行贿犯罪记录：本公司（案由：单位行贿罪）和个人（</w:t>
            </w:r>
            <w:r>
              <w:rPr>
                <w:rFonts w:cs="仿宋"/>
                <w:sz w:val="21"/>
                <w:szCs w:val="21"/>
              </w:rPr>
              <w:t>指法定代表人及授权委托人）</w:t>
            </w:r>
            <w:r>
              <w:rPr>
                <w:rFonts w:hint="eastAsia"/>
                <w:sz w:val="21"/>
                <w:szCs w:val="21"/>
              </w:rPr>
              <w:t>（案由：行贿罪）。投标人须在“信用中国”网站(www.creditchina.gov.cn)未被列入“失信被执行人、重大税收违法案件当事人名单、政府采购严重违法失信名单”的记录名单。未在“中国政府采购网”网站（http://www.ccgp.gov.cn/）平台中列入政府采购严重违法失信行为记录名单。</w:t>
            </w:r>
          </w:p>
          <w:p w14:paraId="7127F38E">
            <w:pPr>
              <w:spacing w:line="240" w:lineRule="auto"/>
              <w:rPr>
                <w:sz w:val="21"/>
                <w:szCs w:val="21"/>
              </w:rPr>
            </w:pPr>
            <w:r>
              <w:rPr>
                <w:rFonts w:hint="eastAsia"/>
                <w:sz w:val="21"/>
                <w:szCs w:val="21"/>
              </w:rPr>
              <w:t>5、其他要求：</w:t>
            </w:r>
          </w:p>
          <w:p w14:paraId="2D10F288">
            <w:pPr>
              <w:spacing w:line="240" w:lineRule="auto"/>
              <w:rPr>
                <w:sz w:val="21"/>
                <w:szCs w:val="21"/>
              </w:rPr>
            </w:pPr>
            <w:r>
              <w:rPr>
                <w:rFonts w:hint="eastAsia"/>
                <w:sz w:val="21"/>
                <w:szCs w:val="21"/>
              </w:rPr>
              <w:t>5.1项目经理：</w:t>
            </w:r>
            <w:r>
              <w:rPr>
                <w:rFonts w:hint="eastAsia"/>
                <w:sz w:val="21"/>
                <w:szCs w:val="21"/>
                <w:lang w:eastAsia="zh-CN"/>
              </w:rPr>
              <w:t>具备</w:t>
            </w:r>
            <w:r>
              <w:rPr>
                <w:rFonts w:hint="eastAsia"/>
                <w:sz w:val="21"/>
                <w:szCs w:val="21"/>
              </w:rPr>
              <w:t>建设行政主管部门核发的【</w:t>
            </w:r>
            <w:r>
              <w:rPr>
                <w:rFonts w:hint="eastAsia" w:cs="仿宋"/>
                <w:b/>
                <w:sz w:val="21"/>
                <w:szCs w:val="21"/>
                <w:lang w:eastAsia="zh-CN"/>
              </w:rPr>
              <w:t>建筑工程专业二级及以上注册建造师资格</w:t>
            </w:r>
            <w:r>
              <w:rPr>
                <w:rFonts w:hint="eastAsia"/>
                <w:sz w:val="21"/>
                <w:szCs w:val="21"/>
              </w:rPr>
              <w:t>】，有效的安全生产考核合格证书。</w:t>
            </w:r>
          </w:p>
          <w:p w14:paraId="4A968724">
            <w:pPr>
              <w:spacing w:line="240" w:lineRule="auto"/>
              <w:rPr>
                <w:sz w:val="21"/>
                <w:szCs w:val="21"/>
              </w:rPr>
            </w:pPr>
            <w:r>
              <w:rPr>
                <w:sz w:val="21"/>
                <w:szCs w:val="21"/>
              </w:rPr>
              <w:t>5.2</w:t>
            </w:r>
            <w:r>
              <w:rPr>
                <w:rFonts w:hint="eastAsia"/>
                <w:sz w:val="21"/>
                <w:szCs w:val="21"/>
              </w:rPr>
              <w:t>技术负责人：具有</w:t>
            </w:r>
            <w:r>
              <w:rPr>
                <w:rFonts w:hint="eastAsia"/>
                <w:sz w:val="21"/>
                <w:szCs w:val="21"/>
                <w:lang w:val="en-US" w:eastAsia="zh-CN"/>
              </w:rPr>
              <w:t>建筑</w:t>
            </w:r>
            <w:r>
              <w:rPr>
                <w:rFonts w:hint="eastAsia"/>
                <w:sz w:val="21"/>
                <w:szCs w:val="21"/>
                <w:lang w:eastAsia="zh-CN"/>
              </w:rPr>
              <w:t>工程相关专业中级及以上职称</w:t>
            </w:r>
            <w:r>
              <w:rPr>
                <w:rFonts w:hint="eastAsia"/>
                <w:sz w:val="21"/>
                <w:szCs w:val="21"/>
              </w:rPr>
              <w:t>。</w:t>
            </w:r>
          </w:p>
          <w:p w14:paraId="6B8D4289">
            <w:pPr>
              <w:spacing w:line="240" w:lineRule="auto"/>
              <w:rPr>
                <w:sz w:val="21"/>
                <w:szCs w:val="21"/>
              </w:rPr>
            </w:pPr>
            <w:r>
              <w:rPr>
                <w:rFonts w:hint="eastAsia"/>
                <w:sz w:val="21"/>
                <w:szCs w:val="21"/>
              </w:rPr>
              <w:t>5.</w:t>
            </w:r>
            <w:r>
              <w:rPr>
                <w:sz w:val="21"/>
                <w:szCs w:val="21"/>
              </w:rPr>
              <w:t>3</w:t>
            </w:r>
            <w:r>
              <w:rPr>
                <w:rFonts w:hint="eastAsia"/>
                <w:sz w:val="21"/>
                <w:szCs w:val="21"/>
              </w:rPr>
              <w:t>其他主要人员</w:t>
            </w:r>
            <w:r>
              <w:rPr>
                <w:sz w:val="21"/>
                <w:szCs w:val="21"/>
              </w:rPr>
              <w:t>：具有职称</w:t>
            </w:r>
            <w:r>
              <w:rPr>
                <w:rFonts w:hint="eastAsia"/>
                <w:sz w:val="21"/>
                <w:szCs w:val="21"/>
              </w:rPr>
              <w:t>证书</w:t>
            </w:r>
            <w:r>
              <w:rPr>
                <w:sz w:val="21"/>
                <w:szCs w:val="21"/>
              </w:rPr>
              <w:t>或者岗位证书</w:t>
            </w:r>
            <w:r>
              <w:rPr>
                <w:rFonts w:hint="eastAsia"/>
                <w:sz w:val="21"/>
                <w:szCs w:val="21"/>
              </w:rPr>
              <w:t>。</w:t>
            </w:r>
          </w:p>
          <w:p w14:paraId="1AB130C6">
            <w:pPr>
              <w:spacing w:line="240" w:lineRule="auto"/>
              <w:rPr>
                <w:sz w:val="21"/>
                <w:szCs w:val="21"/>
              </w:rPr>
            </w:pPr>
            <w:r>
              <w:rPr>
                <w:rFonts w:hint="eastAsia"/>
                <w:sz w:val="21"/>
                <w:szCs w:val="21"/>
              </w:rPr>
              <w:t>5.</w:t>
            </w:r>
            <w:r>
              <w:rPr>
                <w:sz w:val="21"/>
                <w:szCs w:val="21"/>
              </w:rPr>
              <w:t>4</w:t>
            </w:r>
            <w:r>
              <w:rPr>
                <w:rFonts w:hint="eastAsia"/>
                <w:sz w:val="21"/>
                <w:szCs w:val="21"/>
              </w:rPr>
              <w:t>外埠施工企业按照相关规定办理入吉备案。</w:t>
            </w:r>
          </w:p>
          <w:p w14:paraId="035FB1EB">
            <w:pPr>
              <w:spacing w:line="240" w:lineRule="auto"/>
              <w:rPr>
                <w:sz w:val="21"/>
                <w:szCs w:val="21"/>
              </w:rPr>
            </w:pPr>
            <w:r>
              <w:rPr>
                <w:rFonts w:hint="eastAsia"/>
                <w:sz w:val="21"/>
                <w:szCs w:val="21"/>
              </w:rPr>
              <w:t>5.</w:t>
            </w:r>
            <w:r>
              <w:rPr>
                <w:sz w:val="21"/>
                <w:szCs w:val="21"/>
              </w:rPr>
              <w:t>5</w:t>
            </w:r>
            <w:r>
              <w:rPr>
                <w:rFonts w:hint="eastAsia"/>
                <w:sz w:val="21"/>
                <w:szCs w:val="21"/>
              </w:rPr>
              <w:t>拟派出的项目经理，应无在建工程，并提供无在建承诺书，否则按废标处理。</w:t>
            </w:r>
          </w:p>
          <w:p w14:paraId="2FD846AA">
            <w:pPr>
              <w:spacing w:line="240" w:lineRule="auto"/>
              <w:rPr>
                <w:sz w:val="21"/>
                <w:szCs w:val="21"/>
              </w:rPr>
            </w:pPr>
            <w:r>
              <w:rPr>
                <w:rFonts w:hint="eastAsia"/>
                <w:sz w:val="21"/>
                <w:szCs w:val="21"/>
              </w:rPr>
              <w:t>各类人员岗位证件上所属的施工单位必须与投标单位名称完全相符，不接受外聘人员证件。</w:t>
            </w:r>
          </w:p>
        </w:tc>
      </w:tr>
      <w:tr w14:paraId="05A6986F">
        <w:tblPrEx>
          <w:tblCellMar>
            <w:top w:w="0" w:type="dxa"/>
            <w:left w:w="108" w:type="dxa"/>
            <w:bottom w:w="0" w:type="dxa"/>
            <w:right w:w="108" w:type="dxa"/>
          </w:tblCellMar>
        </w:tblPrEx>
        <w:trPr>
          <w:trHeight w:val="29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3D305C6">
            <w:pPr>
              <w:spacing w:line="240" w:lineRule="auto"/>
              <w:rPr>
                <w:sz w:val="21"/>
                <w:szCs w:val="21"/>
              </w:rPr>
            </w:pPr>
            <w:r>
              <w:rPr>
                <w:sz w:val="21"/>
                <w:szCs w:val="21"/>
              </w:rPr>
              <w:t>1.</w:t>
            </w:r>
            <w:r>
              <w:rPr>
                <w:rFonts w:hint="eastAsia"/>
                <w:sz w:val="21"/>
                <w:szCs w:val="21"/>
              </w:rPr>
              <w:t>9</w:t>
            </w:r>
            <w:r>
              <w:rPr>
                <w:sz w:val="21"/>
                <w:szCs w:val="21"/>
              </w:rPr>
              <w:t>.1</w:t>
            </w:r>
          </w:p>
        </w:tc>
        <w:tc>
          <w:tcPr>
            <w:tcW w:w="1984" w:type="dxa"/>
            <w:tcBorders>
              <w:top w:val="single" w:color="auto" w:sz="4" w:space="0"/>
              <w:left w:val="single" w:color="auto" w:sz="4" w:space="0"/>
              <w:bottom w:val="single" w:color="auto" w:sz="4" w:space="0"/>
              <w:right w:val="single" w:color="auto" w:sz="4" w:space="0"/>
            </w:tcBorders>
            <w:vAlign w:val="center"/>
          </w:tcPr>
          <w:p w14:paraId="6A1E9849">
            <w:pPr>
              <w:spacing w:line="240" w:lineRule="auto"/>
              <w:rPr>
                <w:sz w:val="21"/>
                <w:szCs w:val="21"/>
              </w:rPr>
            </w:pPr>
            <w:r>
              <w:rPr>
                <w:rFonts w:hint="eastAsia"/>
                <w:sz w:val="21"/>
                <w:szCs w:val="21"/>
              </w:rPr>
              <w:t>踏勘现场</w:t>
            </w:r>
          </w:p>
        </w:tc>
        <w:tc>
          <w:tcPr>
            <w:tcW w:w="6100" w:type="dxa"/>
            <w:tcBorders>
              <w:top w:val="single" w:color="auto" w:sz="4" w:space="0"/>
              <w:left w:val="single" w:color="auto" w:sz="4" w:space="0"/>
              <w:bottom w:val="single" w:color="auto" w:sz="4" w:space="0"/>
              <w:right w:val="single" w:color="auto" w:sz="4" w:space="0"/>
            </w:tcBorders>
            <w:vAlign w:val="center"/>
          </w:tcPr>
          <w:p w14:paraId="7DDC5057">
            <w:pPr>
              <w:spacing w:line="240" w:lineRule="auto"/>
              <w:rPr>
                <w:sz w:val="21"/>
                <w:szCs w:val="21"/>
              </w:rPr>
            </w:pPr>
            <w:r>
              <w:rPr>
                <w:rFonts w:hint="eastAsia"/>
                <w:sz w:val="21"/>
                <w:szCs w:val="21"/>
              </w:rPr>
              <w:t>不组织</w:t>
            </w:r>
          </w:p>
        </w:tc>
      </w:tr>
      <w:tr w14:paraId="3F6BECF2">
        <w:tblPrEx>
          <w:tblCellMar>
            <w:top w:w="0" w:type="dxa"/>
            <w:left w:w="108" w:type="dxa"/>
            <w:bottom w:w="0" w:type="dxa"/>
            <w:right w:w="108" w:type="dxa"/>
          </w:tblCellMar>
        </w:tblPrEx>
        <w:trPr>
          <w:trHeight w:val="41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39FE010">
            <w:pPr>
              <w:spacing w:line="240" w:lineRule="auto"/>
              <w:rPr>
                <w:sz w:val="21"/>
                <w:szCs w:val="21"/>
              </w:rPr>
            </w:pPr>
            <w:r>
              <w:rPr>
                <w:sz w:val="21"/>
                <w:szCs w:val="21"/>
              </w:rPr>
              <w:t>1.</w:t>
            </w:r>
            <w:r>
              <w:rPr>
                <w:rFonts w:hint="eastAsia"/>
                <w:sz w:val="21"/>
                <w:szCs w:val="21"/>
              </w:rPr>
              <w:t>10</w:t>
            </w:r>
            <w:r>
              <w:rPr>
                <w:sz w:val="21"/>
                <w:szCs w:val="21"/>
              </w:rPr>
              <w:t>.1</w:t>
            </w:r>
          </w:p>
        </w:tc>
        <w:tc>
          <w:tcPr>
            <w:tcW w:w="1984" w:type="dxa"/>
            <w:tcBorders>
              <w:top w:val="single" w:color="auto" w:sz="4" w:space="0"/>
              <w:left w:val="single" w:color="auto" w:sz="4" w:space="0"/>
              <w:bottom w:val="single" w:color="auto" w:sz="4" w:space="0"/>
              <w:right w:val="single" w:color="auto" w:sz="4" w:space="0"/>
            </w:tcBorders>
            <w:vAlign w:val="center"/>
          </w:tcPr>
          <w:p w14:paraId="11F9A4A3">
            <w:pPr>
              <w:spacing w:line="240" w:lineRule="auto"/>
              <w:rPr>
                <w:sz w:val="21"/>
                <w:szCs w:val="21"/>
              </w:rPr>
            </w:pPr>
            <w:r>
              <w:rPr>
                <w:rFonts w:hint="eastAsia"/>
                <w:sz w:val="21"/>
                <w:szCs w:val="21"/>
              </w:rPr>
              <w:t>投标预备会</w:t>
            </w:r>
          </w:p>
        </w:tc>
        <w:tc>
          <w:tcPr>
            <w:tcW w:w="6100" w:type="dxa"/>
            <w:tcBorders>
              <w:top w:val="single" w:color="auto" w:sz="4" w:space="0"/>
              <w:left w:val="single" w:color="auto" w:sz="4" w:space="0"/>
              <w:bottom w:val="single" w:color="auto" w:sz="4" w:space="0"/>
              <w:right w:val="single" w:color="auto" w:sz="4" w:space="0"/>
            </w:tcBorders>
            <w:vAlign w:val="center"/>
          </w:tcPr>
          <w:p w14:paraId="1621044A">
            <w:pPr>
              <w:pStyle w:val="15"/>
              <w:spacing w:line="240" w:lineRule="auto"/>
              <w:rPr>
                <w:sz w:val="21"/>
                <w:szCs w:val="21"/>
              </w:rPr>
            </w:pPr>
            <w:r>
              <w:rPr>
                <w:rFonts w:hint="eastAsia"/>
                <w:sz w:val="21"/>
                <w:szCs w:val="21"/>
              </w:rPr>
              <w:t>不召开</w:t>
            </w:r>
          </w:p>
        </w:tc>
      </w:tr>
      <w:tr w14:paraId="6720753A">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148F271">
            <w:pPr>
              <w:spacing w:line="240" w:lineRule="auto"/>
              <w:rPr>
                <w:sz w:val="21"/>
                <w:szCs w:val="21"/>
              </w:rPr>
            </w:pPr>
            <w:r>
              <w:rPr>
                <w:sz w:val="21"/>
                <w:szCs w:val="21"/>
              </w:rPr>
              <w:t>1.10.2</w:t>
            </w:r>
          </w:p>
        </w:tc>
        <w:tc>
          <w:tcPr>
            <w:tcW w:w="1984" w:type="dxa"/>
            <w:tcBorders>
              <w:top w:val="single" w:color="auto" w:sz="4" w:space="0"/>
              <w:left w:val="single" w:color="auto" w:sz="4" w:space="0"/>
              <w:bottom w:val="single" w:color="auto" w:sz="4" w:space="0"/>
              <w:right w:val="single" w:color="auto" w:sz="4" w:space="0"/>
            </w:tcBorders>
            <w:vAlign w:val="center"/>
          </w:tcPr>
          <w:p w14:paraId="1C16F351">
            <w:pPr>
              <w:spacing w:line="240" w:lineRule="auto"/>
              <w:rPr>
                <w:sz w:val="21"/>
                <w:szCs w:val="21"/>
              </w:rPr>
            </w:pPr>
            <w:r>
              <w:rPr>
                <w:sz w:val="21"/>
                <w:szCs w:val="21"/>
              </w:rPr>
              <w:t>响应单位提出问题的截止时间</w:t>
            </w:r>
          </w:p>
        </w:tc>
        <w:tc>
          <w:tcPr>
            <w:tcW w:w="6100" w:type="dxa"/>
            <w:tcBorders>
              <w:top w:val="single" w:color="auto" w:sz="4" w:space="0"/>
              <w:left w:val="single" w:color="auto" w:sz="4" w:space="0"/>
              <w:bottom w:val="single" w:color="auto" w:sz="4" w:space="0"/>
              <w:right w:val="single" w:color="auto" w:sz="4" w:space="0"/>
            </w:tcBorders>
            <w:vAlign w:val="center"/>
          </w:tcPr>
          <w:p w14:paraId="6516A0AC">
            <w:pPr>
              <w:spacing w:line="240" w:lineRule="auto"/>
              <w:rPr>
                <w:sz w:val="21"/>
                <w:szCs w:val="21"/>
              </w:rPr>
            </w:pPr>
            <w:r>
              <w:rPr>
                <w:rFonts w:hint="eastAsia"/>
                <w:sz w:val="21"/>
                <w:szCs w:val="21"/>
                <w:lang w:val="zh-CN"/>
              </w:rPr>
              <w:t>投标截止时间前</w:t>
            </w:r>
            <w:r>
              <w:rPr>
                <w:sz w:val="21"/>
                <w:szCs w:val="21"/>
              </w:rPr>
              <w:t>5</w:t>
            </w:r>
            <w:r>
              <w:rPr>
                <w:rFonts w:hint="eastAsia"/>
                <w:sz w:val="21"/>
                <w:szCs w:val="21"/>
                <w:lang w:val="zh-CN"/>
              </w:rPr>
              <w:t>天响应单位将对竞争性磋商文件不清楚的问题以书面的形式向招标代理机构提出。</w:t>
            </w:r>
          </w:p>
        </w:tc>
      </w:tr>
      <w:tr w14:paraId="2625A8B7">
        <w:tblPrEx>
          <w:tblCellMar>
            <w:top w:w="0" w:type="dxa"/>
            <w:left w:w="108" w:type="dxa"/>
            <w:bottom w:w="0" w:type="dxa"/>
            <w:right w:w="108" w:type="dxa"/>
          </w:tblCellMar>
        </w:tblPrEx>
        <w:trPr>
          <w:trHeight w:val="38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79883C">
            <w:pPr>
              <w:spacing w:line="240" w:lineRule="auto"/>
              <w:rPr>
                <w:sz w:val="21"/>
                <w:szCs w:val="21"/>
              </w:rPr>
            </w:pPr>
            <w:r>
              <w:rPr>
                <w:sz w:val="21"/>
                <w:szCs w:val="21"/>
              </w:rPr>
              <w:t>1.10.3</w:t>
            </w:r>
          </w:p>
        </w:tc>
        <w:tc>
          <w:tcPr>
            <w:tcW w:w="1984" w:type="dxa"/>
            <w:tcBorders>
              <w:top w:val="single" w:color="auto" w:sz="4" w:space="0"/>
              <w:left w:val="single" w:color="auto" w:sz="4" w:space="0"/>
              <w:bottom w:val="single" w:color="auto" w:sz="4" w:space="0"/>
              <w:right w:val="single" w:color="auto" w:sz="4" w:space="0"/>
            </w:tcBorders>
            <w:vAlign w:val="center"/>
          </w:tcPr>
          <w:p w14:paraId="107E39F8">
            <w:pPr>
              <w:spacing w:line="240" w:lineRule="auto"/>
              <w:rPr>
                <w:sz w:val="21"/>
                <w:szCs w:val="21"/>
              </w:rPr>
            </w:pPr>
            <w:r>
              <w:rPr>
                <w:sz w:val="21"/>
                <w:szCs w:val="21"/>
              </w:rPr>
              <w:t>采购单位书面澄清的时间</w:t>
            </w:r>
          </w:p>
        </w:tc>
        <w:tc>
          <w:tcPr>
            <w:tcW w:w="6100" w:type="dxa"/>
            <w:tcBorders>
              <w:top w:val="single" w:color="auto" w:sz="4" w:space="0"/>
              <w:left w:val="single" w:color="auto" w:sz="4" w:space="0"/>
              <w:bottom w:val="single" w:color="auto" w:sz="4" w:space="0"/>
              <w:right w:val="single" w:color="auto" w:sz="4" w:space="0"/>
            </w:tcBorders>
            <w:vAlign w:val="center"/>
          </w:tcPr>
          <w:p w14:paraId="4F054F0E">
            <w:pPr>
              <w:spacing w:line="240" w:lineRule="auto"/>
              <w:rPr>
                <w:sz w:val="21"/>
                <w:szCs w:val="21"/>
              </w:rPr>
            </w:pPr>
            <w:r>
              <w:rPr>
                <w:rFonts w:hint="eastAsia"/>
                <w:sz w:val="21"/>
                <w:szCs w:val="21"/>
                <w:lang w:val="zh-CN"/>
              </w:rPr>
              <w:t>投标截止时间前</w:t>
            </w:r>
            <w:r>
              <w:rPr>
                <w:sz w:val="21"/>
                <w:szCs w:val="21"/>
                <w:lang w:val="zh-CN"/>
              </w:rPr>
              <w:t>5</w:t>
            </w:r>
            <w:r>
              <w:rPr>
                <w:rFonts w:hint="eastAsia"/>
                <w:sz w:val="21"/>
                <w:szCs w:val="21"/>
                <w:lang w:val="zh-CN"/>
              </w:rPr>
              <w:t>天，将响应单位对竞争性磋商文件不清楚的问题以书面形式向响应单位回复。</w:t>
            </w:r>
          </w:p>
        </w:tc>
      </w:tr>
      <w:tr w14:paraId="0DAFDAB7">
        <w:tblPrEx>
          <w:tblCellMar>
            <w:top w:w="0" w:type="dxa"/>
            <w:left w:w="108" w:type="dxa"/>
            <w:bottom w:w="0" w:type="dxa"/>
            <w:right w:w="108" w:type="dxa"/>
          </w:tblCellMar>
        </w:tblPrEx>
        <w:trPr>
          <w:trHeight w:val="40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178F1E5">
            <w:pPr>
              <w:spacing w:line="240" w:lineRule="auto"/>
              <w:rPr>
                <w:sz w:val="21"/>
                <w:szCs w:val="21"/>
              </w:rPr>
            </w:pPr>
            <w:r>
              <w:rPr>
                <w:rFonts w:hint="eastAsia"/>
                <w:sz w:val="21"/>
                <w:szCs w:val="21"/>
              </w:rPr>
              <w:t>1.11</w:t>
            </w:r>
          </w:p>
        </w:tc>
        <w:tc>
          <w:tcPr>
            <w:tcW w:w="1984" w:type="dxa"/>
            <w:tcBorders>
              <w:top w:val="single" w:color="auto" w:sz="4" w:space="0"/>
              <w:left w:val="single" w:color="auto" w:sz="4" w:space="0"/>
              <w:bottom w:val="single" w:color="auto" w:sz="4" w:space="0"/>
              <w:right w:val="single" w:color="auto" w:sz="4" w:space="0"/>
            </w:tcBorders>
            <w:vAlign w:val="center"/>
          </w:tcPr>
          <w:p w14:paraId="5A38E353">
            <w:pPr>
              <w:spacing w:line="240" w:lineRule="auto"/>
              <w:rPr>
                <w:sz w:val="21"/>
                <w:szCs w:val="21"/>
              </w:rPr>
            </w:pPr>
            <w:r>
              <w:rPr>
                <w:rFonts w:hint="eastAsia"/>
                <w:sz w:val="21"/>
                <w:szCs w:val="21"/>
              </w:rPr>
              <w:t>偏离</w:t>
            </w:r>
          </w:p>
        </w:tc>
        <w:tc>
          <w:tcPr>
            <w:tcW w:w="6100" w:type="dxa"/>
            <w:tcBorders>
              <w:top w:val="single" w:color="auto" w:sz="4" w:space="0"/>
              <w:left w:val="single" w:color="auto" w:sz="4" w:space="0"/>
              <w:bottom w:val="single" w:color="auto" w:sz="4" w:space="0"/>
              <w:right w:val="single" w:color="auto" w:sz="4" w:space="0"/>
            </w:tcBorders>
            <w:vAlign w:val="center"/>
          </w:tcPr>
          <w:p w14:paraId="690F3C4B">
            <w:pPr>
              <w:pStyle w:val="15"/>
              <w:spacing w:line="240" w:lineRule="auto"/>
              <w:rPr>
                <w:sz w:val="21"/>
                <w:szCs w:val="21"/>
              </w:rPr>
            </w:pPr>
            <w:r>
              <w:rPr>
                <w:rFonts w:hint="eastAsia"/>
                <w:sz w:val="21"/>
                <w:szCs w:val="21"/>
              </w:rPr>
              <w:t>不允许</w:t>
            </w:r>
          </w:p>
        </w:tc>
      </w:tr>
      <w:tr w14:paraId="786FCE9E">
        <w:tblPrEx>
          <w:tblCellMar>
            <w:top w:w="0" w:type="dxa"/>
            <w:left w:w="108" w:type="dxa"/>
            <w:bottom w:w="0" w:type="dxa"/>
            <w:right w:w="108" w:type="dxa"/>
          </w:tblCellMar>
        </w:tblPrEx>
        <w:trPr>
          <w:trHeight w:val="38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6C5B7F8">
            <w:pPr>
              <w:spacing w:line="240" w:lineRule="auto"/>
              <w:rPr>
                <w:sz w:val="21"/>
                <w:szCs w:val="21"/>
              </w:rPr>
            </w:pPr>
            <w:r>
              <w:rPr>
                <w:sz w:val="21"/>
                <w:szCs w:val="21"/>
              </w:rPr>
              <w:t>2.1</w:t>
            </w:r>
          </w:p>
        </w:tc>
        <w:tc>
          <w:tcPr>
            <w:tcW w:w="1984" w:type="dxa"/>
            <w:tcBorders>
              <w:top w:val="single" w:color="auto" w:sz="4" w:space="0"/>
              <w:left w:val="single" w:color="auto" w:sz="4" w:space="0"/>
              <w:bottom w:val="single" w:color="auto" w:sz="4" w:space="0"/>
              <w:right w:val="single" w:color="auto" w:sz="4" w:space="0"/>
            </w:tcBorders>
            <w:vAlign w:val="center"/>
          </w:tcPr>
          <w:p w14:paraId="4BB7C8B7">
            <w:pPr>
              <w:spacing w:line="240" w:lineRule="auto"/>
              <w:rPr>
                <w:sz w:val="21"/>
                <w:szCs w:val="21"/>
              </w:rPr>
            </w:pPr>
            <w:r>
              <w:rPr>
                <w:sz w:val="21"/>
                <w:szCs w:val="21"/>
              </w:rPr>
              <w:t>构成竞争性磋商文件的其他材料</w:t>
            </w:r>
          </w:p>
        </w:tc>
        <w:tc>
          <w:tcPr>
            <w:tcW w:w="6100" w:type="dxa"/>
            <w:tcBorders>
              <w:top w:val="single" w:color="auto" w:sz="4" w:space="0"/>
              <w:left w:val="single" w:color="auto" w:sz="4" w:space="0"/>
              <w:bottom w:val="single" w:color="auto" w:sz="4" w:space="0"/>
              <w:right w:val="single" w:color="auto" w:sz="4" w:space="0"/>
            </w:tcBorders>
            <w:vAlign w:val="center"/>
          </w:tcPr>
          <w:p w14:paraId="0C713B08">
            <w:pPr>
              <w:spacing w:line="240" w:lineRule="auto"/>
              <w:rPr>
                <w:sz w:val="21"/>
                <w:szCs w:val="21"/>
              </w:rPr>
            </w:pPr>
            <w:r>
              <w:rPr>
                <w:rFonts w:hint="eastAsia"/>
                <w:sz w:val="21"/>
                <w:szCs w:val="21"/>
                <w:lang w:val="zh-CN"/>
              </w:rPr>
              <w:t>工程量清单</w:t>
            </w:r>
          </w:p>
        </w:tc>
      </w:tr>
      <w:tr w14:paraId="4138482E">
        <w:tblPrEx>
          <w:tblCellMar>
            <w:top w:w="0" w:type="dxa"/>
            <w:left w:w="108" w:type="dxa"/>
            <w:bottom w:w="0" w:type="dxa"/>
            <w:right w:w="108" w:type="dxa"/>
          </w:tblCellMar>
        </w:tblPrEx>
        <w:trPr>
          <w:trHeight w:val="38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7B3FD3F">
            <w:pPr>
              <w:spacing w:line="240" w:lineRule="auto"/>
              <w:rPr>
                <w:sz w:val="21"/>
                <w:szCs w:val="21"/>
              </w:rPr>
            </w:pPr>
            <w:r>
              <w:rPr>
                <w:sz w:val="21"/>
                <w:szCs w:val="21"/>
              </w:rPr>
              <w:t>2.2.1</w:t>
            </w:r>
          </w:p>
        </w:tc>
        <w:tc>
          <w:tcPr>
            <w:tcW w:w="1984" w:type="dxa"/>
            <w:tcBorders>
              <w:top w:val="single" w:color="auto" w:sz="4" w:space="0"/>
              <w:left w:val="single" w:color="auto" w:sz="4" w:space="0"/>
              <w:bottom w:val="single" w:color="auto" w:sz="4" w:space="0"/>
              <w:right w:val="single" w:color="auto" w:sz="4" w:space="0"/>
            </w:tcBorders>
            <w:vAlign w:val="center"/>
          </w:tcPr>
          <w:p w14:paraId="35CE85DF">
            <w:pPr>
              <w:spacing w:line="240" w:lineRule="auto"/>
              <w:rPr>
                <w:sz w:val="21"/>
                <w:szCs w:val="21"/>
              </w:rPr>
            </w:pPr>
            <w:r>
              <w:rPr>
                <w:sz w:val="21"/>
                <w:szCs w:val="21"/>
              </w:rPr>
              <w:t>响应单位要求澄清竞争性磋商文件的截止时间</w:t>
            </w:r>
          </w:p>
        </w:tc>
        <w:tc>
          <w:tcPr>
            <w:tcW w:w="6100" w:type="dxa"/>
            <w:tcBorders>
              <w:top w:val="single" w:color="auto" w:sz="4" w:space="0"/>
              <w:left w:val="single" w:color="auto" w:sz="4" w:space="0"/>
              <w:bottom w:val="single" w:color="auto" w:sz="4" w:space="0"/>
              <w:right w:val="single" w:color="auto" w:sz="4" w:space="0"/>
            </w:tcBorders>
            <w:vAlign w:val="center"/>
          </w:tcPr>
          <w:p w14:paraId="2C27ED69">
            <w:pPr>
              <w:spacing w:line="240" w:lineRule="auto"/>
              <w:rPr>
                <w:sz w:val="21"/>
                <w:szCs w:val="21"/>
              </w:rPr>
            </w:pPr>
            <w:r>
              <w:rPr>
                <w:rFonts w:hint="eastAsia"/>
                <w:sz w:val="21"/>
                <w:szCs w:val="21"/>
                <w:lang w:val="zh-CN"/>
              </w:rPr>
              <w:t>投标截止时间前</w:t>
            </w:r>
            <w:r>
              <w:rPr>
                <w:sz w:val="21"/>
                <w:szCs w:val="21"/>
                <w:lang w:val="zh-CN"/>
              </w:rPr>
              <w:t>5</w:t>
            </w:r>
            <w:r>
              <w:rPr>
                <w:rFonts w:hint="eastAsia"/>
                <w:sz w:val="21"/>
                <w:szCs w:val="21"/>
                <w:lang w:val="zh-CN"/>
              </w:rPr>
              <w:t>天</w:t>
            </w:r>
          </w:p>
        </w:tc>
      </w:tr>
      <w:tr w14:paraId="2EBEB617">
        <w:tblPrEx>
          <w:tblCellMar>
            <w:top w:w="0" w:type="dxa"/>
            <w:left w:w="108" w:type="dxa"/>
            <w:bottom w:w="0" w:type="dxa"/>
            <w:right w:w="108" w:type="dxa"/>
          </w:tblCellMar>
        </w:tblPrEx>
        <w:trPr>
          <w:trHeight w:val="406"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E02598E">
            <w:pPr>
              <w:spacing w:line="240" w:lineRule="auto"/>
              <w:rPr>
                <w:sz w:val="21"/>
                <w:szCs w:val="21"/>
              </w:rPr>
            </w:pPr>
            <w:r>
              <w:rPr>
                <w:sz w:val="21"/>
                <w:szCs w:val="21"/>
              </w:rPr>
              <w:t>2.2.2</w:t>
            </w:r>
          </w:p>
        </w:tc>
        <w:tc>
          <w:tcPr>
            <w:tcW w:w="1984" w:type="dxa"/>
            <w:tcBorders>
              <w:top w:val="single" w:color="auto" w:sz="4" w:space="0"/>
              <w:left w:val="single" w:color="auto" w:sz="4" w:space="0"/>
              <w:bottom w:val="single" w:color="auto" w:sz="4" w:space="0"/>
              <w:right w:val="single" w:color="auto" w:sz="4" w:space="0"/>
            </w:tcBorders>
            <w:vAlign w:val="center"/>
          </w:tcPr>
          <w:p w14:paraId="7EF287EF">
            <w:pPr>
              <w:spacing w:line="240" w:lineRule="auto"/>
              <w:rPr>
                <w:sz w:val="21"/>
                <w:szCs w:val="21"/>
              </w:rPr>
            </w:pPr>
            <w:r>
              <w:rPr>
                <w:sz w:val="21"/>
                <w:szCs w:val="21"/>
              </w:rPr>
              <w:t>投标截止时间</w:t>
            </w:r>
          </w:p>
        </w:tc>
        <w:tc>
          <w:tcPr>
            <w:tcW w:w="6100" w:type="dxa"/>
            <w:tcBorders>
              <w:top w:val="single" w:color="auto" w:sz="4" w:space="0"/>
              <w:left w:val="single" w:color="auto" w:sz="4" w:space="0"/>
              <w:bottom w:val="single" w:color="auto" w:sz="4" w:space="0"/>
              <w:right w:val="single" w:color="auto" w:sz="4" w:space="0"/>
            </w:tcBorders>
            <w:vAlign w:val="center"/>
          </w:tcPr>
          <w:p w14:paraId="20CDD655">
            <w:pPr>
              <w:spacing w:line="240" w:lineRule="auto"/>
              <w:rPr>
                <w:rFonts w:hint="eastAsia" w:eastAsia="宋体"/>
                <w:sz w:val="21"/>
                <w:szCs w:val="21"/>
                <w:lang w:eastAsia="zh-CN"/>
              </w:rPr>
            </w:pPr>
            <w:r>
              <w:rPr>
                <w:rFonts w:hint="eastAsia"/>
                <w:sz w:val="21"/>
                <w:szCs w:val="21"/>
                <w:lang w:eastAsia="zh-CN"/>
              </w:rPr>
              <w:t>2024年10月21日13时30分</w:t>
            </w:r>
          </w:p>
        </w:tc>
      </w:tr>
      <w:tr w14:paraId="2D824739">
        <w:tblPrEx>
          <w:tblCellMar>
            <w:top w:w="0" w:type="dxa"/>
            <w:left w:w="108" w:type="dxa"/>
            <w:bottom w:w="0" w:type="dxa"/>
            <w:right w:w="108" w:type="dxa"/>
          </w:tblCellMar>
        </w:tblPrEx>
        <w:trPr>
          <w:trHeight w:val="38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A74D705">
            <w:pPr>
              <w:spacing w:line="240" w:lineRule="auto"/>
              <w:rPr>
                <w:sz w:val="21"/>
                <w:szCs w:val="21"/>
              </w:rPr>
            </w:pPr>
            <w:r>
              <w:rPr>
                <w:sz w:val="21"/>
                <w:szCs w:val="21"/>
              </w:rPr>
              <w:t>2.2.3</w:t>
            </w:r>
          </w:p>
        </w:tc>
        <w:tc>
          <w:tcPr>
            <w:tcW w:w="1984" w:type="dxa"/>
            <w:tcBorders>
              <w:top w:val="single" w:color="auto" w:sz="4" w:space="0"/>
              <w:left w:val="single" w:color="auto" w:sz="4" w:space="0"/>
              <w:bottom w:val="single" w:color="auto" w:sz="4" w:space="0"/>
              <w:right w:val="single" w:color="auto" w:sz="4" w:space="0"/>
            </w:tcBorders>
            <w:vAlign w:val="center"/>
          </w:tcPr>
          <w:p w14:paraId="61BC28CF">
            <w:pPr>
              <w:spacing w:line="240" w:lineRule="auto"/>
              <w:rPr>
                <w:sz w:val="21"/>
                <w:szCs w:val="21"/>
              </w:rPr>
            </w:pPr>
            <w:r>
              <w:rPr>
                <w:sz w:val="21"/>
                <w:szCs w:val="21"/>
              </w:rPr>
              <w:t>响应单位确认收到竞争性磋商文件澄清的时间</w:t>
            </w:r>
          </w:p>
        </w:tc>
        <w:tc>
          <w:tcPr>
            <w:tcW w:w="6100" w:type="dxa"/>
            <w:tcBorders>
              <w:top w:val="single" w:color="auto" w:sz="4" w:space="0"/>
              <w:left w:val="single" w:color="auto" w:sz="4" w:space="0"/>
              <w:bottom w:val="single" w:color="auto" w:sz="4" w:space="0"/>
              <w:right w:val="single" w:color="auto" w:sz="4" w:space="0"/>
            </w:tcBorders>
            <w:vAlign w:val="center"/>
          </w:tcPr>
          <w:p w14:paraId="4DD9FEFC">
            <w:pPr>
              <w:spacing w:line="240" w:lineRule="auto"/>
              <w:rPr>
                <w:sz w:val="21"/>
                <w:szCs w:val="21"/>
              </w:rPr>
            </w:pPr>
            <w:r>
              <w:rPr>
                <w:rFonts w:hint="eastAsia"/>
                <w:sz w:val="21"/>
                <w:szCs w:val="21"/>
                <w:lang w:val="zh-CN"/>
              </w:rPr>
              <w:t>24小时内</w:t>
            </w:r>
          </w:p>
        </w:tc>
      </w:tr>
      <w:tr w14:paraId="2B651F61">
        <w:tblPrEx>
          <w:tblCellMar>
            <w:top w:w="0" w:type="dxa"/>
            <w:left w:w="108" w:type="dxa"/>
            <w:bottom w:w="0" w:type="dxa"/>
            <w:right w:w="108" w:type="dxa"/>
          </w:tblCellMar>
        </w:tblPrEx>
        <w:trPr>
          <w:trHeight w:val="38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1F2A614">
            <w:pPr>
              <w:spacing w:line="240" w:lineRule="auto"/>
              <w:rPr>
                <w:sz w:val="21"/>
                <w:szCs w:val="21"/>
              </w:rPr>
            </w:pPr>
            <w:r>
              <w:rPr>
                <w:sz w:val="21"/>
                <w:szCs w:val="21"/>
              </w:rPr>
              <w:t>2.3.2</w:t>
            </w:r>
          </w:p>
        </w:tc>
        <w:tc>
          <w:tcPr>
            <w:tcW w:w="1984" w:type="dxa"/>
            <w:tcBorders>
              <w:top w:val="single" w:color="auto" w:sz="4" w:space="0"/>
              <w:left w:val="single" w:color="auto" w:sz="4" w:space="0"/>
              <w:bottom w:val="single" w:color="auto" w:sz="4" w:space="0"/>
              <w:right w:val="single" w:color="auto" w:sz="4" w:space="0"/>
            </w:tcBorders>
            <w:vAlign w:val="center"/>
          </w:tcPr>
          <w:p w14:paraId="41073265">
            <w:pPr>
              <w:spacing w:line="240" w:lineRule="auto"/>
              <w:rPr>
                <w:sz w:val="21"/>
                <w:szCs w:val="21"/>
              </w:rPr>
            </w:pPr>
            <w:r>
              <w:rPr>
                <w:sz w:val="21"/>
                <w:szCs w:val="21"/>
              </w:rPr>
              <w:t>响应单位确认收到竞争性磋商文件修改的时间</w:t>
            </w:r>
          </w:p>
        </w:tc>
        <w:tc>
          <w:tcPr>
            <w:tcW w:w="6100" w:type="dxa"/>
            <w:tcBorders>
              <w:top w:val="single" w:color="auto" w:sz="4" w:space="0"/>
              <w:left w:val="single" w:color="auto" w:sz="4" w:space="0"/>
              <w:bottom w:val="single" w:color="auto" w:sz="4" w:space="0"/>
              <w:right w:val="single" w:color="auto" w:sz="4" w:space="0"/>
            </w:tcBorders>
            <w:vAlign w:val="center"/>
          </w:tcPr>
          <w:p w14:paraId="41D323E3">
            <w:pPr>
              <w:spacing w:line="240" w:lineRule="auto"/>
              <w:rPr>
                <w:sz w:val="21"/>
                <w:szCs w:val="21"/>
              </w:rPr>
            </w:pPr>
            <w:r>
              <w:rPr>
                <w:rFonts w:hint="eastAsia"/>
                <w:sz w:val="21"/>
                <w:szCs w:val="21"/>
                <w:lang w:val="zh-CN"/>
              </w:rPr>
              <w:t>24小时内</w:t>
            </w:r>
          </w:p>
        </w:tc>
      </w:tr>
      <w:tr w14:paraId="62BCB3F4">
        <w:tblPrEx>
          <w:tblCellMar>
            <w:top w:w="0" w:type="dxa"/>
            <w:left w:w="108" w:type="dxa"/>
            <w:bottom w:w="0" w:type="dxa"/>
            <w:right w:w="108" w:type="dxa"/>
          </w:tblCellMar>
        </w:tblPrEx>
        <w:trPr>
          <w:trHeight w:val="49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1FEB6BA">
            <w:pPr>
              <w:spacing w:line="240" w:lineRule="auto"/>
              <w:rPr>
                <w:sz w:val="21"/>
                <w:szCs w:val="21"/>
              </w:rPr>
            </w:pPr>
            <w:r>
              <w:rPr>
                <w:rFonts w:hint="eastAsia"/>
                <w:sz w:val="21"/>
                <w:szCs w:val="21"/>
              </w:rPr>
              <w:t>3.2.3</w:t>
            </w:r>
          </w:p>
        </w:tc>
        <w:tc>
          <w:tcPr>
            <w:tcW w:w="1984" w:type="dxa"/>
            <w:tcBorders>
              <w:top w:val="single" w:color="auto" w:sz="4" w:space="0"/>
              <w:left w:val="single" w:color="auto" w:sz="4" w:space="0"/>
              <w:bottom w:val="single" w:color="auto" w:sz="4" w:space="0"/>
              <w:right w:val="single" w:color="auto" w:sz="4" w:space="0"/>
            </w:tcBorders>
            <w:vAlign w:val="center"/>
          </w:tcPr>
          <w:p w14:paraId="5AB2A926">
            <w:pPr>
              <w:spacing w:line="240" w:lineRule="auto"/>
              <w:rPr>
                <w:sz w:val="21"/>
                <w:szCs w:val="21"/>
                <w:highlight w:val="none"/>
              </w:rPr>
            </w:pPr>
            <w:r>
              <w:rPr>
                <w:rFonts w:hint="eastAsia"/>
                <w:sz w:val="21"/>
                <w:szCs w:val="21"/>
                <w:highlight w:val="none"/>
                <w:lang w:val="en-US" w:eastAsia="zh-CN"/>
              </w:rPr>
              <w:t>最高</w:t>
            </w:r>
            <w:r>
              <w:rPr>
                <w:rFonts w:hint="eastAsia"/>
                <w:sz w:val="21"/>
                <w:szCs w:val="21"/>
                <w:highlight w:val="none"/>
              </w:rPr>
              <w:t>限价</w:t>
            </w:r>
          </w:p>
        </w:tc>
        <w:tc>
          <w:tcPr>
            <w:tcW w:w="6100" w:type="dxa"/>
            <w:tcBorders>
              <w:top w:val="single" w:color="auto" w:sz="4" w:space="0"/>
              <w:left w:val="single" w:color="auto" w:sz="4" w:space="0"/>
              <w:bottom w:val="single" w:color="auto" w:sz="4" w:space="0"/>
              <w:right w:val="single" w:color="auto" w:sz="4" w:space="0"/>
            </w:tcBorders>
            <w:vAlign w:val="center"/>
          </w:tcPr>
          <w:p w14:paraId="0EEFAD30">
            <w:pPr>
              <w:spacing w:line="240" w:lineRule="auto"/>
              <w:rPr>
                <w:rFonts w:hint="default"/>
                <w:sz w:val="21"/>
                <w:szCs w:val="21"/>
                <w:highlight w:val="none"/>
                <w:lang w:val="en-US"/>
              </w:rPr>
            </w:pPr>
            <w:r>
              <w:rPr>
                <w:rFonts w:hint="eastAsia"/>
                <w:sz w:val="21"/>
                <w:szCs w:val="21"/>
                <w:highlight w:val="none"/>
                <w:lang w:val="en-US" w:eastAsia="zh-CN"/>
              </w:rPr>
              <w:t>采购预算</w:t>
            </w:r>
            <w:r>
              <w:rPr>
                <w:rFonts w:hint="eastAsia"/>
                <w:sz w:val="21"/>
                <w:szCs w:val="21"/>
                <w:highlight w:val="none"/>
              </w:rPr>
              <w:t>：</w:t>
            </w:r>
            <w:r>
              <w:rPr>
                <w:rFonts w:hint="eastAsia" w:cs="仿宋"/>
                <w:sz w:val="21"/>
                <w:szCs w:val="21"/>
                <w:highlight w:val="none"/>
                <w:lang w:eastAsia="zh-CN"/>
              </w:rPr>
              <w:t>102.1200万元，</w:t>
            </w:r>
            <w:r>
              <w:rPr>
                <w:rFonts w:hint="eastAsia" w:cs="仿宋"/>
                <w:sz w:val="21"/>
                <w:szCs w:val="21"/>
                <w:highlight w:val="none"/>
                <w:lang w:val="en-US" w:eastAsia="zh-CN"/>
              </w:rPr>
              <w:t>结算以实际发生为准。</w:t>
            </w:r>
          </w:p>
          <w:p w14:paraId="1235CCD1">
            <w:pPr>
              <w:pStyle w:val="2"/>
              <w:spacing w:line="240" w:lineRule="auto"/>
              <w:rPr>
                <w:rFonts w:hint="eastAsia"/>
                <w:sz w:val="21"/>
                <w:szCs w:val="21"/>
                <w:highlight w:val="none"/>
                <w:lang w:val="en-US" w:eastAsia="zh-CN"/>
              </w:rPr>
            </w:pPr>
            <w:r>
              <w:rPr>
                <w:rFonts w:hint="eastAsia"/>
                <w:sz w:val="21"/>
                <w:szCs w:val="21"/>
                <w:highlight w:val="none"/>
                <w:lang w:val="en-US" w:eastAsia="zh-CN"/>
              </w:rPr>
              <w:t>最高限价：114元/平方米。</w:t>
            </w:r>
          </w:p>
          <w:p w14:paraId="2FFE9F18">
            <w:pPr>
              <w:pStyle w:val="2"/>
              <w:spacing w:line="240" w:lineRule="auto"/>
              <w:rPr>
                <w:sz w:val="21"/>
                <w:szCs w:val="21"/>
                <w:highlight w:val="none"/>
              </w:rPr>
            </w:pPr>
            <w:r>
              <w:rPr>
                <w:rFonts w:hint="eastAsia"/>
                <w:sz w:val="21"/>
                <w:szCs w:val="21"/>
                <w:highlight w:val="none"/>
                <w:lang w:val="en-US" w:eastAsia="zh-CN"/>
              </w:rPr>
              <w:t>投</w:t>
            </w:r>
            <w:r>
              <w:rPr>
                <w:rFonts w:hint="eastAsia"/>
                <w:sz w:val="21"/>
                <w:szCs w:val="21"/>
                <w:highlight w:val="none"/>
              </w:rPr>
              <w:t>标</w:t>
            </w:r>
            <w:r>
              <w:rPr>
                <w:rFonts w:hint="eastAsia"/>
                <w:sz w:val="21"/>
                <w:szCs w:val="21"/>
                <w:highlight w:val="none"/>
                <w:lang w:val="en-US" w:eastAsia="zh-CN"/>
              </w:rPr>
              <w:t>单</w:t>
            </w:r>
            <w:r>
              <w:rPr>
                <w:rFonts w:hint="eastAsia"/>
                <w:sz w:val="21"/>
                <w:szCs w:val="21"/>
                <w:highlight w:val="none"/>
              </w:rPr>
              <w:t>价不能超过</w:t>
            </w:r>
            <w:r>
              <w:rPr>
                <w:rFonts w:hint="eastAsia"/>
                <w:sz w:val="21"/>
                <w:szCs w:val="21"/>
                <w:highlight w:val="none"/>
                <w:lang w:val="en-US" w:eastAsia="zh-CN"/>
              </w:rPr>
              <w:t>最高</w:t>
            </w:r>
            <w:r>
              <w:rPr>
                <w:rFonts w:hint="eastAsia"/>
                <w:sz w:val="21"/>
                <w:szCs w:val="21"/>
                <w:highlight w:val="none"/>
              </w:rPr>
              <w:t>限价，否则为废标。</w:t>
            </w:r>
          </w:p>
        </w:tc>
      </w:tr>
      <w:tr w14:paraId="0C612D0C">
        <w:tblPrEx>
          <w:tblCellMar>
            <w:top w:w="0" w:type="dxa"/>
            <w:left w:w="108" w:type="dxa"/>
            <w:bottom w:w="0" w:type="dxa"/>
            <w:right w:w="108" w:type="dxa"/>
          </w:tblCellMar>
        </w:tblPrEx>
        <w:trPr>
          <w:trHeight w:val="49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62C2526">
            <w:pPr>
              <w:spacing w:line="240" w:lineRule="auto"/>
              <w:rPr>
                <w:sz w:val="21"/>
                <w:szCs w:val="21"/>
              </w:rPr>
            </w:pPr>
            <w:r>
              <w:rPr>
                <w:sz w:val="21"/>
                <w:szCs w:val="21"/>
              </w:rPr>
              <w:t>3.3</w:t>
            </w:r>
            <w:r>
              <w:rPr>
                <w:rFonts w:hint="eastAsia"/>
                <w:sz w:val="21"/>
                <w:szCs w:val="21"/>
              </w:rPr>
              <w:t>.1</w:t>
            </w:r>
          </w:p>
        </w:tc>
        <w:tc>
          <w:tcPr>
            <w:tcW w:w="1984" w:type="dxa"/>
            <w:tcBorders>
              <w:top w:val="single" w:color="auto" w:sz="4" w:space="0"/>
              <w:left w:val="single" w:color="auto" w:sz="4" w:space="0"/>
              <w:bottom w:val="single" w:color="auto" w:sz="4" w:space="0"/>
              <w:right w:val="single" w:color="auto" w:sz="4" w:space="0"/>
            </w:tcBorders>
            <w:vAlign w:val="center"/>
          </w:tcPr>
          <w:p w14:paraId="2630F83D">
            <w:pPr>
              <w:spacing w:line="240" w:lineRule="auto"/>
              <w:rPr>
                <w:sz w:val="21"/>
                <w:szCs w:val="21"/>
              </w:rPr>
            </w:pPr>
            <w:r>
              <w:rPr>
                <w:sz w:val="21"/>
                <w:szCs w:val="21"/>
              </w:rPr>
              <w:t>投标有效期</w:t>
            </w:r>
          </w:p>
        </w:tc>
        <w:tc>
          <w:tcPr>
            <w:tcW w:w="6100" w:type="dxa"/>
            <w:tcBorders>
              <w:top w:val="single" w:color="auto" w:sz="4" w:space="0"/>
              <w:left w:val="single" w:color="auto" w:sz="4" w:space="0"/>
              <w:bottom w:val="single" w:color="auto" w:sz="4" w:space="0"/>
              <w:right w:val="single" w:color="auto" w:sz="4" w:space="0"/>
            </w:tcBorders>
            <w:vAlign w:val="center"/>
          </w:tcPr>
          <w:p w14:paraId="276DDDBD">
            <w:pPr>
              <w:spacing w:line="240" w:lineRule="auto"/>
              <w:rPr>
                <w:sz w:val="21"/>
                <w:szCs w:val="21"/>
              </w:rPr>
            </w:pPr>
            <w:r>
              <w:rPr>
                <w:rFonts w:hint="eastAsia"/>
                <w:sz w:val="21"/>
                <w:szCs w:val="21"/>
                <w:lang w:val="zh-CN"/>
              </w:rPr>
              <w:t>90日历天</w:t>
            </w:r>
          </w:p>
        </w:tc>
      </w:tr>
      <w:tr w14:paraId="5032DBD8">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D3D44FB">
            <w:pPr>
              <w:spacing w:line="240" w:lineRule="auto"/>
              <w:rPr>
                <w:sz w:val="21"/>
                <w:szCs w:val="21"/>
              </w:rPr>
            </w:pPr>
            <w:r>
              <w:rPr>
                <w:sz w:val="21"/>
                <w:szCs w:val="21"/>
              </w:rPr>
              <w:t>3.4.1</w:t>
            </w:r>
          </w:p>
        </w:tc>
        <w:tc>
          <w:tcPr>
            <w:tcW w:w="1984" w:type="dxa"/>
            <w:tcBorders>
              <w:top w:val="single" w:color="auto" w:sz="4" w:space="0"/>
              <w:left w:val="single" w:color="auto" w:sz="4" w:space="0"/>
              <w:bottom w:val="single" w:color="auto" w:sz="4" w:space="0"/>
              <w:right w:val="single" w:color="auto" w:sz="4" w:space="0"/>
            </w:tcBorders>
            <w:vAlign w:val="center"/>
          </w:tcPr>
          <w:p w14:paraId="6A68B3DA">
            <w:pPr>
              <w:spacing w:line="240" w:lineRule="auto"/>
              <w:rPr>
                <w:sz w:val="21"/>
                <w:szCs w:val="21"/>
              </w:rPr>
            </w:pPr>
            <w:r>
              <w:rPr>
                <w:rFonts w:hint="eastAsia"/>
                <w:sz w:val="21"/>
                <w:szCs w:val="21"/>
              </w:rPr>
              <w:t>磋商</w:t>
            </w:r>
            <w:r>
              <w:rPr>
                <w:sz w:val="21"/>
                <w:szCs w:val="21"/>
              </w:rPr>
              <w:t>保证金</w:t>
            </w:r>
          </w:p>
        </w:tc>
        <w:tc>
          <w:tcPr>
            <w:tcW w:w="6100" w:type="dxa"/>
            <w:tcBorders>
              <w:top w:val="single" w:color="auto" w:sz="4" w:space="0"/>
              <w:left w:val="single" w:color="auto" w:sz="4" w:space="0"/>
              <w:bottom w:val="single" w:color="auto" w:sz="4" w:space="0"/>
              <w:right w:val="single" w:color="auto" w:sz="4" w:space="0"/>
            </w:tcBorders>
            <w:vAlign w:val="center"/>
          </w:tcPr>
          <w:p w14:paraId="23DB4EDA">
            <w:pPr>
              <w:spacing w:line="240" w:lineRule="auto"/>
              <w:rPr>
                <w:sz w:val="21"/>
                <w:szCs w:val="21"/>
              </w:rPr>
            </w:pPr>
            <w:r>
              <w:rPr>
                <w:rFonts w:hint="eastAsia"/>
                <w:sz w:val="21"/>
                <w:szCs w:val="21"/>
              </w:rPr>
              <w:t>1、投标保证金的</w:t>
            </w:r>
            <w:r>
              <w:rPr>
                <w:sz w:val="21"/>
                <w:szCs w:val="21"/>
              </w:rPr>
              <w:t>形式：</w:t>
            </w:r>
            <w:r>
              <w:rPr>
                <w:rFonts w:hint="eastAsia"/>
                <w:sz w:val="21"/>
                <w:szCs w:val="21"/>
              </w:rPr>
              <w:t>电汇、转账、由银行、专业担保公司、保险公司出具的保函</w:t>
            </w:r>
            <w:r>
              <w:rPr>
                <w:sz w:val="21"/>
                <w:szCs w:val="21"/>
              </w:rPr>
              <w:t>。</w:t>
            </w:r>
          </w:p>
          <w:p w14:paraId="2F697623">
            <w:pPr>
              <w:spacing w:line="240" w:lineRule="auto"/>
              <w:rPr>
                <w:sz w:val="21"/>
                <w:szCs w:val="21"/>
              </w:rPr>
            </w:pPr>
            <w:r>
              <w:rPr>
                <w:sz w:val="21"/>
                <w:szCs w:val="21"/>
              </w:rPr>
              <w:t>2</w:t>
            </w:r>
            <w:r>
              <w:rPr>
                <w:rFonts w:hint="eastAsia"/>
                <w:sz w:val="21"/>
                <w:szCs w:val="21"/>
              </w:rPr>
              <w:t>、投标</w:t>
            </w:r>
            <w:r>
              <w:rPr>
                <w:sz w:val="21"/>
                <w:szCs w:val="21"/>
              </w:rPr>
              <w:t>保证金截止时间：</w:t>
            </w:r>
            <w:r>
              <w:rPr>
                <w:rFonts w:hint="eastAsia"/>
                <w:sz w:val="21"/>
                <w:szCs w:val="21"/>
              </w:rPr>
              <w:t>响应文件递交截止时间前。</w:t>
            </w:r>
          </w:p>
          <w:p w14:paraId="640F04CD">
            <w:pPr>
              <w:spacing w:line="240" w:lineRule="auto"/>
              <w:rPr>
                <w:bCs/>
                <w:sz w:val="21"/>
                <w:szCs w:val="21"/>
              </w:rPr>
            </w:pPr>
            <w:r>
              <w:rPr>
                <w:bCs/>
                <w:sz w:val="21"/>
                <w:szCs w:val="21"/>
              </w:rPr>
              <w:t>3</w:t>
            </w:r>
            <w:r>
              <w:rPr>
                <w:rFonts w:hint="eastAsia"/>
                <w:bCs/>
                <w:sz w:val="21"/>
                <w:szCs w:val="21"/>
              </w:rPr>
              <w:t>、投标保证金的金额：</w:t>
            </w:r>
            <w:r>
              <w:rPr>
                <w:rFonts w:hint="eastAsia"/>
                <w:sz w:val="21"/>
                <w:szCs w:val="21"/>
                <w:lang w:val="en-US" w:eastAsia="zh-CN"/>
              </w:rPr>
              <w:t>10212</w:t>
            </w:r>
            <w:r>
              <w:rPr>
                <w:rFonts w:hint="eastAsia"/>
                <w:sz w:val="21"/>
                <w:szCs w:val="21"/>
                <w:lang w:eastAsia="zh-CN"/>
              </w:rPr>
              <w:t>元</w:t>
            </w:r>
            <w:r>
              <w:rPr>
                <w:rFonts w:hint="eastAsia"/>
                <w:sz w:val="21"/>
                <w:szCs w:val="21"/>
              </w:rPr>
              <w:t>。</w:t>
            </w:r>
          </w:p>
          <w:p w14:paraId="13467CEE">
            <w:pPr>
              <w:pStyle w:val="14"/>
              <w:spacing w:line="240" w:lineRule="auto"/>
              <w:rPr>
                <w:sz w:val="21"/>
                <w:szCs w:val="21"/>
              </w:rPr>
            </w:pPr>
            <w:r>
              <w:rPr>
                <w:rFonts w:hint="eastAsia"/>
                <w:sz w:val="21"/>
                <w:szCs w:val="21"/>
              </w:rPr>
              <w:t>保证金交纳银行：中国建设银行股份有限公司吉林市盈胜支行</w:t>
            </w:r>
          </w:p>
          <w:p w14:paraId="200A90C2">
            <w:pPr>
              <w:pStyle w:val="14"/>
              <w:spacing w:line="240" w:lineRule="auto"/>
              <w:rPr>
                <w:sz w:val="21"/>
                <w:szCs w:val="21"/>
              </w:rPr>
            </w:pPr>
            <w:r>
              <w:rPr>
                <w:rFonts w:hint="eastAsia"/>
                <w:sz w:val="21"/>
                <w:szCs w:val="21"/>
              </w:rPr>
              <w:t>账户名称：</w:t>
            </w:r>
            <w:r>
              <w:rPr>
                <w:rFonts w:hint="eastAsia"/>
                <w:sz w:val="21"/>
                <w:szCs w:val="21"/>
                <w:lang w:eastAsia="zh-CN"/>
              </w:rPr>
              <w:t>乾景项目管理（吉林）有限公司</w:t>
            </w:r>
          </w:p>
          <w:p w14:paraId="63A73F33">
            <w:pPr>
              <w:pStyle w:val="14"/>
              <w:spacing w:line="240" w:lineRule="auto"/>
              <w:rPr>
                <w:sz w:val="21"/>
                <w:szCs w:val="21"/>
              </w:rPr>
            </w:pPr>
            <w:r>
              <w:rPr>
                <w:rFonts w:hint="eastAsia"/>
                <w:sz w:val="21"/>
                <w:szCs w:val="21"/>
              </w:rPr>
              <w:t>账号：22050161314709888888</w:t>
            </w:r>
          </w:p>
          <w:p w14:paraId="0FD2F3B4">
            <w:pPr>
              <w:pStyle w:val="14"/>
              <w:spacing w:line="240" w:lineRule="auto"/>
              <w:rPr>
                <w:rFonts w:hint="eastAsia" w:eastAsia="宋体"/>
                <w:sz w:val="21"/>
                <w:szCs w:val="21"/>
                <w:lang w:eastAsia="zh-CN"/>
              </w:rPr>
            </w:pPr>
            <w:r>
              <w:rPr>
                <w:rFonts w:hint="eastAsia"/>
                <w:sz w:val="21"/>
                <w:szCs w:val="21"/>
              </w:rPr>
              <w:t>联系人：</w:t>
            </w:r>
            <w:r>
              <w:rPr>
                <w:rFonts w:hint="eastAsia"/>
                <w:sz w:val="21"/>
                <w:szCs w:val="21"/>
                <w:lang w:eastAsia="zh-CN"/>
              </w:rPr>
              <w:t>胡英男</w:t>
            </w:r>
          </w:p>
          <w:p w14:paraId="43934E12">
            <w:pPr>
              <w:pStyle w:val="14"/>
              <w:spacing w:line="240" w:lineRule="auto"/>
              <w:rPr>
                <w:rFonts w:hint="eastAsia" w:eastAsia="宋体"/>
                <w:sz w:val="21"/>
                <w:szCs w:val="21"/>
                <w:lang w:eastAsia="zh-CN"/>
              </w:rPr>
            </w:pPr>
            <w:r>
              <w:rPr>
                <w:rFonts w:hint="eastAsia"/>
                <w:sz w:val="21"/>
                <w:szCs w:val="21"/>
              </w:rPr>
              <w:t>联系电话：</w:t>
            </w:r>
            <w:r>
              <w:rPr>
                <w:rFonts w:hint="eastAsia"/>
                <w:sz w:val="21"/>
                <w:szCs w:val="21"/>
                <w:lang w:eastAsia="zh-CN"/>
              </w:rPr>
              <w:t>0432-63288777</w:t>
            </w:r>
          </w:p>
          <w:p w14:paraId="50DDE876">
            <w:pPr>
              <w:spacing w:line="240" w:lineRule="auto"/>
              <w:rPr>
                <w:rFonts w:cs="宋体"/>
                <w:sz w:val="21"/>
                <w:szCs w:val="21"/>
              </w:rPr>
            </w:pPr>
            <w:r>
              <w:rPr>
                <w:rFonts w:hint="eastAsia" w:cs="宋体"/>
                <w:sz w:val="21"/>
                <w:szCs w:val="21"/>
              </w:rPr>
              <w:t>4、其他要求：投标保证金必须从投标单位基本账户转出，在备注栏注明“</w:t>
            </w:r>
            <w:r>
              <w:rPr>
                <w:rFonts w:hint="eastAsia" w:cs="宋体"/>
                <w:b/>
                <w:bCs/>
                <w:sz w:val="21"/>
                <w:szCs w:val="21"/>
                <w:lang w:eastAsia="zh-CN"/>
              </w:rPr>
              <w:t>永吉县2024年农村既有建筑节能改造</w:t>
            </w:r>
            <w:r>
              <w:rPr>
                <w:rFonts w:hint="eastAsia" w:cs="宋体"/>
                <w:b/>
                <w:bCs/>
                <w:sz w:val="21"/>
                <w:szCs w:val="21"/>
              </w:rPr>
              <w:t>（可简写）投标保证金</w:t>
            </w:r>
            <w:r>
              <w:rPr>
                <w:rFonts w:hint="eastAsia" w:cs="宋体"/>
                <w:sz w:val="21"/>
                <w:szCs w:val="21"/>
              </w:rPr>
              <w:t>”字样。投标人应确保此笔款项在投标保证金截止时间前到达我公司账户。</w:t>
            </w:r>
          </w:p>
          <w:p w14:paraId="0E3D0D1F">
            <w:pPr>
              <w:spacing w:line="240" w:lineRule="auto"/>
              <w:ind w:firstLine="420" w:firstLineChars="200"/>
              <w:rPr>
                <w:rFonts w:cs="宋体"/>
                <w:sz w:val="21"/>
                <w:szCs w:val="21"/>
              </w:rPr>
            </w:pPr>
            <w:r>
              <w:rPr>
                <w:rFonts w:hint="eastAsia" w:cs="宋体"/>
                <w:sz w:val="21"/>
                <w:szCs w:val="21"/>
              </w:rPr>
              <w:t>若采用保函方式递交的，必须提供查询渠道及主要查询信息，且保证招标代理机构在不通过任何授权的情况下可以从公开的公众平台或网络查询到此保函的真伪。</w:t>
            </w:r>
          </w:p>
          <w:p w14:paraId="5D606297">
            <w:pPr>
              <w:pStyle w:val="14"/>
              <w:spacing w:line="240" w:lineRule="auto"/>
              <w:ind w:firstLine="420" w:firstLineChars="200"/>
              <w:rPr>
                <w:sz w:val="21"/>
                <w:szCs w:val="21"/>
              </w:rPr>
            </w:pPr>
            <w:r>
              <w:rPr>
                <w:rFonts w:hint="eastAsia" w:cs="宋体"/>
                <w:sz w:val="21"/>
                <w:szCs w:val="21"/>
              </w:rPr>
              <w:t>未按以上要求缴纳的保证金将不被视为本次投标使用。</w:t>
            </w:r>
          </w:p>
        </w:tc>
      </w:tr>
      <w:tr w14:paraId="0B5E88B9">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4C03019">
            <w:pPr>
              <w:autoSpaceDE w:val="0"/>
              <w:autoSpaceDN w:val="0"/>
              <w:adjustRightInd w:val="0"/>
              <w:spacing w:line="240" w:lineRule="auto"/>
              <w:jc w:val="left"/>
              <w:rPr>
                <w:rFonts w:cs="宋体"/>
                <w:kern w:val="0"/>
                <w:sz w:val="21"/>
                <w:szCs w:val="21"/>
              </w:rPr>
            </w:pPr>
            <w:r>
              <w:rPr>
                <w:rFonts w:cs="宋体" w:hAnsiTheme="minorHAnsi"/>
                <w:kern w:val="0"/>
                <w:sz w:val="21"/>
                <w:szCs w:val="21"/>
              </w:rPr>
              <w:t>3.4.4</w:t>
            </w:r>
          </w:p>
        </w:tc>
        <w:tc>
          <w:tcPr>
            <w:tcW w:w="1984" w:type="dxa"/>
            <w:tcBorders>
              <w:top w:val="single" w:color="auto" w:sz="4" w:space="0"/>
              <w:left w:val="single" w:color="auto" w:sz="4" w:space="0"/>
              <w:bottom w:val="single" w:color="auto" w:sz="4" w:space="0"/>
              <w:right w:val="single" w:color="auto" w:sz="4" w:space="0"/>
            </w:tcBorders>
            <w:vAlign w:val="center"/>
          </w:tcPr>
          <w:p w14:paraId="52CA2090">
            <w:pPr>
              <w:autoSpaceDE w:val="0"/>
              <w:autoSpaceDN w:val="0"/>
              <w:adjustRightInd w:val="0"/>
              <w:spacing w:line="240" w:lineRule="auto"/>
              <w:jc w:val="left"/>
              <w:rPr>
                <w:rFonts w:cs="宋体"/>
                <w:kern w:val="0"/>
                <w:sz w:val="21"/>
                <w:szCs w:val="21"/>
              </w:rPr>
            </w:pPr>
            <w:r>
              <w:rPr>
                <w:rFonts w:hint="eastAsia" w:cs="宋体" w:hAnsiTheme="minorHAnsi"/>
                <w:kern w:val="0"/>
                <w:sz w:val="21"/>
                <w:szCs w:val="21"/>
              </w:rPr>
              <w:t>其他可以不予退还投标保证金的情形</w:t>
            </w:r>
          </w:p>
        </w:tc>
        <w:tc>
          <w:tcPr>
            <w:tcW w:w="6100" w:type="dxa"/>
            <w:tcBorders>
              <w:top w:val="single" w:color="auto" w:sz="4" w:space="0"/>
              <w:left w:val="single" w:color="auto" w:sz="4" w:space="0"/>
              <w:bottom w:val="single" w:color="auto" w:sz="4" w:space="0"/>
              <w:right w:val="single" w:color="auto" w:sz="4" w:space="0"/>
            </w:tcBorders>
            <w:vAlign w:val="center"/>
          </w:tcPr>
          <w:p w14:paraId="6FC9EA62">
            <w:pPr>
              <w:autoSpaceDE w:val="0"/>
              <w:autoSpaceDN w:val="0"/>
              <w:adjustRightInd w:val="0"/>
              <w:spacing w:line="240" w:lineRule="auto"/>
              <w:jc w:val="left"/>
              <w:rPr>
                <w:rFonts w:cs="宋体"/>
                <w:kern w:val="0"/>
                <w:sz w:val="21"/>
                <w:szCs w:val="21"/>
              </w:rPr>
            </w:pPr>
            <w:r>
              <w:rPr>
                <w:rFonts w:hint="eastAsia" w:cs="宋体" w:hAnsiTheme="minorHAnsi"/>
                <w:kern w:val="0"/>
                <w:sz w:val="21"/>
                <w:szCs w:val="21"/>
              </w:rPr>
              <w:t>供应商在投标过程中借用他人资质，互相串通、结盟，伪造虚假业绩、人员、财务、履约情况等，或违反国家有关规定，损害招标的公正性和竞争性进行投标者。</w:t>
            </w:r>
          </w:p>
        </w:tc>
      </w:tr>
      <w:tr w14:paraId="32A9D9BE">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80A39D7">
            <w:pPr>
              <w:spacing w:line="240" w:lineRule="auto"/>
              <w:rPr>
                <w:sz w:val="21"/>
                <w:szCs w:val="21"/>
              </w:rPr>
            </w:pPr>
            <w:r>
              <w:rPr>
                <w:sz w:val="21"/>
                <w:szCs w:val="21"/>
              </w:rPr>
              <w:t>3.</w:t>
            </w:r>
            <w:r>
              <w:rPr>
                <w:rFonts w:hint="eastAsia"/>
                <w:sz w:val="21"/>
                <w:szCs w:val="21"/>
              </w:rPr>
              <w:t>5</w:t>
            </w:r>
            <w:r>
              <w:rPr>
                <w:sz w:val="21"/>
                <w:szCs w:val="21"/>
              </w:rPr>
              <w:t>.</w:t>
            </w:r>
            <w:r>
              <w:rPr>
                <w:rFonts w:hint="eastAsia"/>
                <w:sz w:val="21"/>
                <w:szCs w:val="21"/>
              </w:rPr>
              <w:t>2</w:t>
            </w:r>
          </w:p>
        </w:tc>
        <w:tc>
          <w:tcPr>
            <w:tcW w:w="1984" w:type="dxa"/>
            <w:tcBorders>
              <w:top w:val="single" w:color="auto" w:sz="4" w:space="0"/>
              <w:left w:val="single" w:color="auto" w:sz="4" w:space="0"/>
              <w:bottom w:val="single" w:color="auto" w:sz="4" w:space="0"/>
              <w:right w:val="single" w:color="auto" w:sz="4" w:space="0"/>
            </w:tcBorders>
            <w:vAlign w:val="center"/>
          </w:tcPr>
          <w:p w14:paraId="0FDE07F8">
            <w:pPr>
              <w:spacing w:line="240" w:lineRule="auto"/>
              <w:rPr>
                <w:sz w:val="21"/>
                <w:szCs w:val="21"/>
              </w:rPr>
            </w:pPr>
            <w:r>
              <w:rPr>
                <w:rFonts w:hint="eastAsia"/>
                <w:sz w:val="21"/>
                <w:szCs w:val="21"/>
              </w:rPr>
              <w:t>近年财务状况的年份要求</w:t>
            </w:r>
          </w:p>
        </w:tc>
        <w:tc>
          <w:tcPr>
            <w:tcW w:w="6100" w:type="dxa"/>
            <w:tcBorders>
              <w:top w:val="single" w:color="auto" w:sz="4" w:space="0"/>
              <w:left w:val="single" w:color="auto" w:sz="4" w:space="0"/>
              <w:bottom w:val="single" w:color="auto" w:sz="4" w:space="0"/>
              <w:right w:val="single" w:color="auto" w:sz="4" w:space="0"/>
            </w:tcBorders>
            <w:vAlign w:val="center"/>
          </w:tcPr>
          <w:p w14:paraId="5FE68E84">
            <w:pPr>
              <w:spacing w:line="240" w:lineRule="auto"/>
              <w:rPr>
                <w:sz w:val="21"/>
                <w:szCs w:val="21"/>
              </w:rPr>
            </w:pPr>
            <w:r>
              <w:rPr>
                <w:rFonts w:hint="eastAsia"/>
                <w:sz w:val="21"/>
                <w:szCs w:val="21"/>
                <w:lang w:eastAsia="zh-CN"/>
              </w:rPr>
              <w:t>2021-2023年</w:t>
            </w:r>
            <w:r>
              <w:rPr>
                <w:rFonts w:hint="eastAsia"/>
                <w:sz w:val="21"/>
                <w:szCs w:val="21"/>
              </w:rPr>
              <w:t>，指20</w:t>
            </w:r>
            <w:r>
              <w:rPr>
                <w:sz w:val="21"/>
                <w:szCs w:val="21"/>
              </w:rPr>
              <w:t>2</w:t>
            </w:r>
            <w:r>
              <w:rPr>
                <w:rFonts w:hint="eastAsia"/>
                <w:sz w:val="21"/>
                <w:szCs w:val="21"/>
                <w:lang w:val="en-US" w:eastAsia="zh-CN"/>
              </w:rPr>
              <w:t>1</w:t>
            </w:r>
            <w:r>
              <w:rPr>
                <w:rFonts w:hint="eastAsia"/>
                <w:sz w:val="21"/>
                <w:szCs w:val="21"/>
              </w:rPr>
              <w:t>年01月01日起至202</w:t>
            </w:r>
            <w:r>
              <w:rPr>
                <w:rFonts w:hint="eastAsia"/>
                <w:sz w:val="21"/>
                <w:szCs w:val="21"/>
                <w:lang w:val="en-US" w:eastAsia="zh-CN"/>
              </w:rPr>
              <w:t>3</w:t>
            </w:r>
            <w:r>
              <w:rPr>
                <w:rFonts w:hint="eastAsia"/>
                <w:sz w:val="21"/>
                <w:szCs w:val="21"/>
              </w:rPr>
              <w:t>年12月31日止。</w:t>
            </w:r>
          </w:p>
        </w:tc>
      </w:tr>
      <w:tr w14:paraId="6E1E79FA">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2F05091">
            <w:pPr>
              <w:spacing w:line="240" w:lineRule="auto"/>
              <w:rPr>
                <w:sz w:val="21"/>
                <w:szCs w:val="21"/>
              </w:rPr>
            </w:pPr>
            <w:r>
              <w:rPr>
                <w:sz w:val="21"/>
                <w:szCs w:val="21"/>
              </w:rPr>
              <w:t>3.</w:t>
            </w:r>
            <w:r>
              <w:rPr>
                <w:rFonts w:hint="eastAsia"/>
                <w:sz w:val="21"/>
                <w:szCs w:val="21"/>
              </w:rPr>
              <w:t>5</w:t>
            </w:r>
            <w:r>
              <w:rPr>
                <w:sz w:val="21"/>
                <w:szCs w:val="21"/>
              </w:rPr>
              <w:t>.</w:t>
            </w:r>
            <w:r>
              <w:rPr>
                <w:rFonts w:hint="eastAsia"/>
                <w:sz w:val="21"/>
                <w:szCs w:val="21"/>
              </w:rPr>
              <w:t>3</w:t>
            </w:r>
          </w:p>
        </w:tc>
        <w:tc>
          <w:tcPr>
            <w:tcW w:w="1984" w:type="dxa"/>
            <w:tcBorders>
              <w:top w:val="single" w:color="auto" w:sz="4" w:space="0"/>
              <w:left w:val="single" w:color="auto" w:sz="4" w:space="0"/>
              <w:bottom w:val="single" w:color="auto" w:sz="4" w:space="0"/>
              <w:right w:val="single" w:color="auto" w:sz="4" w:space="0"/>
            </w:tcBorders>
            <w:vAlign w:val="center"/>
          </w:tcPr>
          <w:p w14:paraId="045E09AA">
            <w:pPr>
              <w:spacing w:line="240" w:lineRule="auto"/>
              <w:rPr>
                <w:sz w:val="21"/>
                <w:szCs w:val="21"/>
              </w:rPr>
            </w:pPr>
            <w:r>
              <w:rPr>
                <w:rFonts w:hint="eastAsia"/>
                <w:sz w:val="21"/>
                <w:szCs w:val="21"/>
              </w:rPr>
              <w:t>近年完成的类似项目的年份要求</w:t>
            </w:r>
          </w:p>
        </w:tc>
        <w:tc>
          <w:tcPr>
            <w:tcW w:w="6100" w:type="dxa"/>
            <w:tcBorders>
              <w:top w:val="single" w:color="auto" w:sz="4" w:space="0"/>
              <w:left w:val="single" w:color="auto" w:sz="4" w:space="0"/>
              <w:bottom w:val="single" w:color="auto" w:sz="4" w:space="0"/>
              <w:right w:val="single" w:color="auto" w:sz="4" w:space="0"/>
            </w:tcBorders>
            <w:vAlign w:val="center"/>
          </w:tcPr>
          <w:p w14:paraId="3BC55CE2">
            <w:pPr>
              <w:spacing w:line="240" w:lineRule="auto"/>
              <w:rPr>
                <w:sz w:val="21"/>
                <w:szCs w:val="21"/>
              </w:rPr>
            </w:pPr>
            <w:r>
              <w:rPr>
                <w:rFonts w:hint="eastAsia"/>
                <w:sz w:val="21"/>
                <w:szCs w:val="21"/>
                <w:lang w:eastAsia="zh-CN"/>
              </w:rPr>
              <w:t>2021年至今</w:t>
            </w:r>
            <w:r>
              <w:rPr>
                <w:rFonts w:hint="eastAsia"/>
                <w:sz w:val="21"/>
                <w:szCs w:val="21"/>
              </w:rPr>
              <w:t>，指20</w:t>
            </w:r>
            <w:r>
              <w:rPr>
                <w:sz w:val="21"/>
                <w:szCs w:val="21"/>
              </w:rPr>
              <w:t>2</w:t>
            </w:r>
            <w:r>
              <w:rPr>
                <w:rFonts w:hint="eastAsia"/>
                <w:sz w:val="21"/>
                <w:szCs w:val="21"/>
                <w:lang w:val="en-US" w:eastAsia="zh-CN"/>
              </w:rPr>
              <w:t>1</w:t>
            </w:r>
            <w:r>
              <w:rPr>
                <w:rFonts w:hint="eastAsia"/>
                <w:sz w:val="21"/>
                <w:szCs w:val="21"/>
              </w:rPr>
              <w:t>年01月01日起至今。</w:t>
            </w:r>
          </w:p>
        </w:tc>
      </w:tr>
      <w:tr w14:paraId="2843782A">
        <w:tblPrEx>
          <w:tblCellMar>
            <w:top w:w="0" w:type="dxa"/>
            <w:left w:w="108" w:type="dxa"/>
            <w:bottom w:w="0" w:type="dxa"/>
            <w:right w:w="108" w:type="dxa"/>
          </w:tblCellMar>
        </w:tblPrEx>
        <w:trPr>
          <w:trHeight w:val="140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DFD7845">
            <w:pPr>
              <w:spacing w:line="240" w:lineRule="auto"/>
              <w:rPr>
                <w:sz w:val="21"/>
                <w:szCs w:val="21"/>
              </w:rPr>
            </w:pPr>
            <w:r>
              <w:rPr>
                <w:sz w:val="21"/>
                <w:szCs w:val="21"/>
              </w:rPr>
              <w:t>3.</w:t>
            </w:r>
            <w:r>
              <w:rPr>
                <w:rFonts w:hint="eastAsia"/>
                <w:sz w:val="21"/>
                <w:szCs w:val="21"/>
              </w:rPr>
              <w:t>6</w:t>
            </w:r>
            <w:r>
              <w:rPr>
                <w:sz w:val="21"/>
                <w:szCs w:val="21"/>
              </w:rPr>
              <w:t>.3</w:t>
            </w:r>
          </w:p>
        </w:tc>
        <w:tc>
          <w:tcPr>
            <w:tcW w:w="1984" w:type="dxa"/>
            <w:tcBorders>
              <w:top w:val="single" w:color="auto" w:sz="4" w:space="0"/>
              <w:left w:val="single" w:color="auto" w:sz="4" w:space="0"/>
              <w:bottom w:val="single" w:color="auto" w:sz="4" w:space="0"/>
              <w:right w:val="single" w:color="auto" w:sz="4" w:space="0"/>
            </w:tcBorders>
            <w:vAlign w:val="center"/>
          </w:tcPr>
          <w:p w14:paraId="34DB6560">
            <w:pPr>
              <w:spacing w:line="240" w:lineRule="auto"/>
              <w:rPr>
                <w:sz w:val="21"/>
                <w:szCs w:val="21"/>
              </w:rPr>
            </w:pPr>
            <w:r>
              <w:rPr>
                <w:sz w:val="21"/>
                <w:szCs w:val="21"/>
              </w:rPr>
              <w:t>签字或盖章要求</w:t>
            </w:r>
          </w:p>
        </w:tc>
        <w:tc>
          <w:tcPr>
            <w:tcW w:w="6100" w:type="dxa"/>
            <w:tcBorders>
              <w:top w:val="single" w:color="auto" w:sz="4" w:space="0"/>
              <w:left w:val="single" w:color="auto" w:sz="4" w:space="0"/>
              <w:bottom w:val="single" w:color="auto" w:sz="4" w:space="0"/>
              <w:right w:val="single" w:color="auto" w:sz="4" w:space="0"/>
            </w:tcBorders>
            <w:vAlign w:val="center"/>
          </w:tcPr>
          <w:p w14:paraId="20C7E9F6">
            <w:pPr>
              <w:spacing w:line="240" w:lineRule="auto"/>
              <w:rPr>
                <w:rFonts w:cs="仿宋"/>
                <w:b/>
                <w:bCs/>
                <w:sz w:val="21"/>
                <w:szCs w:val="21"/>
              </w:rPr>
            </w:pPr>
            <w:r>
              <w:rPr>
                <w:rFonts w:hint="eastAsia" w:cs="仿宋"/>
                <w:b/>
                <w:bCs/>
                <w:sz w:val="21"/>
                <w:szCs w:val="21"/>
              </w:rPr>
              <w:t>电子响应文件：</w:t>
            </w:r>
          </w:p>
          <w:p w14:paraId="387E14D9">
            <w:pPr>
              <w:spacing w:line="240" w:lineRule="auto"/>
              <w:ind w:firstLine="315" w:firstLineChars="150"/>
              <w:rPr>
                <w:rFonts w:cs="仿宋"/>
                <w:sz w:val="21"/>
                <w:szCs w:val="21"/>
              </w:rPr>
            </w:pPr>
            <w:r>
              <w:rPr>
                <w:rFonts w:hint="eastAsia" w:cs="仿宋"/>
                <w:sz w:val="21"/>
                <w:szCs w:val="21"/>
              </w:rPr>
              <w:t>投标人根据电子磋商文件在要求签字盖章处签字并盖电子章。</w:t>
            </w:r>
          </w:p>
          <w:p w14:paraId="7D33C6B3">
            <w:pPr>
              <w:spacing w:line="240" w:lineRule="auto"/>
              <w:rPr>
                <w:rFonts w:cs="仿宋"/>
                <w:b/>
                <w:bCs/>
                <w:sz w:val="21"/>
                <w:szCs w:val="21"/>
              </w:rPr>
            </w:pPr>
            <w:r>
              <w:rPr>
                <w:rFonts w:hint="eastAsia" w:cs="仿宋"/>
                <w:b/>
                <w:bCs/>
                <w:sz w:val="21"/>
                <w:szCs w:val="21"/>
              </w:rPr>
              <w:t>纸质响应文件：</w:t>
            </w:r>
          </w:p>
          <w:p w14:paraId="07183947">
            <w:pPr>
              <w:spacing w:line="240" w:lineRule="auto"/>
              <w:ind w:firstLine="315" w:firstLineChars="150"/>
              <w:rPr>
                <w:rFonts w:cs="仿宋"/>
                <w:sz w:val="21"/>
                <w:szCs w:val="21"/>
              </w:rPr>
            </w:pPr>
            <w:r>
              <w:rPr>
                <w:rFonts w:hint="eastAsia" w:cs="仿宋"/>
                <w:sz w:val="21"/>
                <w:szCs w:val="21"/>
              </w:rPr>
              <w:t>纸质版响应文件应与“政采云”平台上提交的电子版响应文件一致。</w:t>
            </w:r>
          </w:p>
        </w:tc>
      </w:tr>
      <w:tr w14:paraId="2802FB6B">
        <w:tblPrEx>
          <w:tblCellMar>
            <w:top w:w="0" w:type="dxa"/>
            <w:left w:w="108" w:type="dxa"/>
            <w:bottom w:w="0" w:type="dxa"/>
            <w:right w:w="108" w:type="dxa"/>
          </w:tblCellMar>
        </w:tblPrEx>
        <w:trPr>
          <w:trHeight w:val="615"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677FC07">
            <w:pPr>
              <w:spacing w:line="240" w:lineRule="auto"/>
              <w:rPr>
                <w:sz w:val="21"/>
                <w:szCs w:val="21"/>
              </w:rPr>
            </w:pPr>
            <w:r>
              <w:rPr>
                <w:sz w:val="21"/>
                <w:szCs w:val="21"/>
              </w:rPr>
              <w:t>3.</w:t>
            </w:r>
            <w:r>
              <w:rPr>
                <w:rFonts w:hint="eastAsia"/>
                <w:sz w:val="21"/>
                <w:szCs w:val="21"/>
              </w:rPr>
              <w:t>6</w:t>
            </w:r>
            <w:r>
              <w:rPr>
                <w:sz w:val="21"/>
                <w:szCs w:val="21"/>
              </w:rPr>
              <w:t>.4</w:t>
            </w:r>
          </w:p>
        </w:tc>
        <w:tc>
          <w:tcPr>
            <w:tcW w:w="1984" w:type="dxa"/>
            <w:tcBorders>
              <w:top w:val="single" w:color="auto" w:sz="4" w:space="0"/>
              <w:left w:val="single" w:color="auto" w:sz="4" w:space="0"/>
              <w:bottom w:val="single" w:color="auto" w:sz="4" w:space="0"/>
              <w:right w:val="single" w:color="auto" w:sz="4" w:space="0"/>
            </w:tcBorders>
            <w:vAlign w:val="center"/>
          </w:tcPr>
          <w:p w14:paraId="41551289">
            <w:pPr>
              <w:spacing w:line="240" w:lineRule="auto"/>
              <w:rPr>
                <w:sz w:val="21"/>
                <w:szCs w:val="21"/>
              </w:rPr>
            </w:pPr>
            <w:r>
              <w:rPr>
                <w:rFonts w:hint="eastAsia"/>
                <w:sz w:val="21"/>
                <w:szCs w:val="21"/>
                <w:lang w:val="en-US" w:eastAsia="zh-CN"/>
              </w:rPr>
              <w:t>纸质版</w:t>
            </w:r>
            <w:r>
              <w:rPr>
                <w:sz w:val="21"/>
                <w:szCs w:val="21"/>
              </w:rPr>
              <w:t>响应文件份数</w:t>
            </w:r>
          </w:p>
        </w:tc>
        <w:tc>
          <w:tcPr>
            <w:tcW w:w="6100" w:type="dxa"/>
            <w:tcBorders>
              <w:top w:val="single" w:color="auto" w:sz="4" w:space="0"/>
              <w:left w:val="single" w:color="auto" w:sz="4" w:space="0"/>
              <w:bottom w:val="single" w:color="auto" w:sz="4" w:space="0"/>
              <w:right w:val="single" w:color="auto" w:sz="4" w:space="0"/>
            </w:tcBorders>
            <w:vAlign w:val="center"/>
          </w:tcPr>
          <w:p w14:paraId="3592C344">
            <w:pPr>
              <w:spacing w:line="240" w:lineRule="auto"/>
              <w:rPr>
                <w:rFonts w:hint="eastAsia" w:eastAsia="宋体"/>
                <w:sz w:val="21"/>
                <w:szCs w:val="21"/>
                <w:lang w:eastAsia="zh-CN"/>
              </w:rPr>
            </w:pPr>
            <w:r>
              <w:rPr>
                <w:rFonts w:hint="eastAsia"/>
                <w:b/>
                <w:sz w:val="21"/>
                <w:szCs w:val="21"/>
              </w:rPr>
              <w:t>正本一份，副本</w:t>
            </w:r>
            <w:r>
              <w:rPr>
                <w:rFonts w:hint="eastAsia"/>
                <w:b/>
                <w:sz w:val="21"/>
                <w:szCs w:val="21"/>
                <w:lang w:val="en-US" w:eastAsia="zh-CN"/>
              </w:rPr>
              <w:t>二</w:t>
            </w:r>
            <w:r>
              <w:rPr>
                <w:rFonts w:hint="eastAsia"/>
                <w:b/>
                <w:sz w:val="21"/>
                <w:szCs w:val="21"/>
              </w:rPr>
              <w:t>份</w:t>
            </w:r>
            <w:r>
              <w:rPr>
                <w:rFonts w:hint="eastAsia"/>
                <w:sz w:val="21"/>
                <w:szCs w:val="21"/>
                <w:lang w:eastAsia="zh-CN"/>
              </w:rPr>
              <w:t>。</w:t>
            </w:r>
          </w:p>
        </w:tc>
      </w:tr>
      <w:tr w14:paraId="35372B5C">
        <w:tblPrEx>
          <w:tblCellMar>
            <w:top w:w="0" w:type="dxa"/>
            <w:left w:w="108" w:type="dxa"/>
            <w:bottom w:w="0" w:type="dxa"/>
            <w:right w:w="108" w:type="dxa"/>
          </w:tblCellMar>
        </w:tblPrEx>
        <w:trPr>
          <w:trHeight w:val="416"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211B73E7">
            <w:pPr>
              <w:spacing w:line="240" w:lineRule="auto"/>
              <w:rPr>
                <w:sz w:val="21"/>
                <w:szCs w:val="21"/>
              </w:rPr>
            </w:pPr>
            <w:r>
              <w:rPr>
                <w:sz w:val="21"/>
                <w:szCs w:val="21"/>
              </w:rPr>
              <w:t>3.</w:t>
            </w:r>
            <w:r>
              <w:rPr>
                <w:rFonts w:hint="eastAsia"/>
                <w:sz w:val="21"/>
                <w:szCs w:val="21"/>
              </w:rPr>
              <w:t>6</w:t>
            </w:r>
            <w:r>
              <w:rPr>
                <w:sz w:val="21"/>
                <w:szCs w:val="21"/>
              </w:rPr>
              <w:t>.5</w:t>
            </w:r>
          </w:p>
        </w:tc>
        <w:tc>
          <w:tcPr>
            <w:tcW w:w="1984" w:type="dxa"/>
            <w:tcBorders>
              <w:top w:val="single" w:color="auto" w:sz="4" w:space="0"/>
              <w:left w:val="single" w:color="auto" w:sz="4" w:space="0"/>
              <w:bottom w:val="single" w:color="auto" w:sz="4" w:space="0"/>
              <w:right w:val="single" w:color="auto" w:sz="4" w:space="0"/>
            </w:tcBorders>
            <w:vAlign w:val="center"/>
          </w:tcPr>
          <w:p w14:paraId="15182954">
            <w:pPr>
              <w:spacing w:line="240" w:lineRule="auto"/>
              <w:rPr>
                <w:sz w:val="21"/>
                <w:szCs w:val="21"/>
              </w:rPr>
            </w:pPr>
            <w:r>
              <w:rPr>
                <w:rFonts w:hint="eastAsia"/>
                <w:sz w:val="21"/>
                <w:szCs w:val="21"/>
                <w:lang w:val="en-US" w:eastAsia="zh-CN"/>
              </w:rPr>
              <w:t>纸质版响应文件</w:t>
            </w:r>
            <w:r>
              <w:rPr>
                <w:sz w:val="21"/>
                <w:szCs w:val="21"/>
              </w:rPr>
              <w:t>装订要求</w:t>
            </w:r>
          </w:p>
        </w:tc>
        <w:tc>
          <w:tcPr>
            <w:tcW w:w="6100" w:type="dxa"/>
            <w:tcBorders>
              <w:top w:val="single" w:color="auto" w:sz="4" w:space="0"/>
              <w:left w:val="single" w:color="auto" w:sz="4" w:space="0"/>
              <w:bottom w:val="single" w:color="auto" w:sz="4" w:space="0"/>
              <w:right w:val="single" w:color="auto" w:sz="4" w:space="0"/>
            </w:tcBorders>
            <w:vAlign w:val="center"/>
          </w:tcPr>
          <w:p w14:paraId="250E48CE">
            <w:pPr>
              <w:spacing w:line="240" w:lineRule="auto"/>
              <w:rPr>
                <w:sz w:val="21"/>
                <w:szCs w:val="21"/>
              </w:rPr>
            </w:pPr>
            <w:r>
              <w:rPr>
                <w:rFonts w:hint="eastAsia"/>
                <w:sz w:val="21"/>
                <w:szCs w:val="21"/>
              </w:rPr>
              <w:t>响应文件必须采用左侧胶粘方式装订，装订应牢固、不易拆散和换页，不得采用活页装订。</w:t>
            </w:r>
          </w:p>
        </w:tc>
      </w:tr>
      <w:tr w14:paraId="6ECCCC1F">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BBF9179">
            <w:pPr>
              <w:spacing w:line="240" w:lineRule="auto"/>
              <w:jc w:val="both"/>
              <w:rPr>
                <w:rFonts w:cs="仿宋"/>
                <w:color w:val="000000"/>
                <w:sz w:val="21"/>
                <w:szCs w:val="21"/>
              </w:rPr>
            </w:pPr>
            <w:r>
              <w:rPr>
                <w:rFonts w:hint="eastAsia" w:cs="仿宋"/>
                <w:color w:val="000000"/>
                <w:sz w:val="21"/>
                <w:szCs w:val="21"/>
              </w:rPr>
              <w:t>4.2.2</w:t>
            </w:r>
          </w:p>
        </w:tc>
        <w:tc>
          <w:tcPr>
            <w:tcW w:w="1984" w:type="dxa"/>
            <w:tcBorders>
              <w:top w:val="single" w:color="auto" w:sz="4" w:space="0"/>
              <w:left w:val="single" w:color="auto" w:sz="4" w:space="0"/>
              <w:bottom w:val="single" w:color="auto" w:sz="4" w:space="0"/>
              <w:right w:val="single" w:color="auto" w:sz="4" w:space="0"/>
            </w:tcBorders>
            <w:vAlign w:val="center"/>
          </w:tcPr>
          <w:p w14:paraId="4FF70494">
            <w:pPr>
              <w:spacing w:line="240" w:lineRule="auto"/>
              <w:rPr>
                <w:rFonts w:cs="仿宋"/>
                <w:color w:val="000000"/>
                <w:sz w:val="21"/>
                <w:szCs w:val="21"/>
              </w:rPr>
            </w:pPr>
            <w:r>
              <w:rPr>
                <w:rFonts w:hint="eastAsia" w:cs="仿宋"/>
                <w:color w:val="000000"/>
                <w:sz w:val="21"/>
                <w:szCs w:val="21"/>
              </w:rPr>
              <w:t>递交响应文件地点</w:t>
            </w:r>
          </w:p>
        </w:tc>
        <w:tc>
          <w:tcPr>
            <w:tcW w:w="6100" w:type="dxa"/>
            <w:tcBorders>
              <w:top w:val="single" w:color="auto" w:sz="4" w:space="0"/>
              <w:left w:val="single" w:color="auto" w:sz="4" w:space="0"/>
              <w:bottom w:val="single" w:color="auto" w:sz="4" w:space="0"/>
              <w:right w:val="single" w:color="auto" w:sz="4" w:space="0"/>
            </w:tcBorders>
            <w:vAlign w:val="center"/>
          </w:tcPr>
          <w:p w14:paraId="2BE811F6">
            <w:pPr>
              <w:spacing w:line="240" w:lineRule="auto"/>
              <w:jc w:val="left"/>
              <w:rPr>
                <w:rFonts w:cs="仿宋"/>
                <w:sz w:val="21"/>
                <w:szCs w:val="21"/>
              </w:rPr>
            </w:pPr>
            <w:r>
              <w:rPr>
                <w:rFonts w:hint="eastAsia" w:cs="仿宋"/>
                <w:b/>
                <w:bCs/>
                <w:sz w:val="21"/>
                <w:szCs w:val="21"/>
              </w:rPr>
              <w:t>电子版响应文件：</w:t>
            </w:r>
            <w:r>
              <w:rPr>
                <w:rFonts w:hint="eastAsia" w:cs="仿宋"/>
                <w:sz w:val="21"/>
                <w:szCs w:val="21"/>
              </w:rPr>
              <w:t>网上递交。电子响应文件在政采云平台上直接上传响应文件。逾期未上传的响应文件，招标人不予受理。</w:t>
            </w:r>
          </w:p>
          <w:p w14:paraId="27A29294">
            <w:pPr>
              <w:spacing w:line="240" w:lineRule="auto"/>
              <w:jc w:val="left"/>
              <w:rPr>
                <w:rFonts w:cs="仿宋"/>
                <w:sz w:val="21"/>
                <w:szCs w:val="21"/>
              </w:rPr>
            </w:pPr>
            <w:r>
              <w:rPr>
                <w:rFonts w:hint="eastAsia" w:cs="仿宋"/>
                <w:b/>
                <w:bCs/>
                <w:sz w:val="21"/>
                <w:szCs w:val="21"/>
              </w:rPr>
              <w:t>纸质版响应文件：</w:t>
            </w:r>
            <w:r>
              <w:rPr>
                <w:rFonts w:hint="eastAsia" w:cs="仿宋"/>
                <w:b/>
                <w:bCs/>
                <w:sz w:val="21"/>
                <w:szCs w:val="21"/>
                <w:lang w:val="en-US" w:eastAsia="zh-CN"/>
              </w:rPr>
              <w:t>中标公示期结束后24小时内，中标单位将纸质版响应文件递交至招标代理机构</w:t>
            </w:r>
            <w:r>
              <w:rPr>
                <w:rFonts w:hint="eastAsia" w:cs="仿宋"/>
                <w:sz w:val="21"/>
                <w:szCs w:val="21"/>
              </w:rPr>
              <w:t xml:space="preserve">。 </w:t>
            </w:r>
          </w:p>
        </w:tc>
      </w:tr>
      <w:tr w14:paraId="12483FA7">
        <w:tblPrEx>
          <w:tblCellMar>
            <w:top w:w="0" w:type="dxa"/>
            <w:left w:w="108" w:type="dxa"/>
            <w:bottom w:w="0" w:type="dxa"/>
            <w:right w:w="108" w:type="dxa"/>
          </w:tblCellMar>
        </w:tblPrEx>
        <w:trPr>
          <w:trHeight w:val="376" w:hRule="atLeast"/>
          <w:jc w:val="center"/>
        </w:trPr>
        <w:tc>
          <w:tcPr>
            <w:tcW w:w="988" w:type="dxa"/>
            <w:tcBorders>
              <w:top w:val="single" w:color="auto" w:sz="4" w:space="0"/>
              <w:left w:val="single" w:color="auto" w:sz="4" w:space="0"/>
              <w:right w:val="single" w:color="auto" w:sz="4" w:space="0"/>
            </w:tcBorders>
            <w:vAlign w:val="center"/>
          </w:tcPr>
          <w:p w14:paraId="22AC19CE">
            <w:pPr>
              <w:spacing w:line="240" w:lineRule="auto"/>
              <w:rPr>
                <w:sz w:val="21"/>
                <w:szCs w:val="21"/>
              </w:rPr>
            </w:pPr>
            <w:r>
              <w:rPr>
                <w:rFonts w:hint="eastAsia"/>
                <w:sz w:val="21"/>
                <w:szCs w:val="21"/>
              </w:rPr>
              <w:t>5.2</w:t>
            </w:r>
          </w:p>
        </w:tc>
        <w:tc>
          <w:tcPr>
            <w:tcW w:w="1984" w:type="dxa"/>
            <w:tcBorders>
              <w:top w:val="single" w:color="auto" w:sz="4" w:space="0"/>
              <w:left w:val="single" w:color="auto" w:sz="4" w:space="0"/>
              <w:right w:val="single" w:color="auto" w:sz="4" w:space="0"/>
            </w:tcBorders>
            <w:vAlign w:val="center"/>
          </w:tcPr>
          <w:p w14:paraId="5185040C">
            <w:pPr>
              <w:spacing w:line="240" w:lineRule="auto"/>
              <w:rPr>
                <w:sz w:val="21"/>
                <w:szCs w:val="21"/>
              </w:rPr>
            </w:pPr>
            <w:r>
              <w:rPr>
                <w:rFonts w:hint="eastAsia"/>
                <w:sz w:val="21"/>
                <w:szCs w:val="21"/>
              </w:rPr>
              <w:t>开标程序</w:t>
            </w:r>
          </w:p>
        </w:tc>
        <w:tc>
          <w:tcPr>
            <w:tcW w:w="6100" w:type="dxa"/>
            <w:tcBorders>
              <w:top w:val="single" w:color="auto" w:sz="4" w:space="0"/>
              <w:left w:val="single" w:color="auto" w:sz="4" w:space="0"/>
              <w:right w:val="single" w:color="auto" w:sz="4" w:space="0"/>
            </w:tcBorders>
            <w:vAlign w:val="center"/>
          </w:tcPr>
          <w:p w14:paraId="71AC60C6">
            <w:pPr>
              <w:spacing w:line="240" w:lineRule="auto"/>
              <w:rPr>
                <w:sz w:val="21"/>
                <w:szCs w:val="21"/>
              </w:rPr>
            </w:pPr>
            <w:r>
              <w:rPr>
                <w:rFonts w:hint="eastAsia"/>
                <w:sz w:val="21"/>
                <w:szCs w:val="21"/>
              </w:rPr>
              <w:t>1、</w:t>
            </w:r>
            <w:r>
              <w:rPr>
                <w:rFonts w:hint="eastAsia"/>
                <w:sz w:val="21"/>
                <w:szCs w:val="21"/>
                <w:lang w:val="zh-CN"/>
              </w:rPr>
              <w:t>本项目采用全流程电子化招投标</w:t>
            </w:r>
            <w:r>
              <w:rPr>
                <w:rFonts w:hint="eastAsia"/>
                <w:sz w:val="21"/>
                <w:szCs w:val="21"/>
              </w:rPr>
              <w:t>，</w:t>
            </w:r>
            <w:r>
              <w:rPr>
                <w:rFonts w:hint="eastAsia"/>
                <w:sz w:val="21"/>
                <w:szCs w:val="21"/>
                <w:lang w:val="zh-CN"/>
              </w:rPr>
              <w:t>开标方式为远程开标</w:t>
            </w:r>
            <w:r>
              <w:rPr>
                <w:rFonts w:hint="eastAsia"/>
                <w:sz w:val="21"/>
                <w:szCs w:val="21"/>
              </w:rPr>
              <w:t>，</w:t>
            </w:r>
            <w:r>
              <w:rPr>
                <w:rFonts w:hint="eastAsia"/>
                <w:sz w:val="21"/>
                <w:szCs w:val="21"/>
                <w:lang w:val="zh-CN"/>
              </w:rPr>
              <w:t>供应商</w:t>
            </w:r>
            <w:r>
              <w:rPr>
                <w:rFonts w:hint="eastAsia"/>
                <w:sz w:val="21"/>
                <w:szCs w:val="21"/>
              </w:rPr>
              <w:t>在</w:t>
            </w:r>
            <w:r>
              <w:rPr>
                <w:rFonts w:hint="eastAsia"/>
                <w:sz w:val="21"/>
                <w:szCs w:val="21"/>
                <w:lang w:val="zh-CN"/>
              </w:rPr>
              <w:t>提交响应文件截止时间前通过政府采购云平台</w:t>
            </w:r>
            <w:r>
              <w:rPr>
                <w:rFonts w:hint="eastAsia"/>
                <w:sz w:val="21"/>
                <w:szCs w:val="21"/>
              </w:rPr>
              <w:t>（</w:t>
            </w:r>
            <w:r>
              <w:rPr>
                <w:rFonts w:hint="eastAsia"/>
                <w:sz w:val="21"/>
                <w:szCs w:val="21"/>
                <w:lang w:val="zh-CN"/>
              </w:rPr>
              <w:t>网址</w:t>
            </w:r>
            <w:r>
              <w:rPr>
                <w:rFonts w:hint="eastAsia"/>
                <w:sz w:val="21"/>
                <w:szCs w:val="21"/>
              </w:rPr>
              <w:t>：http://www.zcygov.cn）</w:t>
            </w:r>
            <w:r>
              <w:rPr>
                <w:rFonts w:hint="eastAsia"/>
                <w:sz w:val="21"/>
                <w:szCs w:val="21"/>
                <w:lang w:val="zh-CN"/>
              </w:rPr>
              <w:t>递交电子投标</w:t>
            </w:r>
            <w:r>
              <w:rPr>
                <w:rFonts w:hint="eastAsia"/>
                <w:sz w:val="21"/>
                <w:szCs w:val="21"/>
              </w:rPr>
              <w:t>（</w:t>
            </w:r>
            <w:r>
              <w:rPr>
                <w:rFonts w:hint="eastAsia"/>
                <w:sz w:val="21"/>
                <w:szCs w:val="21"/>
                <w:lang w:val="zh-CN"/>
              </w:rPr>
              <w:t>响应</w:t>
            </w:r>
            <w:r>
              <w:rPr>
                <w:rFonts w:hint="eastAsia"/>
                <w:sz w:val="21"/>
                <w:szCs w:val="21"/>
              </w:rPr>
              <w:t>）</w:t>
            </w:r>
            <w:r>
              <w:rPr>
                <w:rFonts w:hint="eastAsia"/>
                <w:sz w:val="21"/>
                <w:szCs w:val="21"/>
                <w:lang w:val="zh-CN"/>
              </w:rPr>
              <w:t>文件</w:t>
            </w:r>
            <w:r>
              <w:rPr>
                <w:rFonts w:hint="eastAsia"/>
                <w:sz w:val="21"/>
                <w:szCs w:val="21"/>
              </w:rPr>
              <w:t>，</w:t>
            </w:r>
            <w:r>
              <w:rPr>
                <w:rFonts w:hint="eastAsia"/>
                <w:sz w:val="21"/>
                <w:szCs w:val="21"/>
                <w:lang w:val="zh-CN"/>
              </w:rPr>
              <w:t>并按照现场工作人员通知使用</w:t>
            </w:r>
            <w:r>
              <w:rPr>
                <w:rFonts w:hint="eastAsia"/>
                <w:sz w:val="21"/>
                <w:szCs w:val="21"/>
              </w:rPr>
              <w:t>CA</w:t>
            </w:r>
            <w:r>
              <w:rPr>
                <w:rFonts w:hint="eastAsia"/>
                <w:sz w:val="21"/>
                <w:szCs w:val="21"/>
                <w:lang w:val="zh-CN"/>
              </w:rPr>
              <w:t>锁进行投标</w:t>
            </w:r>
            <w:r>
              <w:rPr>
                <w:rFonts w:hint="eastAsia"/>
                <w:sz w:val="21"/>
                <w:szCs w:val="21"/>
              </w:rPr>
              <w:t>（</w:t>
            </w:r>
            <w:r>
              <w:rPr>
                <w:rFonts w:hint="eastAsia"/>
                <w:sz w:val="21"/>
                <w:szCs w:val="21"/>
                <w:lang w:val="zh-CN"/>
              </w:rPr>
              <w:t>响应</w:t>
            </w:r>
            <w:r>
              <w:rPr>
                <w:rFonts w:hint="eastAsia"/>
                <w:sz w:val="21"/>
                <w:szCs w:val="21"/>
              </w:rPr>
              <w:t>）</w:t>
            </w:r>
            <w:r>
              <w:rPr>
                <w:rFonts w:hint="eastAsia"/>
                <w:sz w:val="21"/>
                <w:szCs w:val="21"/>
                <w:lang w:val="zh-CN"/>
              </w:rPr>
              <w:t>文件远程解密。</w:t>
            </w:r>
          </w:p>
          <w:p w14:paraId="1794EAA6">
            <w:pPr>
              <w:spacing w:line="240" w:lineRule="auto"/>
              <w:rPr>
                <w:rFonts w:hint="eastAsia"/>
                <w:sz w:val="21"/>
                <w:szCs w:val="21"/>
                <w:lang w:val="zh-CN"/>
              </w:rPr>
            </w:pPr>
            <w:r>
              <w:rPr>
                <w:rFonts w:hint="eastAsia"/>
                <w:sz w:val="21"/>
                <w:szCs w:val="21"/>
              </w:rPr>
              <w:t>2、</w:t>
            </w:r>
            <w:r>
              <w:rPr>
                <w:rFonts w:hint="eastAsia"/>
                <w:sz w:val="21"/>
                <w:szCs w:val="21"/>
                <w:lang w:val="zh-CN"/>
              </w:rPr>
              <w:t>电子</w:t>
            </w:r>
            <w:r>
              <w:rPr>
                <w:rFonts w:hint="eastAsia"/>
                <w:sz w:val="21"/>
                <w:szCs w:val="21"/>
              </w:rPr>
              <w:t>投标</w:t>
            </w:r>
            <w:r>
              <w:rPr>
                <w:rFonts w:hint="eastAsia"/>
                <w:sz w:val="21"/>
                <w:szCs w:val="21"/>
                <w:lang w:val="zh-CN"/>
              </w:rPr>
              <w:t>文件解密期限及方式：开</w:t>
            </w:r>
            <w:r>
              <w:rPr>
                <w:rFonts w:hint="eastAsia"/>
                <w:sz w:val="21"/>
                <w:szCs w:val="21"/>
              </w:rPr>
              <w:t>标</w:t>
            </w:r>
            <w:r>
              <w:rPr>
                <w:rFonts w:hint="eastAsia"/>
                <w:sz w:val="21"/>
                <w:szCs w:val="21"/>
                <w:lang w:val="zh-CN"/>
              </w:rPr>
              <w:t>时间后</w:t>
            </w:r>
            <w:r>
              <w:rPr>
                <w:rFonts w:hint="eastAsia"/>
                <w:sz w:val="21"/>
                <w:szCs w:val="21"/>
              </w:rPr>
              <w:t>30</w:t>
            </w:r>
            <w:r>
              <w:rPr>
                <w:rFonts w:hint="eastAsia"/>
                <w:sz w:val="21"/>
                <w:szCs w:val="21"/>
                <w:lang w:val="zh-CN"/>
              </w:rPr>
              <w:t>分钟内，由供应商持制作该电子</w:t>
            </w:r>
            <w:r>
              <w:rPr>
                <w:rFonts w:hint="eastAsia"/>
                <w:sz w:val="21"/>
                <w:szCs w:val="21"/>
              </w:rPr>
              <w:t>投标</w:t>
            </w:r>
            <w:r>
              <w:rPr>
                <w:rFonts w:hint="eastAsia"/>
                <w:sz w:val="21"/>
                <w:szCs w:val="21"/>
                <w:lang w:val="zh-CN"/>
              </w:rPr>
              <w:t>文件的同一数字证书（CA锁）及电脑进行远程解密（各</w:t>
            </w:r>
            <w:r>
              <w:rPr>
                <w:rFonts w:hint="eastAsia"/>
                <w:sz w:val="21"/>
                <w:szCs w:val="21"/>
              </w:rPr>
              <w:t>供应商开标</w:t>
            </w:r>
            <w:r>
              <w:rPr>
                <w:rFonts w:hint="eastAsia"/>
                <w:sz w:val="21"/>
                <w:szCs w:val="21"/>
                <w:lang w:val="zh-CN"/>
              </w:rPr>
              <w:t>前及网上开评标系统公布</w:t>
            </w:r>
            <w:r>
              <w:rPr>
                <w:rFonts w:hint="eastAsia"/>
                <w:sz w:val="21"/>
                <w:szCs w:val="21"/>
              </w:rPr>
              <w:t>供应商</w:t>
            </w:r>
            <w:r>
              <w:rPr>
                <w:rFonts w:hint="eastAsia"/>
                <w:sz w:val="21"/>
                <w:szCs w:val="21"/>
                <w:lang w:val="zh-CN"/>
              </w:rPr>
              <w:t>名单前，不要提前进行远程解密；具体解密时间在直播时采购代理机构工作人员会进行通知）。</w:t>
            </w:r>
            <w:r>
              <w:rPr>
                <w:rFonts w:hint="eastAsia"/>
                <w:sz w:val="21"/>
                <w:szCs w:val="21"/>
              </w:rPr>
              <w:t>投标</w:t>
            </w:r>
            <w:r>
              <w:rPr>
                <w:rFonts w:hint="eastAsia"/>
                <w:sz w:val="21"/>
                <w:szCs w:val="21"/>
                <w:lang w:val="zh-CN"/>
              </w:rPr>
              <w:t>文件解密截止时间后，“政采云”平台公布</w:t>
            </w:r>
            <w:r>
              <w:rPr>
                <w:rFonts w:hint="eastAsia"/>
                <w:sz w:val="21"/>
                <w:szCs w:val="21"/>
              </w:rPr>
              <w:t>投标</w:t>
            </w:r>
            <w:r>
              <w:rPr>
                <w:rFonts w:hint="eastAsia"/>
                <w:sz w:val="21"/>
                <w:szCs w:val="21"/>
                <w:lang w:val="zh-CN"/>
              </w:rPr>
              <w:t>报价信息，供应商持企业数字证书登录“政采云”平台在线查询</w:t>
            </w:r>
            <w:r>
              <w:rPr>
                <w:rFonts w:hint="eastAsia"/>
                <w:sz w:val="21"/>
                <w:szCs w:val="21"/>
              </w:rPr>
              <w:t>投标</w:t>
            </w:r>
            <w:r>
              <w:rPr>
                <w:rFonts w:hint="eastAsia"/>
                <w:sz w:val="21"/>
                <w:szCs w:val="21"/>
                <w:lang w:val="zh-CN"/>
              </w:rPr>
              <w:t>报价信息。因供应商自身原因未能按时完成解密的，视为逾期未提交投标响应文件，其投标无效。</w:t>
            </w:r>
          </w:p>
          <w:p w14:paraId="059B5CCB">
            <w:pPr>
              <w:spacing w:line="240" w:lineRule="auto"/>
              <w:rPr>
                <w:sz w:val="21"/>
                <w:szCs w:val="21"/>
              </w:rPr>
            </w:pPr>
            <w:r>
              <w:rPr>
                <w:rFonts w:hint="eastAsia"/>
                <w:sz w:val="21"/>
                <w:szCs w:val="21"/>
                <w:lang w:val="en-US" w:eastAsia="zh-CN"/>
              </w:rPr>
              <w:t>3、磋商二次报价（最终报价）：通过初步评审的供应商，在规定的二次报价时间内，在政采云平台上进行二次报价，超过时间未进行二次报价的供应商，</w:t>
            </w:r>
            <w:r>
              <w:rPr>
                <w:rFonts w:hint="eastAsia"/>
                <w:sz w:val="21"/>
                <w:szCs w:val="21"/>
                <w:lang w:val="zh-CN"/>
              </w:rPr>
              <w:t>其投标无效。</w:t>
            </w:r>
          </w:p>
        </w:tc>
      </w:tr>
      <w:tr w14:paraId="3A14E589">
        <w:tblPrEx>
          <w:tblCellMar>
            <w:top w:w="0" w:type="dxa"/>
            <w:left w:w="108" w:type="dxa"/>
            <w:bottom w:w="0" w:type="dxa"/>
            <w:right w:w="108" w:type="dxa"/>
          </w:tblCellMar>
        </w:tblPrEx>
        <w:trPr>
          <w:trHeight w:val="936" w:hRule="atLeast"/>
          <w:jc w:val="center"/>
        </w:trPr>
        <w:tc>
          <w:tcPr>
            <w:tcW w:w="988" w:type="dxa"/>
            <w:tcBorders>
              <w:top w:val="single" w:color="auto" w:sz="4" w:space="0"/>
              <w:left w:val="single" w:color="auto" w:sz="4" w:space="0"/>
              <w:right w:val="single" w:color="auto" w:sz="4" w:space="0"/>
            </w:tcBorders>
            <w:vAlign w:val="center"/>
          </w:tcPr>
          <w:p w14:paraId="33D78C93">
            <w:pPr>
              <w:spacing w:line="240" w:lineRule="auto"/>
              <w:rPr>
                <w:sz w:val="21"/>
                <w:szCs w:val="21"/>
              </w:rPr>
            </w:pPr>
            <w:r>
              <w:rPr>
                <w:sz w:val="21"/>
                <w:szCs w:val="21"/>
              </w:rPr>
              <w:t>6.1.1</w:t>
            </w:r>
          </w:p>
        </w:tc>
        <w:tc>
          <w:tcPr>
            <w:tcW w:w="1984" w:type="dxa"/>
            <w:tcBorders>
              <w:top w:val="single" w:color="auto" w:sz="4" w:space="0"/>
              <w:left w:val="single" w:color="auto" w:sz="4" w:space="0"/>
              <w:right w:val="single" w:color="auto" w:sz="4" w:space="0"/>
            </w:tcBorders>
            <w:vAlign w:val="center"/>
          </w:tcPr>
          <w:p w14:paraId="41B091FE">
            <w:pPr>
              <w:spacing w:line="240" w:lineRule="auto"/>
              <w:rPr>
                <w:sz w:val="21"/>
                <w:szCs w:val="21"/>
              </w:rPr>
            </w:pPr>
            <w:r>
              <w:rPr>
                <w:rFonts w:hint="eastAsia"/>
                <w:sz w:val="21"/>
                <w:szCs w:val="21"/>
              </w:rPr>
              <w:t>磋商小组的组建</w:t>
            </w:r>
          </w:p>
        </w:tc>
        <w:tc>
          <w:tcPr>
            <w:tcW w:w="6100" w:type="dxa"/>
            <w:tcBorders>
              <w:top w:val="single" w:color="auto" w:sz="4" w:space="0"/>
              <w:left w:val="single" w:color="auto" w:sz="4" w:space="0"/>
              <w:right w:val="single" w:color="auto" w:sz="4" w:space="0"/>
            </w:tcBorders>
            <w:vAlign w:val="center"/>
          </w:tcPr>
          <w:p w14:paraId="2C0B0BF5">
            <w:pPr>
              <w:autoSpaceDE w:val="0"/>
              <w:autoSpaceDN w:val="0"/>
              <w:adjustRightInd w:val="0"/>
              <w:spacing w:line="240" w:lineRule="auto"/>
              <w:ind w:left="105" w:hanging="105" w:hangingChars="50"/>
              <w:jc w:val="left"/>
              <w:rPr>
                <w:sz w:val="21"/>
                <w:szCs w:val="21"/>
              </w:rPr>
            </w:pPr>
            <w:r>
              <w:rPr>
                <w:rFonts w:hint="eastAsia"/>
                <w:sz w:val="21"/>
                <w:szCs w:val="21"/>
              </w:rPr>
              <w:t>磋商小组构成：</w:t>
            </w:r>
            <w:r>
              <w:rPr>
                <w:rFonts w:cs="宋体" w:hAnsiTheme="minorHAnsi"/>
                <w:kern w:val="0"/>
                <w:sz w:val="21"/>
                <w:szCs w:val="21"/>
                <w:u w:val="single"/>
              </w:rPr>
              <w:t xml:space="preserve"> 3 </w:t>
            </w:r>
            <w:r>
              <w:rPr>
                <w:rFonts w:hint="eastAsia" w:cs="宋体" w:hAnsiTheme="minorHAnsi"/>
                <w:kern w:val="0"/>
                <w:sz w:val="21"/>
                <w:szCs w:val="21"/>
              </w:rPr>
              <w:t>人，其中采购人代表</w:t>
            </w:r>
            <w:r>
              <w:rPr>
                <w:rFonts w:hint="eastAsia" w:cs="宋体" w:hAnsiTheme="minorHAnsi"/>
                <w:kern w:val="0"/>
                <w:sz w:val="21"/>
                <w:szCs w:val="21"/>
                <w:u w:val="single"/>
              </w:rPr>
              <w:t xml:space="preserve"> </w:t>
            </w:r>
            <w:r>
              <w:rPr>
                <w:rFonts w:cs="宋体" w:hAnsiTheme="minorHAnsi"/>
                <w:kern w:val="0"/>
                <w:sz w:val="21"/>
                <w:szCs w:val="21"/>
                <w:u w:val="single"/>
              </w:rPr>
              <w:t xml:space="preserve">0-1 </w:t>
            </w:r>
            <w:r>
              <w:rPr>
                <w:rFonts w:hint="eastAsia" w:cs="宋体" w:hAnsiTheme="minorHAnsi"/>
                <w:kern w:val="0"/>
                <w:sz w:val="21"/>
                <w:szCs w:val="21"/>
              </w:rPr>
              <w:t xml:space="preserve">人，专家 </w:t>
            </w:r>
            <w:r>
              <w:rPr>
                <w:rFonts w:cs="宋体" w:hAnsiTheme="minorHAnsi"/>
                <w:kern w:val="0"/>
                <w:sz w:val="21"/>
                <w:szCs w:val="21"/>
                <w:u w:val="single"/>
              </w:rPr>
              <w:t xml:space="preserve">2-3 </w:t>
            </w:r>
            <w:r>
              <w:rPr>
                <w:rFonts w:hint="eastAsia" w:cs="宋体" w:hAnsiTheme="minorHAnsi"/>
                <w:kern w:val="0"/>
                <w:sz w:val="21"/>
                <w:szCs w:val="21"/>
              </w:rPr>
              <w:t>人</w:t>
            </w:r>
            <w:r>
              <w:rPr>
                <w:rFonts w:hint="eastAsia"/>
                <w:sz w:val="21"/>
                <w:szCs w:val="21"/>
              </w:rPr>
              <w:t>；</w:t>
            </w:r>
          </w:p>
          <w:p w14:paraId="128C592F">
            <w:pPr>
              <w:spacing w:line="240" w:lineRule="auto"/>
              <w:rPr>
                <w:sz w:val="21"/>
                <w:szCs w:val="21"/>
              </w:rPr>
            </w:pPr>
            <w:r>
              <w:rPr>
                <w:rFonts w:hint="eastAsia"/>
                <w:sz w:val="21"/>
                <w:szCs w:val="21"/>
              </w:rPr>
              <w:t>评标专家确定方式：</w:t>
            </w:r>
            <w:r>
              <w:rPr>
                <w:rFonts w:hint="eastAsia" w:cs="宋体" w:hAnsiTheme="minorHAnsi"/>
                <w:kern w:val="0"/>
                <w:sz w:val="21"/>
                <w:szCs w:val="21"/>
              </w:rPr>
              <w:t>在政府采购监管部门认定的评标专家库中随机抽取</w:t>
            </w:r>
            <w:r>
              <w:rPr>
                <w:rFonts w:hint="eastAsia"/>
                <w:sz w:val="21"/>
                <w:szCs w:val="21"/>
              </w:rPr>
              <w:t>。</w:t>
            </w:r>
          </w:p>
        </w:tc>
      </w:tr>
      <w:tr w14:paraId="680172F4">
        <w:tblPrEx>
          <w:tblCellMar>
            <w:top w:w="0" w:type="dxa"/>
            <w:left w:w="108" w:type="dxa"/>
            <w:bottom w:w="0" w:type="dxa"/>
            <w:right w:w="108" w:type="dxa"/>
          </w:tblCellMar>
        </w:tblPrEx>
        <w:trPr>
          <w:trHeight w:val="414"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9ACEAC">
            <w:pPr>
              <w:spacing w:line="240" w:lineRule="auto"/>
              <w:rPr>
                <w:sz w:val="21"/>
                <w:szCs w:val="21"/>
              </w:rPr>
            </w:pPr>
            <w:r>
              <w:rPr>
                <w:sz w:val="21"/>
                <w:szCs w:val="21"/>
              </w:rPr>
              <w:t>7.1</w:t>
            </w:r>
          </w:p>
        </w:tc>
        <w:tc>
          <w:tcPr>
            <w:tcW w:w="1984" w:type="dxa"/>
            <w:tcBorders>
              <w:top w:val="single" w:color="auto" w:sz="4" w:space="0"/>
              <w:left w:val="single" w:color="auto" w:sz="4" w:space="0"/>
              <w:bottom w:val="single" w:color="auto" w:sz="4" w:space="0"/>
              <w:right w:val="single" w:color="auto" w:sz="4" w:space="0"/>
            </w:tcBorders>
            <w:vAlign w:val="center"/>
          </w:tcPr>
          <w:p w14:paraId="1AD7767A">
            <w:pPr>
              <w:spacing w:line="240" w:lineRule="auto"/>
              <w:rPr>
                <w:sz w:val="21"/>
                <w:szCs w:val="21"/>
              </w:rPr>
            </w:pPr>
            <w:r>
              <w:rPr>
                <w:rFonts w:hint="eastAsia"/>
                <w:sz w:val="21"/>
                <w:szCs w:val="21"/>
              </w:rPr>
              <w:t>是否授权磋商小组确定中标人</w:t>
            </w:r>
          </w:p>
        </w:tc>
        <w:tc>
          <w:tcPr>
            <w:tcW w:w="6100" w:type="dxa"/>
            <w:tcBorders>
              <w:top w:val="single" w:color="auto" w:sz="4" w:space="0"/>
              <w:left w:val="single" w:color="auto" w:sz="4" w:space="0"/>
              <w:bottom w:val="single" w:color="auto" w:sz="4" w:space="0"/>
              <w:right w:val="single" w:color="auto" w:sz="4" w:space="0"/>
            </w:tcBorders>
            <w:vAlign w:val="center"/>
          </w:tcPr>
          <w:p w14:paraId="10BFCE8D">
            <w:pPr>
              <w:spacing w:line="240" w:lineRule="auto"/>
              <w:rPr>
                <w:sz w:val="21"/>
                <w:szCs w:val="21"/>
              </w:rPr>
            </w:pPr>
            <w:r>
              <w:rPr>
                <w:rFonts w:hint="eastAsia"/>
                <w:sz w:val="21"/>
                <w:szCs w:val="21"/>
              </w:rPr>
              <w:t>否，</w:t>
            </w:r>
            <w:r>
              <w:rPr>
                <w:sz w:val="21"/>
                <w:szCs w:val="21"/>
              </w:rPr>
              <w:t>推荐的中标候选人数</w:t>
            </w:r>
            <w:r>
              <w:rPr>
                <w:rFonts w:hint="eastAsia"/>
                <w:sz w:val="21"/>
                <w:szCs w:val="21"/>
              </w:rPr>
              <w:t>：3人</w:t>
            </w:r>
          </w:p>
        </w:tc>
      </w:tr>
      <w:tr w14:paraId="1139F29B">
        <w:tblPrEx>
          <w:tblCellMar>
            <w:top w:w="0" w:type="dxa"/>
            <w:left w:w="108" w:type="dxa"/>
            <w:bottom w:w="0" w:type="dxa"/>
            <w:right w:w="108" w:type="dxa"/>
          </w:tblCellMar>
        </w:tblPrEx>
        <w:trPr>
          <w:trHeight w:val="47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0F3F53C">
            <w:pPr>
              <w:spacing w:line="240" w:lineRule="auto"/>
              <w:rPr>
                <w:sz w:val="21"/>
                <w:szCs w:val="21"/>
              </w:rPr>
            </w:pPr>
            <w:r>
              <w:rPr>
                <w:rFonts w:hint="eastAsia"/>
                <w:sz w:val="21"/>
                <w:szCs w:val="21"/>
              </w:rPr>
              <w:t>7.2</w:t>
            </w:r>
          </w:p>
        </w:tc>
        <w:tc>
          <w:tcPr>
            <w:tcW w:w="1984" w:type="dxa"/>
            <w:tcBorders>
              <w:top w:val="single" w:color="auto" w:sz="4" w:space="0"/>
              <w:left w:val="single" w:color="auto" w:sz="4" w:space="0"/>
              <w:bottom w:val="single" w:color="auto" w:sz="4" w:space="0"/>
              <w:right w:val="single" w:color="auto" w:sz="4" w:space="0"/>
            </w:tcBorders>
            <w:vAlign w:val="center"/>
          </w:tcPr>
          <w:p w14:paraId="58C748CF">
            <w:pPr>
              <w:spacing w:line="240" w:lineRule="auto"/>
              <w:rPr>
                <w:sz w:val="21"/>
                <w:szCs w:val="21"/>
              </w:rPr>
            </w:pPr>
            <w:r>
              <w:rPr>
                <w:rFonts w:hint="eastAsia"/>
                <w:sz w:val="21"/>
                <w:szCs w:val="21"/>
              </w:rPr>
              <w:t>中标结果公示媒介</w:t>
            </w:r>
          </w:p>
        </w:tc>
        <w:tc>
          <w:tcPr>
            <w:tcW w:w="6100" w:type="dxa"/>
            <w:tcBorders>
              <w:top w:val="single" w:color="auto" w:sz="4" w:space="0"/>
              <w:left w:val="single" w:color="auto" w:sz="4" w:space="0"/>
              <w:bottom w:val="single" w:color="auto" w:sz="4" w:space="0"/>
              <w:right w:val="single" w:color="auto" w:sz="4" w:space="0"/>
            </w:tcBorders>
            <w:vAlign w:val="center"/>
          </w:tcPr>
          <w:p w14:paraId="26F783BE">
            <w:pPr>
              <w:spacing w:line="240" w:lineRule="auto"/>
              <w:rPr>
                <w:sz w:val="21"/>
                <w:szCs w:val="21"/>
              </w:rPr>
            </w:pPr>
            <w:r>
              <w:rPr>
                <w:rFonts w:hint="eastAsia"/>
                <w:sz w:val="21"/>
                <w:szCs w:val="21"/>
                <w:lang w:val="zh-CN"/>
              </w:rPr>
              <w:t>中标结果将在竞争性磋商公告发布的媒体进行公示，有效期为1工作</w:t>
            </w:r>
            <w:r>
              <w:rPr>
                <w:sz w:val="21"/>
                <w:szCs w:val="21"/>
                <w:lang w:val="zh-CN"/>
              </w:rPr>
              <w:t>日</w:t>
            </w:r>
            <w:r>
              <w:rPr>
                <w:rFonts w:hint="eastAsia"/>
                <w:sz w:val="21"/>
                <w:szCs w:val="21"/>
                <w:lang w:val="zh-CN"/>
              </w:rPr>
              <w:t>。</w:t>
            </w:r>
          </w:p>
        </w:tc>
      </w:tr>
      <w:tr w14:paraId="54FB57B3">
        <w:tblPrEx>
          <w:tblCellMar>
            <w:top w:w="0" w:type="dxa"/>
            <w:left w:w="108" w:type="dxa"/>
            <w:bottom w:w="0" w:type="dxa"/>
            <w:right w:w="108" w:type="dxa"/>
          </w:tblCellMar>
        </w:tblPrEx>
        <w:trPr>
          <w:trHeight w:val="47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33276540">
            <w:pPr>
              <w:spacing w:line="240" w:lineRule="auto"/>
              <w:rPr>
                <w:sz w:val="21"/>
                <w:szCs w:val="21"/>
              </w:rPr>
            </w:pPr>
            <w:r>
              <w:rPr>
                <w:rFonts w:hint="eastAsia"/>
                <w:sz w:val="21"/>
                <w:szCs w:val="21"/>
              </w:rPr>
              <w:t>7</w:t>
            </w:r>
            <w:r>
              <w:rPr>
                <w:sz w:val="21"/>
                <w:szCs w:val="21"/>
              </w:rPr>
              <w:t>.4.1</w:t>
            </w:r>
          </w:p>
        </w:tc>
        <w:tc>
          <w:tcPr>
            <w:tcW w:w="1984" w:type="dxa"/>
            <w:tcBorders>
              <w:top w:val="single" w:color="auto" w:sz="4" w:space="0"/>
              <w:left w:val="single" w:color="auto" w:sz="4" w:space="0"/>
              <w:bottom w:val="single" w:color="auto" w:sz="4" w:space="0"/>
              <w:right w:val="single" w:color="auto" w:sz="4" w:space="0"/>
            </w:tcBorders>
            <w:vAlign w:val="center"/>
          </w:tcPr>
          <w:p w14:paraId="1FB6FBF8">
            <w:pPr>
              <w:spacing w:line="240" w:lineRule="auto"/>
              <w:rPr>
                <w:sz w:val="21"/>
                <w:szCs w:val="21"/>
                <w:highlight w:val="none"/>
              </w:rPr>
            </w:pPr>
            <w:r>
              <w:rPr>
                <w:rFonts w:hint="eastAsia"/>
                <w:sz w:val="21"/>
                <w:szCs w:val="21"/>
                <w:highlight w:val="none"/>
              </w:rPr>
              <w:t>履约保证金</w:t>
            </w:r>
          </w:p>
        </w:tc>
        <w:tc>
          <w:tcPr>
            <w:tcW w:w="6100" w:type="dxa"/>
            <w:tcBorders>
              <w:top w:val="single" w:color="auto" w:sz="4" w:space="0"/>
              <w:left w:val="single" w:color="auto" w:sz="4" w:space="0"/>
              <w:bottom w:val="single" w:color="auto" w:sz="4" w:space="0"/>
              <w:right w:val="single" w:color="auto" w:sz="4" w:space="0"/>
            </w:tcBorders>
            <w:vAlign w:val="center"/>
          </w:tcPr>
          <w:p w14:paraId="3E3A4D16">
            <w:pPr>
              <w:autoSpaceDE w:val="0"/>
              <w:autoSpaceDN w:val="0"/>
              <w:adjustRightInd w:val="0"/>
              <w:spacing w:line="240" w:lineRule="auto"/>
              <w:jc w:val="left"/>
              <w:rPr>
                <w:rFonts w:cs="宋体" w:hAnsiTheme="minorHAnsi"/>
                <w:kern w:val="0"/>
                <w:sz w:val="21"/>
                <w:szCs w:val="21"/>
                <w:highlight w:val="none"/>
              </w:rPr>
            </w:pPr>
            <w:r>
              <w:rPr>
                <w:rFonts w:hint="eastAsia" w:cs="宋体" w:hAnsiTheme="minorHAnsi"/>
                <w:kern w:val="0"/>
                <w:sz w:val="21"/>
                <w:szCs w:val="21"/>
                <w:highlight w:val="none"/>
              </w:rPr>
              <w:t>是否要求中标供应商提交履约保证金：</w:t>
            </w:r>
          </w:p>
          <w:p w14:paraId="0E11E107">
            <w:pPr>
              <w:autoSpaceDE w:val="0"/>
              <w:autoSpaceDN w:val="0"/>
              <w:adjustRightInd w:val="0"/>
              <w:spacing w:line="240" w:lineRule="auto"/>
              <w:jc w:val="left"/>
              <w:rPr>
                <w:rFonts w:cs="宋体" w:hAnsiTheme="minorHAnsi"/>
                <w:kern w:val="0"/>
                <w:sz w:val="21"/>
                <w:szCs w:val="21"/>
                <w:highlight w:val="none"/>
              </w:rPr>
            </w:pPr>
            <w:r>
              <w:rPr>
                <w:rFonts w:hint="eastAsia" w:cs="宋体" w:hAnsiTheme="minorHAnsi"/>
                <w:kern w:val="0"/>
                <w:sz w:val="21"/>
                <w:szCs w:val="21"/>
                <w:highlight w:val="none"/>
              </w:rPr>
              <w:t>□要求，履约担保形式：</w:t>
            </w:r>
            <w:r>
              <w:rPr>
                <w:rFonts w:cs="宋体" w:hAnsiTheme="minorHAnsi"/>
                <w:kern w:val="0"/>
                <w:sz w:val="21"/>
                <w:szCs w:val="21"/>
                <w:highlight w:val="none"/>
              </w:rPr>
              <w:t>/</w:t>
            </w:r>
          </w:p>
          <w:p w14:paraId="56F3579D">
            <w:pPr>
              <w:autoSpaceDE w:val="0"/>
              <w:autoSpaceDN w:val="0"/>
              <w:adjustRightInd w:val="0"/>
              <w:spacing w:line="240" w:lineRule="auto"/>
              <w:jc w:val="left"/>
              <w:rPr>
                <w:rFonts w:cs="宋体" w:hAnsiTheme="minorHAnsi"/>
                <w:kern w:val="0"/>
                <w:sz w:val="21"/>
                <w:szCs w:val="21"/>
                <w:highlight w:val="none"/>
              </w:rPr>
            </w:pPr>
            <w:r>
              <w:rPr>
                <w:rFonts w:hint="eastAsia" w:cs="宋体" w:hAnsiTheme="minorHAnsi"/>
                <w:kern w:val="0"/>
                <w:sz w:val="21"/>
                <w:szCs w:val="21"/>
                <w:highlight w:val="none"/>
              </w:rPr>
              <w:t>履约保证金的金额：</w:t>
            </w:r>
            <w:r>
              <w:rPr>
                <w:rFonts w:cs="宋体" w:hAnsiTheme="minorHAnsi"/>
                <w:kern w:val="0"/>
                <w:sz w:val="21"/>
                <w:szCs w:val="21"/>
                <w:highlight w:val="none"/>
              </w:rPr>
              <w:t>/</w:t>
            </w:r>
          </w:p>
          <w:p w14:paraId="17BA24B8">
            <w:pPr>
              <w:spacing w:line="240" w:lineRule="auto"/>
              <w:rPr>
                <w:sz w:val="21"/>
                <w:szCs w:val="21"/>
                <w:highlight w:val="none"/>
                <w:lang w:val="zh-CN"/>
              </w:rPr>
            </w:pPr>
            <w:r>
              <w:rPr>
                <w:rFonts w:hint="eastAsia"/>
                <w:bCs/>
                <w:sz w:val="21"/>
                <w:szCs w:val="21"/>
                <w:highlight w:val="none"/>
              </w:rPr>
              <w:sym w:font="Wingdings" w:char="F0FE"/>
            </w:r>
            <w:r>
              <w:rPr>
                <w:rFonts w:hint="eastAsia" w:cs="宋体" w:hAnsiTheme="minorHAnsi"/>
                <w:kern w:val="0"/>
                <w:sz w:val="21"/>
                <w:szCs w:val="21"/>
                <w:highlight w:val="none"/>
              </w:rPr>
              <w:t>不要求</w:t>
            </w:r>
          </w:p>
        </w:tc>
      </w:tr>
      <w:tr w14:paraId="7A19315B">
        <w:tblPrEx>
          <w:tblCellMar>
            <w:top w:w="0" w:type="dxa"/>
            <w:left w:w="108" w:type="dxa"/>
            <w:bottom w:w="0" w:type="dxa"/>
            <w:right w:w="108" w:type="dxa"/>
          </w:tblCellMar>
        </w:tblPrEx>
        <w:trPr>
          <w:trHeight w:val="47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5F2937B">
            <w:pPr>
              <w:spacing w:line="240" w:lineRule="auto"/>
              <w:rPr>
                <w:rFonts w:hint="default" w:eastAsia="宋体"/>
                <w:sz w:val="21"/>
                <w:szCs w:val="21"/>
                <w:lang w:val="en-US" w:eastAsia="zh-CN"/>
              </w:rPr>
            </w:pPr>
            <w:r>
              <w:rPr>
                <w:rFonts w:hint="eastAsia"/>
                <w:sz w:val="21"/>
                <w:szCs w:val="21"/>
                <w:lang w:val="en-US" w:eastAsia="zh-CN"/>
              </w:rPr>
              <w:t>8.1</w:t>
            </w:r>
          </w:p>
        </w:tc>
        <w:tc>
          <w:tcPr>
            <w:tcW w:w="1984" w:type="dxa"/>
            <w:tcBorders>
              <w:top w:val="single" w:color="auto" w:sz="4" w:space="0"/>
              <w:left w:val="single" w:color="auto" w:sz="4" w:space="0"/>
              <w:bottom w:val="single" w:color="auto" w:sz="4" w:space="0"/>
              <w:right w:val="single" w:color="auto" w:sz="4" w:space="0"/>
            </w:tcBorders>
            <w:vAlign w:val="center"/>
          </w:tcPr>
          <w:p w14:paraId="2D6DB444">
            <w:pPr>
              <w:spacing w:line="240" w:lineRule="auto"/>
              <w:rPr>
                <w:rFonts w:hint="eastAsia" w:eastAsia="宋体"/>
                <w:sz w:val="21"/>
                <w:szCs w:val="21"/>
                <w:highlight w:val="none"/>
                <w:lang w:val="en-US" w:eastAsia="zh-CN"/>
              </w:rPr>
            </w:pPr>
            <w:r>
              <w:rPr>
                <w:rFonts w:hint="eastAsia"/>
                <w:sz w:val="21"/>
                <w:szCs w:val="21"/>
                <w:highlight w:val="none"/>
                <w:lang w:val="en-US" w:eastAsia="zh-CN"/>
              </w:rPr>
              <w:t>质保金</w:t>
            </w:r>
          </w:p>
        </w:tc>
        <w:tc>
          <w:tcPr>
            <w:tcW w:w="6100" w:type="dxa"/>
            <w:tcBorders>
              <w:top w:val="single" w:color="auto" w:sz="4" w:space="0"/>
              <w:left w:val="single" w:color="auto" w:sz="4" w:space="0"/>
              <w:bottom w:val="single" w:color="auto" w:sz="4" w:space="0"/>
              <w:right w:val="single" w:color="auto" w:sz="4" w:space="0"/>
            </w:tcBorders>
            <w:vAlign w:val="center"/>
          </w:tcPr>
          <w:p w14:paraId="494FF4DC">
            <w:pPr>
              <w:spacing w:line="240" w:lineRule="auto"/>
              <w:rPr>
                <w:rFonts w:hint="eastAsia"/>
                <w:bCs/>
                <w:sz w:val="21"/>
                <w:szCs w:val="21"/>
                <w:highlight w:val="none"/>
              </w:rPr>
            </w:pPr>
            <w:r>
              <w:rPr>
                <w:rFonts w:hint="eastAsia"/>
                <w:bCs/>
                <w:sz w:val="21"/>
                <w:szCs w:val="21"/>
                <w:highlight w:val="none"/>
              </w:rPr>
              <w:t xml:space="preserve">合同金额3% </w:t>
            </w:r>
          </w:p>
        </w:tc>
      </w:tr>
      <w:tr w14:paraId="2CF71519">
        <w:tblPrEx>
          <w:tblCellMar>
            <w:top w:w="0" w:type="dxa"/>
            <w:left w:w="108" w:type="dxa"/>
            <w:bottom w:w="0" w:type="dxa"/>
            <w:right w:w="108" w:type="dxa"/>
          </w:tblCellMar>
        </w:tblPrEx>
        <w:trPr>
          <w:trHeight w:val="479"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C17FFAE">
            <w:pPr>
              <w:spacing w:line="240" w:lineRule="auto"/>
              <w:rPr>
                <w:rFonts w:hint="default"/>
                <w:sz w:val="21"/>
                <w:szCs w:val="21"/>
                <w:lang w:val="en-US" w:eastAsia="zh-CN"/>
              </w:rPr>
            </w:pPr>
            <w:r>
              <w:rPr>
                <w:rFonts w:hint="eastAsia"/>
                <w:sz w:val="21"/>
                <w:szCs w:val="21"/>
                <w:lang w:val="en-US" w:eastAsia="zh-CN"/>
              </w:rPr>
              <w:t>8.2</w:t>
            </w:r>
          </w:p>
        </w:tc>
        <w:tc>
          <w:tcPr>
            <w:tcW w:w="1984" w:type="dxa"/>
            <w:tcBorders>
              <w:top w:val="single" w:color="auto" w:sz="4" w:space="0"/>
              <w:left w:val="single" w:color="auto" w:sz="4" w:space="0"/>
              <w:bottom w:val="single" w:color="auto" w:sz="4" w:space="0"/>
              <w:right w:val="single" w:color="auto" w:sz="4" w:space="0"/>
            </w:tcBorders>
            <w:vAlign w:val="center"/>
          </w:tcPr>
          <w:p w14:paraId="32E9A555">
            <w:pPr>
              <w:spacing w:line="240" w:lineRule="auto"/>
              <w:rPr>
                <w:rFonts w:hint="default"/>
                <w:sz w:val="21"/>
                <w:szCs w:val="21"/>
                <w:highlight w:val="none"/>
                <w:lang w:val="en-US" w:eastAsia="zh-CN"/>
              </w:rPr>
            </w:pPr>
            <w:r>
              <w:rPr>
                <w:rFonts w:hint="eastAsia"/>
                <w:sz w:val="21"/>
                <w:szCs w:val="21"/>
                <w:highlight w:val="none"/>
                <w:lang w:val="en-US" w:eastAsia="zh-CN"/>
              </w:rPr>
              <w:t>质保期</w:t>
            </w:r>
          </w:p>
        </w:tc>
        <w:tc>
          <w:tcPr>
            <w:tcW w:w="6100" w:type="dxa"/>
            <w:tcBorders>
              <w:top w:val="single" w:color="auto" w:sz="4" w:space="0"/>
              <w:left w:val="single" w:color="auto" w:sz="4" w:space="0"/>
              <w:bottom w:val="single" w:color="auto" w:sz="4" w:space="0"/>
              <w:right w:val="single" w:color="auto" w:sz="4" w:space="0"/>
            </w:tcBorders>
            <w:vAlign w:val="center"/>
          </w:tcPr>
          <w:p w14:paraId="24D22072">
            <w:pPr>
              <w:spacing w:line="240" w:lineRule="auto"/>
              <w:rPr>
                <w:rFonts w:hint="default" w:eastAsia="宋体"/>
                <w:bCs/>
                <w:sz w:val="21"/>
                <w:szCs w:val="21"/>
                <w:highlight w:val="none"/>
                <w:lang w:val="en-US" w:eastAsia="zh-CN"/>
              </w:rPr>
            </w:pPr>
            <w:r>
              <w:rPr>
                <w:rFonts w:hint="eastAsia"/>
                <w:bCs/>
                <w:sz w:val="21"/>
                <w:szCs w:val="21"/>
                <w:highlight w:val="none"/>
                <w:lang w:val="en-US" w:eastAsia="zh-CN"/>
              </w:rPr>
              <w:t>1年</w:t>
            </w:r>
          </w:p>
        </w:tc>
      </w:tr>
      <w:tr w14:paraId="181347AE">
        <w:tblPrEx>
          <w:tblCellMar>
            <w:top w:w="0" w:type="dxa"/>
            <w:left w:w="108" w:type="dxa"/>
            <w:bottom w:w="0" w:type="dxa"/>
            <w:right w:w="108" w:type="dxa"/>
          </w:tblCellMar>
        </w:tblPrEx>
        <w:trPr>
          <w:trHeight w:val="39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BAA853A">
            <w:pPr>
              <w:spacing w:line="240" w:lineRule="auto"/>
              <w:rPr>
                <w:sz w:val="21"/>
                <w:szCs w:val="21"/>
              </w:rPr>
            </w:pPr>
            <w:r>
              <w:rPr>
                <w:rFonts w:hint="eastAsia"/>
                <w:sz w:val="21"/>
                <w:szCs w:val="21"/>
              </w:rPr>
              <w:t>9</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6AA64F1F">
            <w:pPr>
              <w:spacing w:line="240" w:lineRule="auto"/>
              <w:rPr>
                <w:sz w:val="21"/>
                <w:szCs w:val="21"/>
              </w:rPr>
            </w:pPr>
            <w:r>
              <w:rPr>
                <w:rFonts w:hint="eastAsia"/>
                <w:sz w:val="21"/>
                <w:szCs w:val="21"/>
              </w:rPr>
              <w:t>需要</w:t>
            </w:r>
            <w:r>
              <w:rPr>
                <w:sz w:val="21"/>
                <w:szCs w:val="21"/>
              </w:rPr>
              <w:t>补充</w:t>
            </w:r>
            <w:r>
              <w:rPr>
                <w:rFonts w:hint="eastAsia"/>
                <w:sz w:val="21"/>
                <w:szCs w:val="21"/>
              </w:rPr>
              <w:t>的其他</w:t>
            </w:r>
            <w:r>
              <w:rPr>
                <w:sz w:val="21"/>
                <w:szCs w:val="21"/>
              </w:rPr>
              <w:t>内容</w:t>
            </w:r>
          </w:p>
        </w:tc>
      </w:tr>
      <w:tr w14:paraId="1217BE19">
        <w:tblPrEx>
          <w:tblCellMar>
            <w:top w:w="0" w:type="dxa"/>
            <w:left w:w="108" w:type="dxa"/>
            <w:bottom w:w="0" w:type="dxa"/>
            <w:right w:w="108" w:type="dxa"/>
          </w:tblCellMar>
        </w:tblPrEx>
        <w:trPr>
          <w:trHeight w:val="368"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5DB5506D">
            <w:pPr>
              <w:spacing w:line="240" w:lineRule="auto"/>
              <w:rPr>
                <w:sz w:val="21"/>
                <w:szCs w:val="21"/>
              </w:rPr>
            </w:pPr>
            <w:r>
              <w:rPr>
                <w:rFonts w:hint="eastAsia"/>
                <w:sz w:val="21"/>
                <w:szCs w:val="21"/>
              </w:rPr>
              <w:t>9.1词语定义</w:t>
            </w:r>
          </w:p>
        </w:tc>
      </w:tr>
      <w:tr w14:paraId="442C1FC4">
        <w:tblPrEx>
          <w:tblCellMar>
            <w:top w:w="0" w:type="dxa"/>
            <w:left w:w="108" w:type="dxa"/>
            <w:bottom w:w="0" w:type="dxa"/>
            <w:right w:w="108" w:type="dxa"/>
          </w:tblCellMar>
        </w:tblPrEx>
        <w:trPr>
          <w:trHeight w:val="38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CAD42FB">
            <w:pPr>
              <w:spacing w:line="240" w:lineRule="auto"/>
              <w:rPr>
                <w:sz w:val="21"/>
                <w:szCs w:val="21"/>
              </w:rPr>
            </w:pPr>
            <w:r>
              <w:rPr>
                <w:rFonts w:hint="eastAsia"/>
                <w:sz w:val="21"/>
                <w:szCs w:val="21"/>
              </w:rPr>
              <w:t>9.1.1</w:t>
            </w:r>
          </w:p>
        </w:tc>
        <w:tc>
          <w:tcPr>
            <w:tcW w:w="1984" w:type="dxa"/>
            <w:tcBorders>
              <w:top w:val="single" w:color="auto" w:sz="4" w:space="0"/>
              <w:left w:val="single" w:color="auto" w:sz="4" w:space="0"/>
              <w:bottom w:val="single" w:color="auto" w:sz="4" w:space="0"/>
              <w:right w:val="single" w:color="auto" w:sz="4" w:space="0"/>
            </w:tcBorders>
            <w:vAlign w:val="center"/>
          </w:tcPr>
          <w:p w14:paraId="1D1AB989">
            <w:pPr>
              <w:spacing w:line="240" w:lineRule="auto"/>
              <w:rPr>
                <w:sz w:val="21"/>
                <w:szCs w:val="21"/>
              </w:rPr>
            </w:pPr>
            <w:r>
              <w:rPr>
                <w:rFonts w:hint="eastAsia"/>
                <w:sz w:val="21"/>
                <w:szCs w:val="21"/>
              </w:rPr>
              <w:t>类似项目</w:t>
            </w:r>
          </w:p>
        </w:tc>
        <w:tc>
          <w:tcPr>
            <w:tcW w:w="6100" w:type="dxa"/>
            <w:tcBorders>
              <w:top w:val="single" w:color="auto" w:sz="4" w:space="0"/>
              <w:left w:val="single" w:color="auto" w:sz="4" w:space="0"/>
              <w:bottom w:val="single" w:color="auto" w:sz="4" w:space="0"/>
              <w:right w:val="single" w:color="auto" w:sz="4" w:space="0"/>
            </w:tcBorders>
            <w:vAlign w:val="center"/>
          </w:tcPr>
          <w:p w14:paraId="57BB79DC">
            <w:pPr>
              <w:spacing w:line="240" w:lineRule="auto"/>
              <w:rPr>
                <w:sz w:val="21"/>
                <w:szCs w:val="21"/>
              </w:rPr>
            </w:pPr>
            <w:r>
              <w:rPr>
                <w:rFonts w:hint="eastAsia"/>
                <w:sz w:val="21"/>
                <w:szCs w:val="21"/>
              </w:rPr>
              <w:t>类似项目是指：</w:t>
            </w:r>
            <w:r>
              <w:rPr>
                <w:rFonts w:hint="eastAsia"/>
                <w:sz w:val="21"/>
                <w:szCs w:val="21"/>
                <w:lang w:val="zh-CN"/>
              </w:rPr>
              <w:t>同类项目类似规模工程</w:t>
            </w:r>
            <w:r>
              <w:rPr>
                <w:rFonts w:hint="eastAsia"/>
                <w:sz w:val="21"/>
                <w:szCs w:val="21"/>
              </w:rPr>
              <w:t>。</w:t>
            </w:r>
          </w:p>
        </w:tc>
      </w:tr>
      <w:tr w14:paraId="2F1B30AC">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05883E2">
            <w:pPr>
              <w:spacing w:line="240" w:lineRule="auto"/>
              <w:rPr>
                <w:sz w:val="21"/>
                <w:szCs w:val="21"/>
              </w:rPr>
            </w:pPr>
            <w:r>
              <w:rPr>
                <w:rFonts w:hint="eastAsia"/>
                <w:sz w:val="21"/>
                <w:szCs w:val="21"/>
              </w:rPr>
              <w:t>9.1.2</w:t>
            </w:r>
          </w:p>
        </w:tc>
        <w:tc>
          <w:tcPr>
            <w:tcW w:w="1984" w:type="dxa"/>
            <w:tcBorders>
              <w:top w:val="single" w:color="auto" w:sz="4" w:space="0"/>
              <w:left w:val="single" w:color="auto" w:sz="4" w:space="0"/>
              <w:bottom w:val="single" w:color="auto" w:sz="4" w:space="0"/>
              <w:right w:val="single" w:color="auto" w:sz="4" w:space="0"/>
            </w:tcBorders>
            <w:vAlign w:val="center"/>
          </w:tcPr>
          <w:p w14:paraId="64611CAD">
            <w:pPr>
              <w:spacing w:line="240" w:lineRule="auto"/>
              <w:rPr>
                <w:sz w:val="21"/>
                <w:szCs w:val="21"/>
              </w:rPr>
            </w:pPr>
            <w:r>
              <w:rPr>
                <w:rFonts w:hint="eastAsia"/>
                <w:sz w:val="21"/>
                <w:szCs w:val="21"/>
              </w:rPr>
              <w:t>不良行为记录</w:t>
            </w:r>
          </w:p>
        </w:tc>
        <w:tc>
          <w:tcPr>
            <w:tcW w:w="6100" w:type="dxa"/>
            <w:tcBorders>
              <w:top w:val="single" w:color="auto" w:sz="4" w:space="0"/>
              <w:left w:val="single" w:color="auto" w:sz="4" w:space="0"/>
              <w:bottom w:val="single" w:color="auto" w:sz="4" w:space="0"/>
              <w:right w:val="single" w:color="auto" w:sz="4" w:space="0"/>
            </w:tcBorders>
            <w:vAlign w:val="center"/>
          </w:tcPr>
          <w:p w14:paraId="05831179">
            <w:pPr>
              <w:spacing w:line="240" w:lineRule="auto"/>
              <w:rPr>
                <w:color w:val="000000"/>
                <w:sz w:val="21"/>
                <w:szCs w:val="21"/>
              </w:rPr>
            </w:pPr>
            <w:r>
              <w:rPr>
                <w:rFonts w:hint="eastAsia"/>
                <w:color w:val="000000"/>
                <w:sz w:val="21"/>
                <w:szCs w:val="21"/>
              </w:rPr>
              <w:t>不良行为记录是指：</w:t>
            </w:r>
            <w:r>
              <w:rPr>
                <w:rFonts w:hint="eastAsia"/>
                <w:sz w:val="21"/>
                <w:szCs w:val="21"/>
              </w:rPr>
              <w:t>施工企业</w:t>
            </w:r>
            <w:r>
              <w:rPr>
                <w:sz w:val="21"/>
                <w:szCs w:val="21"/>
              </w:rPr>
              <w:t>在工程建设过程中违反有关工程建设的法律、法规、规章或强制性标准和执业行为规范，经县级以上建设行政主管部门或其委托的执法监督机构查实和行政处罚，形成的不良行为记录。</w:t>
            </w:r>
          </w:p>
        </w:tc>
      </w:tr>
      <w:tr w14:paraId="6D5ABA6E">
        <w:tblPrEx>
          <w:tblCellMar>
            <w:top w:w="0" w:type="dxa"/>
            <w:left w:w="108" w:type="dxa"/>
            <w:bottom w:w="0" w:type="dxa"/>
            <w:right w:w="108" w:type="dxa"/>
          </w:tblCellMar>
        </w:tblPrEx>
        <w:trPr>
          <w:trHeight w:val="153"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886D518">
            <w:pPr>
              <w:spacing w:line="240" w:lineRule="auto"/>
              <w:rPr>
                <w:sz w:val="21"/>
                <w:szCs w:val="21"/>
              </w:rPr>
            </w:pPr>
            <w:r>
              <w:rPr>
                <w:rFonts w:hint="eastAsia"/>
                <w:sz w:val="21"/>
                <w:szCs w:val="21"/>
              </w:rPr>
              <w:t>9.2</w:t>
            </w:r>
          </w:p>
        </w:tc>
        <w:tc>
          <w:tcPr>
            <w:tcW w:w="1984" w:type="dxa"/>
            <w:tcBorders>
              <w:top w:val="single" w:color="auto" w:sz="4" w:space="0"/>
              <w:left w:val="single" w:color="auto" w:sz="4" w:space="0"/>
              <w:bottom w:val="single" w:color="auto" w:sz="4" w:space="0"/>
              <w:right w:val="single" w:color="auto" w:sz="4" w:space="0"/>
            </w:tcBorders>
            <w:vAlign w:val="center"/>
          </w:tcPr>
          <w:p w14:paraId="526E3A2E">
            <w:pPr>
              <w:spacing w:line="240" w:lineRule="auto"/>
              <w:rPr>
                <w:color w:val="000000"/>
                <w:sz w:val="21"/>
                <w:szCs w:val="21"/>
              </w:rPr>
            </w:pPr>
            <w:r>
              <w:rPr>
                <w:rFonts w:hint="eastAsia"/>
                <w:sz w:val="21"/>
                <w:szCs w:val="21"/>
              </w:rPr>
              <w:t>暗标评审</w:t>
            </w:r>
          </w:p>
        </w:tc>
        <w:tc>
          <w:tcPr>
            <w:tcW w:w="6100" w:type="dxa"/>
            <w:tcBorders>
              <w:top w:val="single" w:color="auto" w:sz="4" w:space="0"/>
              <w:left w:val="single" w:color="auto" w:sz="4" w:space="0"/>
              <w:bottom w:val="single" w:color="auto" w:sz="4" w:space="0"/>
              <w:right w:val="single" w:color="auto" w:sz="4" w:space="0"/>
            </w:tcBorders>
            <w:vAlign w:val="center"/>
          </w:tcPr>
          <w:p w14:paraId="3827C4B6">
            <w:pPr>
              <w:spacing w:line="240" w:lineRule="auto"/>
              <w:rPr>
                <w:sz w:val="21"/>
                <w:szCs w:val="21"/>
              </w:rPr>
            </w:pPr>
            <w:r>
              <w:rPr>
                <w:rFonts w:hint="eastAsia"/>
                <w:sz w:val="21"/>
                <w:szCs w:val="21"/>
              </w:rPr>
              <w:sym w:font="Wingdings 2" w:char="F052"/>
            </w:r>
            <w:r>
              <w:rPr>
                <w:rFonts w:hint="eastAsia"/>
                <w:sz w:val="21"/>
                <w:szCs w:val="21"/>
              </w:rPr>
              <w:t>不采用</w:t>
            </w:r>
          </w:p>
          <w:p w14:paraId="5FEDB06F">
            <w:pPr>
              <w:spacing w:line="240" w:lineRule="auto"/>
              <w:rPr>
                <w:color w:val="000000"/>
                <w:sz w:val="21"/>
                <w:szCs w:val="21"/>
              </w:rPr>
            </w:pPr>
            <w:r>
              <w:rPr>
                <w:rFonts w:hint="eastAsia"/>
                <w:sz w:val="21"/>
                <w:szCs w:val="21"/>
              </w:rPr>
              <w:t>□采用</w:t>
            </w:r>
          </w:p>
        </w:tc>
      </w:tr>
      <w:tr w14:paraId="00BCD3A5">
        <w:tblPrEx>
          <w:tblCellMar>
            <w:top w:w="0" w:type="dxa"/>
            <w:left w:w="108" w:type="dxa"/>
            <w:bottom w:w="0" w:type="dxa"/>
            <w:right w:w="108" w:type="dxa"/>
          </w:tblCellMar>
        </w:tblPrEx>
        <w:trPr>
          <w:trHeight w:val="271" w:hRule="atLeast"/>
          <w:jc w:val="center"/>
        </w:trPr>
        <w:tc>
          <w:tcPr>
            <w:tcW w:w="9072" w:type="dxa"/>
            <w:gridSpan w:val="3"/>
            <w:tcBorders>
              <w:top w:val="single" w:color="auto" w:sz="4" w:space="0"/>
              <w:left w:val="single" w:color="auto" w:sz="4" w:space="0"/>
              <w:bottom w:val="single" w:color="auto" w:sz="4" w:space="0"/>
              <w:right w:val="single" w:color="auto" w:sz="4" w:space="0"/>
            </w:tcBorders>
          </w:tcPr>
          <w:p w14:paraId="6FFB2AB4">
            <w:pPr>
              <w:spacing w:line="240" w:lineRule="auto"/>
              <w:rPr>
                <w:sz w:val="21"/>
                <w:szCs w:val="21"/>
              </w:rPr>
            </w:pPr>
            <w:r>
              <w:rPr>
                <w:rFonts w:hint="eastAsia"/>
                <w:sz w:val="21"/>
                <w:szCs w:val="21"/>
              </w:rPr>
              <w:t>9.3响应单位代表出席开标会</w:t>
            </w:r>
          </w:p>
        </w:tc>
      </w:tr>
      <w:tr w14:paraId="45E38BCC">
        <w:tblPrEx>
          <w:tblCellMar>
            <w:top w:w="0" w:type="dxa"/>
            <w:left w:w="108" w:type="dxa"/>
            <w:bottom w:w="0" w:type="dxa"/>
            <w:right w:w="108" w:type="dxa"/>
          </w:tblCellMar>
        </w:tblPrEx>
        <w:trPr>
          <w:trHeight w:val="641" w:hRule="atLeast"/>
          <w:jc w:val="center"/>
        </w:trPr>
        <w:tc>
          <w:tcPr>
            <w:tcW w:w="9072" w:type="dxa"/>
            <w:gridSpan w:val="3"/>
            <w:tcBorders>
              <w:top w:val="single" w:color="auto" w:sz="4" w:space="0"/>
              <w:left w:val="single" w:color="auto" w:sz="4" w:space="0"/>
              <w:bottom w:val="single" w:color="auto" w:sz="4" w:space="0"/>
              <w:right w:val="single" w:color="auto" w:sz="4" w:space="0"/>
            </w:tcBorders>
          </w:tcPr>
          <w:p w14:paraId="391ADCF7">
            <w:pPr>
              <w:spacing w:line="240" w:lineRule="auto"/>
              <w:rPr>
                <w:sz w:val="21"/>
                <w:szCs w:val="21"/>
              </w:rPr>
            </w:pPr>
            <w:r>
              <w:rPr>
                <w:rFonts w:hint="eastAsia"/>
                <w:sz w:val="21"/>
                <w:szCs w:val="21"/>
                <w:lang w:val="zh-CN"/>
              </w:rPr>
              <w:t>供应商</w:t>
            </w:r>
            <w:r>
              <w:rPr>
                <w:rFonts w:hint="eastAsia"/>
                <w:sz w:val="21"/>
                <w:szCs w:val="21"/>
              </w:rPr>
              <w:t>在</w:t>
            </w:r>
            <w:r>
              <w:rPr>
                <w:rFonts w:hint="eastAsia"/>
                <w:sz w:val="21"/>
                <w:szCs w:val="21"/>
                <w:lang w:val="zh-CN"/>
              </w:rPr>
              <w:t>提交响应文件截止时间前通过政府采购云平台</w:t>
            </w:r>
            <w:r>
              <w:rPr>
                <w:rFonts w:hint="eastAsia"/>
                <w:sz w:val="21"/>
                <w:szCs w:val="21"/>
              </w:rPr>
              <w:t>（</w:t>
            </w:r>
            <w:r>
              <w:rPr>
                <w:rFonts w:hint="eastAsia"/>
                <w:sz w:val="21"/>
                <w:szCs w:val="21"/>
                <w:lang w:val="zh-CN"/>
              </w:rPr>
              <w:t>网址</w:t>
            </w:r>
            <w:r>
              <w:rPr>
                <w:rFonts w:hint="eastAsia"/>
                <w:sz w:val="21"/>
                <w:szCs w:val="21"/>
              </w:rPr>
              <w:t>：http://www.zcygov.cn）</w:t>
            </w:r>
            <w:r>
              <w:rPr>
                <w:rFonts w:hint="eastAsia"/>
                <w:sz w:val="21"/>
                <w:szCs w:val="21"/>
                <w:lang w:val="zh-CN"/>
              </w:rPr>
              <w:t>递交电子投标</w:t>
            </w:r>
            <w:r>
              <w:rPr>
                <w:rFonts w:hint="eastAsia"/>
                <w:sz w:val="21"/>
                <w:szCs w:val="21"/>
              </w:rPr>
              <w:t>（</w:t>
            </w:r>
            <w:r>
              <w:rPr>
                <w:rFonts w:hint="eastAsia"/>
                <w:sz w:val="21"/>
                <w:szCs w:val="21"/>
                <w:lang w:val="zh-CN"/>
              </w:rPr>
              <w:t>响应</w:t>
            </w:r>
            <w:r>
              <w:rPr>
                <w:rFonts w:hint="eastAsia"/>
                <w:sz w:val="21"/>
                <w:szCs w:val="21"/>
              </w:rPr>
              <w:t>）</w:t>
            </w:r>
            <w:r>
              <w:rPr>
                <w:rFonts w:hint="eastAsia"/>
                <w:sz w:val="21"/>
                <w:szCs w:val="21"/>
                <w:lang w:val="zh-CN"/>
              </w:rPr>
              <w:t>文件</w:t>
            </w:r>
            <w:r>
              <w:rPr>
                <w:rFonts w:hint="eastAsia"/>
                <w:sz w:val="21"/>
                <w:szCs w:val="21"/>
              </w:rPr>
              <w:t>，</w:t>
            </w:r>
            <w:r>
              <w:rPr>
                <w:rFonts w:hint="eastAsia"/>
                <w:sz w:val="21"/>
                <w:szCs w:val="21"/>
                <w:lang w:val="zh-CN"/>
              </w:rPr>
              <w:t>并按照现场工作人员通知使用</w:t>
            </w:r>
            <w:r>
              <w:rPr>
                <w:rFonts w:hint="eastAsia"/>
                <w:sz w:val="21"/>
                <w:szCs w:val="21"/>
              </w:rPr>
              <w:t>CA</w:t>
            </w:r>
            <w:r>
              <w:rPr>
                <w:rFonts w:hint="eastAsia"/>
                <w:sz w:val="21"/>
                <w:szCs w:val="21"/>
                <w:lang w:val="zh-CN"/>
              </w:rPr>
              <w:t>锁进行投标</w:t>
            </w:r>
            <w:r>
              <w:rPr>
                <w:rFonts w:hint="eastAsia"/>
                <w:sz w:val="21"/>
                <w:szCs w:val="21"/>
              </w:rPr>
              <w:t>（</w:t>
            </w:r>
            <w:r>
              <w:rPr>
                <w:rFonts w:hint="eastAsia"/>
                <w:sz w:val="21"/>
                <w:szCs w:val="21"/>
                <w:lang w:val="zh-CN"/>
              </w:rPr>
              <w:t>响应</w:t>
            </w:r>
            <w:r>
              <w:rPr>
                <w:rFonts w:hint="eastAsia"/>
                <w:sz w:val="21"/>
                <w:szCs w:val="21"/>
              </w:rPr>
              <w:t>）</w:t>
            </w:r>
            <w:r>
              <w:rPr>
                <w:rFonts w:hint="eastAsia"/>
                <w:sz w:val="21"/>
                <w:szCs w:val="21"/>
                <w:lang w:val="zh-CN"/>
              </w:rPr>
              <w:t>文件远程解密。</w:t>
            </w:r>
            <w:r>
              <w:rPr>
                <w:rFonts w:hint="eastAsia"/>
                <w:sz w:val="21"/>
                <w:szCs w:val="21"/>
              </w:rPr>
              <w:t>。</w:t>
            </w:r>
          </w:p>
        </w:tc>
      </w:tr>
      <w:tr w14:paraId="60080B4B">
        <w:tblPrEx>
          <w:tblCellMar>
            <w:top w:w="0" w:type="dxa"/>
            <w:left w:w="108" w:type="dxa"/>
            <w:bottom w:w="0" w:type="dxa"/>
            <w:right w:w="108" w:type="dxa"/>
          </w:tblCellMar>
        </w:tblPrEx>
        <w:trPr>
          <w:trHeight w:val="288"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619CEDAA">
            <w:pPr>
              <w:spacing w:line="240" w:lineRule="auto"/>
              <w:rPr>
                <w:sz w:val="21"/>
                <w:szCs w:val="21"/>
              </w:rPr>
            </w:pPr>
            <w:r>
              <w:rPr>
                <w:rFonts w:hint="eastAsia"/>
                <w:sz w:val="21"/>
                <w:szCs w:val="21"/>
              </w:rPr>
              <w:t>9.4知识产权</w:t>
            </w:r>
          </w:p>
        </w:tc>
      </w:tr>
      <w:tr w14:paraId="50DC6BF3">
        <w:tblPrEx>
          <w:tblCellMar>
            <w:top w:w="0" w:type="dxa"/>
            <w:left w:w="108" w:type="dxa"/>
            <w:bottom w:w="0" w:type="dxa"/>
            <w:right w:w="108" w:type="dxa"/>
          </w:tblCellMar>
        </w:tblPrEx>
        <w:trPr>
          <w:trHeight w:val="524"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26E2297B">
            <w:pPr>
              <w:spacing w:line="240" w:lineRule="auto"/>
              <w:rPr>
                <w:sz w:val="21"/>
                <w:szCs w:val="21"/>
              </w:rPr>
            </w:pPr>
            <w:r>
              <w:rPr>
                <w:rFonts w:hint="eastAsia"/>
                <w:sz w:val="21"/>
                <w:szCs w:val="21"/>
              </w:rPr>
              <w:t>构成本竞争性磋商文件各个组成部分的文件，未经采购单位书面同意，响应单位不得擅自复印和用于非本招标项目所需的其他目的。采购单位全部或者部分使用未中标人响应文件中的技术成果或技术方案时，需征得其书面同意，并不得擅自复印或提供给第三人。</w:t>
            </w:r>
          </w:p>
        </w:tc>
      </w:tr>
      <w:tr w14:paraId="3D9533D7">
        <w:tblPrEx>
          <w:tblCellMar>
            <w:top w:w="0" w:type="dxa"/>
            <w:left w:w="108" w:type="dxa"/>
            <w:bottom w:w="0" w:type="dxa"/>
            <w:right w:w="108" w:type="dxa"/>
          </w:tblCellMar>
        </w:tblPrEx>
        <w:trPr>
          <w:trHeight w:val="288"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1E4E5053">
            <w:pPr>
              <w:spacing w:line="240" w:lineRule="auto"/>
              <w:rPr>
                <w:sz w:val="21"/>
                <w:szCs w:val="21"/>
              </w:rPr>
            </w:pPr>
            <w:r>
              <w:rPr>
                <w:rFonts w:hint="eastAsia"/>
                <w:sz w:val="21"/>
                <w:szCs w:val="21"/>
              </w:rPr>
              <w:t>9.5重新招标的其他情形</w:t>
            </w:r>
          </w:p>
        </w:tc>
      </w:tr>
      <w:tr w14:paraId="2C8FB799">
        <w:tblPrEx>
          <w:tblCellMar>
            <w:top w:w="0" w:type="dxa"/>
            <w:left w:w="108" w:type="dxa"/>
            <w:bottom w:w="0" w:type="dxa"/>
            <w:right w:w="108" w:type="dxa"/>
          </w:tblCellMar>
        </w:tblPrEx>
        <w:trPr>
          <w:trHeight w:val="416"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40625D7F">
            <w:pPr>
              <w:spacing w:line="240" w:lineRule="auto"/>
              <w:rPr>
                <w:color w:val="000000"/>
                <w:sz w:val="21"/>
                <w:szCs w:val="21"/>
              </w:rPr>
            </w:pPr>
            <w:r>
              <w:rPr>
                <w:rFonts w:hint="eastAsia"/>
                <w:sz w:val="21"/>
                <w:szCs w:val="21"/>
              </w:rPr>
              <w:t>有下列情形之一的，采购单位将重新招标：(l）投标截止时间止，响应单位少于3个的；(2）经磋商小组评审后否决所有投标的。重新招标后响应单位仍少于3个或者所有投标被否决的，属于必须审批或核准的工程建设项目，经原审批或核准部门批准后不再进行招标。</w:t>
            </w:r>
            <w:r>
              <w:rPr>
                <w:rFonts w:hint="eastAsia"/>
                <w:color w:val="000000"/>
                <w:sz w:val="21"/>
                <w:szCs w:val="21"/>
              </w:rPr>
              <w:t>除非已经产生中标候选人，在投标有效期内同意延长投标有效期的响应单位少于三个的，采购单位应当依法重新招标。</w:t>
            </w:r>
          </w:p>
        </w:tc>
      </w:tr>
      <w:tr w14:paraId="0DD40C97">
        <w:tblPrEx>
          <w:tblCellMar>
            <w:top w:w="0" w:type="dxa"/>
            <w:left w:w="108" w:type="dxa"/>
            <w:bottom w:w="0" w:type="dxa"/>
            <w:right w:w="108" w:type="dxa"/>
          </w:tblCellMar>
        </w:tblPrEx>
        <w:trPr>
          <w:trHeight w:val="271"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44DBA22E">
            <w:pPr>
              <w:spacing w:line="240" w:lineRule="auto"/>
              <w:rPr>
                <w:sz w:val="21"/>
                <w:szCs w:val="21"/>
              </w:rPr>
            </w:pPr>
            <w:r>
              <w:rPr>
                <w:rFonts w:hint="eastAsia"/>
                <w:sz w:val="21"/>
                <w:szCs w:val="21"/>
              </w:rPr>
              <w:t>9.6同义词语</w:t>
            </w:r>
          </w:p>
        </w:tc>
      </w:tr>
      <w:tr w14:paraId="3BEEA5E2">
        <w:tblPrEx>
          <w:tblCellMar>
            <w:top w:w="0" w:type="dxa"/>
            <w:left w:w="108" w:type="dxa"/>
            <w:bottom w:w="0" w:type="dxa"/>
            <w:right w:w="108" w:type="dxa"/>
          </w:tblCellMar>
        </w:tblPrEx>
        <w:trPr>
          <w:trHeight w:val="450"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65D3684C">
            <w:pPr>
              <w:spacing w:line="240" w:lineRule="auto"/>
              <w:rPr>
                <w:sz w:val="21"/>
                <w:szCs w:val="21"/>
              </w:rPr>
            </w:pPr>
            <w:r>
              <w:rPr>
                <w:rFonts w:hint="eastAsia"/>
                <w:sz w:val="21"/>
                <w:szCs w:val="21"/>
              </w:rPr>
              <w:t>构成竞争性磋商文件组成部分的“通用合同条款”、“专用合同条款”、“技术标准和要求”和“工程量清单”等章节中出现的措辞“发包人”和“承包人”，在招标投标阶段应当分别按“采购单位”和“响应单位”进行理解。</w:t>
            </w:r>
          </w:p>
        </w:tc>
      </w:tr>
      <w:tr w14:paraId="04D68B18">
        <w:tblPrEx>
          <w:tblCellMar>
            <w:top w:w="0" w:type="dxa"/>
            <w:left w:w="108" w:type="dxa"/>
            <w:bottom w:w="0" w:type="dxa"/>
            <w:right w:w="108" w:type="dxa"/>
          </w:tblCellMar>
        </w:tblPrEx>
        <w:trPr>
          <w:trHeight w:val="421"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0DC3EFA2">
            <w:pPr>
              <w:spacing w:line="240" w:lineRule="auto"/>
              <w:rPr>
                <w:sz w:val="21"/>
                <w:szCs w:val="21"/>
              </w:rPr>
            </w:pPr>
            <w:r>
              <w:rPr>
                <w:rFonts w:hint="eastAsia"/>
                <w:sz w:val="21"/>
                <w:szCs w:val="21"/>
              </w:rPr>
              <w:t>9.7监督</w:t>
            </w:r>
          </w:p>
        </w:tc>
      </w:tr>
      <w:tr w14:paraId="7D8CF69B">
        <w:tblPrEx>
          <w:tblCellMar>
            <w:top w:w="0" w:type="dxa"/>
            <w:left w:w="108" w:type="dxa"/>
            <w:bottom w:w="0" w:type="dxa"/>
            <w:right w:w="108" w:type="dxa"/>
          </w:tblCellMar>
        </w:tblPrEx>
        <w:trPr>
          <w:trHeight w:val="574"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04A7D03E">
            <w:pPr>
              <w:spacing w:line="240" w:lineRule="auto"/>
              <w:rPr>
                <w:sz w:val="21"/>
                <w:szCs w:val="21"/>
              </w:rPr>
            </w:pPr>
            <w:r>
              <w:rPr>
                <w:rFonts w:hint="eastAsia"/>
                <w:sz w:val="21"/>
                <w:szCs w:val="21"/>
              </w:rPr>
              <w:t>本项目的招标投标活动及其相关当事人应当接受监督部门依法实施的监督。</w:t>
            </w:r>
          </w:p>
        </w:tc>
      </w:tr>
      <w:tr w14:paraId="1331915A">
        <w:tblPrEx>
          <w:tblCellMar>
            <w:top w:w="0" w:type="dxa"/>
            <w:left w:w="108" w:type="dxa"/>
            <w:bottom w:w="0" w:type="dxa"/>
            <w:right w:w="108" w:type="dxa"/>
          </w:tblCellMar>
        </w:tblPrEx>
        <w:trPr>
          <w:trHeight w:val="382"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539D7333">
            <w:pPr>
              <w:spacing w:line="240" w:lineRule="auto"/>
              <w:rPr>
                <w:sz w:val="21"/>
                <w:szCs w:val="21"/>
              </w:rPr>
            </w:pPr>
            <w:r>
              <w:rPr>
                <w:rFonts w:hint="eastAsia"/>
                <w:sz w:val="21"/>
                <w:szCs w:val="21"/>
              </w:rPr>
              <w:t>9.8解释权</w:t>
            </w:r>
          </w:p>
        </w:tc>
      </w:tr>
      <w:tr w14:paraId="3FB56316">
        <w:tblPrEx>
          <w:tblCellMar>
            <w:top w:w="0" w:type="dxa"/>
            <w:left w:w="108" w:type="dxa"/>
            <w:bottom w:w="0" w:type="dxa"/>
            <w:right w:w="108" w:type="dxa"/>
          </w:tblCellMar>
        </w:tblPrEx>
        <w:trPr>
          <w:trHeight w:val="557"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3F11EA56">
            <w:pPr>
              <w:spacing w:line="240" w:lineRule="auto"/>
              <w:rPr>
                <w:sz w:val="21"/>
                <w:szCs w:val="21"/>
              </w:rPr>
            </w:pPr>
            <w:r>
              <w:rPr>
                <w:rFonts w:hint="eastAsia"/>
                <w:sz w:val="21"/>
                <w:szCs w:val="21"/>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招标公告、响应单位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3B77A4B0">
        <w:tblPrEx>
          <w:tblCellMar>
            <w:top w:w="0" w:type="dxa"/>
            <w:left w:w="108" w:type="dxa"/>
            <w:bottom w:w="0" w:type="dxa"/>
            <w:right w:w="108" w:type="dxa"/>
          </w:tblCellMar>
        </w:tblPrEx>
        <w:trPr>
          <w:trHeight w:val="472"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6D136826">
            <w:pPr>
              <w:spacing w:line="240" w:lineRule="auto"/>
              <w:rPr>
                <w:sz w:val="21"/>
                <w:szCs w:val="21"/>
              </w:rPr>
            </w:pPr>
            <w:r>
              <w:rPr>
                <w:rFonts w:hint="eastAsia"/>
                <w:sz w:val="21"/>
                <w:szCs w:val="21"/>
              </w:rPr>
              <w:t>9.9采购单位补充的其他内容</w:t>
            </w:r>
          </w:p>
        </w:tc>
      </w:tr>
      <w:tr w14:paraId="075EE57D">
        <w:tblPrEx>
          <w:tblCellMar>
            <w:top w:w="0" w:type="dxa"/>
            <w:left w:w="108" w:type="dxa"/>
            <w:bottom w:w="0" w:type="dxa"/>
            <w:right w:w="108" w:type="dxa"/>
          </w:tblCellMar>
        </w:tblPrEx>
        <w:trPr>
          <w:trHeight w:val="90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24660B5">
            <w:pPr>
              <w:spacing w:line="240" w:lineRule="auto"/>
              <w:rPr>
                <w:sz w:val="21"/>
                <w:szCs w:val="21"/>
              </w:rPr>
            </w:pPr>
            <w:r>
              <w:rPr>
                <w:rFonts w:hint="eastAsia"/>
                <w:sz w:val="21"/>
                <w:szCs w:val="21"/>
              </w:rPr>
              <w:t>招标代理费</w:t>
            </w:r>
          </w:p>
        </w:tc>
        <w:tc>
          <w:tcPr>
            <w:tcW w:w="8084" w:type="dxa"/>
            <w:gridSpan w:val="2"/>
            <w:tcBorders>
              <w:top w:val="single" w:color="auto" w:sz="4" w:space="0"/>
              <w:left w:val="single" w:color="auto" w:sz="4" w:space="0"/>
              <w:bottom w:val="single" w:color="auto" w:sz="4" w:space="0"/>
              <w:right w:val="single" w:color="auto" w:sz="4" w:space="0"/>
            </w:tcBorders>
          </w:tcPr>
          <w:p w14:paraId="47CCC362">
            <w:pPr>
              <w:spacing w:line="240" w:lineRule="auto"/>
              <w:rPr>
                <w:sz w:val="21"/>
                <w:szCs w:val="21"/>
              </w:rPr>
            </w:pPr>
            <w:r>
              <w:rPr>
                <w:rFonts w:hint="eastAsia"/>
                <w:sz w:val="21"/>
                <w:szCs w:val="21"/>
              </w:rPr>
              <w:t>收取依据：《国家发展改革委关于进一步放开建设项目专业服务价格的通知》发改价格[2015]299号。实行市场调节价。</w:t>
            </w:r>
          </w:p>
          <w:p w14:paraId="1941A683">
            <w:pPr>
              <w:spacing w:line="240" w:lineRule="auto"/>
              <w:rPr>
                <w:rFonts w:hint="eastAsia"/>
                <w:sz w:val="21"/>
                <w:szCs w:val="21"/>
              </w:rPr>
            </w:pPr>
            <w:r>
              <w:rPr>
                <w:rFonts w:hint="eastAsia"/>
                <w:sz w:val="21"/>
                <w:szCs w:val="21"/>
              </w:rPr>
              <w:t>收取对象：本项目招标代理费向中标单位收取。</w:t>
            </w:r>
          </w:p>
          <w:p w14:paraId="5E7E69C8">
            <w:pPr>
              <w:spacing w:line="240" w:lineRule="auto"/>
              <w:rPr>
                <w:rFonts w:hint="eastAsia" w:eastAsia="宋体"/>
                <w:sz w:val="21"/>
                <w:szCs w:val="21"/>
                <w:lang w:eastAsia="zh-CN"/>
              </w:rPr>
            </w:pPr>
            <w:r>
              <w:rPr>
                <w:rFonts w:hint="eastAsia"/>
                <w:sz w:val="21"/>
                <w:szCs w:val="21"/>
                <w:lang w:val="en-US" w:eastAsia="zh-CN"/>
              </w:rPr>
              <w:t>收费金额：按中标总价的2%收取</w:t>
            </w:r>
            <w:r>
              <w:rPr>
                <w:rFonts w:hint="eastAsia"/>
                <w:sz w:val="21"/>
                <w:szCs w:val="21"/>
                <w:lang w:eastAsia="zh-CN"/>
              </w:rPr>
              <w:t>。</w:t>
            </w:r>
          </w:p>
        </w:tc>
      </w:tr>
      <w:tr w14:paraId="7F2FF591">
        <w:tblPrEx>
          <w:tblCellMar>
            <w:top w:w="0" w:type="dxa"/>
            <w:left w:w="108" w:type="dxa"/>
            <w:bottom w:w="0" w:type="dxa"/>
            <w:right w:w="108" w:type="dxa"/>
          </w:tblCellMar>
        </w:tblPrEx>
        <w:trPr>
          <w:trHeight w:val="28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AE668FB">
            <w:pPr>
              <w:spacing w:line="240" w:lineRule="auto"/>
              <w:jc w:val="left"/>
              <w:rPr>
                <w:sz w:val="21"/>
                <w:szCs w:val="21"/>
              </w:rPr>
            </w:pPr>
            <w:r>
              <w:rPr>
                <w:rFonts w:hint="eastAsia"/>
                <w:sz w:val="21"/>
                <w:szCs w:val="21"/>
              </w:rPr>
              <w:t>工程计价方式</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113893D1">
            <w:pPr>
              <w:spacing w:line="240" w:lineRule="auto"/>
              <w:rPr>
                <w:sz w:val="21"/>
                <w:szCs w:val="21"/>
              </w:rPr>
            </w:pPr>
            <w:r>
              <w:rPr>
                <w:rFonts w:hint="eastAsia"/>
                <w:sz w:val="21"/>
                <w:szCs w:val="21"/>
              </w:rPr>
              <w:t>工程量清单计价方式</w:t>
            </w:r>
          </w:p>
        </w:tc>
      </w:tr>
      <w:tr w14:paraId="14DED743">
        <w:tblPrEx>
          <w:tblCellMar>
            <w:top w:w="0" w:type="dxa"/>
            <w:left w:w="108" w:type="dxa"/>
            <w:bottom w:w="0" w:type="dxa"/>
            <w:right w:w="108" w:type="dxa"/>
          </w:tblCellMar>
        </w:tblPrEx>
        <w:trPr>
          <w:trHeight w:val="23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0FDBED9">
            <w:pPr>
              <w:spacing w:line="240" w:lineRule="auto"/>
              <w:rPr>
                <w:rFonts w:hint="default" w:eastAsia="宋体"/>
                <w:sz w:val="21"/>
                <w:szCs w:val="21"/>
                <w:lang w:val="en-US" w:eastAsia="zh-CN"/>
              </w:rPr>
            </w:pPr>
            <w:r>
              <w:rPr>
                <w:rFonts w:hint="eastAsia"/>
                <w:sz w:val="21"/>
                <w:szCs w:val="21"/>
                <w:lang w:val="en-US" w:eastAsia="zh-CN"/>
              </w:rPr>
              <w:t>付款方式</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7FEF86A1">
            <w:pPr>
              <w:spacing w:line="240" w:lineRule="auto"/>
              <w:rPr>
                <w:rFonts w:hint="default" w:eastAsia="宋体"/>
                <w:sz w:val="21"/>
                <w:szCs w:val="21"/>
                <w:lang w:val="en-US" w:eastAsia="zh-CN"/>
              </w:rPr>
            </w:pPr>
            <w:r>
              <w:rPr>
                <w:rFonts w:hint="eastAsia"/>
                <w:sz w:val="21"/>
                <w:szCs w:val="21"/>
                <w:lang w:val="en-US" w:eastAsia="zh-CN"/>
              </w:rPr>
              <w:t>按合同约定付款</w:t>
            </w:r>
          </w:p>
        </w:tc>
      </w:tr>
      <w:tr w14:paraId="4683465A">
        <w:tblPrEx>
          <w:tblCellMar>
            <w:top w:w="0" w:type="dxa"/>
            <w:left w:w="108" w:type="dxa"/>
            <w:bottom w:w="0" w:type="dxa"/>
            <w:right w:w="108" w:type="dxa"/>
          </w:tblCellMar>
        </w:tblPrEx>
        <w:trPr>
          <w:trHeight w:val="23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903493B">
            <w:pPr>
              <w:spacing w:line="240" w:lineRule="auto"/>
              <w:rPr>
                <w:sz w:val="21"/>
                <w:szCs w:val="21"/>
              </w:rPr>
            </w:pPr>
            <w:r>
              <w:rPr>
                <w:rFonts w:hint="eastAsia"/>
                <w:sz w:val="21"/>
                <w:szCs w:val="21"/>
              </w:rPr>
              <w:t>合同计价方式</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40569D22">
            <w:pPr>
              <w:spacing w:line="240" w:lineRule="auto"/>
              <w:rPr>
                <w:sz w:val="21"/>
                <w:szCs w:val="21"/>
              </w:rPr>
            </w:pPr>
            <w:r>
              <w:rPr>
                <w:rFonts w:hint="eastAsia"/>
                <w:sz w:val="21"/>
                <w:szCs w:val="21"/>
              </w:rPr>
              <w:t>总价合同</w:t>
            </w:r>
          </w:p>
        </w:tc>
      </w:tr>
      <w:tr w14:paraId="0FDCE21E">
        <w:tblPrEx>
          <w:tblCellMar>
            <w:top w:w="0" w:type="dxa"/>
            <w:left w:w="108" w:type="dxa"/>
            <w:bottom w:w="0" w:type="dxa"/>
            <w:right w:w="108" w:type="dxa"/>
          </w:tblCellMar>
        </w:tblPrEx>
        <w:trPr>
          <w:trHeight w:val="888"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C4541AC">
            <w:pPr>
              <w:spacing w:line="240" w:lineRule="auto"/>
              <w:rPr>
                <w:sz w:val="21"/>
                <w:szCs w:val="21"/>
              </w:rPr>
            </w:pPr>
            <w:r>
              <w:rPr>
                <w:rFonts w:hint="eastAsia"/>
                <w:sz w:val="21"/>
                <w:szCs w:val="21"/>
              </w:rPr>
              <w:t>评标方法</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3724D1F9">
            <w:pPr>
              <w:spacing w:line="240" w:lineRule="auto"/>
              <w:rPr>
                <w:sz w:val="21"/>
                <w:szCs w:val="21"/>
              </w:rPr>
            </w:pPr>
            <w:r>
              <w:rPr>
                <w:rFonts w:hint="eastAsia"/>
                <w:sz w:val="21"/>
                <w:szCs w:val="21"/>
              </w:rPr>
              <w:t>综合评估法</w:t>
            </w:r>
          </w:p>
        </w:tc>
      </w:tr>
      <w:tr w14:paraId="1BA29C36">
        <w:tblPrEx>
          <w:tblCellMar>
            <w:top w:w="0" w:type="dxa"/>
            <w:left w:w="108" w:type="dxa"/>
            <w:bottom w:w="0" w:type="dxa"/>
            <w:right w:w="108" w:type="dxa"/>
          </w:tblCellMar>
        </w:tblPrEx>
        <w:trPr>
          <w:trHeight w:val="61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07594B9">
            <w:pPr>
              <w:spacing w:line="240" w:lineRule="auto"/>
              <w:rPr>
                <w:sz w:val="21"/>
                <w:szCs w:val="21"/>
              </w:rPr>
            </w:pPr>
            <w:r>
              <w:rPr>
                <w:rFonts w:hint="eastAsia"/>
                <w:sz w:val="21"/>
                <w:szCs w:val="21"/>
              </w:rPr>
              <w:t>解释权</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5A624B3D">
            <w:pPr>
              <w:spacing w:line="240" w:lineRule="auto"/>
              <w:rPr>
                <w:sz w:val="21"/>
                <w:szCs w:val="21"/>
              </w:rPr>
            </w:pPr>
            <w:r>
              <w:rPr>
                <w:rFonts w:hint="eastAsia"/>
                <w:sz w:val="21"/>
                <w:szCs w:val="21"/>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招标公告、响应单位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320B9B46">
        <w:tblPrEx>
          <w:tblCellMar>
            <w:top w:w="0" w:type="dxa"/>
            <w:left w:w="108" w:type="dxa"/>
            <w:bottom w:w="0" w:type="dxa"/>
            <w:right w:w="108" w:type="dxa"/>
          </w:tblCellMar>
        </w:tblPrEx>
        <w:trPr>
          <w:trHeight w:val="612"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F9F2F97">
            <w:pPr>
              <w:spacing w:line="240" w:lineRule="auto"/>
              <w:rPr>
                <w:sz w:val="21"/>
                <w:szCs w:val="21"/>
              </w:rPr>
            </w:pPr>
            <w:r>
              <w:rPr>
                <w:rFonts w:hint="eastAsia"/>
                <w:sz w:val="21"/>
                <w:szCs w:val="21"/>
              </w:rPr>
              <w:t>其他要求</w:t>
            </w:r>
          </w:p>
        </w:tc>
        <w:tc>
          <w:tcPr>
            <w:tcW w:w="8084" w:type="dxa"/>
            <w:gridSpan w:val="2"/>
            <w:tcBorders>
              <w:top w:val="single" w:color="auto" w:sz="4" w:space="0"/>
              <w:left w:val="single" w:color="auto" w:sz="4" w:space="0"/>
              <w:bottom w:val="single" w:color="auto" w:sz="4" w:space="0"/>
              <w:right w:val="single" w:color="auto" w:sz="4" w:space="0"/>
            </w:tcBorders>
            <w:vAlign w:val="center"/>
          </w:tcPr>
          <w:p w14:paraId="297DEF46">
            <w:pPr>
              <w:spacing w:line="240" w:lineRule="auto"/>
              <w:rPr>
                <w:b/>
                <w:bCs/>
                <w:sz w:val="21"/>
                <w:szCs w:val="21"/>
              </w:rPr>
            </w:pPr>
            <w:r>
              <w:rPr>
                <w:rFonts w:hint="eastAsia" w:cs="仿宋"/>
                <w:b/>
                <w:bCs/>
                <w:sz w:val="21"/>
                <w:szCs w:val="21"/>
              </w:rPr>
              <w:t>若最终报价与第一次报价不同，则需中标后的投标人提供与最终报价相对应的”已标价的工程量清单”</w:t>
            </w:r>
            <w:r>
              <w:rPr>
                <w:rFonts w:cs="仿宋"/>
                <w:b/>
                <w:bCs/>
                <w:sz w:val="21"/>
                <w:szCs w:val="21"/>
              </w:rPr>
              <w:t>3份（包括：1正本</w:t>
            </w:r>
            <w:r>
              <w:rPr>
                <w:rFonts w:hint="eastAsia" w:cs="仿宋"/>
                <w:b/>
                <w:bCs/>
                <w:sz w:val="21"/>
                <w:szCs w:val="21"/>
                <w:lang w:val="en-US" w:eastAsia="zh-CN"/>
              </w:rPr>
              <w:t>2</w:t>
            </w:r>
            <w:r>
              <w:rPr>
                <w:rFonts w:cs="仿宋"/>
                <w:b/>
                <w:bCs/>
                <w:sz w:val="21"/>
                <w:szCs w:val="21"/>
              </w:rPr>
              <w:t>副本），格式及盖章要求需按照磋商文件要求提供，必须胶装，送至采购代理机构，否则视为放弃中标人资格，其后果自负。</w:t>
            </w:r>
          </w:p>
        </w:tc>
      </w:tr>
      <w:tr w14:paraId="40200963">
        <w:tblPrEx>
          <w:tblCellMar>
            <w:top w:w="0" w:type="dxa"/>
            <w:left w:w="108" w:type="dxa"/>
            <w:bottom w:w="0" w:type="dxa"/>
            <w:right w:w="108" w:type="dxa"/>
          </w:tblCellMar>
        </w:tblPrEx>
        <w:trPr>
          <w:trHeight w:val="710" w:hRule="atLeast"/>
          <w:jc w:val="center"/>
        </w:trPr>
        <w:tc>
          <w:tcPr>
            <w:tcW w:w="9072" w:type="dxa"/>
            <w:gridSpan w:val="3"/>
            <w:tcBorders>
              <w:top w:val="single" w:color="auto" w:sz="4" w:space="0"/>
              <w:left w:val="single" w:color="auto" w:sz="4" w:space="0"/>
              <w:bottom w:val="single" w:color="auto" w:sz="4" w:space="0"/>
              <w:right w:val="single" w:color="auto" w:sz="4" w:space="0"/>
            </w:tcBorders>
            <w:vAlign w:val="center"/>
          </w:tcPr>
          <w:p w14:paraId="746BBBD1">
            <w:pPr>
              <w:spacing w:line="240" w:lineRule="auto"/>
              <w:rPr>
                <w:sz w:val="21"/>
                <w:szCs w:val="21"/>
              </w:rPr>
            </w:pPr>
            <w:r>
              <w:rPr>
                <w:rFonts w:hint="eastAsia"/>
                <w:sz w:val="21"/>
                <w:szCs w:val="21"/>
              </w:rPr>
              <w:t>竞争性磋商公告与本竞争性磋商文件不一致之处，以竞争性磋商文件为准。</w:t>
            </w:r>
          </w:p>
        </w:tc>
      </w:tr>
    </w:tbl>
    <w:p w14:paraId="0DEFFF42">
      <w:r>
        <w:br w:type="page"/>
      </w:r>
      <w:bookmarkStart w:id="52" w:name="_Toc152042305"/>
      <w:bookmarkStart w:id="53" w:name="_Toc179632546"/>
      <w:bookmarkStart w:id="54" w:name="_Toc144974497"/>
      <w:bookmarkStart w:id="55" w:name="_Toc246996918"/>
      <w:bookmarkStart w:id="56" w:name="_Toc152045529"/>
      <w:bookmarkStart w:id="57" w:name="_Toc246996175"/>
      <w:bookmarkStart w:id="58" w:name="_Toc247085689"/>
      <w:r>
        <w:rPr>
          <w:rFonts w:hint="eastAsia"/>
        </w:rPr>
        <w:t>1. 总则</w:t>
      </w:r>
      <w:bookmarkEnd w:id="52"/>
      <w:bookmarkEnd w:id="53"/>
      <w:bookmarkEnd w:id="54"/>
      <w:bookmarkEnd w:id="55"/>
      <w:bookmarkEnd w:id="56"/>
      <w:bookmarkEnd w:id="57"/>
      <w:bookmarkEnd w:id="58"/>
    </w:p>
    <w:p w14:paraId="3CEBB6E7">
      <w:bookmarkStart w:id="59" w:name="_Toc152045530"/>
      <w:bookmarkStart w:id="60" w:name="_Toc144974498"/>
      <w:bookmarkStart w:id="61" w:name="_Toc179632547"/>
      <w:bookmarkStart w:id="62" w:name="_Toc246996919"/>
      <w:bookmarkStart w:id="63" w:name="_Toc296602421"/>
      <w:bookmarkStart w:id="64" w:name="_Toc246996176"/>
      <w:bookmarkStart w:id="65" w:name="_Toc152042306"/>
      <w:bookmarkStart w:id="66" w:name="_Toc247085690"/>
      <w:r>
        <w:rPr>
          <w:rFonts w:hint="eastAsia"/>
        </w:rPr>
        <w:t>1.1 项目概况</w:t>
      </w:r>
      <w:bookmarkEnd w:id="59"/>
      <w:bookmarkEnd w:id="60"/>
      <w:bookmarkEnd w:id="61"/>
      <w:bookmarkEnd w:id="62"/>
      <w:bookmarkEnd w:id="63"/>
      <w:bookmarkEnd w:id="64"/>
      <w:bookmarkEnd w:id="65"/>
      <w:bookmarkEnd w:id="66"/>
    </w:p>
    <w:p w14:paraId="7D13653F">
      <w:r>
        <w:rPr>
          <w:rFonts w:hint="eastAsia"/>
        </w:rPr>
        <w:t>1.1.1根据《中华人民共和国招标投标法》等有关法律、法规和规章的规定，本招标项目已具备招标条件，现对本项目施工进行招标。</w:t>
      </w:r>
    </w:p>
    <w:p w14:paraId="0C9704A5">
      <w:r>
        <w:rPr>
          <w:rFonts w:hint="eastAsia"/>
        </w:rPr>
        <w:t>1.1.2 本招标项目采购单位：见响应单位须知前附表。</w:t>
      </w:r>
    </w:p>
    <w:p w14:paraId="7E8B6BA1">
      <w:r>
        <w:rPr>
          <w:rFonts w:hint="eastAsia"/>
        </w:rPr>
        <w:t>1.1.3 本招标项目招标代理机构：见响应单位须知前附表。</w:t>
      </w:r>
    </w:p>
    <w:p w14:paraId="5DE3189C">
      <w:r>
        <w:rPr>
          <w:rFonts w:hint="eastAsia"/>
        </w:rPr>
        <w:t>1.1.4 本招标项目名称：见响应单位须知前附表。</w:t>
      </w:r>
    </w:p>
    <w:p w14:paraId="2B4CA409">
      <w:r>
        <w:rPr>
          <w:rFonts w:hint="eastAsia"/>
        </w:rPr>
        <w:t>1.1.5 本招标项目建设地点：见响应单位须知前附表。</w:t>
      </w:r>
    </w:p>
    <w:p w14:paraId="31F4C348">
      <w:bookmarkStart w:id="67" w:name="_Toc246996177"/>
      <w:bookmarkStart w:id="68" w:name="_Toc247085691"/>
      <w:bookmarkStart w:id="69" w:name="_Toc152045531"/>
      <w:bookmarkStart w:id="70" w:name="_Toc144974499"/>
      <w:bookmarkStart w:id="71" w:name="_Toc296602422"/>
      <w:bookmarkStart w:id="72" w:name="_Toc152042307"/>
      <w:bookmarkStart w:id="73" w:name="_Toc179632548"/>
      <w:bookmarkStart w:id="74" w:name="_Toc246996920"/>
      <w:r>
        <w:rPr>
          <w:rFonts w:hint="eastAsia"/>
        </w:rPr>
        <w:t>1.2 资金来源和落实情况</w:t>
      </w:r>
      <w:bookmarkEnd w:id="67"/>
      <w:bookmarkEnd w:id="68"/>
      <w:bookmarkEnd w:id="69"/>
      <w:bookmarkEnd w:id="70"/>
      <w:bookmarkEnd w:id="71"/>
      <w:bookmarkEnd w:id="72"/>
      <w:bookmarkEnd w:id="73"/>
      <w:bookmarkEnd w:id="74"/>
    </w:p>
    <w:p w14:paraId="1C5C8B7E">
      <w:r>
        <w:rPr>
          <w:rFonts w:hint="eastAsia"/>
        </w:rPr>
        <w:t>1.2.1 本招标项目的资金来源及出资比例：见响应单位须知前附表。</w:t>
      </w:r>
    </w:p>
    <w:p w14:paraId="506A5FC5">
      <w:r>
        <w:rPr>
          <w:rFonts w:hint="eastAsia"/>
        </w:rPr>
        <w:t>1.2.2 本招标项目的资金落实情况：见响应单位须知前附表。</w:t>
      </w:r>
    </w:p>
    <w:p w14:paraId="39D00D59">
      <w:bookmarkStart w:id="75" w:name="_Toc179632549"/>
      <w:bookmarkStart w:id="76" w:name="_Toc296602423"/>
      <w:bookmarkStart w:id="77" w:name="_Toc144974500"/>
      <w:bookmarkStart w:id="78" w:name="_Toc152042308"/>
      <w:bookmarkStart w:id="79" w:name="_Toc152045532"/>
      <w:bookmarkStart w:id="80" w:name="_Toc246996921"/>
      <w:bookmarkStart w:id="81" w:name="_Toc246996178"/>
      <w:bookmarkStart w:id="82" w:name="_Toc247085692"/>
      <w:r>
        <w:rPr>
          <w:rFonts w:hint="eastAsia"/>
        </w:rPr>
        <w:t>1.3 招标范围、计划工期、质量要求</w:t>
      </w:r>
      <w:bookmarkEnd w:id="75"/>
      <w:bookmarkEnd w:id="76"/>
      <w:bookmarkEnd w:id="77"/>
      <w:bookmarkEnd w:id="78"/>
      <w:bookmarkEnd w:id="79"/>
      <w:bookmarkEnd w:id="80"/>
      <w:bookmarkEnd w:id="81"/>
      <w:bookmarkEnd w:id="82"/>
    </w:p>
    <w:p w14:paraId="0F7B922A">
      <w:r>
        <w:rPr>
          <w:rFonts w:hint="eastAsia"/>
        </w:rPr>
        <w:t>1.3.1 本次招标范围：见响应单位须知前附表。</w:t>
      </w:r>
    </w:p>
    <w:p w14:paraId="40C1466D">
      <w:r>
        <w:rPr>
          <w:rFonts w:hint="eastAsia"/>
        </w:rPr>
        <w:t>1.3.2 本招标项目的计划工期：见响应单位须知前附表。</w:t>
      </w:r>
    </w:p>
    <w:p w14:paraId="2EE9C5E6">
      <w:r>
        <w:rPr>
          <w:rFonts w:hint="eastAsia"/>
        </w:rPr>
        <w:t>1.3.3 本招标项目的质量要求：见响应单位须知前附表。</w:t>
      </w:r>
    </w:p>
    <w:p w14:paraId="63D89602">
      <w:bookmarkStart w:id="83" w:name="_Toc179632551"/>
      <w:bookmarkStart w:id="84" w:name="_Toc246996922"/>
      <w:bookmarkStart w:id="85" w:name="_Toc246996179"/>
      <w:bookmarkStart w:id="86" w:name="_Toc247085693"/>
      <w:bookmarkStart w:id="87" w:name="_Toc152042310"/>
      <w:bookmarkStart w:id="88" w:name="_Toc144974502"/>
      <w:bookmarkStart w:id="89" w:name="_Toc296602424"/>
      <w:bookmarkStart w:id="90" w:name="_Toc152045534"/>
      <w:r>
        <w:rPr>
          <w:rFonts w:hint="eastAsia"/>
        </w:rPr>
        <w:t>1.4 响应单位资格要求</w:t>
      </w:r>
      <w:bookmarkEnd w:id="83"/>
      <w:bookmarkEnd w:id="84"/>
      <w:bookmarkEnd w:id="85"/>
      <w:bookmarkEnd w:id="86"/>
      <w:bookmarkEnd w:id="87"/>
      <w:bookmarkEnd w:id="88"/>
      <w:bookmarkEnd w:id="89"/>
      <w:bookmarkEnd w:id="90"/>
    </w:p>
    <w:p w14:paraId="6D146265">
      <w:r>
        <w:rPr>
          <w:rFonts w:hint="eastAsia"/>
        </w:rPr>
        <w:t>1.4.1 响应单位应具备承担本项目施工的资质条件、能力和信誉。</w:t>
      </w:r>
    </w:p>
    <w:p w14:paraId="4269203A">
      <w:r>
        <w:rPr>
          <w:rFonts w:hint="eastAsia"/>
        </w:rPr>
        <w:t>（1）资质条件：见响应单位须知前附表；</w:t>
      </w:r>
    </w:p>
    <w:p w14:paraId="6B07D803">
      <w:r>
        <w:rPr>
          <w:rFonts w:hint="eastAsia"/>
        </w:rPr>
        <w:t>（2）项目经理资格：见响应单位须知前附表；</w:t>
      </w:r>
    </w:p>
    <w:p w14:paraId="3D7C654A">
      <w:r>
        <w:rPr>
          <w:rFonts w:hint="eastAsia"/>
        </w:rPr>
        <w:t>（3）财务要求：见响应单位须知前附表；</w:t>
      </w:r>
    </w:p>
    <w:p w14:paraId="13570272">
      <w:r>
        <w:rPr>
          <w:rFonts w:hint="eastAsia"/>
        </w:rPr>
        <w:t>（4）业绩要求：见响应单位须知前附表；</w:t>
      </w:r>
    </w:p>
    <w:p w14:paraId="4C142001">
      <w:r>
        <w:rPr>
          <w:rFonts w:hint="eastAsia"/>
        </w:rPr>
        <w:t>（5）其他要求：见响应单位须知前附表。</w:t>
      </w:r>
    </w:p>
    <w:p w14:paraId="1B62530F">
      <w:r>
        <w:rPr>
          <w:rFonts w:hint="eastAsia"/>
        </w:rPr>
        <w:t>1.4.2 响应单位不得存在下列情形之一：</w:t>
      </w:r>
    </w:p>
    <w:p w14:paraId="2394C950">
      <w:r>
        <w:rPr>
          <w:rFonts w:hint="eastAsia"/>
        </w:rPr>
        <w:t>（1）为采购单位不具有独立法人资格的附属机构（单位）；</w:t>
      </w:r>
    </w:p>
    <w:p w14:paraId="7DA1E059">
      <w:r>
        <w:rPr>
          <w:rFonts w:hint="eastAsia"/>
        </w:rPr>
        <w:t xml:space="preserve">（2）为本招标项目前期准备提供设计或咨询服务的； </w:t>
      </w:r>
    </w:p>
    <w:p w14:paraId="53A4AC06">
      <w:r>
        <w:rPr>
          <w:rFonts w:hint="eastAsia"/>
        </w:rPr>
        <w:t>（3）为本招标项目的监理人；</w:t>
      </w:r>
    </w:p>
    <w:p w14:paraId="3C5D49D0">
      <w:r>
        <w:rPr>
          <w:rFonts w:hint="eastAsia"/>
        </w:rPr>
        <w:t xml:space="preserve">（4）为本招标项目的代建人； </w:t>
      </w:r>
    </w:p>
    <w:p w14:paraId="26783324">
      <w:r>
        <w:rPr>
          <w:rFonts w:hint="eastAsia"/>
        </w:rPr>
        <w:t xml:space="preserve">（5）为本招标项目提供招标代理服务的； </w:t>
      </w:r>
    </w:p>
    <w:p w14:paraId="4064672D">
      <w:r>
        <w:rPr>
          <w:rFonts w:hint="eastAsia"/>
        </w:rPr>
        <w:t>（6）与本招标项目的监理人或代建人或招标代理机构同为一个法定代表人的；</w:t>
      </w:r>
    </w:p>
    <w:p w14:paraId="331354AE">
      <w:r>
        <w:rPr>
          <w:rFonts w:hint="eastAsia"/>
        </w:rPr>
        <w:t>（7）与本招标项目的监理人或代建人或招标代理机构相互控股或参股的；</w:t>
      </w:r>
    </w:p>
    <w:p w14:paraId="6212F76C">
      <w:r>
        <w:rPr>
          <w:rFonts w:hint="eastAsia"/>
        </w:rPr>
        <w:t>（8）与本招标项目的监理人或代建人或招标代理机构相互任职或工作的；</w:t>
      </w:r>
    </w:p>
    <w:p w14:paraId="72C914E3">
      <w:r>
        <w:rPr>
          <w:rFonts w:hint="eastAsia"/>
        </w:rPr>
        <w:t xml:space="preserve">（9）被责令停业的； </w:t>
      </w:r>
    </w:p>
    <w:p w14:paraId="66D42A1E">
      <w:r>
        <w:rPr>
          <w:rFonts w:hint="eastAsia"/>
        </w:rPr>
        <w:t xml:space="preserve">（10）被暂停或取消投标资格的； </w:t>
      </w:r>
    </w:p>
    <w:p w14:paraId="40E642D0">
      <w:r>
        <w:rPr>
          <w:rFonts w:hint="eastAsia"/>
        </w:rPr>
        <w:t>（11）财产被接管或冻结的；</w:t>
      </w:r>
    </w:p>
    <w:p w14:paraId="22874EC6">
      <w:r>
        <w:rPr>
          <w:rFonts w:hint="eastAsia"/>
        </w:rPr>
        <w:t>（12）在最近三年内有骗取中标或严重违约或重大工程质量问题的。</w:t>
      </w:r>
    </w:p>
    <w:p w14:paraId="521203DB">
      <w:r>
        <w:rPr>
          <w:rFonts w:hint="eastAsia"/>
        </w:rPr>
        <w:t>1.4.3 单位负责人为同一人或者存在控股、管理关系的不同单位，不得同时参加本招标项目投标。</w:t>
      </w:r>
    </w:p>
    <w:p w14:paraId="2A8923ED">
      <w:bookmarkStart w:id="91" w:name="_Toc247085694"/>
      <w:bookmarkStart w:id="92" w:name="_Toc144974503"/>
      <w:bookmarkStart w:id="93" w:name="_Toc246996923"/>
      <w:bookmarkStart w:id="94" w:name="_Toc296602425"/>
      <w:bookmarkStart w:id="95" w:name="_Toc179632552"/>
      <w:bookmarkStart w:id="96" w:name="_Toc152042311"/>
      <w:bookmarkStart w:id="97" w:name="_Toc246996180"/>
      <w:bookmarkStart w:id="98" w:name="_Toc152045535"/>
      <w:r>
        <w:rPr>
          <w:rFonts w:hint="eastAsia"/>
        </w:rPr>
        <w:t>1.5 费用承担</w:t>
      </w:r>
      <w:bookmarkEnd w:id="91"/>
      <w:bookmarkEnd w:id="92"/>
      <w:bookmarkEnd w:id="93"/>
      <w:bookmarkEnd w:id="94"/>
      <w:bookmarkEnd w:id="95"/>
      <w:bookmarkEnd w:id="96"/>
      <w:bookmarkEnd w:id="97"/>
      <w:bookmarkEnd w:id="98"/>
    </w:p>
    <w:p w14:paraId="19DCF9BD">
      <w:r>
        <w:rPr>
          <w:rFonts w:hint="eastAsia"/>
        </w:rPr>
        <w:t>响应单位准备和参加投标活动发生的费用自理。</w:t>
      </w:r>
    </w:p>
    <w:p w14:paraId="3D2A099A">
      <w:bookmarkStart w:id="99" w:name="_Toc246996181"/>
      <w:bookmarkStart w:id="100" w:name="_Toc152042312"/>
      <w:bookmarkStart w:id="101" w:name="_Toc246996924"/>
      <w:bookmarkStart w:id="102" w:name="_Toc179632553"/>
      <w:bookmarkStart w:id="103" w:name="_Toc296602426"/>
      <w:bookmarkStart w:id="104" w:name="_Toc247085695"/>
      <w:bookmarkStart w:id="105" w:name="_Toc144974504"/>
      <w:bookmarkStart w:id="106" w:name="_Toc152045536"/>
      <w:r>
        <w:rPr>
          <w:rFonts w:hint="eastAsia"/>
        </w:rPr>
        <w:t>1.6 保密</w:t>
      </w:r>
      <w:bookmarkEnd w:id="99"/>
      <w:bookmarkEnd w:id="100"/>
      <w:bookmarkEnd w:id="101"/>
      <w:bookmarkEnd w:id="102"/>
      <w:bookmarkEnd w:id="103"/>
      <w:bookmarkEnd w:id="104"/>
      <w:bookmarkEnd w:id="105"/>
      <w:bookmarkEnd w:id="106"/>
    </w:p>
    <w:p w14:paraId="5DD6835E">
      <w:r>
        <w:rPr>
          <w:rFonts w:hint="eastAsia"/>
        </w:rPr>
        <w:t xml:space="preserve">参与招标投标活动的各方应对竞争性磋商文件和响应文件中的商业和技术等秘密保密，违者应对由此造成的后果承担法律责任。 </w:t>
      </w:r>
    </w:p>
    <w:p w14:paraId="4E19FCE9">
      <w:bookmarkStart w:id="107" w:name="_Toc144974505"/>
      <w:bookmarkStart w:id="108" w:name="_Toc247085696"/>
      <w:bookmarkStart w:id="109" w:name="_Toc179632554"/>
      <w:bookmarkStart w:id="110" w:name="_Toc246996925"/>
      <w:bookmarkStart w:id="111" w:name="_Toc246996182"/>
      <w:bookmarkStart w:id="112" w:name="_Toc152042313"/>
      <w:bookmarkStart w:id="113" w:name="_Toc296602427"/>
      <w:bookmarkStart w:id="114" w:name="_Toc152045537"/>
      <w:r>
        <w:rPr>
          <w:rFonts w:hint="eastAsia"/>
        </w:rPr>
        <w:t>1.7 语言</w:t>
      </w:r>
      <w:bookmarkEnd w:id="107"/>
      <w:r>
        <w:rPr>
          <w:rFonts w:hint="eastAsia"/>
        </w:rPr>
        <w:t>文字</w:t>
      </w:r>
      <w:bookmarkEnd w:id="108"/>
      <w:bookmarkEnd w:id="109"/>
      <w:bookmarkEnd w:id="110"/>
      <w:bookmarkEnd w:id="111"/>
      <w:bookmarkEnd w:id="112"/>
      <w:bookmarkEnd w:id="113"/>
      <w:bookmarkEnd w:id="114"/>
    </w:p>
    <w:p w14:paraId="708C1E4C">
      <w:bookmarkStart w:id="115" w:name="_Toc144974506"/>
      <w:bookmarkStart w:id="116" w:name="_Toc152045538"/>
      <w:bookmarkStart w:id="117" w:name="_Toc246996183"/>
      <w:bookmarkStart w:id="118" w:name="_Toc246996926"/>
      <w:bookmarkStart w:id="119" w:name="_Toc247085697"/>
      <w:bookmarkStart w:id="120" w:name="_Toc152042314"/>
      <w:bookmarkStart w:id="121" w:name="_Toc179632555"/>
      <w:r>
        <w:rPr>
          <w:rFonts w:hint="eastAsia"/>
        </w:rPr>
        <w:t>招标响应文件使用的语言文字为中文。专用术语使用外文的，应附有中文注释。</w:t>
      </w:r>
    </w:p>
    <w:p w14:paraId="6DFC473B">
      <w:bookmarkStart w:id="122" w:name="_Toc296602428"/>
      <w:r>
        <w:rPr>
          <w:rFonts w:hint="eastAsia"/>
        </w:rPr>
        <w:t>1.8 计量单位</w:t>
      </w:r>
      <w:bookmarkEnd w:id="115"/>
      <w:bookmarkEnd w:id="116"/>
      <w:bookmarkEnd w:id="117"/>
      <w:bookmarkEnd w:id="118"/>
      <w:bookmarkEnd w:id="119"/>
      <w:bookmarkEnd w:id="120"/>
      <w:bookmarkEnd w:id="121"/>
      <w:bookmarkEnd w:id="122"/>
    </w:p>
    <w:p w14:paraId="472FD7FA">
      <w:r>
        <w:rPr>
          <w:rFonts w:hint="eastAsia"/>
        </w:rPr>
        <w:t>所有计量均采用中华人民共和国法定计量单位。</w:t>
      </w:r>
    </w:p>
    <w:p w14:paraId="535430DF">
      <w:bookmarkStart w:id="123" w:name="_Toc296602429"/>
      <w:bookmarkStart w:id="124" w:name="_Toc152042315"/>
      <w:bookmarkStart w:id="125" w:name="_Toc152045539"/>
      <w:bookmarkStart w:id="126" w:name="_Toc144974507"/>
      <w:bookmarkStart w:id="127" w:name="_Toc247592876"/>
      <w:bookmarkStart w:id="128" w:name="_Toc247513962"/>
      <w:bookmarkStart w:id="129" w:name="_Toc247527563"/>
      <w:r>
        <w:rPr>
          <w:rFonts w:hint="eastAsia"/>
        </w:rPr>
        <w:t>1.9 踏勘现场</w:t>
      </w:r>
      <w:bookmarkEnd w:id="123"/>
      <w:bookmarkEnd w:id="124"/>
      <w:bookmarkEnd w:id="125"/>
      <w:bookmarkEnd w:id="126"/>
      <w:bookmarkEnd w:id="127"/>
      <w:bookmarkEnd w:id="128"/>
      <w:bookmarkEnd w:id="129"/>
    </w:p>
    <w:p w14:paraId="70CAAB1D">
      <w:r>
        <w:rPr>
          <w:rFonts w:hint="eastAsia"/>
        </w:rPr>
        <w:t xml:space="preserve">1.9.1 响应单位须知前附表规定组织踏勘现场的，采购单位按响应单位须知前附表规定的时间、地点组织响应单位踏勘项目现场。 </w:t>
      </w:r>
    </w:p>
    <w:p w14:paraId="14BADAF3">
      <w:r>
        <w:rPr>
          <w:rFonts w:hint="eastAsia"/>
        </w:rPr>
        <w:t>1.9.2 响应单位踏勘现场发生的费用自理。</w:t>
      </w:r>
    </w:p>
    <w:p w14:paraId="31FEBBD8">
      <w:r>
        <w:rPr>
          <w:rFonts w:hint="eastAsia"/>
        </w:rPr>
        <w:t>1.9.3 除采购单位的原因外，响应单位自行负责在踏勘现场中所发生的人员伤亡和财产损失。</w:t>
      </w:r>
    </w:p>
    <w:p w14:paraId="00D2CA78">
      <w:r>
        <w:rPr>
          <w:rFonts w:hint="eastAsia"/>
        </w:rPr>
        <w:t>1.9.4 采购单位在踏勘现场中介绍的工程场地和相关的周边环境情况，供响应单位在编制响应文件时参考，采购单位不对响应单位据此作出的判断和决策负责。</w:t>
      </w:r>
    </w:p>
    <w:p w14:paraId="0C8D044F">
      <w:bookmarkStart w:id="130" w:name="_Toc296602430"/>
      <w:bookmarkStart w:id="131" w:name="_Toc152042316"/>
      <w:bookmarkStart w:id="132" w:name="_Toc144974508"/>
      <w:bookmarkStart w:id="133" w:name="_Toc247513963"/>
      <w:bookmarkStart w:id="134" w:name="_Toc247527564"/>
      <w:bookmarkStart w:id="135" w:name="_Toc152045540"/>
      <w:bookmarkStart w:id="136" w:name="_Toc247592877"/>
      <w:r>
        <w:rPr>
          <w:rFonts w:hint="eastAsia"/>
        </w:rPr>
        <w:t>1.10 投标预备会</w:t>
      </w:r>
      <w:bookmarkEnd w:id="130"/>
      <w:bookmarkEnd w:id="131"/>
      <w:bookmarkEnd w:id="132"/>
      <w:bookmarkEnd w:id="133"/>
      <w:bookmarkEnd w:id="134"/>
      <w:bookmarkEnd w:id="135"/>
      <w:bookmarkEnd w:id="136"/>
    </w:p>
    <w:p w14:paraId="63D19FC5">
      <w:r>
        <w:rPr>
          <w:rFonts w:hint="eastAsia"/>
        </w:rPr>
        <w:t>1.10.1 响应单位须知前附表规定召开投标预备会的，采购单位按响应单位须知前附表规定的时间和地点召开投标预备会，澄清响应单位提出的问题。</w:t>
      </w:r>
    </w:p>
    <w:p w14:paraId="6542FE14">
      <w:r>
        <w:rPr>
          <w:rFonts w:hint="eastAsia"/>
        </w:rPr>
        <w:t>1.10.2 响应单位应在响应单位须知前附表规定的时间前，以书面形式将提出的问题送达采购单位，以便采购单位在会议期间澄清。</w:t>
      </w:r>
    </w:p>
    <w:p w14:paraId="7DB32508">
      <w:r>
        <w:rPr>
          <w:rFonts w:hint="eastAsia"/>
        </w:rPr>
        <w:t>1.10.3 投标预备会后，采购单位在响应单位须知前附表规定的时间内，将对响应单位所提问题的澄清，以书面形式通知所有购买竞争性磋商文件的响应单位。该澄清内容为竞争性磋商文件的组成部分。</w:t>
      </w:r>
    </w:p>
    <w:p w14:paraId="4F554582">
      <w:bookmarkStart w:id="137" w:name="_Toc296602431"/>
      <w:r>
        <w:rPr>
          <w:rFonts w:hint="eastAsia"/>
        </w:rPr>
        <w:t>1.11 偏离</w:t>
      </w:r>
      <w:bookmarkEnd w:id="137"/>
    </w:p>
    <w:p w14:paraId="2B9ED3A6">
      <w:r>
        <w:rPr>
          <w:rFonts w:hint="eastAsia"/>
        </w:rPr>
        <w:t>响应单位须知前附表允许响应文件偏离竞争性磋商文件某些要求的，偏离应当符合竞争性磋商文件规定的偏离范围和幅度。</w:t>
      </w:r>
    </w:p>
    <w:p w14:paraId="6EBE6816">
      <w:bookmarkStart w:id="138" w:name="_Toc144974510"/>
      <w:bookmarkStart w:id="139" w:name="_Toc246996187"/>
      <w:bookmarkStart w:id="140" w:name="_Toc179632560"/>
      <w:bookmarkStart w:id="141" w:name="_Toc152042318"/>
      <w:bookmarkStart w:id="142" w:name="_Toc247085701"/>
      <w:bookmarkStart w:id="143" w:name="_Toc246996930"/>
      <w:bookmarkStart w:id="144" w:name="_Toc152045542"/>
      <w:r>
        <w:rPr>
          <w:rFonts w:hint="eastAsia"/>
        </w:rPr>
        <w:t>2. 竞争性磋商文件</w:t>
      </w:r>
      <w:bookmarkEnd w:id="138"/>
      <w:bookmarkEnd w:id="139"/>
      <w:bookmarkEnd w:id="140"/>
      <w:bookmarkEnd w:id="141"/>
      <w:bookmarkEnd w:id="142"/>
      <w:bookmarkEnd w:id="143"/>
      <w:bookmarkEnd w:id="144"/>
    </w:p>
    <w:p w14:paraId="4E341C85">
      <w:bookmarkStart w:id="145" w:name="_Toc296602433"/>
      <w:bookmarkStart w:id="146" w:name="_Toc152045543"/>
      <w:bookmarkStart w:id="147" w:name="_Toc246996931"/>
      <w:bookmarkStart w:id="148" w:name="_Toc179632561"/>
      <w:bookmarkStart w:id="149" w:name="_Toc152042319"/>
      <w:bookmarkStart w:id="150" w:name="_Toc247085702"/>
      <w:bookmarkStart w:id="151" w:name="_Toc246996188"/>
      <w:bookmarkStart w:id="152" w:name="_Toc144974511"/>
      <w:r>
        <w:rPr>
          <w:rFonts w:hint="eastAsia"/>
        </w:rPr>
        <w:t>2.1 竞争性磋商文件的组成</w:t>
      </w:r>
      <w:bookmarkEnd w:id="145"/>
      <w:bookmarkEnd w:id="146"/>
      <w:bookmarkEnd w:id="147"/>
      <w:bookmarkEnd w:id="148"/>
      <w:bookmarkEnd w:id="149"/>
      <w:bookmarkEnd w:id="150"/>
      <w:bookmarkEnd w:id="151"/>
      <w:bookmarkEnd w:id="152"/>
    </w:p>
    <w:p w14:paraId="45ED25BB">
      <w:r>
        <w:rPr>
          <w:rFonts w:hint="eastAsia"/>
        </w:rPr>
        <w:t>2.1.1 本竞争性磋商文件包括：</w:t>
      </w:r>
    </w:p>
    <w:p w14:paraId="01A6137F">
      <w:bookmarkStart w:id="153" w:name="_Hlk110332380"/>
      <w:r>
        <w:rPr>
          <w:rFonts w:hint="eastAsia"/>
        </w:rPr>
        <w:t>（1）</w:t>
      </w:r>
      <w:r>
        <w:t>竞争性磋商</w:t>
      </w:r>
      <w:r>
        <w:rPr>
          <w:rFonts w:hint="eastAsia"/>
        </w:rPr>
        <w:t>公告；</w:t>
      </w:r>
    </w:p>
    <w:p w14:paraId="5F41A923">
      <w:r>
        <w:rPr>
          <w:rFonts w:hint="eastAsia"/>
        </w:rPr>
        <w:t>（2）响应单位须知；</w:t>
      </w:r>
    </w:p>
    <w:p w14:paraId="5B60788E">
      <w:r>
        <w:rPr>
          <w:rFonts w:hint="eastAsia"/>
        </w:rPr>
        <w:t>（3）评标办法</w:t>
      </w:r>
      <w:r>
        <w:t>（综合评估法）</w:t>
      </w:r>
      <w:r>
        <w:rPr>
          <w:rFonts w:hint="eastAsia"/>
        </w:rPr>
        <w:t>；</w:t>
      </w:r>
    </w:p>
    <w:p w14:paraId="4F02825C">
      <w:r>
        <w:rPr>
          <w:rFonts w:hint="eastAsia"/>
        </w:rPr>
        <w:t>（4）合同条款及格式；</w:t>
      </w:r>
    </w:p>
    <w:p w14:paraId="1E54E3BF">
      <w:r>
        <w:rPr>
          <w:rFonts w:hint="eastAsia"/>
        </w:rPr>
        <w:t xml:space="preserve">（5）工程量清单； </w:t>
      </w:r>
    </w:p>
    <w:p w14:paraId="7F9ED61C">
      <w:r>
        <w:rPr>
          <w:rFonts w:hint="eastAsia"/>
        </w:rPr>
        <w:t>（6）图纸；</w:t>
      </w:r>
    </w:p>
    <w:p w14:paraId="40ADA710">
      <w:r>
        <w:rPr>
          <w:rFonts w:hint="eastAsia"/>
        </w:rPr>
        <w:t xml:space="preserve">（7）技术标准和要求； </w:t>
      </w:r>
    </w:p>
    <w:p w14:paraId="446D340B">
      <w:r>
        <w:rPr>
          <w:rFonts w:hint="eastAsia"/>
        </w:rPr>
        <w:t>（8）响应文件格式；</w:t>
      </w:r>
    </w:p>
    <w:bookmarkEnd w:id="153"/>
    <w:p w14:paraId="32C68B89">
      <w:r>
        <w:rPr>
          <w:rFonts w:hint="eastAsia"/>
        </w:rPr>
        <w:t>2.1.2 根据本章第1.10款、第2.2款和第2.3款对竞争性磋商文件所作的澄清、修改，构成竞争性磋商文件的组成部分。</w:t>
      </w:r>
    </w:p>
    <w:p w14:paraId="388D917F">
      <w:bookmarkStart w:id="154" w:name="_Toc152042320"/>
      <w:bookmarkStart w:id="155" w:name="_Toc152045544"/>
      <w:bookmarkStart w:id="156" w:name="_Toc246996932"/>
      <w:bookmarkStart w:id="157" w:name="_Toc296602434"/>
      <w:bookmarkStart w:id="158" w:name="_Toc179632562"/>
      <w:bookmarkStart w:id="159" w:name="_Toc144974512"/>
      <w:bookmarkStart w:id="160" w:name="_Toc246996189"/>
      <w:bookmarkStart w:id="161" w:name="_Toc247085703"/>
      <w:r>
        <w:rPr>
          <w:rFonts w:hint="eastAsia"/>
        </w:rPr>
        <w:t>2.2 竞争性磋商文件的澄清</w:t>
      </w:r>
      <w:bookmarkEnd w:id="154"/>
      <w:bookmarkEnd w:id="155"/>
      <w:bookmarkEnd w:id="156"/>
      <w:bookmarkEnd w:id="157"/>
      <w:bookmarkEnd w:id="158"/>
      <w:bookmarkEnd w:id="159"/>
      <w:bookmarkEnd w:id="160"/>
      <w:bookmarkEnd w:id="161"/>
      <w:r>
        <w:rPr>
          <w:rFonts w:hint="eastAsia"/>
        </w:rPr>
        <w:t xml:space="preserve"> </w:t>
      </w:r>
    </w:p>
    <w:p w14:paraId="0BBDE660">
      <w:r>
        <w:rPr>
          <w:rFonts w:hint="eastAsia"/>
        </w:rPr>
        <w:t>2.2.1 响应单位应仔细阅读和检查竞争性磋商文件的全部内容。如发现缺页或附件不全，应及时向采购单位提出，以便补齐。如有疑问，应在响应单位须知前附表规定的时间前在以书面的形式通知采购人，采购人对收到的澄清要求将视所提问题具体情况网上予以答复澄清，所有有投标意愿的响应单位有义务在网上自行查询。</w:t>
      </w:r>
    </w:p>
    <w:p w14:paraId="2A439B9E">
      <w:pPr>
        <w:rPr>
          <w:sz w:val="32"/>
          <w:szCs w:val="32"/>
        </w:rPr>
      </w:pPr>
      <w:r>
        <w:rPr>
          <w:rFonts w:hint="eastAsia"/>
        </w:rPr>
        <w:t>2.2.2 竞争性磋商文件的澄清将在响应单位须知前附表规定的投标截止时间15天前通知所有获取竞争性磋商文件的潜在响应单位，但不指明澄清问题的来源。如果澄清发出的时间距投标截止时间不足15天，相应延长投标截止时间。</w:t>
      </w:r>
      <w:r>
        <w:rPr>
          <w:rFonts w:hint="eastAsia"/>
          <w:sz w:val="32"/>
          <w:szCs w:val="32"/>
        </w:rPr>
        <w:t xml:space="preserve"> </w:t>
      </w:r>
    </w:p>
    <w:p w14:paraId="6EBA24D0">
      <w:r>
        <w:rPr>
          <w:rFonts w:hint="eastAsia"/>
        </w:rPr>
        <w:t>2.2.3 响应单位在收到澄清后，应在响应单位须知前附表规定的时间内以书面形式通知采购单位，确认已收到该澄清。</w:t>
      </w:r>
    </w:p>
    <w:p w14:paraId="1BA2D4E8">
      <w:bookmarkStart w:id="162" w:name="_Toc144974513"/>
      <w:bookmarkStart w:id="163" w:name="_Toc246996190"/>
      <w:bookmarkStart w:id="164" w:name="_Toc247085704"/>
      <w:bookmarkStart w:id="165" w:name="_Toc152042321"/>
      <w:bookmarkStart w:id="166" w:name="_Toc152045545"/>
      <w:bookmarkStart w:id="167" w:name="_Toc296602435"/>
      <w:bookmarkStart w:id="168" w:name="_Toc179632563"/>
      <w:bookmarkStart w:id="169" w:name="_Toc246996933"/>
      <w:r>
        <w:rPr>
          <w:rFonts w:hint="eastAsia"/>
        </w:rPr>
        <w:t>2.3 竞争性磋商文件的修改</w:t>
      </w:r>
      <w:bookmarkEnd w:id="162"/>
      <w:bookmarkEnd w:id="163"/>
      <w:bookmarkEnd w:id="164"/>
      <w:bookmarkEnd w:id="165"/>
      <w:bookmarkEnd w:id="166"/>
      <w:bookmarkEnd w:id="167"/>
      <w:bookmarkEnd w:id="168"/>
      <w:bookmarkEnd w:id="169"/>
    </w:p>
    <w:p w14:paraId="0C9D5C4C">
      <w:pPr>
        <w:rPr>
          <w:rFonts w:hint="eastAsia" w:eastAsia="宋体"/>
          <w:lang w:eastAsia="zh-CN"/>
        </w:rPr>
      </w:pPr>
      <w:r>
        <w:rPr>
          <w:rFonts w:hint="eastAsia"/>
        </w:rPr>
        <w:t>2.3.1在投标截止时间</w:t>
      </w:r>
      <w:r>
        <w:t>7</w:t>
      </w:r>
      <w:r>
        <w:rPr>
          <w:rFonts w:hint="eastAsia"/>
        </w:rPr>
        <w:t>天前，采购单位可以修改竞争性磋商文件，竞争性磋商文件的澄清、修改将以书面的形式向响应单位发出。如果修改竞争性磋商文件的时间距投标截止时间不足</w:t>
      </w:r>
      <w:r>
        <w:t>7</w:t>
      </w:r>
      <w:r>
        <w:rPr>
          <w:rFonts w:hint="eastAsia"/>
        </w:rPr>
        <w:t>天，相应延长投标截止时间</w:t>
      </w:r>
      <w:r>
        <w:rPr>
          <w:rFonts w:hint="eastAsia"/>
          <w:lang w:eastAsia="zh-CN"/>
        </w:rPr>
        <w:t>。</w:t>
      </w:r>
    </w:p>
    <w:p w14:paraId="42D076F5">
      <w:r>
        <w:rPr>
          <w:rFonts w:hint="eastAsia"/>
        </w:rPr>
        <w:t>2.3.2 响应单位收到修改内容后，应在响应单位须知前附表规定的时间内以书面形式通知采购单位，确认已收到该修改。</w:t>
      </w:r>
    </w:p>
    <w:p w14:paraId="4ED0DB14">
      <w:bookmarkStart w:id="170" w:name="_Toc246996191"/>
      <w:bookmarkStart w:id="171" w:name="_Toc179632564"/>
      <w:bookmarkStart w:id="172" w:name="_Toc152045546"/>
      <w:bookmarkStart w:id="173" w:name="_Toc144974514"/>
      <w:bookmarkStart w:id="174" w:name="_Toc246996934"/>
      <w:bookmarkStart w:id="175" w:name="_Toc152042322"/>
      <w:bookmarkStart w:id="176" w:name="_Toc247085705"/>
      <w:r>
        <w:rPr>
          <w:rFonts w:hint="eastAsia"/>
        </w:rPr>
        <w:t>3. 响应文件</w:t>
      </w:r>
      <w:bookmarkEnd w:id="170"/>
      <w:bookmarkEnd w:id="171"/>
      <w:bookmarkEnd w:id="172"/>
      <w:bookmarkEnd w:id="173"/>
      <w:bookmarkEnd w:id="174"/>
      <w:bookmarkEnd w:id="175"/>
      <w:bookmarkEnd w:id="176"/>
    </w:p>
    <w:p w14:paraId="21137F05">
      <w:bookmarkStart w:id="177" w:name="_Toc152042323"/>
      <w:bookmarkStart w:id="178" w:name="_Toc179632565"/>
      <w:bookmarkStart w:id="179" w:name="_Toc144974515"/>
      <w:bookmarkStart w:id="180" w:name="_Toc247085706"/>
      <w:bookmarkStart w:id="181" w:name="_Toc246996935"/>
      <w:bookmarkStart w:id="182" w:name="_Toc246996192"/>
      <w:bookmarkStart w:id="183" w:name="_Toc296602437"/>
      <w:bookmarkStart w:id="184" w:name="_Toc152045547"/>
      <w:r>
        <w:rPr>
          <w:rFonts w:hint="eastAsia"/>
        </w:rPr>
        <w:t>3.1 响应文件的组成</w:t>
      </w:r>
      <w:bookmarkEnd w:id="177"/>
      <w:bookmarkEnd w:id="178"/>
      <w:bookmarkEnd w:id="179"/>
      <w:bookmarkEnd w:id="180"/>
      <w:bookmarkEnd w:id="181"/>
      <w:bookmarkEnd w:id="182"/>
      <w:bookmarkEnd w:id="183"/>
      <w:bookmarkEnd w:id="184"/>
    </w:p>
    <w:p w14:paraId="70FE9C07">
      <w:r>
        <w:rPr>
          <w:rFonts w:hint="eastAsia"/>
        </w:rPr>
        <w:t>响应文件应包括下列内容：</w:t>
      </w:r>
    </w:p>
    <w:p w14:paraId="2FC2B8DA">
      <w:pPr>
        <w:ind w:firstLine="566" w:firstLineChars="236"/>
      </w:pPr>
      <w:r>
        <w:rPr>
          <w:rFonts w:hint="eastAsia"/>
        </w:rPr>
        <w:t>一、投标函及投标函附录</w:t>
      </w:r>
    </w:p>
    <w:p w14:paraId="614909F4">
      <w:pPr>
        <w:ind w:firstLine="566" w:firstLineChars="236"/>
      </w:pPr>
      <w:r>
        <w:rPr>
          <w:rFonts w:hint="eastAsia"/>
        </w:rPr>
        <w:t>二、法定代表人身份证明</w:t>
      </w:r>
    </w:p>
    <w:p w14:paraId="77838F3C">
      <w:pPr>
        <w:ind w:firstLine="566" w:firstLineChars="236"/>
      </w:pPr>
      <w:r>
        <w:rPr>
          <w:rFonts w:hint="eastAsia"/>
        </w:rPr>
        <w:t>三、授权委托书</w:t>
      </w:r>
    </w:p>
    <w:p w14:paraId="11DCD9AA">
      <w:pPr>
        <w:ind w:firstLine="566" w:firstLineChars="236"/>
      </w:pPr>
      <w:r>
        <w:rPr>
          <w:rFonts w:hint="eastAsia"/>
        </w:rPr>
        <w:t xml:space="preserve">四、投标保证金 </w:t>
      </w:r>
    </w:p>
    <w:p w14:paraId="20C1F4F6">
      <w:pPr>
        <w:ind w:firstLine="566" w:firstLineChars="236"/>
      </w:pPr>
      <w:r>
        <w:rPr>
          <w:rFonts w:hint="eastAsia"/>
        </w:rPr>
        <w:t>五、已标价工程量清单</w:t>
      </w:r>
    </w:p>
    <w:p w14:paraId="330B2424">
      <w:pPr>
        <w:ind w:firstLine="566" w:firstLineChars="236"/>
      </w:pPr>
      <w:r>
        <w:rPr>
          <w:rFonts w:hint="eastAsia"/>
        </w:rPr>
        <w:t>六、施工组织设计</w:t>
      </w:r>
    </w:p>
    <w:p w14:paraId="6E3656E1">
      <w:pPr>
        <w:ind w:firstLine="566" w:firstLineChars="236"/>
      </w:pPr>
      <w:r>
        <w:rPr>
          <w:rFonts w:hint="eastAsia"/>
        </w:rPr>
        <w:t>七、项目管理机构</w:t>
      </w:r>
    </w:p>
    <w:p w14:paraId="021899EC">
      <w:pPr>
        <w:ind w:firstLine="566" w:firstLineChars="236"/>
      </w:pPr>
      <w:r>
        <w:rPr>
          <w:rFonts w:hint="eastAsia"/>
        </w:rPr>
        <w:t>八、资格审查资料</w:t>
      </w:r>
    </w:p>
    <w:p w14:paraId="286A81DD">
      <w:pPr>
        <w:ind w:firstLine="566" w:firstLineChars="236"/>
      </w:pPr>
      <w:r>
        <w:rPr>
          <w:rFonts w:hint="eastAsia"/>
        </w:rPr>
        <w:t>九</w:t>
      </w:r>
      <w:r>
        <w:t>、其他资料</w:t>
      </w:r>
    </w:p>
    <w:p w14:paraId="6EF764A3">
      <w:bookmarkStart w:id="185" w:name="_Toc152042324"/>
      <w:bookmarkStart w:id="186" w:name="_Toc246996193"/>
      <w:bookmarkStart w:id="187" w:name="_Toc246996936"/>
      <w:bookmarkStart w:id="188" w:name="_Toc247085707"/>
      <w:bookmarkStart w:id="189" w:name="_Toc152045548"/>
      <w:bookmarkStart w:id="190" w:name="_Toc296602438"/>
      <w:bookmarkStart w:id="191" w:name="_Toc144974516"/>
      <w:bookmarkStart w:id="192" w:name="_Toc179632566"/>
      <w:r>
        <w:rPr>
          <w:rFonts w:hint="eastAsia"/>
        </w:rPr>
        <w:t>3.2 投标报价</w:t>
      </w:r>
      <w:bookmarkEnd w:id="185"/>
      <w:bookmarkEnd w:id="186"/>
      <w:bookmarkEnd w:id="187"/>
      <w:bookmarkEnd w:id="188"/>
      <w:bookmarkEnd w:id="189"/>
      <w:bookmarkEnd w:id="190"/>
      <w:bookmarkEnd w:id="191"/>
      <w:bookmarkEnd w:id="192"/>
    </w:p>
    <w:p w14:paraId="758D459E">
      <w:r>
        <w:rPr>
          <w:rFonts w:hint="eastAsia"/>
        </w:rPr>
        <w:t>3.2.1 响应单位应按第五章“工程量清单”的要求填写相应表格。</w:t>
      </w:r>
    </w:p>
    <w:p w14:paraId="6DB59897">
      <w:r>
        <w:rPr>
          <w:rFonts w:hint="eastAsia"/>
        </w:rPr>
        <w:t>3.2.2 响应单位在投标截止时间前修改投标函中的投标报价总额，应同时修改“已标价工程量清单”中的相应报价，投标报价总额为各分项金额之和。此修改须符合本章第4.3款的有关要求。</w:t>
      </w:r>
      <w:bookmarkStart w:id="193" w:name="_Toc152042325"/>
      <w:bookmarkStart w:id="194" w:name="_Toc144974517"/>
      <w:bookmarkStart w:id="195" w:name="_Toc152045549"/>
      <w:bookmarkStart w:id="196" w:name="_Toc179632567"/>
    </w:p>
    <w:p w14:paraId="6A9E8133">
      <w:r>
        <w:rPr>
          <w:rFonts w:hint="eastAsia"/>
        </w:rPr>
        <w:t>3.2.3 采购单位设有最高投标限价的，响应单位的投标报价不得超过最高投标限价，最高投标限价或其计算方法在响应单位须知前附表中载明。</w:t>
      </w:r>
    </w:p>
    <w:p w14:paraId="05ABDA3B">
      <w:bookmarkStart w:id="197" w:name="_Toc246996937"/>
      <w:bookmarkStart w:id="198" w:name="_Toc296602439"/>
      <w:bookmarkStart w:id="199" w:name="_Toc246996194"/>
      <w:bookmarkStart w:id="200" w:name="_Toc247085708"/>
      <w:r>
        <w:rPr>
          <w:rFonts w:hint="eastAsia"/>
        </w:rPr>
        <w:t>3.3 投标有效期</w:t>
      </w:r>
      <w:bookmarkEnd w:id="193"/>
      <w:bookmarkEnd w:id="194"/>
      <w:bookmarkEnd w:id="195"/>
      <w:bookmarkEnd w:id="196"/>
      <w:bookmarkEnd w:id="197"/>
      <w:bookmarkEnd w:id="198"/>
      <w:bookmarkEnd w:id="199"/>
      <w:bookmarkEnd w:id="200"/>
    </w:p>
    <w:p w14:paraId="0F2307F9">
      <w:r>
        <w:rPr>
          <w:rFonts w:hint="eastAsia"/>
        </w:rPr>
        <w:t>3.3.1 除响应单位须知前附表另有规定外，投标有效期为90日历天。</w:t>
      </w:r>
    </w:p>
    <w:p w14:paraId="4317952F">
      <w:r>
        <w:rPr>
          <w:rFonts w:hint="eastAsia"/>
        </w:rPr>
        <w:t>3.3.2在投标有效期内，响应单位撤销或修改其响应文件的，应承担竞争性磋商文件和法律规定的责任。</w:t>
      </w:r>
    </w:p>
    <w:p w14:paraId="49BF0871">
      <w:pPr>
        <w:rPr>
          <w:szCs w:val="21"/>
        </w:rPr>
      </w:pPr>
      <w:r>
        <w:rPr>
          <w:rFonts w:hint="eastAsia"/>
        </w:rPr>
        <w:t>3.3.3出现特殊情况需要延长投标有效期的，采购单位以书面形式通知所有响应单位延长投标有效期。响应单位同意延长的，应相应延长其投标保证金的有效期，但不得要求或被允许修改或撤销其响应文件；响应单位拒绝延长的，其投标失效，但响应单位有权收回其投标保证金。</w:t>
      </w:r>
    </w:p>
    <w:p w14:paraId="3363DF90">
      <w:bookmarkStart w:id="201" w:name="_Toc179632568"/>
      <w:bookmarkStart w:id="202" w:name="_Toc247085709"/>
      <w:bookmarkStart w:id="203" w:name="_Toc296602440"/>
      <w:bookmarkStart w:id="204" w:name="_Toc152042326"/>
      <w:bookmarkStart w:id="205" w:name="_Toc246996195"/>
      <w:bookmarkStart w:id="206" w:name="_Toc152045550"/>
      <w:bookmarkStart w:id="207" w:name="_Toc246996938"/>
      <w:bookmarkStart w:id="208" w:name="_Toc144974518"/>
      <w:r>
        <w:rPr>
          <w:rFonts w:hint="eastAsia"/>
        </w:rPr>
        <w:t>3.4 投标保证金</w:t>
      </w:r>
      <w:bookmarkEnd w:id="201"/>
      <w:bookmarkEnd w:id="202"/>
      <w:bookmarkEnd w:id="203"/>
      <w:bookmarkEnd w:id="204"/>
      <w:bookmarkEnd w:id="205"/>
      <w:bookmarkEnd w:id="206"/>
      <w:bookmarkEnd w:id="207"/>
      <w:bookmarkEnd w:id="208"/>
    </w:p>
    <w:p w14:paraId="73FA8AAD">
      <w:r>
        <w:rPr>
          <w:rFonts w:hint="eastAsia"/>
        </w:rPr>
        <w:t>3.4.1 响应单位须知前附表规定递交投标保证金的，响应单位在递交响应文件的同时，应按响应单位须知前附表规定的金额、担保形式和第八章“响应文件格式”规定的或者事先经过采购单位认可的投标保证金格式递交投标保证金，并作为其响应文件的组成部分。</w:t>
      </w:r>
    </w:p>
    <w:p w14:paraId="075F5082">
      <w:r>
        <w:rPr>
          <w:rFonts w:hint="eastAsia"/>
        </w:rPr>
        <w:t>3.4.2 响应单位不按本章第3.4.1项要求提交投标保证金的，磋商小组将否决其投标。</w:t>
      </w:r>
    </w:p>
    <w:p w14:paraId="49C497E6">
      <w:r>
        <w:rPr>
          <w:rFonts w:hint="eastAsia"/>
        </w:rPr>
        <w:t>3.4.3 采购单位与中标人签订合同后5日内，向未中标的响应单位和中标人退还投标保证金。</w:t>
      </w:r>
    </w:p>
    <w:p w14:paraId="7F0980B7">
      <w:r>
        <w:rPr>
          <w:rFonts w:hint="eastAsia"/>
        </w:rPr>
        <w:t xml:space="preserve">3.4.4 有下列情形之一的，投标保证金将不予退还： </w:t>
      </w:r>
    </w:p>
    <w:p w14:paraId="56C4ED67">
      <w:r>
        <w:rPr>
          <w:rFonts w:hint="eastAsia"/>
        </w:rPr>
        <w:t>（1）响应单位在规定的投标有效期内撤销或修改其响应文件；</w:t>
      </w:r>
    </w:p>
    <w:p w14:paraId="258C6AB1">
      <w:r>
        <w:rPr>
          <w:rFonts w:hint="eastAsia"/>
        </w:rPr>
        <w:t>（2）中标人在收到成交通知书后，无正当理由拒签合同协议书或未按竞争性磋商文件规定提交履约担保。</w:t>
      </w:r>
    </w:p>
    <w:p w14:paraId="00394D65">
      <w:bookmarkStart w:id="209" w:name="_Toc144974520"/>
      <w:bookmarkStart w:id="210" w:name="_Toc152042328"/>
      <w:bookmarkStart w:id="211" w:name="_Toc246996939"/>
      <w:bookmarkStart w:id="212" w:name="_Toc179632570"/>
      <w:bookmarkStart w:id="213" w:name="_Toc152045552"/>
      <w:bookmarkStart w:id="214" w:name="_Toc247085710"/>
      <w:bookmarkStart w:id="215" w:name="_Toc246996196"/>
      <w:bookmarkStart w:id="216" w:name="_Toc296602441"/>
      <w:r>
        <w:rPr>
          <w:rFonts w:hint="eastAsia"/>
        </w:rPr>
        <w:t>3.5 资格审查资料</w:t>
      </w:r>
      <w:bookmarkEnd w:id="209"/>
      <w:bookmarkEnd w:id="210"/>
      <w:bookmarkEnd w:id="211"/>
      <w:bookmarkEnd w:id="212"/>
      <w:bookmarkEnd w:id="213"/>
      <w:bookmarkEnd w:id="214"/>
      <w:bookmarkEnd w:id="215"/>
      <w:bookmarkEnd w:id="216"/>
    </w:p>
    <w:p w14:paraId="01F88F6D">
      <w:r>
        <w:rPr>
          <w:rFonts w:hint="eastAsia"/>
        </w:rPr>
        <w:t>3.5.1 “响应单位基本情况表”应附响应单位营业执照及其年检合格的证明材料、资质证书副本和安全生产许可证等材料的复印件。</w:t>
      </w:r>
    </w:p>
    <w:p w14:paraId="630112DD">
      <w:r>
        <w:rPr>
          <w:rFonts w:hint="eastAsia"/>
        </w:rPr>
        <w:t>3.5.2 “近年财务状况表”应附经会计师事务所或审计机构审计的财务会计报表，包括资产负债表、现金流量表、利润表和财务情况说明书等复印件，具体年份要求见响应单位须知前附表。</w:t>
      </w:r>
    </w:p>
    <w:p w14:paraId="124D042A">
      <w:r>
        <w:rPr>
          <w:rFonts w:hint="eastAsia"/>
        </w:rPr>
        <w:t>3.5.3 “近年完成的类似项目情况表”应附成交通知书和（或）合同协议书、工程接收证书（工程竣工验收证书）复印件，具体年份要求见响应单位须知前附表。每张表格只填写一个项目，并标明序号。</w:t>
      </w:r>
    </w:p>
    <w:p w14:paraId="37807F9A">
      <w:r>
        <w:rPr>
          <w:rFonts w:hint="eastAsia"/>
        </w:rPr>
        <w:t>3.5.4 “正在施工和新承接的项目情况表”应附成交通知书和（或）合同协议书复印件。每张表格只填写一个项目，并标明序号。</w:t>
      </w:r>
    </w:p>
    <w:p w14:paraId="03CC91E8">
      <w:bookmarkStart w:id="217" w:name="_Toc296602442"/>
      <w:bookmarkStart w:id="218" w:name="_Toc246996940"/>
      <w:bookmarkStart w:id="219" w:name="_Toc179632571"/>
      <w:bookmarkStart w:id="220" w:name="_Toc152042329"/>
      <w:bookmarkStart w:id="221" w:name="_Toc152045553"/>
      <w:bookmarkStart w:id="222" w:name="_Toc246996197"/>
      <w:bookmarkStart w:id="223" w:name="_Toc144974521"/>
      <w:bookmarkStart w:id="224" w:name="_Toc247085711"/>
      <w:r>
        <w:rPr>
          <w:rFonts w:hint="eastAsia"/>
        </w:rPr>
        <w:t>3.6响应文件的编制</w:t>
      </w:r>
      <w:bookmarkEnd w:id="217"/>
    </w:p>
    <w:p w14:paraId="5DC19402">
      <w:r>
        <w:rPr>
          <w:rFonts w:hint="eastAsia"/>
        </w:rPr>
        <w:t>3.6.1响应文件应按第八章“响应文件格式”进行编写，如有必要，可以增加附页，作为响应文件的组成部分。其中，投标函附录在满足竞争性磋商文件实质性要求的基础上，可以提出比竞争性磋商文件要求更有利于采购单位的承诺。</w:t>
      </w:r>
    </w:p>
    <w:p w14:paraId="1AC704A2">
      <w:r>
        <w:rPr>
          <w:rFonts w:hint="eastAsia"/>
        </w:rPr>
        <w:t>3.6.2 响应文件应当对竞争性磋商文件有关工期、投标有效期、质量要求、技术标准和要求、招标范围等实质性内容作出响应。</w:t>
      </w:r>
    </w:p>
    <w:p w14:paraId="596E56AD">
      <w:r>
        <w:rPr>
          <w:rFonts w:hint="eastAsia"/>
        </w:rPr>
        <w:t>3.6.3响应文件应用不褪色的材料书写或打印，并由响应单位的法定代表人或其委托代理人签字或盖单位章。委托代理人签字的，响应文件应附法定代表人签署的授权委托书。响应文件应尽量避免涂改、行间插字或删除。如果出现上述情况，改动之处应加盖单位章或由响应单位的法定代表人或其授权的代理人签字确认。签字或盖章的具体要求见响应单位须知前附表。</w:t>
      </w:r>
    </w:p>
    <w:p w14:paraId="5535E905">
      <w:r>
        <w:rPr>
          <w:rFonts w:hint="eastAsia"/>
        </w:rPr>
        <w:t>3.6.4 响应文件正本一份, 副本份数见响应单位须知前附表。正本和副本的封面上应清楚地标记“正本”或“副本”的字样。当副本和正本不一致时，以正本为准。</w:t>
      </w:r>
    </w:p>
    <w:p w14:paraId="1766E8BE">
      <w:r>
        <w:rPr>
          <w:rFonts w:hint="eastAsia"/>
        </w:rPr>
        <w:t>3.6.5 响应文件的正本与副本应分别装订成册，具体装订要求见响应单位须知前附表规定。</w:t>
      </w:r>
      <w:bookmarkEnd w:id="218"/>
      <w:bookmarkEnd w:id="219"/>
      <w:bookmarkEnd w:id="220"/>
      <w:bookmarkEnd w:id="221"/>
      <w:bookmarkEnd w:id="222"/>
      <w:bookmarkEnd w:id="223"/>
      <w:bookmarkEnd w:id="224"/>
      <w:bookmarkStart w:id="225" w:name="_Toc152042331"/>
      <w:bookmarkStart w:id="226" w:name="_Toc247085713"/>
      <w:bookmarkStart w:id="227" w:name="_Toc246996942"/>
      <w:bookmarkStart w:id="228" w:name="_Toc246996199"/>
      <w:bookmarkStart w:id="229" w:name="_Toc144974523"/>
      <w:bookmarkStart w:id="230" w:name="_Toc152045555"/>
      <w:bookmarkStart w:id="231" w:name="_Toc179632573"/>
    </w:p>
    <w:p w14:paraId="29AB7A02">
      <w:r>
        <w:rPr>
          <w:rFonts w:hint="eastAsia"/>
        </w:rPr>
        <w:t>4. 投标</w:t>
      </w:r>
      <w:bookmarkEnd w:id="225"/>
      <w:bookmarkEnd w:id="226"/>
      <w:bookmarkEnd w:id="227"/>
      <w:bookmarkEnd w:id="228"/>
      <w:bookmarkEnd w:id="229"/>
      <w:bookmarkEnd w:id="230"/>
      <w:bookmarkEnd w:id="231"/>
    </w:p>
    <w:p w14:paraId="07E2B325">
      <w:bookmarkStart w:id="232" w:name="_Toc144974524"/>
      <w:bookmarkStart w:id="233" w:name="_Toc296602444"/>
      <w:bookmarkStart w:id="234" w:name="_Toc152042332"/>
      <w:bookmarkStart w:id="235" w:name="_Toc247085714"/>
      <w:bookmarkStart w:id="236" w:name="_Toc152045556"/>
      <w:bookmarkStart w:id="237" w:name="_Toc246996943"/>
      <w:bookmarkStart w:id="238" w:name="_Toc179632574"/>
      <w:bookmarkStart w:id="239" w:name="_Toc246996200"/>
      <w:r>
        <w:rPr>
          <w:rFonts w:hint="eastAsia"/>
        </w:rPr>
        <w:t>4.1 响应文件的密封和标记</w:t>
      </w:r>
      <w:bookmarkEnd w:id="232"/>
      <w:bookmarkEnd w:id="233"/>
      <w:bookmarkEnd w:id="234"/>
      <w:bookmarkEnd w:id="235"/>
      <w:bookmarkEnd w:id="236"/>
      <w:bookmarkEnd w:id="237"/>
      <w:bookmarkEnd w:id="238"/>
      <w:bookmarkEnd w:id="239"/>
    </w:p>
    <w:p w14:paraId="5CCB87F3">
      <w:bookmarkStart w:id="240" w:name="_Toc247085715"/>
      <w:bookmarkStart w:id="241" w:name="_Toc179632575"/>
      <w:bookmarkStart w:id="242" w:name="_Toc246996944"/>
      <w:bookmarkStart w:id="243" w:name="_Toc152045557"/>
      <w:bookmarkStart w:id="244" w:name="_Toc246996201"/>
      <w:bookmarkStart w:id="245" w:name="_Toc152042333"/>
      <w:bookmarkStart w:id="246" w:name="_Toc144974525"/>
      <w:r>
        <w:rPr>
          <w:rFonts w:hint="eastAsia"/>
        </w:rPr>
        <w:t>4.1.1 响应文件应进行包装、加贴封条，并在封套的封口处加盖响应单位单位章。</w:t>
      </w:r>
    </w:p>
    <w:p w14:paraId="277CE2C9">
      <w:r>
        <w:rPr>
          <w:rFonts w:hint="eastAsia"/>
        </w:rPr>
        <w:t>4.1.2 响应文件封套上应写明的内容见响应单位须知前附表。</w:t>
      </w:r>
    </w:p>
    <w:p w14:paraId="1A0263C3">
      <w:r>
        <w:rPr>
          <w:rFonts w:hint="eastAsia"/>
        </w:rPr>
        <w:t>4.1.3 未按本章第4.1.1项或第4.1.2项要求密封和加写标记的响应文件，采购单位应予拒收。</w:t>
      </w:r>
    </w:p>
    <w:p w14:paraId="72DC54E4">
      <w:bookmarkStart w:id="247" w:name="_Toc296602445"/>
      <w:r>
        <w:rPr>
          <w:rFonts w:hint="eastAsia"/>
        </w:rPr>
        <w:t>4.2 响应文件的递交</w:t>
      </w:r>
      <w:bookmarkEnd w:id="240"/>
      <w:bookmarkEnd w:id="241"/>
      <w:bookmarkEnd w:id="242"/>
      <w:bookmarkEnd w:id="243"/>
      <w:bookmarkEnd w:id="244"/>
      <w:bookmarkEnd w:id="245"/>
      <w:bookmarkEnd w:id="246"/>
      <w:bookmarkEnd w:id="247"/>
    </w:p>
    <w:p w14:paraId="04F1EC61">
      <w:r>
        <w:rPr>
          <w:rFonts w:hint="eastAsia"/>
        </w:rPr>
        <w:t>4.2.1 响应单位应在本章第2.2.2项规定的投标截止时间前递交响应文件。</w:t>
      </w:r>
    </w:p>
    <w:p w14:paraId="1FD7D31A">
      <w:r>
        <w:rPr>
          <w:rFonts w:hint="eastAsia"/>
        </w:rPr>
        <w:t>4.2.2 响应单位递交响应文件的地点：见响应单位须知前附表。</w:t>
      </w:r>
    </w:p>
    <w:p w14:paraId="28605BB6">
      <w:r>
        <w:rPr>
          <w:rFonts w:hint="eastAsia"/>
        </w:rPr>
        <w:t>4.2.3 除响应单位须知前附表另有规定外，响应单位所递交的响应文件不予退还。</w:t>
      </w:r>
    </w:p>
    <w:p w14:paraId="5C43E0ED">
      <w:r>
        <w:rPr>
          <w:rFonts w:hint="eastAsia"/>
        </w:rPr>
        <w:t>4.2.4 采购单位收到响应文件后，向响应单位出具签收凭证。</w:t>
      </w:r>
    </w:p>
    <w:p w14:paraId="0C2959AB">
      <w:r>
        <w:rPr>
          <w:rFonts w:hint="eastAsia"/>
        </w:rPr>
        <w:t>4.2.5 逾期送达的或者未送达指定地点的响应文件，采购单位不予受理。</w:t>
      </w:r>
    </w:p>
    <w:p w14:paraId="66B4FE57">
      <w:bookmarkStart w:id="248" w:name="_Toc246996945"/>
      <w:bookmarkStart w:id="249" w:name="_Toc247085716"/>
      <w:bookmarkStart w:id="250" w:name="_Toc152042334"/>
      <w:bookmarkStart w:id="251" w:name="_Toc179632576"/>
      <w:bookmarkStart w:id="252" w:name="_Toc152045558"/>
      <w:bookmarkStart w:id="253" w:name="_Toc246996202"/>
      <w:bookmarkStart w:id="254" w:name="_Toc296602446"/>
      <w:bookmarkStart w:id="255" w:name="_Toc144974526"/>
      <w:r>
        <w:rPr>
          <w:rFonts w:hint="eastAsia"/>
        </w:rPr>
        <w:t>4.3 响应文件的修改与撤回</w:t>
      </w:r>
      <w:bookmarkEnd w:id="248"/>
      <w:bookmarkEnd w:id="249"/>
      <w:bookmarkEnd w:id="250"/>
      <w:bookmarkEnd w:id="251"/>
      <w:bookmarkEnd w:id="252"/>
      <w:bookmarkEnd w:id="253"/>
      <w:bookmarkEnd w:id="254"/>
      <w:bookmarkEnd w:id="255"/>
    </w:p>
    <w:p w14:paraId="20ACD90E">
      <w:r>
        <w:rPr>
          <w:rFonts w:hint="eastAsia"/>
        </w:rPr>
        <w:t>4.3.1 在本章第2.2.2项规定的投标截止时间前，响应单位可以修改或撤回已递交的响应文件，但应以书面形式通知采购单位。</w:t>
      </w:r>
    </w:p>
    <w:p w14:paraId="7824B38A">
      <w:r>
        <w:rPr>
          <w:rFonts w:hint="eastAsia"/>
        </w:rPr>
        <w:t>4.3.2 响应单位修改或撤回已递交响应文件的书面通知应按照本章第3.6.3项的要求签字或盖章。采购单位收到书面通知后，向响应单位出具签收凭证。</w:t>
      </w:r>
    </w:p>
    <w:p w14:paraId="1E4BF09B">
      <w:r>
        <w:rPr>
          <w:rFonts w:hint="eastAsia"/>
        </w:rPr>
        <w:t>4.3.3 响应单位撤回响应文件的，采购单位自收到响应单位书面撤回通知之日起5日内退还已收取的投标保证金。</w:t>
      </w:r>
    </w:p>
    <w:p w14:paraId="1FB0C3B0">
      <w:r>
        <w:rPr>
          <w:rFonts w:hint="eastAsia"/>
        </w:rPr>
        <w:t>4.3.4 修改的内容为响应文件的组成部分。修改的响应文件应按照本章第3条、第4条规定进行编制、密封、标记和递交，并标明“修改”字样。</w:t>
      </w:r>
    </w:p>
    <w:p w14:paraId="144DAB57">
      <w:bookmarkStart w:id="256" w:name="_Toc179632577"/>
      <w:bookmarkStart w:id="257" w:name="_Toc247085717"/>
      <w:bookmarkStart w:id="258" w:name="_Toc246996946"/>
      <w:bookmarkStart w:id="259" w:name="_Toc152042335"/>
      <w:bookmarkStart w:id="260" w:name="_Toc144974527"/>
      <w:bookmarkStart w:id="261" w:name="_Toc152045559"/>
      <w:bookmarkStart w:id="262" w:name="_Toc246996203"/>
      <w:r>
        <w:rPr>
          <w:rFonts w:hint="eastAsia"/>
        </w:rPr>
        <w:t>5. 开标</w:t>
      </w:r>
      <w:bookmarkEnd w:id="256"/>
      <w:bookmarkEnd w:id="257"/>
      <w:bookmarkEnd w:id="258"/>
      <w:bookmarkEnd w:id="259"/>
      <w:bookmarkEnd w:id="260"/>
      <w:bookmarkEnd w:id="261"/>
      <w:bookmarkEnd w:id="262"/>
    </w:p>
    <w:p w14:paraId="611C9500">
      <w:bookmarkStart w:id="263" w:name="_Toc246996204"/>
      <w:bookmarkStart w:id="264" w:name="_Toc144974528"/>
      <w:bookmarkStart w:id="265" w:name="_Toc179632578"/>
      <w:bookmarkStart w:id="266" w:name="_Toc152042336"/>
      <w:bookmarkStart w:id="267" w:name="_Toc247085718"/>
      <w:bookmarkStart w:id="268" w:name="_Toc152045560"/>
      <w:bookmarkStart w:id="269" w:name="_Toc296602448"/>
      <w:bookmarkStart w:id="270" w:name="_Toc246996947"/>
      <w:r>
        <w:rPr>
          <w:rFonts w:hint="eastAsia"/>
        </w:rPr>
        <w:t>5.1 开标时间和地点</w:t>
      </w:r>
      <w:bookmarkEnd w:id="263"/>
      <w:bookmarkEnd w:id="264"/>
      <w:bookmarkEnd w:id="265"/>
      <w:bookmarkEnd w:id="266"/>
      <w:bookmarkEnd w:id="267"/>
      <w:bookmarkEnd w:id="268"/>
      <w:bookmarkEnd w:id="269"/>
      <w:bookmarkEnd w:id="270"/>
    </w:p>
    <w:p w14:paraId="24DB21EF">
      <w:r>
        <w:rPr>
          <w:rFonts w:hint="eastAsia"/>
        </w:rPr>
        <w:t>采购单位在本章第2.2.2项规定的投标截止时间（开标时间）和响应单位须知前附表规定的地点公开开标，并邀请所有响应单位的法定代表人或其委托代理人准时参加。</w:t>
      </w:r>
    </w:p>
    <w:p w14:paraId="25238488">
      <w:bookmarkStart w:id="271" w:name="_Toc152042337"/>
      <w:bookmarkStart w:id="272" w:name="_Toc152045561"/>
      <w:bookmarkStart w:id="273" w:name="_Toc247085719"/>
      <w:bookmarkStart w:id="274" w:name="_Toc246996948"/>
      <w:bookmarkStart w:id="275" w:name="_Toc179632579"/>
      <w:bookmarkStart w:id="276" w:name="_Toc246996205"/>
      <w:bookmarkStart w:id="277" w:name="_Toc296602449"/>
      <w:bookmarkStart w:id="278" w:name="_Toc144974529"/>
      <w:r>
        <w:rPr>
          <w:rFonts w:hint="eastAsia"/>
        </w:rPr>
        <w:t>5.2 开标程序</w:t>
      </w:r>
      <w:bookmarkEnd w:id="271"/>
      <w:bookmarkEnd w:id="272"/>
      <w:bookmarkEnd w:id="273"/>
      <w:bookmarkEnd w:id="274"/>
      <w:bookmarkEnd w:id="275"/>
      <w:bookmarkEnd w:id="276"/>
      <w:bookmarkEnd w:id="277"/>
      <w:bookmarkEnd w:id="278"/>
    </w:p>
    <w:p w14:paraId="34BB671B">
      <w:pPr>
        <w:rPr>
          <w:rFonts w:hint="default"/>
          <w:lang w:val="en-US" w:eastAsia="zh-CN"/>
        </w:rPr>
      </w:pPr>
      <w:bookmarkStart w:id="279" w:name="_Toc296602450"/>
      <w:r>
        <w:rPr>
          <w:rFonts w:hint="eastAsia"/>
          <w:lang w:val="en-US" w:eastAsia="zh-CN"/>
        </w:rPr>
        <w:t>按响应单位须知前附表规定。</w:t>
      </w:r>
    </w:p>
    <w:p w14:paraId="17800B55">
      <w:r>
        <w:rPr>
          <w:rFonts w:hint="eastAsia"/>
        </w:rPr>
        <w:t>5.3 开标异议</w:t>
      </w:r>
      <w:bookmarkEnd w:id="279"/>
    </w:p>
    <w:p w14:paraId="32A0BB9F">
      <w:r>
        <w:rPr>
          <w:rFonts w:hint="eastAsia"/>
        </w:rPr>
        <w:t>响应单位对开标有异议的，应当在开标现场提出，采购单位当场作出答复，并制作记录。</w:t>
      </w:r>
    </w:p>
    <w:p w14:paraId="0DC4C769">
      <w:bookmarkStart w:id="280" w:name="_Toc152045562"/>
      <w:bookmarkStart w:id="281" w:name="_Toc246996949"/>
      <w:bookmarkStart w:id="282" w:name="_Toc144974530"/>
      <w:bookmarkStart w:id="283" w:name="_Toc247085720"/>
      <w:bookmarkStart w:id="284" w:name="_Toc179632580"/>
      <w:bookmarkStart w:id="285" w:name="_Toc152042338"/>
      <w:bookmarkStart w:id="286" w:name="_Toc246996206"/>
      <w:r>
        <w:rPr>
          <w:rFonts w:hint="eastAsia"/>
        </w:rPr>
        <w:t>6. 评标</w:t>
      </w:r>
      <w:bookmarkEnd w:id="280"/>
      <w:bookmarkEnd w:id="281"/>
      <w:bookmarkEnd w:id="282"/>
      <w:bookmarkEnd w:id="283"/>
      <w:bookmarkEnd w:id="284"/>
      <w:bookmarkEnd w:id="285"/>
      <w:bookmarkEnd w:id="286"/>
    </w:p>
    <w:p w14:paraId="45AFA7C1">
      <w:bookmarkStart w:id="287" w:name="_Toc296602452"/>
      <w:bookmarkStart w:id="288" w:name="_Toc152042339"/>
      <w:bookmarkStart w:id="289" w:name="_Toc144974531"/>
      <w:bookmarkStart w:id="290" w:name="_Toc246996950"/>
      <w:bookmarkStart w:id="291" w:name="_Toc246996207"/>
      <w:bookmarkStart w:id="292" w:name="_Toc152045563"/>
      <w:bookmarkStart w:id="293" w:name="_Toc179632581"/>
      <w:bookmarkStart w:id="294" w:name="_Toc247085721"/>
      <w:r>
        <w:rPr>
          <w:rFonts w:hint="eastAsia"/>
        </w:rPr>
        <w:t>6.1 磋商小组</w:t>
      </w:r>
      <w:bookmarkEnd w:id="287"/>
      <w:bookmarkEnd w:id="288"/>
      <w:bookmarkEnd w:id="289"/>
      <w:bookmarkEnd w:id="290"/>
      <w:bookmarkEnd w:id="291"/>
      <w:bookmarkEnd w:id="292"/>
      <w:bookmarkEnd w:id="293"/>
      <w:bookmarkEnd w:id="294"/>
    </w:p>
    <w:p w14:paraId="04E33456">
      <w:r>
        <w:rPr>
          <w:rFonts w:hint="eastAsia"/>
        </w:rPr>
        <w:t>6.1.1 评标由采购单位依法组建的磋商小组负责。磋商小组由采购单位或其委托的招标代理机构熟悉相关业务的代表，以及有关技术、经济等方面的专家组成。磋商小组成员人数以及技术、经济等方面专家的确定方式见响应单位须知前附表。</w:t>
      </w:r>
    </w:p>
    <w:p w14:paraId="4D1FA7F1">
      <w:r>
        <w:rPr>
          <w:rFonts w:hint="eastAsia"/>
        </w:rPr>
        <w:t>6.1.2 磋商小组成员有下列情形之一的，应当回避：</w:t>
      </w:r>
    </w:p>
    <w:p w14:paraId="2A089ACB">
      <w:r>
        <w:rPr>
          <w:rFonts w:hint="eastAsia"/>
        </w:rPr>
        <w:t>（1）响应单位或响应单位主要负责人的近亲属；</w:t>
      </w:r>
    </w:p>
    <w:p w14:paraId="156F320E">
      <w:r>
        <w:rPr>
          <w:rFonts w:hint="eastAsia"/>
        </w:rPr>
        <w:t>（2）项目主管部门或者行政监督部门的人员；</w:t>
      </w:r>
    </w:p>
    <w:p w14:paraId="0FDCBB0A">
      <w:r>
        <w:rPr>
          <w:rFonts w:hint="eastAsia"/>
        </w:rPr>
        <w:t>（3）与响应单位有经济利益关系；</w:t>
      </w:r>
    </w:p>
    <w:p w14:paraId="3577357C">
      <w:r>
        <w:rPr>
          <w:rFonts w:hint="eastAsia"/>
        </w:rPr>
        <w:t>（4）曾因在招标、评标以及其他与招标投标有关活动中从事违法行为而受过行政处罚或刑事处罚的；</w:t>
      </w:r>
    </w:p>
    <w:p w14:paraId="49DD7CBE">
      <w:r>
        <w:rPr>
          <w:rFonts w:hint="eastAsia"/>
        </w:rPr>
        <w:t>（5）与响应单位有其他利害关系。</w:t>
      </w:r>
    </w:p>
    <w:p w14:paraId="7EE45B1B">
      <w:bookmarkStart w:id="295" w:name="_Toc247085722"/>
      <w:bookmarkStart w:id="296" w:name="_Toc246996951"/>
      <w:bookmarkStart w:id="297" w:name="_Toc179632582"/>
      <w:bookmarkStart w:id="298" w:name="_Toc246996208"/>
      <w:bookmarkStart w:id="299" w:name="_Toc296602453"/>
      <w:bookmarkStart w:id="300" w:name="_Toc152045564"/>
      <w:bookmarkStart w:id="301" w:name="_Toc144974532"/>
      <w:bookmarkStart w:id="302" w:name="_Toc152042340"/>
      <w:r>
        <w:rPr>
          <w:rFonts w:hint="eastAsia"/>
        </w:rPr>
        <w:t>6.2 评标原则</w:t>
      </w:r>
      <w:bookmarkEnd w:id="295"/>
      <w:bookmarkEnd w:id="296"/>
      <w:bookmarkEnd w:id="297"/>
      <w:bookmarkEnd w:id="298"/>
      <w:bookmarkEnd w:id="299"/>
      <w:bookmarkEnd w:id="300"/>
      <w:bookmarkEnd w:id="301"/>
      <w:bookmarkEnd w:id="302"/>
    </w:p>
    <w:p w14:paraId="62435AD4">
      <w:r>
        <w:rPr>
          <w:rFonts w:hint="eastAsia"/>
        </w:rPr>
        <w:t>评标活动遵循公平、公正、科学和择优的原则。</w:t>
      </w:r>
    </w:p>
    <w:p w14:paraId="0AF00938">
      <w:bookmarkStart w:id="303" w:name="_Toc144974533"/>
      <w:bookmarkStart w:id="304" w:name="_Toc247085723"/>
      <w:bookmarkStart w:id="305" w:name="_Toc246996952"/>
      <w:bookmarkStart w:id="306" w:name="_Toc179632583"/>
      <w:bookmarkStart w:id="307" w:name="_Toc152042341"/>
      <w:bookmarkStart w:id="308" w:name="_Toc152045565"/>
      <w:bookmarkStart w:id="309" w:name="_Toc246996209"/>
      <w:bookmarkStart w:id="310" w:name="_Toc296602454"/>
      <w:r>
        <w:rPr>
          <w:rFonts w:hint="eastAsia"/>
        </w:rPr>
        <w:t>6.3 评标</w:t>
      </w:r>
      <w:bookmarkEnd w:id="303"/>
      <w:bookmarkEnd w:id="304"/>
      <w:bookmarkEnd w:id="305"/>
      <w:bookmarkEnd w:id="306"/>
      <w:bookmarkEnd w:id="307"/>
      <w:bookmarkEnd w:id="308"/>
      <w:bookmarkEnd w:id="309"/>
      <w:bookmarkEnd w:id="310"/>
    </w:p>
    <w:p w14:paraId="47778E23">
      <w:r>
        <w:rPr>
          <w:rFonts w:hint="eastAsia"/>
        </w:rPr>
        <w:t>磋商小组按照第三章“评标办法”规定的方法、评审因素、标准和程序对响应文件进行评审。第三章“评标办法”没有规定的方法、评审因素和标准，不作为评标依据。</w:t>
      </w:r>
    </w:p>
    <w:p w14:paraId="38898BEF">
      <w:bookmarkStart w:id="311" w:name="_Toc246996210"/>
      <w:bookmarkStart w:id="312" w:name="_Toc247085724"/>
      <w:bookmarkStart w:id="313" w:name="_Toc144974534"/>
      <w:bookmarkStart w:id="314" w:name="_Toc152045566"/>
      <w:bookmarkStart w:id="315" w:name="_Toc152042342"/>
      <w:bookmarkStart w:id="316" w:name="_Toc179632584"/>
      <w:bookmarkStart w:id="317" w:name="_Toc246996953"/>
      <w:r>
        <w:rPr>
          <w:rFonts w:hint="eastAsia"/>
        </w:rPr>
        <w:t>7. 合同授予</w:t>
      </w:r>
      <w:bookmarkEnd w:id="311"/>
      <w:bookmarkEnd w:id="312"/>
      <w:bookmarkEnd w:id="313"/>
      <w:bookmarkEnd w:id="314"/>
      <w:bookmarkEnd w:id="315"/>
      <w:bookmarkEnd w:id="316"/>
      <w:bookmarkEnd w:id="317"/>
    </w:p>
    <w:p w14:paraId="75AB0B8F">
      <w:bookmarkStart w:id="318" w:name="_Toc296602456"/>
      <w:bookmarkStart w:id="319" w:name="_Toc152045567"/>
      <w:bookmarkStart w:id="320" w:name="_Toc144974535"/>
      <w:bookmarkStart w:id="321" w:name="_Toc152042343"/>
      <w:bookmarkStart w:id="322" w:name="_Toc179632585"/>
      <w:bookmarkStart w:id="323" w:name="_Toc247085725"/>
      <w:bookmarkStart w:id="324" w:name="_Toc246996211"/>
      <w:bookmarkStart w:id="325" w:name="_Toc246996954"/>
      <w:r>
        <w:rPr>
          <w:rFonts w:hint="eastAsia"/>
        </w:rPr>
        <w:t>7.1 定标方式</w:t>
      </w:r>
      <w:bookmarkEnd w:id="318"/>
      <w:bookmarkEnd w:id="319"/>
      <w:bookmarkEnd w:id="320"/>
      <w:bookmarkEnd w:id="321"/>
      <w:bookmarkEnd w:id="322"/>
      <w:bookmarkEnd w:id="323"/>
      <w:bookmarkEnd w:id="324"/>
      <w:bookmarkEnd w:id="325"/>
    </w:p>
    <w:p w14:paraId="3DF29190">
      <w:r>
        <w:rPr>
          <w:rFonts w:hint="eastAsia"/>
        </w:rPr>
        <w:t>除响应单位须知前附表规定磋商小组直接确定中标人外，采购单位依据磋商小组推荐的中标候选人确定中标人，磋商小组推荐中标候选人的人数见响应单位须知前附表。</w:t>
      </w:r>
    </w:p>
    <w:p w14:paraId="2A4FEADE">
      <w:bookmarkStart w:id="326" w:name="_Toc296602457"/>
      <w:r>
        <w:rPr>
          <w:rFonts w:hint="eastAsia"/>
        </w:rPr>
        <w:t>7.2 中标结果公示</w:t>
      </w:r>
      <w:bookmarkEnd w:id="326"/>
    </w:p>
    <w:p w14:paraId="57398E93">
      <w:r>
        <w:rPr>
          <w:rFonts w:hint="eastAsia"/>
        </w:rPr>
        <w:t>采购单位在响应单位须知前附表规定的媒介公示中标人。</w:t>
      </w:r>
    </w:p>
    <w:p w14:paraId="24D308D9">
      <w:bookmarkStart w:id="327" w:name="_Toc296602458"/>
      <w:bookmarkStart w:id="328" w:name="_Toc246996212"/>
      <w:bookmarkStart w:id="329" w:name="_Toc144974536"/>
      <w:bookmarkStart w:id="330" w:name="_Toc179632586"/>
      <w:bookmarkStart w:id="331" w:name="_Toc247085726"/>
      <w:bookmarkStart w:id="332" w:name="_Toc246996955"/>
      <w:bookmarkStart w:id="333" w:name="_Toc152042344"/>
      <w:bookmarkStart w:id="334" w:name="_Toc152045568"/>
      <w:r>
        <w:rPr>
          <w:rFonts w:hint="eastAsia"/>
        </w:rPr>
        <w:t>7.3 中标通知</w:t>
      </w:r>
      <w:bookmarkEnd w:id="327"/>
      <w:bookmarkEnd w:id="328"/>
      <w:bookmarkEnd w:id="329"/>
      <w:bookmarkEnd w:id="330"/>
      <w:bookmarkEnd w:id="331"/>
      <w:bookmarkEnd w:id="332"/>
      <w:bookmarkEnd w:id="333"/>
      <w:bookmarkEnd w:id="334"/>
    </w:p>
    <w:p w14:paraId="5237510D">
      <w:r>
        <w:rPr>
          <w:rFonts w:hint="eastAsia"/>
        </w:rPr>
        <w:t>在本章第3.3款规定的投标有效期内，采购单位以书面形式向中标人发出成交通知书，同时将中标结果通知未中标的响应单位。</w:t>
      </w:r>
    </w:p>
    <w:p w14:paraId="60279FE7">
      <w:bookmarkStart w:id="335" w:name="_Toc152045569"/>
      <w:bookmarkStart w:id="336" w:name="_Toc246996213"/>
      <w:bookmarkStart w:id="337" w:name="_Toc246996956"/>
      <w:bookmarkStart w:id="338" w:name="_Toc296602459"/>
      <w:bookmarkStart w:id="339" w:name="_Toc179632587"/>
      <w:bookmarkStart w:id="340" w:name="_Toc247085727"/>
      <w:bookmarkStart w:id="341" w:name="_Toc152042345"/>
      <w:bookmarkStart w:id="342" w:name="_Toc144974537"/>
      <w:r>
        <w:rPr>
          <w:rFonts w:hint="eastAsia"/>
        </w:rPr>
        <w:t>7.4 履约</w:t>
      </w:r>
      <w:bookmarkEnd w:id="335"/>
      <w:bookmarkEnd w:id="336"/>
      <w:bookmarkEnd w:id="337"/>
      <w:bookmarkEnd w:id="338"/>
      <w:bookmarkEnd w:id="339"/>
      <w:bookmarkEnd w:id="340"/>
      <w:bookmarkEnd w:id="341"/>
      <w:bookmarkEnd w:id="342"/>
      <w:r>
        <w:rPr>
          <w:rFonts w:hint="eastAsia"/>
        </w:rPr>
        <w:t>保证金</w:t>
      </w:r>
    </w:p>
    <w:p w14:paraId="5581CA38">
      <w:r>
        <w:rPr>
          <w:rFonts w:hint="eastAsia"/>
        </w:rPr>
        <w:t>7.4.1在签订合同前，中标人应按响应单位须知前附表规定的担保形式和竞争性磋商文件第四章“合同条款及格式”规定的或者事先经过采购单位书面认可的履约保证金格式向采购单位提交履约保证金。除响应单位须知前附表另有规定外，履约担保金额为中标合同金额的</w:t>
      </w:r>
      <w:r>
        <w:t>10</w:t>
      </w:r>
      <w:r>
        <w:rPr>
          <w:rFonts w:hint="eastAsia"/>
        </w:rPr>
        <w:t>%。</w:t>
      </w:r>
    </w:p>
    <w:p w14:paraId="0ED83882">
      <w:r>
        <w:rPr>
          <w:rFonts w:hint="eastAsia"/>
        </w:rPr>
        <w:t>7.4.2 中标人不能按本章第7.4.1项要求提交履约担保的，视为放弃中标，其投标保证金不予退还，给采购单位造成的损失超过投标保证金数额的，中标人还应当对超过部分予以赔偿。</w:t>
      </w:r>
    </w:p>
    <w:p w14:paraId="00F39464">
      <w:bookmarkStart w:id="343" w:name="_Toc246996214"/>
      <w:bookmarkStart w:id="344" w:name="_Toc144974538"/>
      <w:bookmarkStart w:id="345" w:name="_Toc152042346"/>
      <w:bookmarkStart w:id="346" w:name="_Toc246996957"/>
      <w:bookmarkStart w:id="347" w:name="_Toc152045570"/>
      <w:bookmarkStart w:id="348" w:name="_Toc247085728"/>
      <w:bookmarkStart w:id="349" w:name="_Toc296602460"/>
      <w:bookmarkStart w:id="350" w:name="_Toc179632588"/>
      <w:r>
        <w:rPr>
          <w:rFonts w:hint="eastAsia"/>
        </w:rPr>
        <w:t>7.5 签订合同</w:t>
      </w:r>
      <w:bookmarkEnd w:id="343"/>
      <w:bookmarkEnd w:id="344"/>
      <w:bookmarkEnd w:id="345"/>
      <w:bookmarkEnd w:id="346"/>
      <w:bookmarkEnd w:id="347"/>
      <w:bookmarkEnd w:id="348"/>
      <w:bookmarkEnd w:id="349"/>
      <w:bookmarkEnd w:id="350"/>
    </w:p>
    <w:p w14:paraId="0CDD515C">
      <w:r>
        <w:rPr>
          <w:rFonts w:hint="eastAsia"/>
        </w:rPr>
        <w:t>7.5.1采购单位和中标人应当自成交通知书发出之日起30天内，根据竞争性磋商文件和中标人的响应文件订立书面合同。中标人无正当理由拒签合同的，采购单位取消其中标资格，其投标保证金不予退还；给采购单位造成的损失超过投标保证金数额的，中标人还应当对超过部分予以赔偿。</w:t>
      </w:r>
    </w:p>
    <w:p w14:paraId="37456FDE">
      <w:r>
        <w:rPr>
          <w:rFonts w:hint="eastAsia"/>
        </w:rPr>
        <w:t>7.5.2 发出成交通知书后，采购单位无正当理由拒签合同的，采购单位向中标人退还投标保证金；给中标人造成损失的，还应当赔偿损失。</w:t>
      </w:r>
    </w:p>
    <w:p w14:paraId="7DC15F80">
      <w:r>
        <w:rPr>
          <w:rFonts w:hint="eastAsia"/>
        </w:rPr>
        <w:t>8. 纪律和监督</w:t>
      </w:r>
    </w:p>
    <w:p w14:paraId="25B14030">
      <w:bookmarkStart w:id="351" w:name="_Toc179632593"/>
      <w:bookmarkStart w:id="352" w:name="_Toc296590983"/>
      <w:bookmarkStart w:id="353" w:name="_Toc152042351"/>
      <w:bookmarkStart w:id="354" w:name="_Toc246996962"/>
      <w:bookmarkStart w:id="355" w:name="_Toc246996219"/>
      <w:bookmarkStart w:id="356" w:name="_Toc247085733"/>
      <w:bookmarkStart w:id="357" w:name="_Toc152045575"/>
      <w:bookmarkStart w:id="358" w:name="_Toc296602462"/>
      <w:bookmarkStart w:id="359" w:name="_Toc144974543"/>
      <w:r>
        <w:rPr>
          <w:rFonts w:hint="eastAsia"/>
        </w:rPr>
        <w:t>8.1 对采购单位的纪律要求</w:t>
      </w:r>
      <w:bookmarkEnd w:id="351"/>
      <w:bookmarkEnd w:id="352"/>
      <w:bookmarkEnd w:id="353"/>
      <w:bookmarkEnd w:id="354"/>
      <w:bookmarkEnd w:id="355"/>
      <w:bookmarkEnd w:id="356"/>
      <w:bookmarkEnd w:id="357"/>
      <w:bookmarkEnd w:id="358"/>
      <w:bookmarkEnd w:id="359"/>
    </w:p>
    <w:p w14:paraId="0476E8EA">
      <w:r>
        <w:rPr>
          <w:rFonts w:hint="eastAsia"/>
        </w:rPr>
        <w:t>采购单位不得泄漏招标投标活动中应当保密的情况和资料，不得与响应单位串通损害国家利益、社会公共利益或者他人合法权益。</w:t>
      </w:r>
    </w:p>
    <w:p w14:paraId="71383D87">
      <w:bookmarkStart w:id="360" w:name="_Toc152042352"/>
      <w:bookmarkStart w:id="361" w:name="_Toc247085734"/>
      <w:bookmarkStart w:id="362" w:name="_Toc144974544"/>
      <w:bookmarkStart w:id="363" w:name="_Toc296602463"/>
      <w:bookmarkStart w:id="364" w:name="_Toc246996220"/>
      <w:bookmarkStart w:id="365" w:name="_Toc152045576"/>
      <w:bookmarkStart w:id="366" w:name="_Toc179632594"/>
      <w:bookmarkStart w:id="367" w:name="_Toc246996963"/>
      <w:r>
        <w:rPr>
          <w:rFonts w:hint="eastAsia"/>
        </w:rPr>
        <w:t>8.2 对响应单位的纪律要求</w:t>
      </w:r>
      <w:bookmarkEnd w:id="360"/>
      <w:bookmarkEnd w:id="361"/>
      <w:bookmarkEnd w:id="362"/>
      <w:bookmarkEnd w:id="363"/>
      <w:bookmarkEnd w:id="364"/>
      <w:bookmarkEnd w:id="365"/>
      <w:bookmarkEnd w:id="366"/>
      <w:bookmarkEnd w:id="367"/>
    </w:p>
    <w:p w14:paraId="6D6CFB5F">
      <w:r>
        <w:rPr>
          <w:rFonts w:hint="eastAsia"/>
        </w:rPr>
        <w:t>响应单位不得相互串通投标或者与采购单位串通投标，不得向采购单位或者磋商小组成员行贿谋取中标，不得以他人名义投标或者以其他方式弄虚作假骗取中标；响应单位不得以任何方式干扰、影响评标工作。</w:t>
      </w:r>
    </w:p>
    <w:p w14:paraId="09593410">
      <w:bookmarkStart w:id="368" w:name="_Toc247085735"/>
      <w:bookmarkStart w:id="369" w:name="_Toc246996221"/>
      <w:bookmarkStart w:id="370" w:name="_Toc144974545"/>
      <w:bookmarkStart w:id="371" w:name="_Toc179632595"/>
      <w:bookmarkStart w:id="372" w:name="_Toc152042353"/>
      <w:bookmarkStart w:id="373" w:name="_Toc296602464"/>
      <w:bookmarkStart w:id="374" w:name="_Toc246996964"/>
      <w:bookmarkStart w:id="375" w:name="_Toc152045577"/>
      <w:r>
        <w:rPr>
          <w:rFonts w:hint="eastAsia"/>
        </w:rPr>
        <w:t>8.3 对磋商小组成员的纪律要求</w:t>
      </w:r>
      <w:bookmarkEnd w:id="368"/>
      <w:bookmarkEnd w:id="369"/>
      <w:bookmarkEnd w:id="370"/>
      <w:bookmarkEnd w:id="371"/>
      <w:bookmarkEnd w:id="372"/>
      <w:bookmarkEnd w:id="373"/>
      <w:bookmarkEnd w:id="374"/>
      <w:bookmarkEnd w:id="375"/>
    </w:p>
    <w:p w14:paraId="079A9D68">
      <w:r>
        <w:rPr>
          <w:rFonts w:hint="eastAsia"/>
        </w:rPr>
        <w:t>磋商小组成员不得收受他人的财物或者其他好处，不得向他人透漏对响应文件的评审和比较、中标候选人的推荐情况以及评标有关的其他情况。在评标活动中，磋商小组成员应当客观、公正地履行职责，遵守职业道德，不得擅离职守，影响评标程序正常进行，不得使用第三章“评标办法”没有规定的评审因素和标准进行评标。</w:t>
      </w:r>
    </w:p>
    <w:p w14:paraId="4B43D391">
      <w:bookmarkStart w:id="376" w:name="_Toc152045578"/>
      <w:bookmarkStart w:id="377" w:name="_Toc296602465"/>
      <w:bookmarkStart w:id="378" w:name="_Toc179632596"/>
      <w:bookmarkStart w:id="379" w:name="_Toc246996222"/>
      <w:bookmarkStart w:id="380" w:name="_Toc246996965"/>
      <w:bookmarkStart w:id="381" w:name="_Toc152042354"/>
      <w:bookmarkStart w:id="382" w:name="_Toc247085736"/>
      <w:bookmarkStart w:id="383" w:name="_Toc144974546"/>
      <w:r>
        <w:rPr>
          <w:rFonts w:hint="eastAsia"/>
        </w:rPr>
        <w:t>8.4 对与评标活动有关的工作人员的纪律要求</w:t>
      </w:r>
      <w:bookmarkEnd w:id="376"/>
      <w:bookmarkEnd w:id="377"/>
      <w:bookmarkEnd w:id="378"/>
      <w:bookmarkEnd w:id="379"/>
      <w:bookmarkEnd w:id="380"/>
      <w:bookmarkEnd w:id="381"/>
      <w:bookmarkEnd w:id="382"/>
    </w:p>
    <w:p w14:paraId="264A7A2F">
      <w:bookmarkStart w:id="384" w:name="_Toc152042355"/>
      <w:r>
        <w:rPr>
          <w:rFonts w:hint="eastAsia"/>
        </w:rPr>
        <w:t>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84"/>
    </w:p>
    <w:p w14:paraId="3498916D">
      <w:bookmarkStart w:id="385" w:name="_Toc246996223"/>
      <w:bookmarkStart w:id="386" w:name="_Toc296602466"/>
      <w:bookmarkStart w:id="387" w:name="_Toc247085737"/>
      <w:bookmarkStart w:id="388" w:name="_Toc179632597"/>
      <w:bookmarkStart w:id="389" w:name="_Toc152045579"/>
      <w:bookmarkStart w:id="390" w:name="_Toc152042356"/>
      <w:bookmarkStart w:id="391" w:name="_Toc246996966"/>
      <w:r>
        <w:rPr>
          <w:rFonts w:hint="eastAsia"/>
        </w:rPr>
        <w:t>8.5 投诉</w:t>
      </w:r>
      <w:bookmarkEnd w:id="383"/>
      <w:bookmarkEnd w:id="385"/>
      <w:bookmarkEnd w:id="386"/>
      <w:bookmarkEnd w:id="387"/>
      <w:bookmarkEnd w:id="388"/>
      <w:bookmarkEnd w:id="389"/>
      <w:bookmarkEnd w:id="390"/>
      <w:bookmarkEnd w:id="391"/>
    </w:p>
    <w:p w14:paraId="61671694">
      <w:r>
        <w:rPr>
          <w:rFonts w:hint="eastAsia"/>
        </w:rPr>
        <w:t>响应单位和其他利害关系人认为本次招标活动违反法律、法规和规章规定的，有权向有关行政监督部门投诉。</w:t>
      </w:r>
    </w:p>
    <w:p w14:paraId="2C324DC6">
      <w:bookmarkStart w:id="392" w:name="_Toc246996224"/>
      <w:bookmarkStart w:id="393" w:name="_Toc179632598"/>
      <w:bookmarkStart w:id="394" w:name="_Toc247085738"/>
      <w:bookmarkStart w:id="395" w:name="_Toc152045580"/>
      <w:bookmarkStart w:id="396" w:name="_Toc152042357"/>
      <w:bookmarkStart w:id="397" w:name="_Toc144974547"/>
      <w:bookmarkStart w:id="398" w:name="_Toc246996967"/>
      <w:r>
        <w:rPr>
          <w:rFonts w:hint="eastAsia"/>
        </w:rPr>
        <w:t>9. 需要补充的其他内容</w:t>
      </w:r>
      <w:bookmarkEnd w:id="392"/>
      <w:bookmarkEnd w:id="393"/>
      <w:bookmarkEnd w:id="394"/>
      <w:bookmarkEnd w:id="395"/>
      <w:bookmarkEnd w:id="396"/>
      <w:bookmarkEnd w:id="397"/>
      <w:bookmarkEnd w:id="398"/>
    </w:p>
    <w:p w14:paraId="0B5395A9">
      <w:r>
        <w:rPr>
          <w:rFonts w:hint="eastAsia"/>
        </w:rPr>
        <w:t>需要补充的其他内容：见响应单位须知前附表。</w:t>
      </w:r>
    </w:p>
    <w:p w14:paraId="36F886DC"/>
    <w:p w14:paraId="1373AC9F">
      <w:pPr>
        <w:sectPr>
          <w:headerReference r:id="rId6" w:type="first"/>
          <w:footerReference r:id="rId8" w:type="first"/>
          <w:headerReference r:id="rId5" w:type="default"/>
          <w:footerReference r:id="rId7" w:type="default"/>
          <w:type w:val="continuous"/>
          <w:pgSz w:w="11906" w:h="16838"/>
          <w:pgMar w:top="1440" w:right="1800" w:bottom="1440" w:left="1800" w:header="851" w:footer="992" w:gutter="0"/>
          <w:pgNumType w:start="0"/>
          <w:cols w:space="720" w:num="1"/>
          <w:titlePg/>
          <w:docGrid w:type="lines" w:linePitch="312" w:charSpace="0"/>
        </w:sectPr>
      </w:pPr>
    </w:p>
    <w:p w14:paraId="3FC92D85"/>
    <w:p w14:paraId="7535A992">
      <w:r>
        <w:br w:type="page"/>
      </w:r>
      <w:bookmarkStart w:id="399" w:name="_Toc71552370"/>
      <w:bookmarkStart w:id="400" w:name="_Toc43721417"/>
      <w:bookmarkStart w:id="401" w:name="_Toc71552336"/>
      <w:bookmarkStart w:id="402" w:name="_Toc179632616"/>
      <w:bookmarkStart w:id="403" w:name="_Toc152045598"/>
      <w:bookmarkStart w:id="404" w:name="_Toc152042375"/>
      <w:bookmarkStart w:id="405" w:name="_Toc247085756"/>
      <w:bookmarkStart w:id="406" w:name="_Toc246996241"/>
      <w:bookmarkStart w:id="407" w:name="_Toc144974565"/>
      <w:bookmarkStart w:id="408" w:name="_Toc246996984"/>
    </w:p>
    <w:p w14:paraId="40098EDC"/>
    <w:p w14:paraId="2EAF8F30"/>
    <w:p w14:paraId="100A99D4"/>
    <w:p w14:paraId="5F365B28"/>
    <w:p w14:paraId="73817D75"/>
    <w:p w14:paraId="51BD240F"/>
    <w:p w14:paraId="2978226D"/>
    <w:p w14:paraId="3EA32459"/>
    <w:p w14:paraId="2A6314A4"/>
    <w:p w14:paraId="65AA29D2"/>
    <w:p w14:paraId="29069BD1"/>
    <w:p w14:paraId="513C3E30">
      <w:pPr>
        <w:pStyle w:val="3"/>
      </w:pPr>
      <w:bookmarkStart w:id="409" w:name="_Toc22470"/>
      <w:r>
        <w:rPr>
          <w:rFonts w:hint="eastAsia"/>
        </w:rPr>
        <w:t>第三章 评标办法（综合评估法）</w:t>
      </w:r>
      <w:bookmarkEnd w:id="399"/>
      <w:bookmarkEnd w:id="400"/>
      <w:bookmarkEnd w:id="401"/>
      <w:bookmarkEnd w:id="409"/>
    </w:p>
    <w:p w14:paraId="1F3FF74E"/>
    <w:p w14:paraId="3B02377D"/>
    <w:p w14:paraId="59BEFC5C">
      <w:pPr>
        <w:jc w:val="center"/>
        <w:rPr>
          <w:b/>
          <w:bCs/>
        </w:rPr>
      </w:pPr>
      <w:r>
        <w:br w:type="page"/>
      </w:r>
      <w:bookmarkStart w:id="410" w:name="_Toc43721418"/>
      <w:r>
        <w:rPr>
          <w:rFonts w:hint="eastAsia"/>
          <w:b/>
          <w:bCs/>
        </w:rPr>
        <w:t>评标办法前附表</w:t>
      </w:r>
      <w:bookmarkEnd w:id="410"/>
    </w:p>
    <w:tbl>
      <w:tblPr>
        <w:tblStyle w:val="38"/>
        <w:tblW w:w="97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49"/>
        <w:gridCol w:w="1273"/>
        <w:gridCol w:w="1987"/>
        <w:gridCol w:w="4283"/>
        <w:gridCol w:w="1328"/>
      </w:tblGrid>
      <w:tr w14:paraId="5A04A1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top w:val="single" w:color="auto" w:sz="4" w:space="0"/>
              <w:bottom w:val="single" w:color="auto" w:sz="4" w:space="0"/>
              <w:right w:val="single" w:color="auto" w:sz="4" w:space="0"/>
            </w:tcBorders>
            <w:vAlign w:val="center"/>
          </w:tcPr>
          <w:p w14:paraId="0B7C598C">
            <w: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344414B5">
            <w:r>
              <w:t>评审因素</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39085A42">
            <w:r>
              <w:t>评审标准</w:t>
            </w:r>
          </w:p>
        </w:tc>
      </w:tr>
      <w:tr w14:paraId="79D10A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bottom w:val="single" w:color="auto" w:sz="4" w:space="0"/>
              <w:right w:val="single" w:color="auto" w:sz="4" w:space="0"/>
            </w:tcBorders>
            <w:vAlign w:val="center"/>
          </w:tcPr>
          <w:p w14:paraId="725A2056">
            <w:r>
              <w:t>2.1.1</w:t>
            </w:r>
          </w:p>
        </w:tc>
        <w:tc>
          <w:tcPr>
            <w:tcW w:w="1273" w:type="dxa"/>
            <w:vMerge w:val="restart"/>
            <w:tcBorders>
              <w:top w:val="single" w:color="auto" w:sz="4" w:space="0"/>
              <w:bottom w:val="single" w:color="auto" w:sz="4" w:space="0"/>
              <w:right w:val="single" w:color="auto" w:sz="4" w:space="0"/>
            </w:tcBorders>
            <w:vAlign w:val="center"/>
          </w:tcPr>
          <w:p w14:paraId="5DB44E6B">
            <w:pPr>
              <w:jc w:val="center"/>
            </w:pPr>
            <w:r>
              <w:t>形式评审</w:t>
            </w:r>
            <w:r>
              <w:rPr>
                <w:rFonts w:hint="eastAsia"/>
              </w:rPr>
              <w:t>标准</w:t>
            </w:r>
          </w:p>
        </w:tc>
        <w:tc>
          <w:tcPr>
            <w:tcW w:w="1987" w:type="dxa"/>
            <w:tcBorders>
              <w:top w:val="single" w:color="auto" w:sz="4" w:space="0"/>
              <w:left w:val="single" w:color="auto" w:sz="4" w:space="0"/>
              <w:bottom w:val="single" w:color="auto" w:sz="4" w:space="0"/>
              <w:right w:val="single" w:color="auto" w:sz="4" w:space="0"/>
            </w:tcBorders>
            <w:vAlign w:val="center"/>
          </w:tcPr>
          <w:p w14:paraId="21C12718">
            <w:r>
              <w:t>响应单位名称</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27EC105E">
            <w:pPr>
              <w:rPr>
                <w:rFonts w:hint="eastAsia" w:eastAsia="宋体"/>
                <w:lang w:eastAsia="zh-CN"/>
              </w:rPr>
            </w:pPr>
            <w:r>
              <w:t>与营业执照、资质证书</w:t>
            </w:r>
            <w:r>
              <w:rPr>
                <w:rFonts w:hint="eastAsia"/>
              </w:rPr>
              <w:t>、安全生产许可证</w:t>
            </w:r>
            <w:r>
              <w:t>一致</w:t>
            </w:r>
            <w:r>
              <w:rPr>
                <w:rFonts w:hint="eastAsia"/>
                <w:lang w:eastAsia="zh-CN"/>
              </w:rPr>
              <w:t>。</w:t>
            </w:r>
          </w:p>
        </w:tc>
      </w:tr>
      <w:tr w14:paraId="3ADD1E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4F19B1F1"/>
        </w:tc>
        <w:tc>
          <w:tcPr>
            <w:tcW w:w="1273" w:type="dxa"/>
            <w:vMerge w:val="continue"/>
            <w:tcBorders>
              <w:top w:val="nil"/>
              <w:bottom w:val="single" w:color="auto" w:sz="4" w:space="0"/>
              <w:right w:val="single" w:color="auto" w:sz="4" w:space="0"/>
            </w:tcBorders>
            <w:vAlign w:val="center"/>
          </w:tcPr>
          <w:p w14:paraId="25DED544"/>
        </w:tc>
        <w:tc>
          <w:tcPr>
            <w:tcW w:w="1987" w:type="dxa"/>
            <w:tcBorders>
              <w:top w:val="single" w:color="auto" w:sz="4" w:space="0"/>
              <w:left w:val="single" w:color="auto" w:sz="4" w:space="0"/>
              <w:bottom w:val="single" w:color="auto" w:sz="4" w:space="0"/>
              <w:right w:val="single" w:color="auto" w:sz="4" w:space="0"/>
            </w:tcBorders>
            <w:vAlign w:val="center"/>
          </w:tcPr>
          <w:p w14:paraId="5FF6D753">
            <w:r>
              <w:rPr>
                <w:rFonts w:hint="eastAsia" w:cs="宋体" w:hAnsiTheme="minorHAnsi"/>
                <w:kern w:val="0"/>
              </w:rPr>
              <w:t>签字和盖章要求</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7E9A0B40">
            <w:r>
              <w:rPr>
                <w:rFonts w:hint="eastAsia" w:cs="宋体" w:hAnsiTheme="minorHAnsi"/>
                <w:kern w:val="0"/>
              </w:rPr>
              <w:t>符合磋商文件规定的要求为合格，否则为不合格。</w:t>
            </w:r>
          </w:p>
        </w:tc>
      </w:tr>
      <w:tr w14:paraId="199883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53F1D9C8"/>
        </w:tc>
        <w:tc>
          <w:tcPr>
            <w:tcW w:w="1273" w:type="dxa"/>
            <w:vMerge w:val="continue"/>
            <w:tcBorders>
              <w:top w:val="nil"/>
              <w:bottom w:val="single" w:color="auto" w:sz="4" w:space="0"/>
              <w:right w:val="single" w:color="auto" w:sz="4" w:space="0"/>
            </w:tcBorders>
            <w:vAlign w:val="center"/>
          </w:tcPr>
          <w:p w14:paraId="61395449"/>
        </w:tc>
        <w:tc>
          <w:tcPr>
            <w:tcW w:w="1987" w:type="dxa"/>
            <w:tcBorders>
              <w:top w:val="single" w:color="auto" w:sz="4" w:space="0"/>
              <w:left w:val="single" w:color="auto" w:sz="4" w:space="0"/>
              <w:bottom w:val="single" w:color="auto" w:sz="4" w:space="0"/>
              <w:right w:val="single" w:color="auto" w:sz="4" w:space="0"/>
            </w:tcBorders>
            <w:vAlign w:val="center"/>
          </w:tcPr>
          <w:p w14:paraId="41EDEEB7">
            <w:r>
              <w:t>响应文件格式</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348F247A">
            <w:r>
              <w:t>符合第八章“响应文件格式”的要求</w:t>
            </w:r>
          </w:p>
        </w:tc>
      </w:tr>
      <w:tr w14:paraId="25D671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5ED02711"/>
        </w:tc>
        <w:tc>
          <w:tcPr>
            <w:tcW w:w="1273" w:type="dxa"/>
            <w:vMerge w:val="continue"/>
            <w:tcBorders>
              <w:top w:val="nil"/>
              <w:bottom w:val="single" w:color="auto" w:sz="4" w:space="0"/>
              <w:right w:val="single" w:color="auto" w:sz="4" w:space="0"/>
            </w:tcBorders>
            <w:vAlign w:val="center"/>
          </w:tcPr>
          <w:p w14:paraId="1778759B"/>
        </w:tc>
        <w:tc>
          <w:tcPr>
            <w:tcW w:w="1987" w:type="dxa"/>
            <w:tcBorders>
              <w:top w:val="single" w:color="auto" w:sz="4" w:space="0"/>
              <w:left w:val="single" w:color="auto" w:sz="4" w:space="0"/>
              <w:right w:val="single" w:color="auto" w:sz="4" w:space="0"/>
            </w:tcBorders>
            <w:vAlign w:val="center"/>
          </w:tcPr>
          <w:p w14:paraId="51CDD225">
            <w:r>
              <w:t>报价唯一</w:t>
            </w:r>
          </w:p>
        </w:tc>
        <w:tc>
          <w:tcPr>
            <w:tcW w:w="5611" w:type="dxa"/>
            <w:gridSpan w:val="2"/>
            <w:tcBorders>
              <w:top w:val="single" w:color="auto" w:sz="4" w:space="0"/>
              <w:left w:val="single" w:color="auto" w:sz="4" w:space="0"/>
              <w:right w:val="single" w:color="auto" w:sz="4" w:space="0"/>
            </w:tcBorders>
            <w:vAlign w:val="center"/>
          </w:tcPr>
          <w:p w14:paraId="4889DB8E">
            <w:r>
              <w:t>只能有一个有效报价</w:t>
            </w:r>
            <w:r>
              <w:rPr>
                <w:rFonts w:hint="eastAsia"/>
              </w:rPr>
              <w:t>，且不超过最高限价。</w:t>
            </w:r>
          </w:p>
        </w:tc>
      </w:tr>
      <w:tr w14:paraId="797B4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bottom w:val="single" w:color="auto" w:sz="4" w:space="0"/>
              <w:right w:val="single" w:color="auto" w:sz="4" w:space="0"/>
            </w:tcBorders>
            <w:vAlign w:val="center"/>
          </w:tcPr>
          <w:p w14:paraId="0E2F9790">
            <w:r>
              <w:t>2.1.2</w:t>
            </w:r>
          </w:p>
        </w:tc>
        <w:tc>
          <w:tcPr>
            <w:tcW w:w="1273" w:type="dxa"/>
            <w:vMerge w:val="restart"/>
            <w:tcBorders>
              <w:top w:val="single" w:color="auto" w:sz="4" w:space="0"/>
              <w:bottom w:val="single" w:color="auto" w:sz="4" w:space="0"/>
              <w:right w:val="single" w:color="auto" w:sz="4" w:space="0"/>
            </w:tcBorders>
            <w:vAlign w:val="center"/>
          </w:tcPr>
          <w:p w14:paraId="6DE6282A">
            <w:pPr>
              <w:jc w:val="center"/>
            </w:pPr>
            <w:r>
              <w:t>资格评审标准</w:t>
            </w:r>
          </w:p>
        </w:tc>
        <w:tc>
          <w:tcPr>
            <w:tcW w:w="1987" w:type="dxa"/>
            <w:tcBorders>
              <w:top w:val="single" w:color="auto" w:sz="4" w:space="0"/>
              <w:left w:val="single" w:color="auto" w:sz="4" w:space="0"/>
              <w:bottom w:val="single" w:color="auto" w:sz="4" w:space="0"/>
              <w:right w:val="single" w:color="auto" w:sz="4" w:space="0"/>
            </w:tcBorders>
            <w:vAlign w:val="center"/>
          </w:tcPr>
          <w:p w14:paraId="69D249A8">
            <w:r>
              <w:t>营业执照</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5BA00639">
            <w:r>
              <w:t>具备有效的营业执照</w:t>
            </w:r>
            <w:r>
              <w:rPr>
                <w:rFonts w:hint="eastAsia"/>
              </w:rPr>
              <w:t>，投标文件</w:t>
            </w:r>
            <w:r>
              <w:t>内附营业执照（</w:t>
            </w:r>
            <w:r>
              <w:rPr>
                <w:rFonts w:hint="eastAsia"/>
              </w:rPr>
              <w:t>副本</w:t>
            </w:r>
            <w:r>
              <w:t>）</w:t>
            </w:r>
            <w:r>
              <w:rPr>
                <w:rFonts w:hint="eastAsia"/>
              </w:rPr>
              <w:t>复印件</w:t>
            </w:r>
            <w:r>
              <w:t>加盖投标单位公章</w:t>
            </w:r>
            <w:r>
              <w:rPr>
                <w:rFonts w:hint="eastAsia"/>
              </w:rPr>
              <w:t>。</w:t>
            </w:r>
          </w:p>
        </w:tc>
      </w:tr>
      <w:tr w14:paraId="4D0100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single" w:color="auto" w:sz="4" w:space="0"/>
              <w:bottom w:val="single" w:color="auto" w:sz="4" w:space="0"/>
              <w:right w:val="single" w:color="auto" w:sz="4" w:space="0"/>
            </w:tcBorders>
            <w:vAlign w:val="center"/>
          </w:tcPr>
          <w:p w14:paraId="0395BA07"/>
        </w:tc>
        <w:tc>
          <w:tcPr>
            <w:tcW w:w="1273" w:type="dxa"/>
            <w:vMerge w:val="continue"/>
            <w:tcBorders>
              <w:top w:val="single" w:color="auto" w:sz="4" w:space="0"/>
              <w:bottom w:val="single" w:color="auto" w:sz="4" w:space="0"/>
              <w:right w:val="single" w:color="auto" w:sz="4" w:space="0"/>
            </w:tcBorders>
            <w:vAlign w:val="center"/>
          </w:tcPr>
          <w:p w14:paraId="070F0A2A"/>
        </w:tc>
        <w:tc>
          <w:tcPr>
            <w:tcW w:w="1987" w:type="dxa"/>
            <w:tcBorders>
              <w:top w:val="single" w:color="auto" w:sz="4" w:space="0"/>
              <w:left w:val="single" w:color="auto" w:sz="4" w:space="0"/>
              <w:bottom w:val="single" w:color="auto" w:sz="4" w:space="0"/>
              <w:right w:val="single" w:color="auto" w:sz="4" w:space="0"/>
            </w:tcBorders>
            <w:vAlign w:val="center"/>
          </w:tcPr>
          <w:p w14:paraId="71F5205E">
            <w:r>
              <w:t>资质</w:t>
            </w:r>
            <w:r>
              <w:rPr>
                <w:rFonts w:hint="eastAsia"/>
              </w:rPr>
              <w:t>证书</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7EF0DA92">
            <w:r>
              <w:rPr>
                <w:rFonts w:hint="eastAsia"/>
              </w:rPr>
              <w:t>具备建设行政主管部门核发的</w:t>
            </w:r>
            <w:r>
              <w:rPr>
                <w:rFonts w:hint="eastAsia"/>
                <w:lang w:eastAsia="zh-CN"/>
              </w:rPr>
              <w:t>建筑工程施工总承包二级及以上资质</w:t>
            </w:r>
            <w:r>
              <w:rPr>
                <w:rFonts w:hint="eastAsia"/>
              </w:rPr>
              <w:t>。投标文件</w:t>
            </w:r>
            <w:r>
              <w:t>内附</w:t>
            </w:r>
            <w:r>
              <w:rPr>
                <w:rFonts w:hint="eastAsia"/>
                <w:lang w:val="en-US" w:eastAsia="zh-CN"/>
              </w:rPr>
              <w:t>资质证书</w:t>
            </w:r>
            <w:r>
              <w:rPr>
                <w:rFonts w:hint="eastAsia"/>
              </w:rPr>
              <w:t>复印件</w:t>
            </w:r>
            <w:r>
              <w:t>加盖投标单位公章</w:t>
            </w:r>
            <w:r>
              <w:rPr>
                <w:rFonts w:hint="eastAsia"/>
              </w:rPr>
              <w:t>。</w:t>
            </w:r>
          </w:p>
        </w:tc>
      </w:tr>
      <w:tr w14:paraId="02A3B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single" w:color="auto" w:sz="4" w:space="0"/>
              <w:bottom w:val="single" w:color="auto" w:sz="4" w:space="0"/>
              <w:right w:val="single" w:color="auto" w:sz="4" w:space="0"/>
            </w:tcBorders>
            <w:vAlign w:val="center"/>
          </w:tcPr>
          <w:p w14:paraId="6823936F"/>
        </w:tc>
        <w:tc>
          <w:tcPr>
            <w:tcW w:w="1273" w:type="dxa"/>
            <w:vMerge w:val="continue"/>
            <w:tcBorders>
              <w:top w:val="single" w:color="auto" w:sz="4" w:space="0"/>
              <w:bottom w:val="single" w:color="auto" w:sz="4" w:space="0"/>
              <w:right w:val="single" w:color="auto" w:sz="4" w:space="0"/>
            </w:tcBorders>
            <w:vAlign w:val="center"/>
          </w:tcPr>
          <w:p w14:paraId="251D2530"/>
        </w:tc>
        <w:tc>
          <w:tcPr>
            <w:tcW w:w="1987" w:type="dxa"/>
            <w:tcBorders>
              <w:top w:val="single" w:color="auto" w:sz="4" w:space="0"/>
              <w:left w:val="single" w:color="auto" w:sz="4" w:space="0"/>
              <w:bottom w:val="single" w:color="auto" w:sz="4" w:space="0"/>
              <w:right w:val="single" w:color="auto" w:sz="4" w:space="0"/>
            </w:tcBorders>
            <w:vAlign w:val="center"/>
          </w:tcPr>
          <w:p w14:paraId="032806DB">
            <w:r>
              <w:rPr>
                <w:rFonts w:hint="eastAsia"/>
              </w:rPr>
              <w:t>安全生产许可证</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0AFA5131">
            <w:r>
              <w:t>具备有效的</w:t>
            </w:r>
            <w:r>
              <w:rPr>
                <w:rFonts w:hint="eastAsia"/>
              </w:rPr>
              <w:t>安全生产许可证，投标文件</w:t>
            </w:r>
            <w:r>
              <w:t>内附</w:t>
            </w:r>
            <w:r>
              <w:rPr>
                <w:rFonts w:hint="eastAsia"/>
              </w:rPr>
              <w:t>安全</w:t>
            </w:r>
            <w:r>
              <w:t>生产许可证</w:t>
            </w:r>
            <w:r>
              <w:rPr>
                <w:rFonts w:hint="eastAsia"/>
              </w:rPr>
              <w:t>复印件</w:t>
            </w:r>
            <w:r>
              <w:t>加盖投标单位公章</w:t>
            </w:r>
            <w:r>
              <w:rPr>
                <w:rFonts w:hint="eastAsia"/>
              </w:rPr>
              <w:t>。</w:t>
            </w:r>
          </w:p>
        </w:tc>
      </w:tr>
      <w:tr w14:paraId="4D8BA4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0649EA62"/>
        </w:tc>
        <w:tc>
          <w:tcPr>
            <w:tcW w:w="1273" w:type="dxa"/>
            <w:vMerge w:val="continue"/>
            <w:tcBorders>
              <w:top w:val="nil"/>
              <w:bottom w:val="single" w:color="auto" w:sz="4" w:space="0"/>
              <w:right w:val="single" w:color="auto" w:sz="4" w:space="0"/>
            </w:tcBorders>
            <w:vAlign w:val="center"/>
          </w:tcPr>
          <w:p w14:paraId="6694E3AE"/>
        </w:tc>
        <w:tc>
          <w:tcPr>
            <w:tcW w:w="1987" w:type="dxa"/>
            <w:tcBorders>
              <w:top w:val="single" w:color="auto" w:sz="4" w:space="0"/>
              <w:left w:val="single" w:color="auto" w:sz="4" w:space="0"/>
              <w:bottom w:val="single" w:color="auto" w:sz="4" w:space="0"/>
              <w:right w:val="single" w:color="auto" w:sz="4" w:space="0"/>
            </w:tcBorders>
            <w:vAlign w:val="center"/>
          </w:tcPr>
          <w:p w14:paraId="5992881B">
            <w:r>
              <w:rPr>
                <w:rFonts w:hint="eastAsia"/>
              </w:rPr>
              <w:t>财务要求</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5D2F4272">
            <w:r>
              <w:t>符合第二章“响应单位须知”第1.4.1</w:t>
            </w:r>
            <w:r>
              <w:rPr>
                <w:rFonts w:hint="eastAsia"/>
              </w:rPr>
              <w:t>项</w:t>
            </w:r>
            <w:r>
              <w:t>规定</w:t>
            </w:r>
            <w:r>
              <w:rPr>
                <w:rFonts w:hint="eastAsia"/>
              </w:rPr>
              <w:t>并按竞争性磋商文件规定提供证明材料。</w:t>
            </w:r>
          </w:p>
        </w:tc>
      </w:tr>
      <w:tr w14:paraId="3D6983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32251B51"/>
        </w:tc>
        <w:tc>
          <w:tcPr>
            <w:tcW w:w="1273" w:type="dxa"/>
            <w:vMerge w:val="continue"/>
            <w:tcBorders>
              <w:top w:val="nil"/>
              <w:bottom w:val="single" w:color="auto" w:sz="4" w:space="0"/>
              <w:right w:val="single" w:color="auto" w:sz="4" w:space="0"/>
            </w:tcBorders>
            <w:vAlign w:val="center"/>
          </w:tcPr>
          <w:p w14:paraId="74889103"/>
        </w:tc>
        <w:tc>
          <w:tcPr>
            <w:tcW w:w="1987" w:type="dxa"/>
            <w:tcBorders>
              <w:top w:val="single" w:color="auto" w:sz="4" w:space="0"/>
              <w:left w:val="single" w:color="auto" w:sz="4" w:space="0"/>
              <w:right w:val="single" w:color="auto" w:sz="4" w:space="0"/>
            </w:tcBorders>
            <w:vAlign w:val="center"/>
          </w:tcPr>
          <w:p w14:paraId="60AE10B9">
            <w:r>
              <w:rPr>
                <w:rFonts w:hint="eastAsia"/>
              </w:rPr>
              <w:t>信誉要求</w:t>
            </w:r>
          </w:p>
        </w:tc>
        <w:tc>
          <w:tcPr>
            <w:tcW w:w="5611" w:type="dxa"/>
            <w:gridSpan w:val="2"/>
            <w:tcBorders>
              <w:top w:val="single" w:color="auto" w:sz="4" w:space="0"/>
              <w:left w:val="single" w:color="auto" w:sz="4" w:space="0"/>
              <w:right w:val="single" w:color="auto" w:sz="4" w:space="0"/>
            </w:tcBorders>
            <w:vAlign w:val="center"/>
          </w:tcPr>
          <w:p w14:paraId="73E9B74B">
            <w:r>
              <w:t>符合第二章“响应单位须知”第1.4.1</w:t>
            </w:r>
            <w:r>
              <w:rPr>
                <w:rFonts w:hint="eastAsia"/>
              </w:rPr>
              <w:t>项</w:t>
            </w:r>
            <w:r>
              <w:t>规定</w:t>
            </w:r>
            <w:r>
              <w:rPr>
                <w:rFonts w:hint="eastAsia"/>
              </w:rPr>
              <w:t>并按竞争性磋商文件规定提供证明材料。</w:t>
            </w:r>
          </w:p>
        </w:tc>
      </w:tr>
      <w:tr w14:paraId="598A28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7CB734CA"/>
        </w:tc>
        <w:tc>
          <w:tcPr>
            <w:tcW w:w="1273" w:type="dxa"/>
            <w:vMerge w:val="continue"/>
            <w:tcBorders>
              <w:top w:val="nil"/>
              <w:bottom w:val="single" w:color="auto" w:sz="4" w:space="0"/>
              <w:right w:val="single" w:color="auto" w:sz="4" w:space="0"/>
            </w:tcBorders>
            <w:vAlign w:val="center"/>
          </w:tcPr>
          <w:p w14:paraId="4754799C"/>
        </w:tc>
        <w:tc>
          <w:tcPr>
            <w:tcW w:w="1987" w:type="dxa"/>
            <w:tcBorders>
              <w:top w:val="single" w:color="auto" w:sz="4" w:space="0"/>
              <w:left w:val="single" w:color="auto" w:sz="4" w:space="0"/>
              <w:right w:val="single" w:color="auto" w:sz="4" w:space="0"/>
            </w:tcBorders>
            <w:vAlign w:val="center"/>
          </w:tcPr>
          <w:p w14:paraId="0EA281C6">
            <w:pPr>
              <w:rPr>
                <w:rFonts w:hint="eastAsia"/>
              </w:rPr>
            </w:pPr>
            <w:r>
              <w:rPr>
                <w:rFonts w:hint="eastAsia"/>
              </w:rPr>
              <w:t>有依法缴纳税收和社会保障资金的良好记录</w:t>
            </w:r>
          </w:p>
        </w:tc>
        <w:tc>
          <w:tcPr>
            <w:tcW w:w="5611" w:type="dxa"/>
            <w:gridSpan w:val="2"/>
            <w:tcBorders>
              <w:top w:val="single" w:color="auto" w:sz="4" w:space="0"/>
              <w:left w:val="single" w:color="auto" w:sz="4" w:space="0"/>
              <w:right w:val="single" w:color="auto" w:sz="4" w:space="0"/>
            </w:tcBorders>
            <w:vAlign w:val="center"/>
          </w:tcPr>
          <w:p w14:paraId="54BEB0A1">
            <w:r>
              <w:rPr>
                <w:rFonts w:hint="eastAsia"/>
              </w:rPr>
              <w:t>提供近6个月任意一个月的依法缴纳税收和社会保障资金证明，</w:t>
            </w:r>
            <w:r>
              <w:rPr>
                <w:rFonts w:hint="eastAsia"/>
                <w:lang w:val="en-US" w:eastAsia="zh-CN"/>
              </w:rPr>
              <w:t>投标文件</w:t>
            </w:r>
            <w:r>
              <w:rPr>
                <w:rFonts w:hint="eastAsia"/>
              </w:rPr>
              <w:t>内附复印件加盖</w:t>
            </w:r>
            <w:r>
              <w:rPr>
                <w:rFonts w:hint="eastAsia"/>
                <w:lang w:val="en-US" w:eastAsia="zh-CN"/>
              </w:rPr>
              <w:t>投标单位</w:t>
            </w:r>
            <w:r>
              <w:rPr>
                <w:rFonts w:hint="eastAsia"/>
              </w:rPr>
              <w:t>公章。</w:t>
            </w:r>
          </w:p>
        </w:tc>
      </w:tr>
      <w:tr w14:paraId="3BF9B8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1BA144A5"/>
        </w:tc>
        <w:tc>
          <w:tcPr>
            <w:tcW w:w="1273" w:type="dxa"/>
            <w:vMerge w:val="continue"/>
            <w:tcBorders>
              <w:top w:val="nil"/>
              <w:bottom w:val="single" w:color="auto" w:sz="4" w:space="0"/>
              <w:right w:val="single" w:color="auto" w:sz="4" w:space="0"/>
            </w:tcBorders>
            <w:vAlign w:val="center"/>
          </w:tcPr>
          <w:p w14:paraId="555A35C6"/>
        </w:tc>
        <w:tc>
          <w:tcPr>
            <w:tcW w:w="1987" w:type="dxa"/>
            <w:tcBorders>
              <w:top w:val="single" w:color="auto" w:sz="4" w:space="0"/>
              <w:left w:val="single" w:color="auto" w:sz="4" w:space="0"/>
              <w:bottom w:val="single" w:color="auto" w:sz="4" w:space="0"/>
              <w:right w:val="single" w:color="auto" w:sz="4" w:space="0"/>
            </w:tcBorders>
            <w:vAlign w:val="center"/>
          </w:tcPr>
          <w:p w14:paraId="1E5D8121">
            <w:r>
              <w:rPr>
                <w:rFonts w:hint="eastAsia"/>
              </w:rPr>
              <w:t>项目经理</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530C1668">
            <w:r>
              <w:rPr>
                <w:rFonts w:hint="eastAsia"/>
              </w:rPr>
              <w:t>符合第二章“响应单位须知”第1.4.1项规定并按竞争性磋商文件规定提供证明材料</w:t>
            </w:r>
            <w:r>
              <w:t>。</w:t>
            </w:r>
          </w:p>
        </w:tc>
      </w:tr>
      <w:tr w14:paraId="1F2A8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65B43A18"/>
        </w:tc>
        <w:tc>
          <w:tcPr>
            <w:tcW w:w="1273" w:type="dxa"/>
            <w:vMerge w:val="continue"/>
            <w:tcBorders>
              <w:top w:val="nil"/>
              <w:bottom w:val="single" w:color="auto" w:sz="4" w:space="0"/>
              <w:right w:val="single" w:color="auto" w:sz="4" w:space="0"/>
            </w:tcBorders>
            <w:vAlign w:val="center"/>
          </w:tcPr>
          <w:p w14:paraId="41B85D2C"/>
        </w:tc>
        <w:tc>
          <w:tcPr>
            <w:tcW w:w="1987" w:type="dxa"/>
            <w:tcBorders>
              <w:top w:val="single" w:color="auto" w:sz="4" w:space="0"/>
              <w:left w:val="single" w:color="auto" w:sz="4" w:space="0"/>
              <w:right w:val="single" w:color="auto" w:sz="4" w:space="0"/>
            </w:tcBorders>
            <w:vAlign w:val="center"/>
          </w:tcPr>
          <w:p w14:paraId="19B2B035">
            <w:r>
              <w:rPr>
                <w:rFonts w:hint="eastAsia"/>
              </w:rPr>
              <w:t>技术负责人</w:t>
            </w:r>
          </w:p>
        </w:tc>
        <w:tc>
          <w:tcPr>
            <w:tcW w:w="5611" w:type="dxa"/>
            <w:gridSpan w:val="2"/>
            <w:tcBorders>
              <w:top w:val="single" w:color="auto" w:sz="4" w:space="0"/>
              <w:left w:val="single" w:color="auto" w:sz="4" w:space="0"/>
              <w:right w:val="single" w:color="auto" w:sz="4" w:space="0"/>
            </w:tcBorders>
            <w:vAlign w:val="center"/>
          </w:tcPr>
          <w:p w14:paraId="083E2052">
            <w:r>
              <w:rPr>
                <w:rFonts w:hint="eastAsia"/>
              </w:rPr>
              <w:t>符合第二章“响应单位须知”第1.4.1项规定并按竞争性磋商文件规定提供证明材料</w:t>
            </w:r>
            <w:r>
              <w:t>。</w:t>
            </w:r>
          </w:p>
        </w:tc>
      </w:tr>
      <w:tr w14:paraId="2012C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721AE465"/>
        </w:tc>
        <w:tc>
          <w:tcPr>
            <w:tcW w:w="1273" w:type="dxa"/>
            <w:vMerge w:val="continue"/>
            <w:tcBorders>
              <w:top w:val="nil"/>
              <w:bottom w:val="single" w:color="auto" w:sz="4" w:space="0"/>
              <w:right w:val="single" w:color="auto" w:sz="4" w:space="0"/>
            </w:tcBorders>
            <w:vAlign w:val="center"/>
          </w:tcPr>
          <w:p w14:paraId="7E6BB81D"/>
        </w:tc>
        <w:tc>
          <w:tcPr>
            <w:tcW w:w="1987" w:type="dxa"/>
            <w:tcBorders>
              <w:top w:val="single" w:color="auto" w:sz="4" w:space="0"/>
              <w:left w:val="single" w:color="auto" w:sz="4" w:space="0"/>
              <w:right w:val="single" w:color="auto" w:sz="4" w:space="0"/>
            </w:tcBorders>
            <w:vAlign w:val="center"/>
          </w:tcPr>
          <w:p w14:paraId="2A42833D">
            <w:pPr>
              <w:rPr>
                <w:rFonts w:hint="default" w:eastAsia="宋体"/>
                <w:lang w:val="en-US" w:eastAsia="zh-CN"/>
              </w:rPr>
            </w:pPr>
            <w:r>
              <w:rPr>
                <w:rFonts w:hint="eastAsia"/>
                <w:lang w:val="en-US" w:eastAsia="zh-CN"/>
              </w:rPr>
              <w:t>中小企业声明函</w:t>
            </w:r>
          </w:p>
        </w:tc>
        <w:tc>
          <w:tcPr>
            <w:tcW w:w="5611" w:type="dxa"/>
            <w:gridSpan w:val="2"/>
            <w:tcBorders>
              <w:top w:val="single" w:color="auto" w:sz="4" w:space="0"/>
              <w:left w:val="single" w:color="auto" w:sz="4" w:space="0"/>
              <w:right w:val="single" w:color="auto" w:sz="4" w:space="0"/>
            </w:tcBorders>
            <w:vAlign w:val="center"/>
          </w:tcPr>
          <w:p w14:paraId="3AEB1E0E">
            <w:pPr>
              <w:rPr>
                <w:rFonts w:hint="default" w:eastAsia="宋体"/>
                <w:lang w:val="en-US" w:eastAsia="zh-CN"/>
              </w:rPr>
            </w:pPr>
            <w:r>
              <w:rPr>
                <w:rFonts w:hint="eastAsia"/>
                <w:lang w:val="en-US" w:eastAsia="zh-CN"/>
              </w:rPr>
              <w:t>响应文件中提供中小企业声明函加盖公章。</w:t>
            </w:r>
          </w:p>
        </w:tc>
      </w:tr>
      <w:tr w14:paraId="72C58D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nil"/>
              <w:bottom w:val="single" w:color="auto" w:sz="4" w:space="0"/>
              <w:right w:val="single" w:color="auto" w:sz="4" w:space="0"/>
            </w:tcBorders>
            <w:vAlign w:val="center"/>
          </w:tcPr>
          <w:p w14:paraId="280BBEC0"/>
        </w:tc>
        <w:tc>
          <w:tcPr>
            <w:tcW w:w="1273" w:type="dxa"/>
            <w:vMerge w:val="continue"/>
            <w:tcBorders>
              <w:top w:val="nil"/>
              <w:bottom w:val="single" w:color="auto" w:sz="4" w:space="0"/>
              <w:right w:val="single" w:color="auto" w:sz="4" w:space="0"/>
            </w:tcBorders>
            <w:vAlign w:val="center"/>
          </w:tcPr>
          <w:p w14:paraId="60D78B7B"/>
        </w:tc>
        <w:tc>
          <w:tcPr>
            <w:tcW w:w="1987" w:type="dxa"/>
            <w:tcBorders>
              <w:top w:val="single" w:color="auto" w:sz="4" w:space="0"/>
              <w:left w:val="single" w:color="auto" w:sz="4" w:space="0"/>
              <w:right w:val="single" w:color="auto" w:sz="4" w:space="0"/>
            </w:tcBorders>
            <w:vAlign w:val="center"/>
          </w:tcPr>
          <w:p w14:paraId="77DA9853">
            <w:r>
              <w:rPr>
                <w:rFonts w:hint="eastAsia"/>
              </w:rPr>
              <w:t>其他要求</w:t>
            </w:r>
          </w:p>
        </w:tc>
        <w:tc>
          <w:tcPr>
            <w:tcW w:w="5611" w:type="dxa"/>
            <w:gridSpan w:val="2"/>
            <w:tcBorders>
              <w:top w:val="single" w:color="auto" w:sz="4" w:space="0"/>
              <w:left w:val="single" w:color="auto" w:sz="4" w:space="0"/>
              <w:right w:val="single" w:color="auto" w:sz="4" w:space="0"/>
            </w:tcBorders>
            <w:vAlign w:val="center"/>
          </w:tcPr>
          <w:p w14:paraId="688D3437">
            <w:r>
              <w:t>符合第二章“响应单位须知”第1.4.1项规定</w:t>
            </w:r>
            <w:r>
              <w:rPr>
                <w:rFonts w:hint="eastAsia"/>
              </w:rPr>
              <w:t>并按竞争性磋商文件规定提供证明材料。</w:t>
            </w:r>
          </w:p>
        </w:tc>
      </w:tr>
      <w:tr w14:paraId="67474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right w:val="single" w:color="auto" w:sz="4" w:space="0"/>
            </w:tcBorders>
            <w:vAlign w:val="center"/>
          </w:tcPr>
          <w:p w14:paraId="790D4C71">
            <w:r>
              <w:t>2.1.3</w:t>
            </w:r>
          </w:p>
        </w:tc>
        <w:tc>
          <w:tcPr>
            <w:tcW w:w="1273" w:type="dxa"/>
            <w:vMerge w:val="restart"/>
            <w:tcBorders>
              <w:top w:val="single" w:color="auto" w:sz="4" w:space="0"/>
              <w:right w:val="single" w:color="auto" w:sz="4" w:space="0"/>
            </w:tcBorders>
            <w:vAlign w:val="center"/>
          </w:tcPr>
          <w:p w14:paraId="227FEF9D">
            <w:r>
              <w:t>响应性评审标准</w:t>
            </w:r>
          </w:p>
        </w:tc>
        <w:tc>
          <w:tcPr>
            <w:tcW w:w="1987" w:type="dxa"/>
            <w:tcBorders>
              <w:top w:val="single" w:color="auto" w:sz="4" w:space="0"/>
              <w:left w:val="single" w:color="auto" w:sz="4" w:space="0"/>
              <w:bottom w:val="single" w:color="auto" w:sz="4" w:space="0"/>
              <w:right w:val="single" w:color="auto" w:sz="4" w:space="0"/>
            </w:tcBorders>
            <w:vAlign w:val="center"/>
          </w:tcPr>
          <w:p w14:paraId="06B3BC7F">
            <w:r>
              <w:t>投标内容</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0271BFEC">
            <w:r>
              <w:t>符合第二章“响应单位须知”第1.3.1项规定</w:t>
            </w:r>
          </w:p>
        </w:tc>
      </w:tr>
      <w:tr w14:paraId="58D820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top w:val="single" w:color="auto" w:sz="4" w:space="0"/>
              <w:right w:val="single" w:color="auto" w:sz="4" w:space="0"/>
            </w:tcBorders>
            <w:vAlign w:val="center"/>
          </w:tcPr>
          <w:p w14:paraId="59265747"/>
        </w:tc>
        <w:tc>
          <w:tcPr>
            <w:tcW w:w="1273" w:type="dxa"/>
            <w:vMerge w:val="continue"/>
            <w:tcBorders>
              <w:top w:val="single" w:color="auto" w:sz="4" w:space="0"/>
              <w:right w:val="single" w:color="auto" w:sz="4" w:space="0"/>
            </w:tcBorders>
            <w:vAlign w:val="center"/>
          </w:tcPr>
          <w:p w14:paraId="54824282"/>
        </w:tc>
        <w:tc>
          <w:tcPr>
            <w:tcW w:w="1987" w:type="dxa"/>
            <w:tcBorders>
              <w:top w:val="single" w:color="auto" w:sz="4" w:space="0"/>
              <w:left w:val="single" w:color="auto" w:sz="4" w:space="0"/>
              <w:bottom w:val="single" w:color="auto" w:sz="4" w:space="0"/>
              <w:right w:val="single" w:color="auto" w:sz="4" w:space="0"/>
            </w:tcBorders>
            <w:vAlign w:val="center"/>
          </w:tcPr>
          <w:p w14:paraId="0B4C9848">
            <w:r>
              <w:rPr>
                <w:rFonts w:hint="eastAsia"/>
              </w:rPr>
              <w:t>计划</w:t>
            </w:r>
            <w:r>
              <w:t>工期</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36130A2E">
            <w:r>
              <w:t>符合第二章“响应单位须知”第1.3.2项规定</w:t>
            </w:r>
          </w:p>
        </w:tc>
      </w:tr>
      <w:tr w14:paraId="362DB1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right w:val="single" w:color="auto" w:sz="4" w:space="0"/>
            </w:tcBorders>
            <w:vAlign w:val="center"/>
          </w:tcPr>
          <w:p w14:paraId="28C8E6AE"/>
        </w:tc>
        <w:tc>
          <w:tcPr>
            <w:tcW w:w="1273" w:type="dxa"/>
            <w:vMerge w:val="continue"/>
            <w:tcBorders>
              <w:right w:val="single" w:color="auto" w:sz="4" w:space="0"/>
            </w:tcBorders>
            <w:vAlign w:val="center"/>
          </w:tcPr>
          <w:p w14:paraId="4932F319"/>
        </w:tc>
        <w:tc>
          <w:tcPr>
            <w:tcW w:w="1987" w:type="dxa"/>
            <w:tcBorders>
              <w:top w:val="single" w:color="auto" w:sz="4" w:space="0"/>
              <w:left w:val="single" w:color="auto" w:sz="4" w:space="0"/>
              <w:bottom w:val="single" w:color="auto" w:sz="4" w:space="0"/>
              <w:right w:val="single" w:color="auto" w:sz="4" w:space="0"/>
            </w:tcBorders>
            <w:vAlign w:val="center"/>
          </w:tcPr>
          <w:p w14:paraId="7E6B1893">
            <w:pPr>
              <w:rPr>
                <w:rFonts w:hint="eastAsia"/>
              </w:rPr>
            </w:pPr>
            <w:r>
              <w:t>质量</w:t>
            </w:r>
            <w:r>
              <w:rPr>
                <w:rFonts w:hint="eastAsia"/>
              </w:rPr>
              <w:t>标准</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69831391">
            <w:r>
              <w:t>符合第二章“响应单位须知”第1.3.3项规定</w:t>
            </w:r>
          </w:p>
        </w:tc>
      </w:tr>
      <w:tr w14:paraId="4A1703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right w:val="single" w:color="auto" w:sz="4" w:space="0"/>
            </w:tcBorders>
            <w:vAlign w:val="center"/>
          </w:tcPr>
          <w:p w14:paraId="2020E64A"/>
        </w:tc>
        <w:tc>
          <w:tcPr>
            <w:tcW w:w="1273" w:type="dxa"/>
            <w:vMerge w:val="continue"/>
            <w:tcBorders>
              <w:right w:val="single" w:color="auto" w:sz="4" w:space="0"/>
            </w:tcBorders>
            <w:vAlign w:val="center"/>
          </w:tcPr>
          <w:p w14:paraId="00B2F46D"/>
        </w:tc>
        <w:tc>
          <w:tcPr>
            <w:tcW w:w="1987" w:type="dxa"/>
            <w:tcBorders>
              <w:top w:val="single" w:color="auto" w:sz="4" w:space="0"/>
              <w:left w:val="single" w:color="auto" w:sz="4" w:space="0"/>
              <w:bottom w:val="single" w:color="auto" w:sz="4" w:space="0"/>
              <w:right w:val="single" w:color="auto" w:sz="4" w:space="0"/>
            </w:tcBorders>
            <w:vAlign w:val="center"/>
          </w:tcPr>
          <w:p w14:paraId="1549F676">
            <w:r>
              <w:rPr>
                <w:rFonts w:hint="eastAsia"/>
              </w:rPr>
              <w:t>投标有效期</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39D3ED2B">
            <w:r>
              <w:t>符合第二章“响应单位须知”第</w:t>
            </w:r>
            <w:r>
              <w:rPr>
                <w:rFonts w:hint="eastAsia"/>
              </w:rPr>
              <w:t>3</w:t>
            </w:r>
            <w:r>
              <w:t>.3.</w:t>
            </w:r>
            <w:r>
              <w:rPr>
                <w:rFonts w:hint="eastAsia"/>
              </w:rPr>
              <w:t>1</w:t>
            </w:r>
            <w:r>
              <w:t>项规</w:t>
            </w:r>
            <w:r>
              <w:rPr>
                <w:rFonts w:hint="eastAsia"/>
              </w:rPr>
              <w:t>定</w:t>
            </w:r>
          </w:p>
        </w:tc>
      </w:tr>
      <w:tr w14:paraId="44C2E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right w:val="single" w:color="auto" w:sz="4" w:space="0"/>
            </w:tcBorders>
            <w:vAlign w:val="center"/>
          </w:tcPr>
          <w:p w14:paraId="69B0354F"/>
        </w:tc>
        <w:tc>
          <w:tcPr>
            <w:tcW w:w="1273" w:type="dxa"/>
            <w:vMerge w:val="continue"/>
            <w:tcBorders>
              <w:right w:val="single" w:color="auto" w:sz="4" w:space="0"/>
            </w:tcBorders>
            <w:vAlign w:val="center"/>
          </w:tcPr>
          <w:p w14:paraId="3F8BF0EC"/>
        </w:tc>
        <w:tc>
          <w:tcPr>
            <w:tcW w:w="1987" w:type="dxa"/>
            <w:tcBorders>
              <w:top w:val="single" w:color="auto" w:sz="4" w:space="0"/>
              <w:left w:val="single" w:color="auto" w:sz="4" w:space="0"/>
              <w:bottom w:val="single" w:color="auto" w:sz="4" w:space="0"/>
              <w:right w:val="single" w:color="auto" w:sz="4" w:space="0"/>
            </w:tcBorders>
            <w:vAlign w:val="center"/>
          </w:tcPr>
          <w:p w14:paraId="2E45B8F3">
            <w:r>
              <w:t>投标保证金</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22A87813">
            <w:r>
              <w:t>符合第二章“响应单位须知”第3.4</w:t>
            </w:r>
            <w:r>
              <w:rPr>
                <w:rFonts w:hint="eastAsia"/>
              </w:rPr>
              <w:t>.1项</w:t>
            </w:r>
            <w:r>
              <w:t>规定</w:t>
            </w:r>
          </w:p>
        </w:tc>
      </w:tr>
      <w:tr w14:paraId="53D05A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4" w:hRule="atLeast"/>
          <w:jc w:val="center"/>
        </w:trPr>
        <w:tc>
          <w:tcPr>
            <w:tcW w:w="849" w:type="dxa"/>
            <w:vMerge w:val="continue"/>
            <w:tcBorders>
              <w:right w:val="single" w:color="auto" w:sz="4" w:space="0"/>
            </w:tcBorders>
            <w:vAlign w:val="center"/>
          </w:tcPr>
          <w:p w14:paraId="1DD1B397"/>
        </w:tc>
        <w:tc>
          <w:tcPr>
            <w:tcW w:w="1273" w:type="dxa"/>
            <w:vMerge w:val="continue"/>
            <w:tcBorders>
              <w:right w:val="single" w:color="auto" w:sz="4" w:space="0"/>
            </w:tcBorders>
            <w:vAlign w:val="center"/>
          </w:tcPr>
          <w:p w14:paraId="74ADC317"/>
        </w:tc>
        <w:tc>
          <w:tcPr>
            <w:tcW w:w="1987" w:type="dxa"/>
            <w:tcBorders>
              <w:top w:val="single" w:color="auto" w:sz="4" w:space="0"/>
              <w:left w:val="single" w:color="auto" w:sz="4" w:space="0"/>
              <w:bottom w:val="single" w:color="auto" w:sz="4" w:space="0"/>
              <w:right w:val="single" w:color="auto" w:sz="4" w:space="0"/>
            </w:tcBorders>
            <w:vAlign w:val="center"/>
          </w:tcPr>
          <w:p w14:paraId="743D9681">
            <w:r>
              <w:t>权利义务</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0E5DA6B2">
            <w:r>
              <w:t>符合第四章“合同条款及格式”规定</w:t>
            </w:r>
          </w:p>
        </w:tc>
      </w:tr>
      <w:tr w14:paraId="4C12D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continue"/>
            <w:tcBorders>
              <w:right w:val="single" w:color="auto" w:sz="4" w:space="0"/>
            </w:tcBorders>
            <w:vAlign w:val="center"/>
          </w:tcPr>
          <w:p w14:paraId="3FC8AA2D"/>
        </w:tc>
        <w:tc>
          <w:tcPr>
            <w:tcW w:w="1273" w:type="dxa"/>
            <w:vMerge w:val="continue"/>
            <w:tcBorders>
              <w:right w:val="single" w:color="auto" w:sz="4" w:space="0"/>
            </w:tcBorders>
            <w:vAlign w:val="center"/>
          </w:tcPr>
          <w:p w14:paraId="455E679D"/>
        </w:tc>
        <w:tc>
          <w:tcPr>
            <w:tcW w:w="1987" w:type="dxa"/>
            <w:tcBorders>
              <w:top w:val="single" w:color="auto" w:sz="4" w:space="0"/>
              <w:left w:val="single" w:color="auto" w:sz="4" w:space="0"/>
              <w:bottom w:val="single" w:color="auto" w:sz="4" w:space="0"/>
              <w:right w:val="single" w:color="auto" w:sz="4" w:space="0"/>
            </w:tcBorders>
            <w:vAlign w:val="center"/>
          </w:tcPr>
          <w:p w14:paraId="22EB76A3">
            <w:r>
              <w:t>已标价工程量清单</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4FBA1066">
            <w:pPr>
              <w:rPr>
                <w:rFonts w:hint="eastAsia" w:eastAsia="宋体"/>
                <w:lang w:eastAsia="zh-CN"/>
              </w:rPr>
            </w:pPr>
            <w:r>
              <w:t>符合第五章“工程量清单”给出的</w:t>
            </w:r>
            <w:r>
              <w:rPr>
                <w:rFonts w:hint="eastAsia"/>
              </w:rPr>
              <w:t>子目编码、子目名称、子目特征、计量单位和工程量。</w:t>
            </w:r>
          </w:p>
        </w:tc>
      </w:tr>
      <w:tr w14:paraId="6A5DB1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continue"/>
            <w:tcBorders>
              <w:right w:val="single" w:color="auto" w:sz="4" w:space="0"/>
            </w:tcBorders>
            <w:vAlign w:val="center"/>
          </w:tcPr>
          <w:p w14:paraId="64080C36"/>
        </w:tc>
        <w:tc>
          <w:tcPr>
            <w:tcW w:w="1273" w:type="dxa"/>
            <w:vMerge w:val="continue"/>
            <w:tcBorders>
              <w:right w:val="single" w:color="auto" w:sz="4" w:space="0"/>
            </w:tcBorders>
            <w:vAlign w:val="center"/>
          </w:tcPr>
          <w:p w14:paraId="0608637A"/>
        </w:tc>
        <w:tc>
          <w:tcPr>
            <w:tcW w:w="1987" w:type="dxa"/>
            <w:tcBorders>
              <w:top w:val="single" w:color="auto" w:sz="4" w:space="0"/>
              <w:left w:val="single" w:color="auto" w:sz="4" w:space="0"/>
              <w:bottom w:val="single" w:color="auto" w:sz="4" w:space="0"/>
              <w:right w:val="single" w:color="auto" w:sz="4" w:space="0"/>
            </w:tcBorders>
            <w:vAlign w:val="center"/>
          </w:tcPr>
          <w:p w14:paraId="52B6A2D9">
            <w:r>
              <w:rPr>
                <w:rFonts w:hint="eastAsia"/>
              </w:rPr>
              <w:t>技术标准和要求</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5B18407A">
            <w:pPr>
              <w:rPr>
                <w:rFonts w:hint="eastAsia" w:eastAsia="宋体"/>
                <w:lang w:eastAsia="zh-CN"/>
              </w:rPr>
            </w:pPr>
            <w:r>
              <w:rPr>
                <w:rFonts w:hint="eastAsia"/>
              </w:rPr>
              <w:t>符合第七章“技术标准和要求”规定</w:t>
            </w:r>
            <w:r>
              <w:rPr>
                <w:rFonts w:hint="eastAsia"/>
                <w:lang w:eastAsia="zh-CN"/>
              </w:rPr>
              <w:t>。</w:t>
            </w:r>
          </w:p>
        </w:tc>
      </w:tr>
      <w:tr w14:paraId="59D4F2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top w:val="single" w:color="auto" w:sz="4" w:space="0"/>
              <w:bottom w:val="single" w:color="auto" w:sz="4" w:space="0"/>
              <w:right w:val="single" w:color="auto" w:sz="4" w:space="0"/>
            </w:tcBorders>
            <w:vAlign w:val="center"/>
          </w:tcPr>
          <w:p w14:paraId="3AA6A53F">
            <w: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081D392E">
            <w:r>
              <w:t>条款内容</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6E0A5B6F">
            <w:r>
              <w:t>编列内容</w:t>
            </w:r>
          </w:p>
        </w:tc>
      </w:tr>
      <w:tr w14:paraId="518E5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bottom w:val="single" w:color="auto" w:sz="4" w:space="0"/>
              <w:right w:val="single" w:color="auto" w:sz="4" w:space="0"/>
            </w:tcBorders>
            <w:vAlign w:val="center"/>
          </w:tcPr>
          <w:p w14:paraId="5B176612">
            <w:r>
              <w:t>2.2.1</w:t>
            </w:r>
          </w:p>
        </w:tc>
        <w:tc>
          <w:tcPr>
            <w:tcW w:w="1987" w:type="dxa"/>
            <w:tcBorders>
              <w:top w:val="single" w:color="auto" w:sz="4" w:space="0"/>
              <w:left w:val="single" w:color="auto" w:sz="4" w:space="0"/>
              <w:bottom w:val="single" w:color="auto" w:sz="4" w:space="0"/>
              <w:right w:val="single" w:color="auto" w:sz="4" w:space="0"/>
            </w:tcBorders>
            <w:vAlign w:val="center"/>
          </w:tcPr>
          <w:p w14:paraId="3E55B6A2">
            <w:r>
              <w:t>分值构成</w:t>
            </w:r>
          </w:p>
          <w:p w14:paraId="47291DFE">
            <w:r>
              <w:t>(总分100分)</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1D0950F7">
            <w:r>
              <w:rPr>
                <w:rFonts w:hint="eastAsia"/>
                <w:lang w:val="en-US" w:eastAsia="zh-CN"/>
              </w:rPr>
              <w:t>技术部分</w:t>
            </w:r>
            <w:r>
              <w:t>：</w:t>
            </w:r>
            <w:r>
              <w:rPr>
                <w:u w:val="single"/>
              </w:rPr>
              <w:t xml:space="preserve">   </w:t>
            </w:r>
            <w:r>
              <w:rPr>
                <w:rFonts w:hint="eastAsia"/>
                <w:u w:val="single"/>
                <w:lang w:val="en-US" w:eastAsia="zh-CN"/>
              </w:rPr>
              <w:t>5</w:t>
            </w:r>
            <w:r>
              <w:rPr>
                <w:u w:val="single"/>
              </w:rPr>
              <w:t xml:space="preserve">0   </w:t>
            </w:r>
            <w:r>
              <w:t>分</w:t>
            </w:r>
          </w:p>
          <w:p w14:paraId="23484B37">
            <w:r>
              <w:rPr>
                <w:rFonts w:hint="eastAsia"/>
                <w:lang w:val="en-US" w:eastAsia="zh-CN"/>
              </w:rPr>
              <w:t>商务部分</w:t>
            </w:r>
            <w:r>
              <w:t>：</w:t>
            </w:r>
            <w:r>
              <w:rPr>
                <w:u w:val="single"/>
              </w:rPr>
              <w:t xml:space="preserve">   </w:t>
            </w:r>
            <w:r>
              <w:rPr>
                <w:rFonts w:hint="eastAsia"/>
                <w:u w:val="single"/>
                <w:lang w:val="en-US" w:eastAsia="zh-CN"/>
              </w:rPr>
              <w:t>20</w:t>
            </w:r>
            <w:r>
              <w:rPr>
                <w:u w:val="single"/>
              </w:rPr>
              <w:t xml:space="preserve">   </w:t>
            </w:r>
            <w:r>
              <w:t>分</w:t>
            </w:r>
          </w:p>
          <w:p w14:paraId="1B5FFA12">
            <w:r>
              <w:t>投标报价：</w:t>
            </w:r>
            <w:r>
              <w:rPr>
                <w:u w:val="single"/>
              </w:rPr>
              <w:t xml:space="preserve"> </w:t>
            </w:r>
            <w:r>
              <w:rPr>
                <w:rFonts w:hint="eastAsia"/>
                <w:u w:val="single"/>
              </w:rPr>
              <w:t xml:space="preserve">  </w:t>
            </w:r>
            <w:r>
              <w:rPr>
                <w:rFonts w:hint="eastAsia"/>
                <w:u w:val="single"/>
                <w:lang w:val="en-US" w:eastAsia="zh-CN"/>
              </w:rPr>
              <w:t>3</w:t>
            </w:r>
            <w:r>
              <w:rPr>
                <w:u w:val="single"/>
              </w:rPr>
              <w:t xml:space="preserve">0   </w:t>
            </w:r>
            <w:r>
              <w:t>分</w:t>
            </w:r>
          </w:p>
        </w:tc>
      </w:tr>
      <w:tr w14:paraId="15B5B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top w:val="single" w:color="auto" w:sz="4" w:space="0"/>
              <w:bottom w:val="single" w:color="auto" w:sz="4" w:space="0"/>
              <w:right w:val="single" w:color="auto" w:sz="4" w:space="0"/>
            </w:tcBorders>
            <w:vAlign w:val="center"/>
          </w:tcPr>
          <w:p w14:paraId="64FAC9EB">
            <w:r>
              <w:t>2.2.2</w:t>
            </w:r>
          </w:p>
        </w:tc>
        <w:tc>
          <w:tcPr>
            <w:tcW w:w="1987" w:type="dxa"/>
            <w:tcBorders>
              <w:top w:val="single" w:color="auto" w:sz="4" w:space="0"/>
              <w:left w:val="single" w:color="auto" w:sz="4" w:space="0"/>
              <w:bottom w:val="single" w:color="auto" w:sz="4" w:space="0"/>
              <w:right w:val="single" w:color="auto" w:sz="4" w:space="0"/>
            </w:tcBorders>
            <w:vAlign w:val="center"/>
          </w:tcPr>
          <w:p w14:paraId="036F5F33">
            <w:r>
              <w:t>评标基准价计算</w:t>
            </w:r>
            <w:r>
              <w:rPr>
                <w:rFonts w:hint="eastAsia"/>
              </w:rPr>
              <w:t>方法</w:t>
            </w:r>
          </w:p>
        </w:tc>
        <w:tc>
          <w:tcPr>
            <w:tcW w:w="5611" w:type="dxa"/>
            <w:gridSpan w:val="2"/>
            <w:tcBorders>
              <w:top w:val="single" w:color="auto" w:sz="4" w:space="0"/>
              <w:left w:val="single" w:color="auto" w:sz="4" w:space="0"/>
              <w:bottom w:val="single" w:color="auto" w:sz="4" w:space="0"/>
              <w:right w:val="single" w:color="auto" w:sz="4" w:space="0"/>
            </w:tcBorders>
            <w:vAlign w:val="center"/>
          </w:tcPr>
          <w:p w14:paraId="5ECB45C9">
            <w:r>
              <w:rPr>
                <w:rFonts w:hint="eastAsia"/>
              </w:rPr>
              <w:t>评标基准价为：所有有效投标人最终报价的最低</w:t>
            </w:r>
            <w:r>
              <w:rPr>
                <w:rFonts w:hint="eastAsia"/>
                <w:lang w:val="en-US" w:eastAsia="zh-CN"/>
              </w:rPr>
              <w:t>值作</w:t>
            </w:r>
            <w:r>
              <w:rPr>
                <w:rFonts w:hint="eastAsia"/>
              </w:rPr>
              <w:t>为基准价。</w:t>
            </w:r>
          </w:p>
        </w:tc>
      </w:tr>
      <w:tr w14:paraId="6FCDB2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122" w:type="dxa"/>
            <w:gridSpan w:val="2"/>
            <w:tcBorders>
              <w:top w:val="nil"/>
              <w:bottom w:val="single" w:color="auto" w:sz="4" w:space="0"/>
              <w:right w:val="single" w:color="auto" w:sz="4" w:space="0"/>
            </w:tcBorders>
            <w:vAlign w:val="center"/>
          </w:tcPr>
          <w:p w14:paraId="1EB9A04B">
            <w: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2B8144D">
            <w:r>
              <w:t>评分因素</w:t>
            </w:r>
          </w:p>
        </w:tc>
        <w:tc>
          <w:tcPr>
            <w:tcW w:w="4283" w:type="dxa"/>
            <w:tcBorders>
              <w:top w:val="single" w:color="auto" w:sz="4" w:space="0"/>
              <w:left w:val="single" w:color="auto" w:sz="4" w:space="0"/>
              <w:bottom w:val="single" w:color="auto" w:sz="4" w:space="0"/>
              <w:right w:val="single" w:color="auto" w:sz="4" w:space="0"/>
            </w:tcBorders>
            <w:vAlign w:val="center"/>
          </w:tcPr>
          <w:p w14:paraId="72C2AB50">
            <w:r>
              <w:t>评分标准</w:t>
            </w:r>
          </w:p>
        </w:tc>
        <w:tc>
          <w:tcPr>
            <w:tcW w:w="1328" w:type="dxa"/>
            <w:tcBorders>
              <w:top w:val="single" w:color="auto" w:sz="4" w:space="0"/>
              <w:left w:val="single" w:color="auto" w:sz="4" w:space="0"/>
              <w:bottom w:val="single" w:color="auto" w:sz="4" w:space="0"/>
              <w:right w:val="single" w:color="auto" w:sz="4" w:space="0"/>
            </w:tcBorders>
            <w:vAlign w:val="center"/>
          </w:tcPr>
          <w:p w14:paraId="7F698AC1">
            <w:r>
              <w:rPr>
                <w:rFonts w:hint="eastAsia"/>
              </w:rPr>
              <w:t>得分</w:t>
            </w:r>
          </w:p>
        </w:tc>
      </w:tr>
      <w:tr w14:paraId="312C1D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restart"/>
            <w:tcBorders>
              <w:top w:val="single" w:color="auto" w:sz="4" w:space="0"/>
              <w:right w:val="single" w:color="auto" w:sz="4" w:space="0"/>
            </w:tcBorders>
            <w:vAlign w:val="center"/>
          </w:tcPr>
          <w:p w14:paraId="19B8D2DF">
            <w:pPr>
              <w:rPr>
                <w:rFonts w:hint="default" w:eastAsia="宋体"/>
                <w:lang w:val="en-US" w:eastAsia="zh-CN"/>
              </w:rPr>
            </w:pPr>
            <w:r>
              <w:rPr>
                <w:rFonts w:hint="eastAsia"/>
                <w:lang w:val="en-US" w:eastAsia="zh-CN"/>
              </w:rPr>
              <w:t>技术部分</w:t>
            </w:r>
          </w:p>
        </w:tc>
        <w:tc>
          <w:tcPr>
            <w:tcW w:w="1273" w:type="dxa"/>
            <w:vMerge w:val="restart"/>
            <w:tcBorders>
              <w:top w:val="single" w:color="auto" w:sz="4" w:space="0"/>
              <w:right w:val="single" w:color="auto" w:sz="4" w:space="0"/>
            </w:tcBorders>
            <w:vAlign w:val="center"/>
          </w:tcPr>
          <w:p w14:paraId="4995D8A0">
            <w:r>
              <w:t>施工组织设计评分标准</w:t>
            </w:r>
            <w:r>
              <w:rPr>
                <w:rFonts w:hint="eastAsia"/>
              </w:rPr>
              <w:t>（</w:t>
            </w:r>
            <w:r>
              <w:rPr>
                <w:rFonts w:hint="eastAsia"/>
                <w:lang w:val="en-US" w:eastAsia="zh-CN"/>
              </w:rPr>
              <w:t>5</w:t>
            </w:r>
            <w:r>
              <w:t>0</w:t>
            </w:r>
            <w:r>
              <w:rPr>
                <w:rFonts w:hint="eastAsia"/>
              </w:rPr>
              <w:t>分）</w:t>
            </w:r>
          </w:p>
        </w:tc>
        <w:tc>
          <w:tcPr>
            <w:tcW w:w="1987" w:type="dxa"/>
            <w:tcBorders>
              <w:top w:val="single" w:color="auto" w:sz="4" w:space="0"/>
              <w:left w:val="single" w:color="auto" w:sz="4" w:space="0"/>
              <w:bottom w:val="single" w:color="auto" w:sz="4" w:space="0"/>
              <w:right w:val="single" w:color="auto" w:sz="4" w:space="0"/>
            </w:tcBorders>
            <w:vAlign w:val="center"/>
          </w:tcPr>
          <w:p w14:paraId="57092E78">
            <w:r>
              <w:t>内容完整性和编制水平</w:t>
            </w:r>
          </w:p>
        </w:tc>
        <w:tc>
          <w:tcPr>
            <w:tcW w:w="4283" w:type="dxa"/>
            <w:tcBorders>
              <w:top w:val="single" w:color="auto" w:sz="4" w:space="0"/>
              <w:left w:val="single" w:color="auto" w:sz="4" w:space="0"/>
              <w:bottom w:val="single" w:color="auto" w:sz="4" w:space="0"/>
              <w:right w:val="single" w:color="auto" w:sz="4" w:space="0"/>
            </w:tcBorders>
            <w:vAlign w:val="center"/>
          </w:tcPr>
          <w:p w14:paraId="21A8B3D6">
            <w:r>
              <w:t>内容完整性和编制水平</w:t>
            </w:r>
            <w:r>
              <w:rPr>
                <w:rFonts w:hint="eastAsia"/>
                <w:lang w:val="en-US" w:eastAsia="zh-CN"/>
              </w:rPr>
              <w:t>进行比较，内容完整、合理、可行；优得3分，良得2分，一般得1分，无不得分。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6071659B">
            <w:r>
              <w:rPr>
                <w:rFonts w:hint="eastAsia"/>
                <w:lang w:val="en-US" w:eastAsia="zh-CN"/>
              </w:rPr>
              <w:t>3</w:t>
            </w:r>
            <w:r>
              <w:rPr>
                <w:rFonts w:hint="eastAsia"/>
              </w:rPr>
              <w:t>-</w:t>
            </w:r>
            <w:r>
              <w:t>0</w:t>
            </w:r>
          </w:p>
        </w:tc>
      </w:tr>
      <w:tr w14:paraId="71F85F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continue"/>
            <w:tcBorders>
              <w:right w:val="single" w:color="auto" w:sz="4" w:space="0"/>
            </w:tcBorders>
            <w:vAlign w:val="center"/>
          </w:tcPr>
          <w:p w14:paraId="240B83EF"/>
        </w:tc>
        <w:tc>
          <w:tcPr>
            <w:tcW w:w="1273" w:type="dxa"/>
            <w:vMerge w:val="continue"/>
            <w:tcBorders>
              <w:right w:val="single" w:color="auto" w:sz="4" w:space="0"/>
            </w:tcBorders>
            <w:vAlign w:val="center"/>
          </w:tcPr>
          <w:p w14:paraId="09E1D50D"/>
        </w:tc>
        <w:tc>
          <w:tcPr>
            <w:tcW w:w="1987" w:type="dxa"/>
            <w:tcBorders>
              <w:top w:val="single" w:color="auto" w:sz="4" w:space="0"/>
              <w:left w:val="single" w:color="auto" w:sz="4" w:space="0"/>
              <w:bottom w:val="single" w:color="auto" w:sz="4" w:space="0"/>
              <w:right w:val="single" w:color="auto" w:sz="4" w:space="0"/>
            </w:tcBorders>
            <w:vAlign w:val="center"/>
          </w:tcPr>
          <w:p w14:paraId="46202CAE">
            <w:r>
              <w:t>施工方案与技术措施</w:t>
            </w:r>
          </w:p>
        </w:tc>
        <w:tc>
          <w:tcPr>
            <w:tcW w:w="4283" w:type="dxa"/>
            <w:tcBorders>
              <w:top w:val="single" w:color="auto" w:sz="4" w:space="0"/>
              <w:left w:val="single" w:color="auto" w:sz="4" w:space="0"/>
              <w:bottom w:val="single" w:color="auto" w:sz="4" w:space="0"/>
              <w:right w:val="single" w:color="auto" w:sz="4" w:space="0"/>
            </w:tcBorders>
            <w:vAlign w:val="center"/>
          </w:tcPr>
          <w:p w14:paraId="3539001E">
            <w:bookmarkStart w:id="411" w:name="OLE_LINK2"/>
            <w:r>
              <w:t>施工方案与技术措施</w:t>
            </w:r>
            <w:r>
              <w:rPr>
                <w:rFonts w:hint="eastAsia"/>
                <w:lang w:val="en-US" w:eastAsia="zh-CN"/>
              </w:rPr>
              <w:t>进行比较，内容完整、合理、可行；优得10分，良得7分，一般得4分，无不得分。</w:t>
            </w:r>
            <w:bookmarkEnd w:id="411"/>
          </w:p>
        </w:tc>
        <w:tc>
          <w:tcPr>
            <w:tcW w:w="1328" w:type="dxa"/>
            <w:tcBorders>
              <w:top w:val="single" w:color="auto" w:sz="4" w:space="0"/>
              <w:left w:val="single" w:color="auto" w:sz="4" w:space="0"/>
              <w:bottom w:val="single" w:color="auto" w:sz="4" w:space="0"/>
              <w:right w:val="single" w:color="auto" w:sz="4" w:space="0"/>
            </w:tcBorders>
            <w:vAlign w:val="center"/>
          </w:tcPr>
          <w:p w14:paraId="1512C0E3">
            <w:r>
              <w:rPr>
                <w:rFonts w:hint="eastAsia"/>
                <w:lang w:val="en-US" w:eastAsia="zh-CN"/>
              </w:rPr>
              <w:t>10</w:t>
            </w:r>
            <w:r>
              <w:rPr>
                <w:rFonts w:hint="eastAsia"/>
              </w:rPr>
              <w:t>-</w:t>
            </w:r>
            <w:r>
              <w:t>0</w:t>
            </w:r>
          </w:p>
        </w:tc>
      </w:tr>
      <w:tr w14:paraId="0565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continue"/>
            <w:tcBorders>
              <w:right w:val="single" w:color="auto" w:sz="4" w:space="0"/>
            </w:tcBorders>
            <w:vAlign w:val="center"/>
          </w:tcPr>
          <w:p w14:paraId="0F52B6CE"/>
        </w:tc>
        <w:tc>
          <w:tcPr>
            <w:tcW w:w="1273" w:type="dxa"/>
            <w:vMerge w:val="continue"/>
            <w:tcBorders>
              <w:right w:val="single" w:color="auto" w:sz="4" w:space="0"/>
            </w:tcBorders>
            <w:vAlign w:val="center"/>
          </w:tcPr>
          <w:p w14:paraId="7929F389"/>
        </w:tc>
        <w:tc>
          <w:tcPr>
            <w:tcW w:w="1987" w:type="dxa"/>
            <w:tcBorders>
              <w:top w:val="single" w:color="auto" w:sz="4" w:space="0"/>
              <w:left w:val="single" w:color="auto" w:sz="4" w:space="0"/>
              <w:bottom w:val="single" w:color="auto" w:sz="4" w:space="0"/>
              <w:right w:val="single" w:color="auto" w:sz="4" w:space="0"/>
            </w:tcBorders>
            <w:vAlign w:val="center"/>
          </w:tcPr>
          <w:p w14:paraId="5DAD99BD">
            <w:r>
              <w:t>质量管理体系与措施</w:t>
            </w:r>
          </w:p>
        </w:tc>
        <w:tc>
          <w:tcPr>
            <w:tcW w:w="4283" w:type="dxa"/>
            <w:tcBorders>
              <w:top w:val="single" w:color="auto" w:sz="4" w:space="0"/>
              <w:left w:val="single" w:color="auto" w:sz="4" w:space="0"/>
              <w:bottom w:val="single" w:color="auto" w:sz="4" w:space="0"/>
              <w:right w:val="single" w:color="auto" w:sz="4" w:space="0"/>
            </w:tcBorders>
            <w:vAlign w:val="center"/>
          </w:tcPr>
          <w:p w14:paraId="7867F09B">
            <w:bookmarkStart w:id="412" w:name="OLE_LINK3"/>
            <w:r>
              <w:t>质量管理体系与措施</w:t>
            </w:r>
            <w:r>
              <w:rPr>
                <w:rFonts w:hint="eastAsia"/>
                <w:lang w:val="en-US" w:eastAsia="zh-CN"/>
              </w:rPr>
              <w:t>进行比较，内容完整、合理、可行；优得5分，良得3分，一般得1分，无不得分。</w:t>
            </w:r>
            <w:bookmarkEnd w:id="412"/>
          </w:p>
        </w:tc>
        <w:tc>
          <w:tcPr>
            <w:tcW w:w="1328" w:type="dxa"/>
            <w:tcBorders>
              <w:top w:val="single" w:color="auto" w:sz="4" w:space="0"/>
              <w:left w:val="single" w:color="auto" w:sz="4" w:space="0"/>
              <w:bottom w:val="single" w:color="auto" w:sz="4" w:space="0"/>
              <w:right w:val="single" w:color="auto" w:sz="4" w:space="0"/>
            </w:tcBorders>
            <w:vAlign w:val="center"/>
          </w:tcPr>
          <w:p w14:paraId="39203D24">
            <w:r>
              <w:rPr>
                <w:rFonts w:hint="eastAsia"/>
                <w:lang w:val="en-US" w:eastAsia="zh-CN"/>
              </w:rPr>
              <w:t>5</w:t>
            </w:r>
            <w:r>
              <w:t>-0</w:t>
            </w:r>
          </w:p>
        </w:tc>
      </w:tr>
      <w:tr w14:paraId="412DB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81" w:hRule="atLeast"/>
          <w:jc w:val="center"/>
        </w:trPr>
        <w:tc>
          <w:tcPr>
            <w:tcW w:w="849" w:type="dxa"/>
            <w:vMerge w:val="continue"/>
            <w:tcBorders>
              <w:right w:val="single" w:color="auto" w:sz="4" w:space="0"/>
            </w:tcBorders>
            <w:vAlign w:val="center"/>
          </w:tcPr>
          <w:p w14:paraId="360B742F"/>
        </w:tc>
        <w:tc>
          <w:tcPr>
            <w:tcW w:w="1273" w:type="dxa"/>
            <w:vMerge w:val="continue"/>
            <w:tcBorders>
              <w:right w:val="single" w:color="auto" w:sz="4" w:space="0"/>
            </w:tcBorders>
            <w:vAlign w:val="center"/>
          </w:tcPr>
          <w:p w14:paraId="70B1037E"/>
        </w:tc>
        <w:tc>
          <w:tcPr>
            <w:tcW w:w="1987" w:type="dxa"/>
            <w:tcBorders>
              <w:top w:val="single" w:color="auto" w:sz="4" w:space="0"/>
              <w:left w:val="single" w:color="auto" w:sz="4" w:space="0"/>
              <w:bottom w:val="single" w:color="auto" w:sz="4" w:space="0"/>
              <w:right w:val="single" w:color="auto" w:sz="4" w:space="0"/>
            </w:tcBorders>
            <w:vAlign w:val="center"/>
          </w:tcPr>
          <w:p w14:paraId="2ADDEE5C">
            <w:r>
              <w:t>安全管理体系与措施</w:t>
            </w:r>
          </w:p>
        </w:tc>
        <w:tc>
          <w:tcPr>
            <w:tcW w:w="4283" w:type="dxa"/>
            <w:tcBorders>
              <w:top w:val="single" w:color="auto" w:sz="4" w:space="0"/>
              <w:left w:val="single" w:color="auto" w:sz="4" w:space="0"/>
              <w:bottom w:val="single" w:color="auto" w:sz="4" w:space="0"/>
              <w:right w:val="single" w:color="auto" w:sz="4" w:space="0"/>
            </w:tcBorders>
            <w:vAlign w:val="center"/>
          </w:tcPr>
          <w:p w14:paraId="7C00BC17">
            <w:r>
              <w:t>安全管理体系与措施</w:t>
            </w:r>
            <w:r>
              <w:rPr>
                <w:rFonts w:hint="eastAsia"/>
                <w:lang w:val="en-US" w:eastAsia="zh-CN"/>
              </w:rPr>
              <w:t>进行比较，内容完整、合理、可行；优得5分，良得3分，一般得1分，无不得分。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4C1E9AA5">
            <w:r>
              <w:rPr>
                <w:rFonts w:hint="eastAsia"/>
                <w:lang w:val="en-US" w:eastAsia="zh-CN"/>
              </w:rPr>
              <w:t>5</w:t>
            </w:r>
            <w:r>
              <w:t>-0</w:t>
            </w:r>
          </w:p>
        </w:tc>
      </w:tr>
      <w:tr w14:paraId="533FD8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5" w:hRule="atLeast"/>
          <w:jc w:val="center"/>
        </w:trPr>
        <w:tc>
          <w:tcPr>
            <w:tcW w:w="849" w:type="dxa"/>
            <w:vMerge w:val="continue"/>
            <w:tcBorders>
              <w:right w:val="single" w:color="auto" w:sz="4" w:space="0"/>
            </w:tcBorders>
            <w:vAlign w:val="center"/>
          </w:tcPr>
          <w:p w14:paraId="48D45FCD"/>
        </w:tc>
        <w:tc>
          <w:tcPr>
            <w:tcW w:w="1273" w:type="dxa"/>
            <w:vMerge w:val="continue"/>
            <w:tcBorders>
              <w:right w:val="single" w:color="auto" w:sz="4" w:space="0"/>
            </w:tcBorders>
            <w:vAlign w:val="center"/>
          </w:tcPr>
          <w:p w14:paraId="3BBB4B9C"/>
        </w:tc>
        <w:tc>
          <w:tcPr>
            <w:tcW w:w="1987" w:type="dxa"/>
            <w:tcBorders>
              <w:top w:val="single" w:color="auto" w:sz="4" w:space="0"/>
              <w:left w:val="single" w:color="auto" w:sz="4" w:space="0"/>
              <w:bottom w:val="single" w:color="auto" w:sz="4" w:space="0"/>
              <w:right w:val="single" w:color="auto" w:sz="4" w:space="0"/>
            </w:tcBorders>
            <w:vAlign w:val="center"/>
          </w:tcPr>
          <w:p w14:paraId="02348C86">
            <w:r>
              <w:rPr>
                <w:rFonts w:hint="eastAsia"/>
              </w:rPr>
              <w:t>环境保护管理体系与措施</w:t>
            </w:r>
          </w:p>
        </w:tc>
        <w:tc>
          <w:tcPr>
            <w:tcW w:w="4283" w:type="dxa"/>
            <w:tcBorders>
              <w:top w:val="single" w:color="auto" w:sz="4" w:space="0"/>
              <w:left w:val="single" w:color="auto" w:sz="4" w:space="0"/>
              <w:bottom w:val="single" w:color="auto" w:sz="4" w:space="0"/>
              <w:right w:val="single" w:color="auto" w:sz="4" w:space="0"/>
            </w:tcBorders>
            <w:vAlign w:val="center"/>
          </w:tcPr>
          <w:p w14:paraId="3066F242">
            <w:r>
              <w:rPr>
                <w:rFonts w:hint="eastAsia"/>
              </w:rPr>
              <w:t>环境保护管理体系与措施</w:t>
            </w:r>
            <w:r>
              <w:rPr>
                <w:rFonts w:hint="eastAsia"/>
                <w:lang w:val="en-US" w:eastAsia="zh-CN"/>
              </w:rPr>
              <w:t>进行比较，内容完整、合理、可行；优得5分，良得3分，一般得1分，无不得分。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4C53148A">
            <w:r>
              <w:rPr>
                <w:rFonts w:hint="eastAsia"/>
                <w:lang w:val="en-US" w:eastAsia="zh-CN"/>
              </w:rPr>
              <w:t>5</w:t>
            </w:r>
            <w:r>
              <w:t>-0</w:t>
            </w:r>
          </w:p>
        </w:tc>
      </w:tr>
      <w:tr w14:paraId="6D442B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vMerge w:val="continue"/>
            <w:tcBorders>
              <w:right w:val="single" w:color="auto" w:sz="4" w:space="0"/>
            </w:tcBorders>
            <w:vAlign w:val="center"/>
          </w:tcPr>
          <w:p w14:paraId="1A1BB41F"/>
        </w:tc>
        <w:tc>
          <w:tcPr>
            <w:tcW w:w="1273" w:type="dxa"/>
            <w:vMerge w:val="continue"/>
            <w:tcBorders>
              <w:right w:val="single" w:color="auto" w:sz="4" w:space="0"/>
            </w:tcBorders>
            <w:vAlign w:val="center"/>
          </w:tcPr>
          <w:p w14:paraId="4B41195E"/>
        </w:tc>
        <w:tc>
          <w:tcPr>
            <w:tcW w:w="1987" w:type="dxa"/>
            <w:tcBorders>
              <w:top w:val="single" w:color="auto" w:sz="4" w:space="0"/>
              <w:left w:val="single" w:color="auto" w:sz="4" w:space="0"/>
              <w:bottom w:val="single" w:color="auto" w:sz="4" w:space="0"/>
              <w:right w:val="single" w:color="auto" w:sz="4" w:space="0"/>
            </w:tcBorders>
            <w:vAlign w:val="center"/>
          </w:tcPr>
          <w:p w14:paraId="2998F2EF">
            <w:r>
              <w:rPr>
                <w:rFonts w:hint="eastAsia"/>
                <w:sz w:val="24"/>
                <w:szCs w:val="24"/>
                <w:lang w:val="en-US" w:eastAsia="zh-CN"/>
              </w:rPr>
              <w:t>工程进度计划与</w:t>
            </w:r>
            <w:r>
              <w:rPr>
                <w:rFonts w:hint="eastAsia" w:hAnsi="宋体"/>
                <w:sz w:val="24"/>
                <w:szCs w:val="24"/>
              </w:rPr>
              <w:t>措施</w:t>
            </w:r>
          </w:p>
        </w:tc>
        <w:tc>
          <w:tcPr>
            <w:tcW w:w="4283" w:type="dxa"/>
            <w:tcBorders>
              <w:top w:val="single" w:color="auto" w:sz="4" w:space="0"/>
              <w:left w:val="single" w:color="auto" w:sz="4" w:space="0"/>
              <w:bottom w:val="single" w:color="auto" w:sz="4" w:space="0"/>
              <w:right w:val="single" w:color="auto" w:sz="4" w:space="0"/>
            </w:tcBorders>
            <w:vAlign w:val="center"/>
          </w:tcPr>
          <w:p w14:paraId="76F4A3B2">
            <w:r>
              <w:rPr>
                <w:rFonts w:hint="eastAsia"/>
                <w:sz w:val="24"/>
                <w:szCs w:val="24"/>
                <w:lang w:val="en-US" w:eastAsia="zh-CN"/>
              </w:rPr>
              <w:t>工程进度计划与</w:t>
            </w:r>
            <w:r>
              <w:rPr>
                <w:rFonts w:hint="eastAsia" w:hAnsi="宋体"/>
                <w:sz w:val="24"/>
                <w:szCs w:val="24"/>
              </w:rPr>
              <w:t>措施</w:t>
            </w:r>
            <w:r>
              <w:rPr>
                <w:rFonts w:hint="eastAsia"/>
                <w:sz w:val="24"/>
                <w:szCs w:val="24"/>
                <w:lang w:val="en-US" w:eastAsia="zh-CN"/>
              </w:rPr>
              <w:t>进行比较，</w:t>
            </w:r>
            <w:r>
              <w:rPr>
                <w:rFonts w:hint="eastAsia"/>
                <w:lang w:val="en-US" w:eastAsia="zh-CN"/>
              </w:rPr>
              <w:t>内容完整、合理、可行；优得8分，良得4分，一般得2分，无不得分。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76034848">
            <w:r>
              <w:rPr>
                <w:rFonts w:hint="eastAsia"/>
                <w:lang w:val="en-US" w:eastAsia="zh-CN"/>
              </w:rPr>
              <w:t>8</w:t>
            </w:r>
            <w:r>
              <w:t>-0</w:t>
            </w:r>
          </w:p>
        </w:tc>
      </w:tr>
      <w:tr w14:paraId="1E4328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jc w:val="center"/>
        </w:trPr>
        <w:tc>
          <w:tcPr>
            <w:tcW w:w="849" w:type="dxa"/>
            <w:vMerge w:val="continue"/>
            <w:tcBorders>
              <w:right w:val="single" w:color="auto" w:sz="4" w:space="0"/>
            </w:tcBorders>
            <w:vAlign w:val="center"/>
          </w:tcPr>
          <w:p w14:paraId="3D7F04E1"/>
        </w:tc>
        <w:tc>
          <w:tcPr>
            <w:tcW w:w="1273" w:type="dxa"/>
            <w:vMerge w:val="continue"/>
            <w:tcBorders>
              <w:right w:val="single" w:color="auto" w:sz="4" w:space="0"/>
            </w:tcBorders>
            <w:vAlign w:val="center"/>
          </w:tcPr>
          <w:p w14:paraId="378A114E"/>
        </w:tc>
        <w:tc>
          <w:tcPr>
            <w:tcW w:w="1987" w:type="dxa"/>
            <w:tcBorders>
              <w:top w:val="single" w:color="auto" w:sz="4" w:space="0"/>
              <w:left w:val="single" w:color="auto" w:sz="4" w:space="0"/>
              <w:bottom w:val="single" w:color="auto" w:sz="4" w:space="0"/>
              <w:right w:val="single" w:color="auto" w:sz="4" w:space="0"/>
            </w:tcBorders>
            <w:vAlign w:val="center"/>
          </w:tcPr>
          <w:p w14:paraId="3C0E3122">
            <w:pPr>
              <w:rPr>
                <w:rFonts w:hint="default" w:eastAsia="宋体"/>
                <w:lang w:val="en-US" w:eastAsia="zh-CN"/>
              </w:rPr>
            </w:pPr>
            <w:r>
              <w:rPr>
                <w:rFonts w:hint="eastAsia"/>
                <w:lang w:val="en-US" w:eastAsia="zh-CN"/>
              </w:rPr>
              <w:t>紧急情况的处理措施、预案以及抵抗风险的措施</w:t>
            </w:r>
          </w:p>
        </w:tc>
        <w:tc>
          <w:tcPr>
            <w:tcW w:w="4283" w:type="dxa"/>
            <w:tcBorders>
              <w:top w:val="single" w:color="auto" w:sz="4" w:space="0"/>
              <w:left w:val="single" w:color="auto" w:sz="4" w:space="0"/>
              <w:bottom w:val="single" w:color="auto" w:sz="4" w:space="0"/>
              <w:right w:val="single" w:color="auto" w:sz="4" w:space="0"/>
            </w:tcBorders>
            <w:vAlign w:val="center"/>
          </w:tcPr>
          <w:p w14:paraId="504E5E03">
            <w:pPr>
              <w:rPr>
                <w:rFonts w:hint="eastAsia"/>
                <w:lang w:val="en-US" w:eastAsia="zh-CN"/>
              </w:rPr>
            </w:pPr>
            <w:bookmarkStart w:id="413" w:name="OLE_LINK4"/>
            <w:r>
              <w:rPr>
                <w:rFonts w:hint="eastAsia"/>
                <w:lang w:val="en-US" w:eastAsia="zh-CN"/>
              </w:rPr>
              <w:t>紧急情况的处理措施、预案以及抵抗风险的措施进行比较，内容完整、合理、可行；优得5分，良得3分，一般得1分，无不得分。</w:t>
            </w:r>
            <w:bookmarkEnd w:id="413"/>
          </w:p>
        </w:tc>
        <w:tc>
          <w:tcPr>
            <w:tcW w:w="1328" w:type="dxa"/>
            <w:tcBorders>
              <w:top w:val="single" w:color="auto" w:sz="4" w:space="0"/>
              <w:left w:val="single" w:color="auto" w:sz="4" w:space="0"/>
              <w:bottom w:val="single" w:color="auto" w:sz="4" w:space="0"/>
              <w:right w:val="single" w:color="auto" w:sz="4" w:space="0"/>
            </w:tcBorders>
            <w:vAlign w:val="center"/>
          </w:tcPr>
          <w:p w14:paraId="553C31FA">
            <w:pPr>
              <w:rPr>
                <w:rFonts w:hint="default"/>
                <w:lang w:val="en-US" w:eastAsia="zh-CN"/>
              </w:rPr>
            </w:pPr>
            <w:r>
              <w:rPr>
                <w:rFonts w:hint="eastAsia"/>
                <w:lang w:val="en-US" w:eastAsia="zh-CN"/>
              </w:rPr>
              <w:t>5-0</w:t>
            </w:r>
          </w:p>
        </w:tc>
      </w:tr>
      <w:tr w14:paraId="5BC6B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jc w:val="center"/>
        </w:trPr>
        <w:tc>
          <w:tcPr>
            <w:tcW w:w="849" w:type="dxa"/>
            <w:vMerge w:val="continue"/>
            <w:tcBorders>
              <w:right w:val="single" w:color="auto" w:sz="4" w:space="0"/>
            </w:tcBorders>
            <w:vAlign w:val="center"/>
          </w:tcPr>
          <w:p w14:paraId="0DBFFD97"/>
        </w:tc>
        <w:tc>
          <w:tcPr>
            <w:tcW w:w="1273" w:type="dxa"/>
            <w:vMerge w:val="continue"/>
            <w:tcBorders>
              <w:right w:val="single" w:color="auto" w:sz="4" w:space="0"/>
            </w:tcBorders>
            <w:vAlign w:val="center"/>
          </w:tcPr>
          <w:p w14:paraId="25191B5A"/>
        </w:tc>
        <w:tc>
          <w:tcPr>
            <w:tcW w:w="1987" w:type="dxa"/>
            <w:tcBorders>
              <w:top w:val="single" w:color="auto" w:sz="4" w:space="0"/>
              <w:left w:val="single" w:color="auto" w:sz="4" w:space="0"/>
              <w:bottom w:val="single" w:color="auto" w:sz="4" w:space="0"/>
              <w:right w:val="single" w:color="auto" w:sz="4" w:space="0"/>
            </w:tcBorders>
            <w:vAlign w:val="center"/>
          </w:tcPr>
          <w:p w14:paraId="188CB715">
            <w:r>
              <w:rPr>
                <w:rFonts w:hint="eastAsia"/>
              </w:rPr>
              <w:t>主要施工机械设备情况</w:t>
            </w:r>
          </w:p>
        </w:tc>
        <w:tc>
          <w:tcPr>
            <w:tcW w:w="4283" w:type="dxa"/>
            <w:tcBorders>
              <w:top w:val="single" w:color="auto" w:sz="4" w:space="0"/>
              <w:left w:val="single" w:color="auto" w:sz="4" w:space="0"/>
              <w:bottom w:val="single" w:color="auto" w:sz="4" w:space="0"/>
              <w:right w:val="single" w:color="auto" w:sz="4" w:space="0"/>
            </w:tcBorders>
            <w:vAlign w:val="center"/>
          </w:tcPr>
          <w:p w14:paraId="3039DE7F">
            <w:r>
              <w:rPr>
                <w:rFonts w:hint="eastAsia"/>
              </w:rPr>
              <w:t>主要施工机械设备情况</w:t>
            </w:r>
            <w:r>
              <w:rPr>
                <w:rFonts w:hint="eastAsia"/>
                <w:lang w:val="en-US" w:eastAsia="zh-CN"/>
              </w:rPr>
              <w:t>进行比较；优得3分，良得2分，一般得1分，无不得分。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070645B4">
            <w:r>
              <w:rPr>
                <w:rFonts w:hint="eastAsia"/>
                <w:lang w:val="en-US" w:eastAsia="zh-CN"/>
              </w:rPr>
              <w:t>3</w:t>
            </w:r>
            <w:r>
              <w:t>-0</w:t>
            </w:r>
          </w:p>
        </w:tc>
      </w:tr>
      <w:tr w14:paraId="3112CE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077" w:hRule="atLeast"/>
          <w:jc w:val="center"/>
        </w:trPr>
        <w:tc>
          <w:tcPr>
            <w:tcW w:w="849" w:type="dxa"/>
            <w:vMerge w:val="continue"/>
            <w:tcBorders>
              <w:right w:val="single" w:color="auto" w:sz="4" w:space="0"/>
            </w:tcBorders>
            <w:vAlign w:val="center"/>
          </w:tcPr>
          <w:p w14:paraId="36009F00"/>
        </w:tc>
        <w:tc>
          <w:tcPr>
            <w:tcW w:w="1273" w:type="dxa"/>
            <w:vMerge w:val="continue"/>
            <w:tcBorders>
              <w:right w:val="single" w:color="auto" w:sz="4" w:space="0"/>
            </w:tcBorders>
            <w:vAlign w:val="center"/>
          </w:tcPr>
          <w:p w14:paraId="399CED2B"/>
        </w:tc>
        <w:tc>
          <w:tcPr>
            <w:tcW w:w="1987" w:type="dxa"/>
            <w:tcBorders>
              <w:top w:val="single" w:color="auto" w:sz="4" w:space="0"/>
              <w:left w:val="single" w:color="auto" w:sz="4" w:space="0"/>
              <w:bottom w:val="single" w:color="auto" w:sz="4" w:space="0"/>
              <w:right w:val="single" w:color="auto" w:sz="4" w:space="0"/>
            </w:tcBorders>
            <w:vAlign w:val="center"/>
          </w:tcPr>
          <w:p w14:paraId="25F10E83">
            <w:r>
              <w:rPr>
                <w:rFonts w:hint="eastAsia"/>
              </w:rPr>
              <w:t>劳动力安排计划</w:t>
            </w:r>
          </w:p>
        </w:tc>
        <w:tc>
          <w:tcPr>
            <w:tcW w:w="4283" w:type="dxa"/>
            <w:tcBorders>
              <w:top w:val="single" w:color="auto" w:sz="4" w:space="0"/>
              <w:left w:val="single" w:color="auto" w:sz="4" w:space="0"/>
              <w:bottom w:val="single" w:color="auto" w:sz="4" w:space="0"/>
              <w:right w:val="single" w:color="auto" w:sz="4" w:space="0"/>
            </w:tcBorders>
            <w:vAlign w:val="center"/>
          </w:tcPr>
          <w:p w14:paraId="50097C62">
            <w:r>
              <w:rPr>
                <w:rFonts w:hint="eastAsia"/>
              </w:rPr>
              <w:t>劳动力安排计划</w:t>
            </w:r>
            <w:r>
              <w:rPr>
                <w:rFonts w:hint="eastAsia"/>
                <w:lang w:val="en-US" w:eastAsia="zh-CN"/>
              </w:rPr>
              <w:t>进行比较</w:t>
            </w:r>
            <w:r>
              <w:rPr>
                <w:rFonts w:hint="eastAsia"/>
              </w:rPr>
              <w:t>；</w:t>
            </w:r>
            <w:r>
              <w:rPr>
                <w:rFonts w:hint="eastAsia"/>
                <w:lang w:val="en-US" w:eastAsia="zh-CN"/>
              </w:rPr>
              <w:t>优得3分，良得2分，一般得1分，无不得分。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4CDAD15D">
            <w:r>
              <w:rPr>
                <w:rFonts w:hint="eastAsia"/>
                <w:lang w:val="en-US" w:eastAsia="zh-CN"/>
              </w:rPr>
              <w:t>3</w:t>
            </w:r>
            <w:r>
              <w:rPr>
                <w:rFonts w:hint="eastAsia"/>
              </w:rPr>
              <w:t>-</w:t>
            </w:r>
            <w:r>
              <w:t>0</w:t>
            </w:r>
          </w:p>
        </w:tc>
      </w:tr>
      <w:tr w14:paraId="4EC6AF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65" w:hRule="atLeast"/>
          <w:jc w:val="center"/>
        </w:trPr>
        <w:tc>
          <w:tcPr>
            <w:tcW w:w="849" w:type="dxa"/>
            <w:vMerge w:val="continue"/>
            <w:tcBorders>
              <w:right w:val="single" w:color="auto" w:sz="4" w:space="0"/>
            </w:tcBorders>
            <w:vAlign w:val="center"/>
          </w:tcPr>
          <w:p w14:paraId="4CDD6357"/>
        </w:tc>
        <w:tc>
          <w:tcPr>
            <w:tcW w:w="1273" w:type="dxa"/>
            <w:vMerge w:val="continue"/>
            <w:tcBorders>
              <w:right w:val="single" w:color="auto" w:sz="4" w:space="0"/>
            </w:tcBorders>
            <w:vAlign w:val="center"/>
          </w:tcPr>
          <w:p w14:paraId="5574EE1C"/>
        </w:tc>
        <w:tc>
          <w:tcPr>
            <w:tcW w:w="1987" w:type="dxa"/>
            <w:tcBorders>
              <w:top w:val="single" w:color="auto" w:sz="4" w:space="0"/>
              <w:left w:val="single" w:color="auto" w:sz="4" w:space="0"/>
              <w:bottom w:val="single" w:color="auto" w:sz="4" w:space="0"/>
              <w:right w:val="single" w:color="auto" w:sz="4" w:space="0"/>
            </w:tcBorders>
            <w:vAlign w:val="center"/>
          </w:tcPr>
          <w:p w14:paraId="4AD552D8">
            <w:r>
              <w:rPr>
                <w:rFonts w:hint="eastAsia"/>
              </w:rPr>
              <w:t>原材料进场计划</w:t>
            </w:r>
          </w:p>
        </w:tc>
        <w:tc>
          <w:tcPr>
            <w:tcW w:w="4283" w:type="dxa"/>
            <w:tcBorders>
              <w:top w:val="single" w:color="auto" w:sz="4" w:space="0"/>
              <w:left w:val="single" w:color="auto" w:sz="4" w:space="0"/>
              <w:bottom w:val="single" w:color="auto" w:sz="4" w:space="0"/>
              <w:right w:val="single" w:color="auto" w:sz="4" w:space="0"/>
            </w:tcBorders>
            <w:vAlign w:val="center"/>
          </w:tcPr>
          <w:p w14:paraId="0A953DBD">
            <w:r>
              <w:rPr>
                <w:rFonts w:hint="eastAsia"/>
              </w:rPr>
              <w:t>原材料进场计划</w:t>
            </w:r>
            <w:r>
              <w:rPr>
                <w:rFonts w:hint="eastAsia"/>
                <w:lang w:val="en-US" w:eastAsia="zh-CN"/>
              </w:rPr>
              <w:t>进行比较；优得3分，良得2分，一般得1分，无不得分。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79490C63">
            <w:r>
              <w:rPr>
                <w:rFonts w:hint="eastAsia"/>
                <w:lang w:val="en-US" w:eastAsia="zh-CN"/>
              </w:rPr>
              <w:t>3</w:t>
            </w:r>
            <w:r>
              <w:rPr>
                <w:rFonts w:hint="eastAsia"/>
              </w:rPr>
              <w:t>-</w:t>
            </w:r>
            <w:r>
              <w:t>0</w:t>
            </w:r>
          </w:p>
        </w:tc>
      </w:tr>
      <w:tr w14:paraId="0A24CD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8" w:hRule="atLeast"/>
          <w:jc w:val="center"/>
        </w:trPr>
        <w:tc>
          <w:tcPr>
            <w:tcW w:w="849" w:type="dxa"/>
            <w:vMerge w:val="restart"/>
            <w:tcBorders>
              <w:top w:val="single" w:color="auto" w:sz="4" w:space="0"/>
              <w:right w:val="single" w:color="auto" w:sz="4" w:space="0"/>
            </w:tcBorders>
            <w:vAlign w:val="center"/>
          </w:tcPr>
          <w:p w14:paraId="45293359">
            <w:r>
              <w:rPr>
                <w:rFonts w:hint="eastAsia"/>
                <w:lang w:val="en-US" w:eastAsia="zh-CN"/>
              </w:rPr>
              <w:t>商务部分</w:t>
            </w:r>
          </w:p>
        </w:tc>
        <w:tc>
          <w:tcPr>
            <w:tcW w:w="1273" w:type="dxa"/>
            <w:vMerge w:val="restart"/>
            <w:tcBorders>
              <w:top w:val="single" w:color="auto" w:sz="4" w:space="0"/>
              <w:right w:val="single" w:color="auto" w:sz="4" w:space="0"/>
            </w:tcBorders>
            <w:vAlign w:val="center"/>
          </w:tcPr>
          <w:p w14:paraId="264D2343">
            <w:r>
              <w:rPr>
                <w:rFonts w:hint="eastAsia"/>
                <w:lang w:val="en-US" w:eastAsia="zh-CN"/>
              </w:rPr>
              <w:t>商务部分</w:t>
            </w:r>
            <w:r>
              <w:t>评分标准</w:t>
            </w:r>
            <w:r>
              <w:rPr>
                <w:rFonts w:hint="eastAsia"/>
              </w:rPr>
              <w:t>（</w:t>
            </w:r>
            <w:r>
              <w:rPr>
                <w:rFonts w:hint="eastAsia"/>
                <w:lang w:val="en-US" w:eastAsia="zh-CN"/>
              </w:rPr>
              <w:t>20</w:t>
            </w:r>
            <w:r>
              <w:rPr>
                <w:rFonts w:hint="eastAsia"/>
              </w:rPr>
              <w:t>分）</w:t>
            </w:r>
          </w:p>
        </w:tc>
        <w:tc>
          <w:tcPr>
            <w:tcW w:w="1987" w:type="dxa"/>
            <w:tcBorders>
              <w:top w:val="single" w:color="auto" w:sz="4" w:space="0"/>
              <w:left w:val="single" w:color="auto" w:sz="4" w:space="0"/>
              <w:bottom w:val="single" w:color="auto" w:sz="4" w:space="0"/>
              <w:right w:val="single" w:color="auto" w:sz="4" w:space="0"/>
            </w:tcBorders>
            <w:vAlign w:val="center"/>
          </w:tcPr>
          <w:p w14:paraId="5F3A68D1">
            <w:pPr>
              <w:rPr>
                <w:rFonts w:ascii="宋体" w:hAnsi="宋体" w:eastAsia="宋体" w:cs="Times New Roman"/>
                <w:kern w:val="2"/>
                <w:sz w:val="24"/>
                <w:szCs w:val="24"/>
                <w:lang w:val="en-US" w:eastAsia="zh-CN" w:bidi="ar-SA"/>
              </w:rPr>
            </w:pPr>
            <w:r>
              <w:rPr>
                <w:rFonts w:hint="eastAsia"/>
              </w:rPr>
              <w:t>类似项目</w:t>
            </w:r>
            <w:r>
              <w:t>业绩</w:t>
            </w:r>
          </w:p>
        </w:tc>
        <w:tc>
          <w:tcPr>
            <w:tcW w:w="4283" w:type="dxa"/>
            <w:tcBorders>
              <w:top w:val="single" w:color="auto" w:sz="4" w:space="0"/>
              <w:left w:val="single" w:color="auto" w:sz="4" w:space="0"/>
              <w:bottom w:val="single" w:color="auto" w:sz="4" w:space="0"/>
              <w:right w:val="single" w:color="auto" w:sz="4" w:space="0"/>
            </w:tcBorders>
            <w:vAlign w:val="center"/>
          </w:tcPr>
          <w:p w14:paraId="0F881096">
            <w:pPr>
              <w:rPr>
                <w:rFonts w:ascii="宋体" w:hAnsi="宋体" w:eastAsia="宋体" w:cs="Times New Roman"/>
                <w:kern w:val="2"/>
                <w:sz w:val="24"/>
                <w:szCs w:val="24"/>
                <w:lang w:val="en-US" w:eastAsia="zh-CN" w:bidi="ar-SA"/>
              </w:rPr>
            </w:pPr>
            <w:r>
              <w:rPr>
                <w:rFonts w:hint="eastAsia"/>
              </w:rPr>
              <w:t>投标人</w:t>
            </w:r>
            <w:r>
              <w:t>近三年（</w:t>
            </w:r>
            <w:r>
              <w:rPr>
                <w:rFonts w:hint="eastAsia"/>
              </w:rPr>
              <w:t>202</w:t>
            </w:r>
            <w:r>
              <w:rPr>
                <w:rFonts w:hint="eastAsia"/>
                <w:lang w:val="en-US" w:eastAsia="zh-CN"/>
              </w:rPr>
              <w:t>1</w:t>
            </w:r>
            <w:r>
              <w:rPr>
                <w:rFonts w:hint="eastAsia"/>
              </w:rPr>
              <w:t>年1月1日</w:t>
            </w:r>
            <w:r>
              <w:t>至今）</w:t>
            </w:r>
            <w:r>
              <w:rPr>
                <w:rFonts w:hint="eastAsia"/>
              </w:rPr>
              <w:t>具有</w:t>
            </w:r>
            <w:r>
              <w:t>与本项目类似的业绩，</w:t>
            </w:r>
            <w:r>
              <w:rPr>
                <w:rFonts w:hint="eastAsia"/>
              </w:rPr>
              <w:t>每有一项得</w:t>
            </w:r>
            <w:r>
              <w:rPr>
                <w:rFonts w:hint="eastAsia"/>
                <w:lang w:val="en-US" w:eastAsia="zh-CN"/>
              </w:rPr>
              <w:t>1</w:t>
            </w:r>
            <w:r>
              <w:rPr>
                <w:rFonts w:hint="eastAsia"/>
              </w:rPr>
              <w:t>分，满分</w:t>
            </w:r>
            <w:r>
              <w:rPr>
                <w:rFonts w:hint="eastAsia"/>
                <w:lang w:val="en-US" w:eastAsia="zh-CN"/>
              </w:rPr>
              <w:t>2</w:t>
            </w:r>
            <w:r>
              <w:rPr>
                <w:rFonts w:hint="eastAsia"/>
              </w:rPr>
              <w:t>分。投标</w:t>
            </w:r>
            <w:r>
              <w:t>文件</w:t>
            </w:r>
            <w:r>
              <w:rPr>
                <w:rFonts w:hint="eastAsia"/>
              </w:rPr>
              <w:t>中</w:t>
            </w:r>
            <w:r>
              <w:t>附中标通知书或合同协议书</w:t>
            </w:r>
            <w:r>
              <w:rPr>
                <w:rFonts w:hint="eastAsia"/>
              </w:rPr>
              <w:t>或</w:t>
            </w:r>
            <w:r>
              <w:t>竣工验收报告复印件</w:t>
            </w:r>
            <w:r>
              <w:rPr>
                <w:rFonts w:hint="eastAsia"/>
              </w:rPr>
              <w:t>加盖</w:t>
            </w:r>
            <w:r>
              <w:t>公章。不</w:t>
            </w:r>
            <w:r>
              <w:rPr>
                <w:rFonts w:hint="eastAsia"/>
              </w:rPr>
              <w:t>提供</w:t>
            </w:r>
            <w:r>
              <w:t>不予认定。</w:t>
            </w:r>
          </w:p>
        </w:tc>
        <w:tc>
          <w:tcPr>
            <w:tcW w:w="1328" w:type="dxa"/>
            <w:tcBorders>
              <w:top w:val="single" w:color="auto" w:sz="4" w:space="0"/>
              <w:left w:val="single" w:color="auto" w:sz="4" w:space="0"/>
              <w:bottom w:val="single" w:color="auto" w:sz="4" w:space="0"/>
              <w:right w:val="single" w:color="auto" w:sz="4" w:space="0"/>
            </w:tcBorders>
            <w:vAlign w:val="center"/>
          </w:tcPr>
          <w:p w14:paraId="324CF5A0">
            <w:pPr>
              <w:rPr>
                <w:szCs w:val="18"/>
              </w:rPr>
            </w:pPr>
            <w:r>
              <w:rPr>
                <w:rFonts w:hint="eastAsia"/>
                <w:lang w:val="en-US" w:eastAsia="zh-CN"/>
              </w:rPr>
              <w:t>2</w:t>
            </w:r>
            <w:r>
              <w:rPr>
                <w:rFonts w:hint="eastAsia"/>
              </w:rPr>
              <w:t>-0</w:t>
            </w:r>
          </w:p>
        </w:tc>
      </w:tr>
      <w:tr w14:paraId="29142F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00" w:hRule="atLeast"/>
          <w:jc w:val="center"/>
        </w:trPr>
        <w:tc>
          <w:tcPr>
            <w:tcW w:w="849" w:type="dxa"/>
            <w:vMerge w:val="continue"/>
            <w:tcBorders>
              <w:right w:val="single" w:color="auto" w:sz="4" w:space="0"/>
            </w:tcBorders>
            <w:vAlign w:val="center"/>
          </w:tcPr>
          <w:p w14:paraId="72AC87ED"/>
        </w:tc>
        <w:tc>
          <w:tcPr>
            <w:tcW w:w="1273" w:type="dxa"/>
            <w:vMerge w:val="continue"/>
            <w:tcBorders>
              <w:right w:val="single" w:color="auto" w:sz="4" w:space="0"/>
            </w:tcBorders>
            <w:vAlign w:val="center"/>
          </w:tcPr>
          <w:p w14:paraId="57EE7EAF"/>
        </w:tc>
        <w:tc>
          <w:tcPr>
            <w:tcW w:w="1987" w:type="dxa"/>
            <w:tcBorders>
              <w:top w:val="single" w:color="auto" w:sz="4" w:space="0"/>
              <w:left w:val="single" w:color="auto" w:sz="4" w:space="0"/>
              <w:bottom w:val="single" w:color="auto" w:sz="4" w:space="0"/>
              <w:right w:val="single" w:color="auto" w:sz="4" w:space="0"/>
            </w:tcBorders>
            <w:vAlign w:val="center"/>
          </w:tcPr>
          <w:p w14:paraId="22306314">
            <w:pPr>
              <w:rPr>
                <w:rFonts w:hint="eastAsia" w:ascii="宋体" w:hAnsi="宋体" w:eastAsia="宋体" w:cs="Times New Roman"/>
                <w:kern w:val="2"/>
                <w:sz w:val="24"/>
                <w:szCs w:val="18"/>
                <w:lang w:val="en-US" w:eastAsia="zh-CN" w:bidi="ar-SA"/>
              </w:rPr>
            </w:pPr>
            <w:r>
              <w:rPr>
                <w:rFonts w:hint="eastAsia"/>
              </w:rPr>
              <w:t>项目经理业绩</w:t>
            </w:r>
          </w:p>
        </w:tc>
        <w:tc>
          <w:tcPr>
            <w:tcW w:w="4283" w:type="dxa"/>
            <w:tcBorders>
              <w:top w:val="single" w:color="auto" w:sz="4" w:space="0"/>
              <w:left w:val="single" w:color="auto" w:sz="4" w:space="0"/>
              <w:bottom w:val="single" w:color="auto" w:sz="4" w:space="0"/>
              <w:right w:val="single" w:color="auto" w:sz="4" w:space="0"/>
            </w:tcBorders>
            <w:vAlign w:val="center"/>
          </w:tcPr>
          <w:p w14:paraId="2F2F25DD">
            <w:pPr>
              <w:rPr>
                <w:rFonts w:hint="eastAsia" w:ascii="宋体" w:hAnsi="宋体" w:eastAsia="宋体" w:cs="Times New Roman"/>
                <w:kern w:val="2"/>
                <w:sz w:val="24"/>
                <w:szCs w:val="18"/>
                <w:lang w:val="en-US" w:eastAsia="zh-CN" w:bidi="ar-SA"/>
              </w:rPr>
            </w:pPr>
            <w:r>
              <w:rPr>
                <w:rFonts w:hint="eastAsia"/>
              </w:rPr>
              <w:t>项目</w:t>
            </w:r>
            <w:r>
              <w:t>经理近三年（</w:t>
            </w:r>
            <w:r>
              <w:rPr>
                <w:rFonts w:hint="eastAsia"/>
              </w:rPr>
              <w:t>202</w:t>
            </w:r>
            <w:r>
              <w:rPr>
                <w:rFonts w:hint="eastAsia"/>
                <w:lang w:val="en-US" w:eastAsia="zh-CN"/>
              </w:rPr>
              <w:t>1</w:t>
            </w:r>
            <w:r>
              <w:rPr>
                <w:rFonts w:hint="eastAsia"/>
              </w:rPr>
              <w:t>年1月1日</w:t>
            </w:r>
            <w:r>
              <w:t>至今）</w:t>
            </w:r>
            <w:r>
              <w:rPr>
                <w:rFonts w:hint="eastAsia"/>
              </w:rPr>
              <w:t>具有</w:t>
            </w:r>
            <w:r>
              <w:t>与本项目类似的业绩，</w:t>
            </w:r>
            <w:r>
              <w:rPr>
                <w:rFonts w:hint="eastAsia"/>
              </w:rPr>
              <w:t>每有一项得</w:t>
            </w:r>
            <w:r>
              <w:rPr>
                <w:rFonts w:hint="eastAsia"/>
                <w:lang w:val="en-US" w:eastAsia="zh-CN"/>
              </w:rPr>
              <w:t>0.5</w:t>
            </w:r>
            <w:r>
              <w:rPr>
                <w:rFonts w:hint="eastAsia"/>
              </w:rPr>
              <w:t>分，满分</w:t>
            </w:r>
            <w:r>
              <w:rPr>
                <w:rFonts w:hint="eastAsia"/>
                <w:lang w:val="en-US" w:eastAsia="zh-CN"/>
              </w:rPr>
              <w:t>1</w:t>
            </w:r>
            <w:r>
              <w:rPr>
                <w:rFonts w:hint="eastAsia"/>
              </w:rPr>
              <w:t>分。投标</w:t>
            </w:r>
            <w:r>
              <w:t>文件</w:t>
            </w:r>
            <w:r>
              <w:rPr>
                <w:rFonts w:hint="eastAsia"/>
              </w:rPr>
              <w:t>中</w:t>
            </w:r>
            <w:r>
              <w:t>附中标通知书或合同协议书</w:t>
            </w:r>
            <w:r>
              <w:rPr>
                <w:rFonts w:hint="eastAsia"/>
              </w:rPr>
              <w:t>或</w:t>
            </w:r>
            <w:r>
              <w:t>竣工验收报告复印件</w:t>
            </w:r>
            <w:r>
              <w:rPr>
                <w:rFonts w:hint="eastAsia"/>
              </w:rPr>
              <w:t>加盖</w:t>
            </w:r>
            <w:r>
              <w:t>公章。不</w:t>
            </w:r>
            <w:r>
              <w:rPr>
                <w:rFonts w:hint="eastAsia"/>
              </w:rPr>
              <w:t>提供</w:t>
            </w:r>
            <w:r>
              <w:t>不予认定。</w:t>
            </w:r>
          </w:p>
        </w:tc>
        <w:tc>
          <w:tcPr>
            <w:tcW w:w="1328" w:type="dxa"/>
            <w:tcBorders>
              <w:top w:val="single" w:color="auto" w:sz="4" w:space="0"/>
              <w:left w:val="single" w:color="auto" w:sz="4" w:space="0"/>
              <w:bottom w:val="single" w:color="auto" w:sz="4" w:space="0"/>
              <w:right w:val="single" w:color="auto" w:sz="4" w:space="0"/>
            </w:tcBorders>
            <w:vAlign w:val="center"/>
          </w:tcPr>
          <w:p w14:paraId="72D8823A">
            <w:pPr>
              <w:rPr>
                <w:rFonts w:hint="default"/>
                <w:lang w:val="en-US" w:eastAsia="zh-CN"/>
              </w:rPr>
            </w:pPr>
            <w:r>
              <w:rPr>
                <w:rFonts w:hint="eastAsia"/>
                <w:lang w:val="en-US" w:eastAsia="zh-CN"/>
              </w:rPr>
              <w:t>1-0</w:t>
            </w:r>
          </w:p>
        </w:tc>
      </w:tr>
      <w:tr w14:paraId="13A5D3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00" w:hRule="atLeast"/>
          <w:jc w:val="center"/>
        </w:trPr>
        <w:tc>
          <w:tcPr>
            <w:tcW w:w="849" w:type="dxa"/>
            <w:vMerge w:val="continue"/>
            <w:tcBorders>
              <w:right w:val="single" w:color="auto" w:sz="4" w:space="0"/>
            </w:tcBorders>
            <w:vAlign w:val="center"/>
          </w:tcPr>
          <w:p w14:paraId="706A3B97"/>
        </w:tc>
        <w:tc>
          <w:tcPr>
            <w:tcW w:w="1273" w:type="dxa"/>
            <w:vMerge w:val="continue"/>
            <w:tcBorders>
              <w:right w:val="single" w:color="auto" w:sz="4" w:space="0"/>
            </w:tcBorders>
            <w:vAlign w:val="center"/>
          </w:tcPr>
          <w:p w14:paraId="07AC72A3"/>
        </w:tc>
        <w:tc>
          <w:tcPr>
            <w:tcW w:w="1987" w:type="dxa"/>
            <w:tcBorders>
              <w:top w:val="single" w:color="auto" w:sz="4" w:space="0"/>
              <w:left w:val="single" w:color="auto" w:sz="4" w:space="0"/>
              <w:bottom w:val="single" w:color="auto" w:sz="4" w:space="0"/>
              <w:right w:val="single" w:color="auto" w:sz="4" w:space="0"/>
            </w:tcBorders>
            <w:vAlign w:val="center"/>
          </w:tcPr>
          <w:p w14:paraId="66E19DE6">
            <w:pPr>
              <w:rPr>
                <w:rFonts w:hint="eastAsia" w:ascii="宋体" w:hAnsi="宋体" w:eastAsia="宋体" w:cs="Times New Roman"/>
                <w:kern w:val="2"/>
                <w:sz w:val="24"/>
                <w:szCs w:val="24"/>
                <w:lang w:val="en-US" w:eastAsia="zh-CN" w:bidi="ar-SA"/>
              </w:rPr>
            </w:pPr>
            <w:r>
              <w:rPr>
                <w:rFonts w:hint="eastAsia"/>
              </w:rPr>
              <w:t>其他主要</w:t>
            </w:r>
            <w:r>
              <w:t>人员</w:t>
            </w:r>
          </w:p>
        </w:tc>
        <w:tc>
          <w:tcPr>
            <w:tcW w:w="4283" w:type="dxa"/>
            <w:tcBorders>
              <w:top w:val="single" w:color="auto" w:sz="4" w:space="0"/>
              <w:left w:val="single" w:color="auto" w:sz="4" w:space="0"/>
              <w:bottom w:val="single" w:color="auto" w:sz="4" w:space="0"/>
              <w:right w:val="single" w:color="auto" w:sz="4" w:space="0"/>
            </w:tcBorders>
            <w:vAlign w:val="center"/>
          </w:tcPr>
          <w:p w14:paraId="72C554BA">
            <w:pPr>
              <w:rPr>
                <w:rFonts w:hint="eastAsia" w:ascii="宋体" w:hAnsi="宋体" w:eastAsia="宋体" w:cs="Times New Roman"/>
                <w:b/>
                <w:kern w:val="2"/>
                <w:sz w:val="24"/>
                <w:szCs w:val="24"/>
                <w:lang w:val="en-US" w:eastAsia="zh-CN" w:bidi="ar-SA"/>
              </w:rPr>
            </w:pPr>
            <w:r>
              <w:rPr>
                <w:rFonts w:hint="eastAsia"/>
              </w:rPr>
              <w:t>其他主要</w:t>
            </w:r>
            <w:r>
              <w:t>人员</w:t>
            </w:r>
            <w:r>
              <w:rPr>
                <w:rFonts w:hint="eastAsia"/>
              </w:rPr>
              <w:t>配备齐全</w:t>
            </w:r>
            <w:r>
              <w:t>，人员有职称证书或岗位证书，满足施工要求，对人员配备情况进行比较，优得</w:t>
            </w:r>
            <w:r>
              <w:rPr>
                <w:rFonts w:hint="eastAsia"/>
                <w:lang w:val="en-US" w:eastAsia="zh-CN"/>
              </w:rPr>
              <w:t>7</w:t>
            </w:r>
            <w:r>
              <w:rPr>
                <w:rFonts w:hint="eastAsia"/>
              </w:rPr>
              <w:t>分</w:t>
            </w:r>
            <w:r>
              <w:t>，良得</w:t>
            </w:r>
            <w:r>
              <w:rPr>
                <w:rFonts w:hint="eastAsia"/>
                <w:lang w:val="en-US" w:eastAsia="zh-CN"/>
              </w:rPr>
              <w:t>4</w:t>
            </w:r>
            <w:r>
              <w:rPr>
                <w:rFonts w:hint="eastAsia"/>
              </w:rPr>
              <w:t>分</w:t>
            </w:r>
            <w:r>
              <w:t>，一般</w:t>
            </w:r>
            <w:r>
              <w:rPr>
                <w:rFonts w:hint="eastAsia"/>
              </w:rPr>
              <w:t>得1分</w:t>
            </w:r>
            <w:r>
              <w:t>，无不得分。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54A26D6E">
            <w:pPr>
              <w:rPr>
                <w:rFonts w:hint="default"/>
                <w:lang w:val="en-US" w:eastAsia="zh-CN"/>
              </w:rPr>
            </w:pPr>
            <w:r>
              <w:rPr>
                <w:rFonts w:hint="eastAsia"/>
                <w:lang w:val="en-US" w:eastAsia="zh-CN"/>
              </w:rPr>
              <w:t>7-0</w:t>
            </w:r>
          </w:p>
        </w:tc>
      </w:tr>
      <w:tr w14:paraId="1CB900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00" w:hRule="atLeast"/>
          <w:jc w:val="center"/>
        </w:trPr>
        <w:tc>
          <w:tcPr>
            <w:tcW w:w="849" w:type="dxa"/>
            <w:vMerge w:val="continue"/>
            <w:tcBorders>
              <w:right w:val="single" w:color="auto" w:sz="4" w:space="0"/>
            </w:tcBorders>
            <w:vAlign w:val="center"/>
          </w:tcPr>
          <w:p w14:paraId="53B62ABC"/>
        </w:tc>
        <w:tc>
          <w:tcPr>
            <w:tcW w:w="1273" w:type="dxa"/>
            <w:vMerge w:val="continue"/>
            <w:tcBorders>
              <w:right w:val="single" w:color="auto" w:sz="4" w:space="0"/>
            </w:tcBorders>
            <w:vAlign w:val="center"/>
          </w:tcPr>
          <w:p w14:paraId="39B7F60D"/>
        </w:tc>
        <w:tc>
          <w:tcPr>
            <w:tcW w:w="1987" w:type="dxa"/>
            <w:tcBorders>
              <w:top w:val="single" w:color="auto" w:sz="4" w:space="0"/>
              <w:left w:val="single" w:color="auto" w:sz="4" w:space="0"/>
              <w:bottom w:val="single" w:color="auto" w:sz="4" w:space="0"/>
              <w:right w:val="single" w:color="auto" w:sz="4" w:space="0"/>
            </w:tcBorders>
            <w:vAlign w:val="center"/>
          </w:tcPr>
          <w:p w14:paraId="15344A0B">
            <w:pPr>
              <w:rPr>
                <w:rFonts w:hint="eastAsia"/>
              </w:rPr>
            </w:pPr>
            <w:r>
              <w:rPr>
                <w:rFonts w:hint="eastAsia"/>
              </w:rPr>
              <w:t>优惠条件</w:t>
            </w:r>
          </w:p>
        </w:tc>
        <w:tc>
          <w:tcPr>
            <w:tcW w:w="4283" w:type="dxa"/>
            <w:tcBorders>
              <w:top w:val="single" w:color="auto" w:sz="4" w:space="0"/>
              <w:left w:val="single" w:color="auto" w:sz="4" w:space="0"/>
              <w:bottom w:val="single" w:color="auto" w:sz="4" w:space="0"/>
              <w:right w:val="single" w:color="auto" w:sz="4" w:space="0"/>
            </w:tcBorders>
            <w:vAlign w:val="center"/>
          </w:tcPr>
          <w:p w14:paraId="3750DB8A">
            <w:pPr>
              <w:rPr>
                <w:rFonts w:hint="eastAsia"/>
              </w:rPr>
            </w:pPr>
            <w:r>
              <w:rPr>
                <w:rFonts w:hint="eastAsia" w:cs="仿宋"/>
                <w:szCs w:val="21"/>
              </w:rPr>
              <w:t>对</w:t>
            </w:r>
            <w:r>
              <w:rPr>
                <w:rFonts w:cs="仿宋"/>
                <w:szCs w:val="21"/>
              </w:rPr>
              <w:t>投标</w:t>
            </w:r>
            <w:r>
              <w:rPr>
                <w:rFonts w:hint="eastAsia" w:cs="仿宋"/>
                <w:szCs w:val="21"/>
              </w:rPr>
              <w:t>人</w:t>
            </w:r>
            <w:r>
              <w:rPr>
                <w:rFonts w:cs="仿宋"/>
                <w:szCs w:val="21"/>
              </w:rPr>
              <w:t>提出的招标人可接受的</w:t>
            </w:r>
            <w:r>
              <w:rPr>
                <w:rFonts w:hint="eastAsia" w:cs="仿宋"/>
                <w:szCs w:val="21"/>
              </w:rPr>
              <w:t>合理</w:t>
            </w:r>
            <w:r>
              <w:rPr>
                <w:rFonts w:cs="仿宋"/>
                <w:szCs w:val="21"/>
              </w:rPr>
              <w:t>优惠条件</w:t>
            </w:r>
            <w:r>
              <w:rPr>
                <w:rFonts w:hint="eastAsia" w:cs="仿宋"/>
                <w:szCs w:val="21"/>
              </w:rPr>
              <w:t>进行</w:t>
            </w:r>
            <w:r>
              <w:rPr>
                <w:rFonts w:cs="仿宋"/>
                <w:szCs w:val="21"/>
              </w:rPr>
              <w:t>综合评价</w:t>
            </w:r>
            <w:r>
              <w:rPr>
                <w:rFonts w:hint="eastAsia"/>
              </w:rPr>
              <w:t>，</w:t>
            </w:r>
            <w:r>
              <w:t>优得</w:t>
            </w:r>
            <w:r>
              <w:rPr>
                <w:rFonts w:hint="eastAsia"/>
                <w:lang w:val="en-US" w:eastAsia="zh-CN"/>
              </w:rPr>
              <w:t>5</w:t>
            </w:r>
            <w:r>
              <w:rPr>
                <w:rFonts w:hint="eastAsia"/>
              </w:rPr>
              <w:t>分</w:t>
            </w:r>
            <w:r>
              <w:t>，良得</w:t>
            </w:r>
            <w:r>
              <w:rPr>
                <w:rFonts w:hint="eastAsia"/>
                <w:lang w:val="en-US" w:eastAsia="zh-CN"/>
              </w:rPr>
              <w:t>3</w:t>
            </w:r>
            <w:r>
              <w:rPr>
                <w:rFonts w:hint="eastAsia"/>
              </w:rPr>
              <w:t>分</w:t>
            </w:r>
            <w:r>
              <w:t>，一般得</w:t>
            </w:r>
            <w:r>
              <w:rPr>
                <w:rFonts w:hint="eastAsia"/>
              </w:rPr>
              <w:t>1分</w:t>
            </w:r>
            <w:r>
              <w:t>，无不得分。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3B4BEF50">
            <w:pPr>
              <w:rPr>
                <w:rFonts w:hint="default"/>
                <w:lang w:val="en-US" w:eastAsia="zh-CN"/>
              </w:rPr>
            </w:pPr>
            <w:r>
              <w:rPr>
                <w:rFonts w:hint="eastAsia"/>
                <w:lang w:val="en-US" w:eastAsia="zh-CN"/>
              </w:rPr>
              <w:t>5-0</w:t>
            </w:r>
          </w:p>
        </w:tc>
      </w:tr>
      <w:tr w14:paraId="058D14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500" w:hRule="atLeast"/>
          <w:jc w:val="center"/>
        </w:trPr>
        <w:tc>
          <w:tcPr>
            <w:tcW w:w="849" w:type="dxa"/>
            <w:vMerge w:val="continue"/>
            <w:tcBorders>
              <w:right w:val="single" w:color="auto" w:sz="4" w:space="0"/>
            </w:tcBorders>
            <w:vAlign w:val="center"/>
          </w:tcPr>
          <w:p w14:paraId="6E3D9507"/>
        </w:tc>
        <w:tc>
          <w:tcPr>
            <w:tcW w:w="1273" w:type="dxa"/>
            <w:vMerge w:val="continue"/>
            <w:tcBorders>
              <w:right w:val="single" w:color="auto" w:sz="4" w:space="0"/>
            </w:tcBorders>
            <w:vAlign w:val="center"/>
          </w:tcPr>
          <w:p w14:paraId="495D54E7"/>
        </w:tc>
        <w:tc>
          <w:tcPr>
            <w:tcW w:w="1987" w:type="dxa"/>
            <w:tcBorders>
              <w:top w:val="single" w:color="auto" w:sz="4" w:space="0"/>
              <w:left w:val="single" w:color="auto" w:sz="4" w:space="0"/>
              <w:bottom w:val="single" w:color="auto" w:sz="4" w:space="0"/>
              <w:right w:val="single" w:color="auto" w:sz="4" w:space="0"/>
            </w:tcBorders>
            <w:vAlign w:val="center"/>
          </w:tcPr>
          <w:p w14:paraId="0D304475">
            <w:r>
              <w:rPr>
                <w:rFonts w:hint="eastAsia"/>
              </w:rPr>
              <w:t>服务承诺</w:t>
            </w:r>
          </w:p>
        </w:tc>
        <w:tc>
          <w:tcPr>
            <w:tcW w:w="4283" w:type="dxa"/>
            <w:tcBorders>
              <w:top w:val="single" w:color="auto" w:sz="4" w:space="0"/>
              <w:left w:val="single" w:color="auto" w:sz="4" w:space="0"/>
              <w:bottom w:val="single" w:color="auto" w:sz="4" w:space="0"/>
              <w:right w:val="single" w:color="auto" w:sz="4" w:space="0"/>
            </w:tcBorders>
            <w:vAlign w:val="center"/>
          </w:tcPr>
          <w:p w14:paraId="0CBF5D38">
            <w:pPr>
              <w:rPr>
                <w:b/>
              </w:rPr>
            </w:pPr>
            <w:r>
              <w:rPr>
                <w:rFonts w:hint="eastAsia" w:cs="仿宋"/>
                <w:szCs w:val="21"/>
              </w:rPr>
              <w:t>对</w:t>
            </w:r>
            <w:r>
              <w:rPr>
                <w:rFonts w:cs="仿宋"/>
                <w:szCs w:val="21"/>
              </w:rPr>
              <w:t>投标</w:t>
            </w:r>
            <w:r>
              <w:rPr>
                <w:rFonts w:hint="eastAsia" w:cs="仿宋"/>
                <w:szCs w:val="21"/>
              </w:rPr>
              <w:t>人</w:t>
            </w:r>
            <w:r>
              <w:rPr>
                <w:rFonts w:cs="仿宋"/>
                <w:szCs w:val="21"/>
              </w:rPr>
              <w:t>提出的招标人可接受的</w:t>
            </w:r>
            <w:r>
              <w:rPr>
                <w:rFonts w:hint="eastAsia" w:cs="仿宋"/>
                <w:szCs w:val="21"/>
              </w:rPr>
              <w:t>合理服务承诺进行</w:t>
            </w:r>
            <w:r>
              <w:rPr>
                <w:rFonts w:cs="仿宋"/>
                <w:szCs w:val="21"/>
              </w:rPr>
              <w:t>综合评价</w:t>
            </w:r>
            <w:r>
              <w:rPr>
                <w:rFonts w:hint="eastAsia"/>
              </w:rPr>
              <w:t>，</w:t>
            </w:r>
            <w:r>
              <w:t>优得</w:t>
            </w:r>
            <w:r>
              <w:rPr>
                <w:rFonts w:hint="eastAsia"/>
                <w:lang w:val="en-US" w:eastAsia="zh-CN"/>
              </w:rPr>
              <w:t>5</w:t>
            </w:r>
            <w:r>
              <w:rPr>
                <w:rFonts w:hint="eastAsia"/>
              </w:rPr>
              <w:t>分</w:t>
            </w:r>
            <w:r>
              <w:t>，良得</w:t>
            </w:r>
            <w:r>
              <w:rPr>
                <w:rFonts w:hint="eastAsia"/>
                <w:lang w:val="en-US" w:eastAsia="zh-CN"/>
              </w:rPr>
              <w:t>3</w:t>
            </w:r>
            <w:r>
              <w:rPr>
                <w:rFonts w:hint="eastAsia"/>
              </w:rPr>
              <w:t>分</w:t>
            </w:r>
            <w:r>
              <w:t>，一般得</w:t>
            </w:r>
            <w:r>
              <w:rPr>
                <w:rFonts w:hint="eastAsia"/>
              </w:rPr>
              <w:t>1分</w:t>
            </w:r>
            <w:r>
              <w:t>，无不得分。</w:t>
            </w:r>
          </w:p>
        </w:tc>
        <w:tc>
          <w:tcPr>
            <w:tcW w:w="1328" w:type="dxa"/>
            <w:tcBorders>
              <w:top w:val="single" w:color="auto" w:sz="4" w:space="0"/>
              <w:left w:val="single" w:color="auto" w:sz="4" w:space="0"/>
              <w:bottom w:val="single" w:color="auto" w:sz="4" w:space="0"/>
              <w:right w:val="single" w:color="auto" w:sz="4" w:space="0"/>
            </w:tcBorders>
            <w:vAlign w:val="center"/>
          </w:tcPr>
          <w:p w14:paraId="4607BC74">
            <w:r>
              <w:rPr>
                <w:rFonts w:hint="eastAsia"/>
                <w:lang w:val="en-US" w:eastAsia="zh-CN"/>
              </w:rPr>
              <w:t>5</w:t>
            </w:r>
            <w:r>
              <w:t>-0</w:t>
            </w:r>
          </w:p>
        </w:tc>
      </w:tr>
      <w:tr w14:paraId="71068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jc w:val="center"/>
        </w:trPr>
        <w:tc>
          <w:tcPr>
            <w:tcW w:w="849" w:type="dxa"/>
            <w:tcBorders>
              <w:top w:val="single" w:color="auto" w:sz="4" w:space="0"/>
              <w:left w:val="single" w:color="auto" w:sz="4" w:space="0"/>
              <w:bottom w:val="single" w:color="auto" w:sz="4" w:space="0"/>
              <w:right w:val="single" w:color="auto" w:sz="4" w:space="0"/>
            </w:tcBorders>
            <w:vAlign w:val="center"/>
          </w:tcPr>
          <w:p w14:paraId="4AAAE488">
            <w:r>
              <w:rPr>
                <w:rFonts w:hint="eastAsia"/>
                <w:lang w:val="en-US" w:eastAsia="zh-CN"/>
              </w:rPr>
              <w:t>报价部分</w:t>
            </w:r>
          </w:p>
        </w:tc>
        <w:tc>
          <w:tcPr>
            <w:tcW w:w="1273" w:type="dxa"/>
            <w:tcBorders>
              <w:top w:val="single" w:color="auto" w:sz="4" w:space="0"/>
              <w:left w:val="single" w:color="auto" w:sz="4" w:space="0"/>
              <w:bottom w:val="single" w:color="auto" w:sz="4" w:space="0"/>
              <w:right w:val="single" w:color="auto" w:sz="4" w:space="0"/>
            </w:tcBorders>
            <w:vAlign w:val="center"/>
          </w:tcPr>
          <w:p w14:paraId="0BBEB234">
            <w:r>
              <w:t>投标报价评分标准</w:t>
            </w:r>
            <w:r>
              <w:rPr>
                <w:rFonts w:hint="eastAsia"/>
              </w:rPr>
              <w:t>（</w:t>
            </w:r>
            <w:r>
              <w:rPr>
                <w:rFonts w:hint="eastAsia"/>
                <w:lang w:val="en-US" w:eastAsia="zh-CN"/>
              </w:rPr>
              <w:t>3</w:t>
            </w:r>
            <w:r>
              <w:t>0</w:t>
            </w:r>
            <w:r>
              <w:rPr>
                <w:rFonts w:hint="eastAsia"/>
              </w:rPr>
              <w:t>分）</w:t>
            </w:r>
          </w:p>
        </w:tc>
        <w:tc>
          <w:tcPr>
            <w:tcW w:w="1987" w:type="dxa"/>
            <w:tcBorders>
              <w:top w:val="single" w:color="auto" w:sz="4" w:space="0"/>
              <w:left w:val="single" w:color="auto" w:sz="4" w:space="0"/>
              <w:bottom w:val="single" w:color="auto" w:sz="4" w:space="0"/>
              <w:right w:val="single" w:color="auto" w:sz="4" w:space="0"/>
            </w:tcBorders>
            <w:vAlign w:val="center"/>
          </w:tcPr>
          <w:p w14:paraId="4B784542">
            <w:r>
              <w:rPr>
                <w:rFonts w:hint="eastAsia"/>
              </w:rPr>
              <w:t>投标报价</w:t>
            </w:r>
          </w:p>
        </w:tc>
        <w:tc>
          <w:tcPr>
            <w:tcW w:w="4283" w:type="dxa"/>
            <w:tcBorders>
              <w:top w:val="single" w:color="auto" w:sz="4" w:space="0"/>
              <w:left w:val="single" w:color="auto" w:sz="4" w:space="0"/>
              <w:bottom w:val="single" w:color="auto" w:sz="4" w:space="0"/>
              <w:right w:val="single" w:color="auto" w:sz="4" w:space="0"/>
            </w:tcBorders>
            <w:vAlign w:val="center"/>
          </w:tcPr>
          <w:p w14:paraId="4CDB73E5">
            <w:r>
              <w:rPr>
                <w:rFonts w:hint="eastAsia"/>
              </w:rPr>
              <w:t>以按照磋商文件规定的所有合格投标人的最后报价且报价最低的投标人价格为</w:t>
            </w:r>
            <w:r>
              <w:rPr>
                <w:rFonts w:hint="eastAsia"/>
                <w:lang w:val="en-US" w:eastAsia="zh-CN"/>
              </w:rPr>
              <w:t>评标</w:t>
            </w:r>
            <w:r>
              <w:rPr>
                <w:rFonts w:hint="eastAsia"/>
              </w:rPr>
              <w:t>基准价，其报价得分为满分。其他投标人的价格分统一按下列公式计算：磋商报价得分=（磋商基准价/最后磋商报价）×</w:t>
            </w:r>
            <w:r>
              <w:rPr>
                <w:rFonts w:hint="eastAsia"/>
                <w:lang w:val="en-US" w:eastAsia="zh-CN"/>
              </w:rPr>
              <w:t>3</w:t>
            </w:r>
            <w:r>
              <w:t>0</w:t>
            </w:r>
          </w:p>
        </w:tc>
        <w:tc>
          <w:tcPr>
            <w:tcW w:w="1328" w:type="dxa"/>
            <w:tcBorders>
              <w:top w:val="single" w:color="auto" w:sz="4" w:space="0"/>
              <w:left w:val="single" w:color="auto" w:sz="4" w:space="0"/>
              <w:bottom w:val="single" w:color="auto" w:sz="4" w:space="0"/>
              <w:right w:val="single" w:color="auto" w:sz="4" w:space="0"/>
            </w:tcBorders>
            <w:vAlign w:val="center"/>
          </w:tcPr>
          <w:p w14:paraId="39693E89">
            <w:r>
              <w:rPr>
                <w:rFonts w:hint="eastAsia"/>
              </w:rPr>
              <w:t>0-</w:t>
            </w:r>
            <w:r>
              <w:rPr>
                <w:rFonts w:hint="eastAsia"/>
                <w:lang w:val="en-US" w:eastAsia="zh-CN"/>
              </w:rPr>
              <w:t>3</w:t>
            </w:r>
            <w:r>
              <w:t>0</w:t>
            </w:r>
          </w:p>
        </w:tc>
      </w:tr>
      <w:tr w14:paraId="03BB7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jc w:val="center"/>
        </w:trPr>
        <w:tc>
          <w:tcPr>
            <w:tcW w:w="2122" w:type="dxa"/>
            <w:gridSpan w:val="2"/>
            <w:tcBorders>
              <w:top w:val="single" w:color="auto" w:sz="4" w:space="0"/>
              <w:left w:val="single" w:color="auto" w:sz="4" w:space="0"/>
              <w:bottom w:val="single" w:color="auto" w:sz="4" w:space="0"/>
              <w:right w:val="single" w:color="auto" w:sz="4" w:space="0"/>
            </w:tcBorders>
            <w:vAlign w:val="center"/>
          </w:tcPr>
          <w:p w14:paraId="34E8DF47">
            <w:r>
              <w:rPr>
                <w:rFonts w:hint="eastAsia"/>
              </w:rPr>
              <w:t>条款号</w:t>
            </w:r>
          </w:p>
        </w:tc>
        <w:tc>
          <w:tcPr>
            <w:tcW w:w="6270" w:type="dxa"/>
            <w:gridSpan w:val="2"/>
            <w:tcBorders>
              <w:top w:val="single" w:color="auto" w:sz="4" w:space="0"/>
              <w:left w:val="single" w:color="auto" w:sz="4" w:space="0"/>
              <w:bottom w:val="single" w:color="auto" w:sz="4" w:space="0"/>
              <w:right w:val="single" w:color="auto" w:sz="4" w:space="0"/>
            </w:tcBorders>
            <w:vAlign w:val="center"/>
          </w:tcPr>
          <w:p w14:paraId="283C385B">
            <w:r>
              <w:rPr>
                <w:rFonts w:hint="eastAsia"/>
              </w:rPr>
              <w:t>编列内容</w:t>
            </w:r>
          </w:p>
        </w:tc>
        <w:tc>
          <w:tcPr>
            <w:tcW w:w="1328" w:type="dxa"/>
            <w:tcBorders>
              <w:top w:val="single" w:color="auto" w:sz="4" w:space="0"/>
              <w:left w:val="single" w:color="auto" w:sz="4" w:space="0"/>
              <w:bottom w:val="single" w:color="auto" w:sz="4" w:space="0"/>
              <w:right w:val="single" w:color="auto" w:sz="4" w:space="0"/>
            </w:tcBorders>
            <w:vAlign w:val="center"/>
          </w:tcPr>
          <w:p w14:paraId="57972820"/>
        </w:tc>
      </w:tr>
      <w:tr w14:paraId="38CB7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 w:hRule="atLeast"/>
          <w:jc w:val="center"/>
        </w:trPr>
        <w:tc>
          <w:tcPr>
            <w:tcW w:w="849" w:type="dxa"/>
            <w:tcBorders>
              <w:top w:val="single" w:color="auto" w:sz="4" w:space="0"/>
              <w:left w:val="single" w:color="auto" w:sz="4" w:space="0"/>
              <w:bottom w:val="single" w:color="auto" w:sz="4" w:space="0"/>
              <w:right w:val="single" w:color="auto" w:sz="4" w:space="0"/>
            </w:tcBorders>
            <w:vAlign w:val="center"/>
          </w:tcPr>
          <w:p w14:paraId="7F2BEF30">
            <w:r>
              <w:rPr>
                <w:rFonts w:hint="eastAsia"/>
              </w:rPr>
              <w:t>3</w:t>
            </w:r>
          </w:p>
        </w:tc>
        <w:tc>
          <w:tcPr>
            <w:tcW w:w="1273" w:type="dxa"/>
            <w:tcBorders>
              <w:top w:val="single" w:color="auto" w:sz="4" w:space="0"/>
              <w:left w:val="single" w:color="auto" w:sz="4" w:space="0"/>
              <w:bottom w:val="single" w:color="auto" w:sz="4" w:space="0"/>
              <w:right w:val="single" w:color="auto" w:sz="4" w:space="0"/>
            </w:tcBorders>
            <w:vAlign w:val="center"/>
          </w:tcPr>
          <w:p w14:paraId="592CFB9A">
            <w:r>
              <w:rPr>
                <w:rFonts w:hint="eastAsia"/>
              </w:rPr>
              <w:t>评标程序</w:t>
            </w:r>
          </w:p>
        </w:tc>
        <w:tc>
          <w:tcPr>
            <w:tcW w:w="6270" w:type="dxa"/>
            <w:gridSpan w:val="2"/>
            <w:tcBorders>
              <w:top w:val="single" w:color="auto" w:sz="4" w:space="0"/>
              <w:left w:val="single" w:color="auto" w:sz="4" w:space="0"/>
              <w:bottom w:val="single" w:color="auto" w:sz="4" w:space="0"/>
              <w:right w:val="single" w:color="auto" w:sz="4" w:space="0"/>
            </w:tcBorders>
            <w:vAlign w:val="center"/>
          </w:tcPr>
          <w:p w14:paraId="17520C2B">
            <w:r>
              <w:rPr>
                <w:rFonts w:hint="eastAsia"/>
              </w:rPr>
              <w:t>详见本章附件A：评标详细程序</w:t>
            </w:r>
          </w:p>
        </w:tc>
        <w:tc>
          <w:tcPr>
            <w:tcW w:w="1328" w:type="dxa"/>
            <w:tcBorders>
              <w:top w:val="single" w:color="auto" w:sz="4" w:space="0"/>
              <w:left w:val="single" w:color="auto" w:sz="4" w:space="0"/>
              <w:bottom w:val="single" w:color="auto" w:sz="4" w:space="0"/>
              <w:right w:val="single" w:color="auto" w:sz="4" w:space="0"/>
            </w:tcBorders>
            <w:vAlign w:val="center"/>
          </w:tcPr>
          <w:p w14:paraId="1389CCB4"/>
        </w:tc>
      </w:tr>
      <w:tr w14:paraId="64C3E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jc w:val="center"/>
        </w:trPr>
        <w:tc>
          <w:tcPr>
            <w:tcW w:w="849" w:type="dxa"/>
            <w:tcBorders>
              <w:top w:val="single" w:color="auto" w:sz="4" w:space="0"/>
              <w:left w:val="single" w:color="auto" w:sz="4" w:space="0"/>
              <w:bottom w:val="single" w:color="auto" w:sz="4" w:space="0"/>
              <w:right w:val="single" w:color="auto" w:sz="4" w:space="0"/>
            </w:tcBorders>
            <w:vAlign w:val="center"/>
          </w:tcPr>
          <w:p w14:paraId="4C98B354">
            <w:r>
              <w:rPr>
                <w:rFonts w:hint="eastAsia"/>
              </w:rPr>
              <w:t>3.1.2</w:t>
            </w:r>
          </w:p>
        </w:tc>
        <w:tc>
          <w:tcPr>
            <w:tcW w:w="1273" w:type="dxa"/>
            <w:tcBorders>
              <w:top w:val="single" w:color="auto" w:sz="4" w:space="0"/>
              <w:left w:val="single" w:color="auto" w:sz="4" w:space="0"/>
              <w:bottom w:val="single" w:color="auto" w:sz="4" w:space="0"/>
              <w:right w:val="single" w:color="auto" w:sz="4" w:space="0"/>
            </w:tcBorders>
            <w:vAlign w:val="center"/>
          </w:tcPr>
          <w:p w14:paraId="33E06A23">
            <w:r>
              <w:rPr>
                <w:rFonts w:hint="eastAsia"/>
              </w:rPr>
              <w:t>废标条件</w:t>
            </w:r>
          </w:p>
        </w:tc>
        <w:tc>
          <w:tcPr>
            <w:tcW w:w="6270" w:type="dxa"/>
            <w:gridSpan w:val="2"/>
            <w:tcBorders>
              <w:top w:val="single" w:color="auto" w:sz="4" w:space="0"/>
              <w:left w:val="single" w:color="auto" w:sz="4" w:space="0"/>
              <w:bottom w:val="single" w:color="auto" w:sz="4" w:space="0"/>
              <w:right w:val="single" w:color="auto" w:sz="4" w:space="0"/>
            </w:tcBorders>
            <w:vAlign w:val="center"/>
          </w:tcPr>
          <w:p w14:paraId="4F2C7D39">
            <w:r>
              <w:rPr>
                <w:rFonts w:hint="eastAsia"/>
              </w:rPr>
              <w:t>详见本章附件B：废标条件</w:t>
            </w:r>
          </w:p>
        </w:tc>
        <w:tc>
          <w:tcPr>
            <w:tcW w:w="1328" w:type="dxa"/>
            <w:tcBorders>
              <w:top w:val="single" w:color="auto" w:sz="4" w:space="0"/>
              <w:left w:val="single" w:color="auto" w:sz="4" w:space="0"/>
              <w:bottom w:val="single" w:color="auto" w:sz="4" w:space="0"/>
              <w:right w:val="single" w:color="auto" w:sz="4" w:space="0"/>
            </w:tcBorders>
            <w:vAlign w:val="center"/>
          </w:tcPr>
          <w:p w14:paraId="15EACF93"/>
        </w:tc>
      </w:tr>
      <w:tr w14:paraId="05BF1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 w:hRule="atLeast"/>
          <w:jc w:val="center"/>
        </w:trPr>
        <w:tc>
          <w:tcPr>
            <w:tcW w:w="849" w:type="dxa"/>
            <w:tcBorders>
              <w:top w:val="single" w:color="auto" w:sz="4" w:space="0"/>
              <w:left w:val="single" w:color="auto" w:sz="4" w:space="0"/>
              <w:bottom w:val="single" w:color="auto" w:sz="4" w:space="0"/>
              <w:right w:val="single" w:color="auto" w:sz="4" w:space="0"/>
            </w:tcBorders>
            <w:vAlign w:val="center"/>
          </w:tcPr>
          <w:p w14:paraId="4278FFAA">
            <w:r>
              <w:rPr>
                <w:rFonts w:hint="eastAsia"/>
              </w:rPr>
              <w:t>3.2.2</w:t>
            </w:r>
          </w:p>
        </w:tc>
        <w:tc>
          <w:tcPr>
            <w:tcW w:w="1273" w:type="dxa"/>
            <w:tcBorders>
              <w:top w:val="single" w:color="auto" w:sz="4" w:space="0"/>
              <w:left w:val="single" w:color="auto" w:sz="4" w:space="0"/>
              <w:bottom w:val="single" w:color="auto" w:sz="4" w:space="0"/>
              <w:right w:val="single" w:color="auto" w:sz="4" w:space="0"/>
            </w:tcBorders>
            <w:vAlign w:val="center"/>
          </w:tcPr>
          <w:p w14:paraId="774DB20A">
            <w:r>
              <w:rPr>
                <w:rFonts w:hint="eastAsia"/>
              </w:rPr>
              <w:t>判断投标报价是否低于其成本</w:t>
            </w:r>
          </w:p>
        </w:tc>
        <w:tc>
          <w:tcPr>
            <w:tcW w:w="6270" w:type="dxa"/>
            <w:gridSpan w:val="2"/>
            <w:tcBorders>
              <w:top w:val="single" w:color="auto" w:sz="4" w:space="0"/>
              <w:left w:val="single" w:color="auto" w:sz="4" w:space="0"/>
              <w:bottom w:val="single" w:color="auto" w:sz="4" w:space="0"/>
              <w:right w:val="single" w:color="auto" w:sz="4" w:space="0"/>
            </w:tcBorders>
            <w:vAlign w:val="center"/>
          </w:tcPr>
          <w:p w14:paraId="32D4F021">
            <w:r>
              <w:rPr>
                <w:rFonts w:hint="eastAsia"/>
              </w:rPr>
              <w:t>详见本章附件C：响应单位成本评审办法</w:t>
            </w:r>
          </w:p>
        </w:tc>
        <w:tc>
          <w:tcPr>
            <w:tcW w:w="1328" w:type="dxa"/>
            <w:tcBorders>
              <w:top w:val="single" w:color="auto" w:sz="4" w:space="0"/>
              <w:left w:val="single" w:color="auto" w:sz="4" w:space="0"/>
              <w:bottom w:val="single" w:color="auto" w:sz="4" w:space="0"/>
              <w:right w:val="single" w:color="auto" w:sz="4" w:space="0"/>
            </w:tcBorders>
            <w:vAlign w:val="center"/>
          </w:tcPr>
          <w:p w14:paraId="36F1215A"/>
        </w:tc>
      </w:tr>
    </w:tbl>
    <w:p w14:paraId="6697E9D8">
      <w:r>
        <w:br w:type="page"/>
      </w:r>
      <w:bookmarkStart w:id="414" w:name="_Toc43721419"/>
      <w:r>
        <w:rPr>
          <w:rFonts w:hint="eastAsia"/>
        </w:rPr>
        <w:t>1. 评标方法</w:t>
      </w:r>
      <w:bookmarkEnd w:id="414"/>
    </w:p>
    <w:p w14:paraId="1F39BCF4">
      <w:r>
        <w:rPr>
          <w:rFonts w:hint="eastAsia"/>
        </w:rPr>
        <w:t>本次评标采用综合评估法。磋商小组对满足竞争性磋商文件实质性要求的响应文件，按照本章第2.2款规定的评分标准进行打分，并按得分由高到低顺序推荐中标候选人，或根据采购单位授权直接确定中标人，但投标报价低于其成本的除外。综合评分相等时，以投标报价低的优先；投标报价也相等的，由采购单位或其授权的磋商小组自行确定。</w:t>
      </w:r>
    </w:p>
    <w:p w14:paraId="2E87BE82">
      <w:bookmarkStart w:id="415" w:name="_Toc246996987"/>
      <w:bookmarkStart w:id="416" w:name="_Toc144974568"/>
      <w:bookmarkStart w:id="417" w:name="_Toc43721420"/>
      <w:bookmarkStart w:id="418" w:name="_Toc179632619"/>
      <w:bookmarkStart w:id="419" w:name="_Toc247085759"/>
      <w:bookmarkStart w:id="420" w:name="_Toc246996244"/>
      <w:bookmarkStart w:id="421" w:name="_Toc152042378"/>
      <w:bookmarkStart w:id="422" w:name="_Toc152045601"/>
      <w:r>
        <w:rPr>
          <w:rFonts w:hint="eastAsia"/>
        </w:rPr>
        <w:t>2. 评审标准</w:t>
      </w:r>
      <w:bookmarkEnd w:id="415"/>
      <w:bookmarkEnd w:id="416"/>
      <w:bookmarkEnd w:id="417"/>
      <w:bookmarkEnd w:id="418"/>
      <w:bookmarkEnd w:id="419"/>
      <w:bookmarkEnd w:id="420"/>
      <w:bookmarkEnd w:id="421"/>
      <w:bookmarkEnd w:id="422"/>
    </w:p>
    <w:p w14:paraId="4BC02438">
      <w:bookmarkStart w:id="423" w:name="_Toc179632620"/>
      <w:bookmarkStart w:id="424" w:name="_Toc296602490"/>
      <w:bookmarkStart w:id="425" w:name="_Toc246996245"/>
      <w:bookmarkStart w:id="426" w:name="_Toc144974569"/>
      <w:bookmarkStart w:id="427" w:name="_Toc43721421"/>
      <w:bookmarkStart w:id="428" w:name="_Toc247085760"/>
      <w:bookmarkStart w:id="429" w:name="_Toc152042379"/>
      <w:bookmarkStart w:id="430" w:name="_Toc246996988"/>
      <w:bookmarkStart w:id="431" w:name="_Toc152045602"/>
      <w:r>
        <w:rPr>
          <w:rFonts w:hint="eastAsia"/>
        </w:rPr>
        <w:t>2.1 初步评审标准</w:t>
      </w:r>
      <w:bookmarkEnd w:id="423"/>
      <w:bookmarkEnd w:id="424"/>
      <w:bookmarkEnd w:id="425"/>
      <w:bookmarkEnd w:id="426"/>
      <w:bookmarkEnd w:id="427"/>
      <w:bookmarkEnd w:id="428"/>
      <w:bookmarkEnd w:id="429"/>
      <w:bookmarkEnd w:id="430"/>
      <w:bookmarkEnd w:id="431"/>
    </w:p>
    <w:p w14:paraId="508A1F30">
      <w:r>
        <w:rPr>
          <w:rFonts w:hint="eastAsia"/>
        </w:rPr>
        <w:t>2.1.1 形式评审标准：见评标办法前附表。</w:t>
      </w:r>
    </w:p>
    <w:p w14:paraId="4ED67C4A">
      <w:r>
        <w:rPr>
          <w:rFonts w:hint="eastAsia"/>
        </w:rPr>
        <w:t>2.1.2 资格评审标准：见评标办法前附表。</w:t>
      </w:r>
    </w:p>
    <w:p w14:paraId="0EFB7CBE">
      <w:r>
        <w:rPr>
          <w:rFonts w:hint="eastAsia"/>
        </w:rPr>
        <w:t>2.1.3 响应性评审标准：见评标办法前附表。</w:t>
      </w:r>
    </w:p>
    <w:p w14:paraId="723F78CB">
      <w:bookmarkStart w:id="432" w:name="_Toc179632621"/>
      <w:bookmarkStart w:id="433" w:name="_Toc152042380"/>
      <w:bookmarkStart w:id="434" w:name="_Toc247085761"/>
      <w:bookmarkStart w:id="435" w:name="_Toc152045603"/>
      <w:bookmarkStart w:id="436" w:name="_Toc246996989"/>
      <w:bookmarkStart w:id="437" w:name="_Toc296602491"/>
      <w:bookmarkStart w:id="438" w:name="_Toc144974570"/>
      <w:bookmarkStart w:id="439" w:name="_Toc246996246"/>
      <w:bookmarkStart w:id="440" w:name="_Toc43721422"/>
      <w:r>
        <w:rPr>
          <w:rFonts w:hint="eastAsia"/>
        </w:rPr>
        <w:t>2.2 分值构成与评分标准</w:t>
      </w:r>
      <w:bookmarkEnd w:id="432"/>
      <w:bookmarkEnd w:id="433"/>
      <w:bookmarkEnd w:id="434"/>
      <w:bookmarkEnd w:id="435"/>
      <w:bookmarkEnd w:id="436"/>
      <w:bookmarkEnd w:id="437"/>
      <w:bookmarkEnd w:id="438"/>
      <w:bookmarkEnd w:id="439"/>
      <w:bookmarkEnd w:id="440"/>
    </w:p>
    <w:p w14:paraId="77782344">
      <w:r>
        <w:rPr>
          <w:rFonts w:hint="eastAsia"/>
        </w:rPr>
        <w:t>2.2.1 分值构成</w:t>
      </w:r>
    </w:p>
    <w:p w14:paraId="54DDA16C">
      <w:r>
        <w:rPr>
          <w:rFonts w:hint="eastAsia"/>
        </w:rPr>
        <w:t>（1）施工组织设计：见评标办法前附表；</w:t>
      </w:r>
    </w:p>
    <w:p w14:paraId="0045F3B3">
      <w:r>
        <w:rPr>
          <w:rFonts w:hint="eastAsia"/>
        </w:rPr>
        <w:t>（2）项目管理机构：见评标办法前附表；</w:t>
      </w:r>
    </w:p>
    <w:p w14:paraId="0652895F">
      <w:r>
        <w:rPr>
          <w:rFonts w:hint="eastAsia"/>
        </w:rPr>
        <w:t>（3）投标报价：见评标办法前附表；</w:t>
      </w:r>
    </w:p>
    <w:p w14:paraId="33473D64">
      <w:r>
        <w:rPr>
          <w:rFonts w:hint="eastAsia"/>
        </w:rPr>
        <w:t>（4）其他评分因素：见评标办法前附表。</w:t>
      </w:r>
    </w:p>
    <w:p w14:paraId="57F54AB1">
      <w:r>
        <w:rPr>
          <w:rFonts w:hint="eastAsia"/>
        </w:rPr>
        <w:t>2.2.2 评标基准价计算</w:t>
      </w:r>
    </w:p>
    <w:p w14:paraId="60CC89D7">
      <w:r>
        <w:rPr>
          <w:rFonts w:hint="eastAsia"/>
        </w:rPr>
        <w:t>评标基准价计算方法：见评标办法前附表。</w:t>
      </w:r>
    </w:p>
    <w:p w14:paraId="18BBAC2F">
      <w:pPr>
        <w:rPr>
          <w:rFonts w:hint="eastAsia" w:eastAsia="宋体"/>
          <w:lang w:eastAsia="zh-CN"/>
        </w:rPr>
      </w:pPr>
      <w:r>
        <w:rPr>
          <w:rFonts w:hint="eastAsia"/>
        </w:rPr>
        <w:t>2.2.3 投标报价的偏差率计算</w:t>
      </w:r>
      <w:r>
        <w:rPr>
          <w:rFonts w:hint="eastAsia"/>
          <w:lang w:eastAsia="zh-CN"/>
        </w:rPr>
        <w:t>（</w:t>
      </w:r>
      <w:r>
        <w:rPr>
          <w:rFonts w:hint="eastAsia"/>
          <w:lang w:val="en-US" w:eastAsia="zh-CN"/>
        </w:rPr>
        <w:t>本项目不适用</w:t>
      </w:r>
      <w:r>
        <w:rPr>
          <w:rFonts w:hint="eastAsia"/>
          <w:lang w:eastAsia="zh-CN"/>
        </w:rPr>
        <w:t>）</w:t>
      </w:r>
    </w:p>
    <w:p w14:paraId="66F9628E">
      <w:r>
        <w:rPr>
          <w:rFonts w:hint="eastAsia"/>
        </w:rPr>
        <w:t>投标报价的偏差率计算公式：见评标办法前附表。</w:t>
      </w:r>
    </w:p>
    <w:p w14:paraId="7E61779E">
      <w:r>
        <w:rPr>
          <w:rFonts w:hint="eastAsia"/>
        </w:rPr>
        <w:t>2.2.4 评分标准</w:t>
      </w:r>
    </w:p>
    <w:p w14:paraId="09694BC5">
      <w:r>
        <w:rPr>
          <w:rFonts w:hint="eastAsia"/>
        </w:rPr>
        <w:t>（1）施工组织设计评分标准：见评标办法前附表；</w:t>
      </w:r>
    </w:p>
    <w:p w14:paraId="72472A7F">
      <w:r>
        <w:rPr>
          <w:rFonts w:hint="eastAsia"/>
        </w:rPr>
        <w:t>（2）项目管理机构评分标准：见评标办法前附表；</w:t>
      </w:r>
    </w:p>
    <w:p w14:paraId="1626AB27">
      <w:r>
        <w:rPr>
          <w:rFonts w:hint="eastAsia"/>
        </w:rPr>
        <w:t>（3）投标报价评分标准：见评标办法前附表；</w:t>
      </w:r>
    </w:p>
    <w:p w14:paraId="0AB774BF">
      <w:r>
        <w:rPr>
          <w:rFonts w:hint="eastAsia"/>
        </w:rPr>
        <w:t>（4）其他因素评分标准：见评标办法前附表。</w:t>
      </w:r>
    </w:p>
    <w:p w14:paraId="2B3214BB">
      <w:bookmarkStart w:id="441" w:name="_Toc152042381"/>
      <w:bookmarkStart w:id="442" w:name="_Toc247085762"/>
      <w:bookmarkStart w:id="443" w:name="_Toc152045604"/>
      <w:bookmarkStart w:id="444" w:name="_Toc144974571"/>
      <w:bookmarkStart w:id="445" w:name="_Toc246996247"/>
      <w:bookmarkStart w:id="446" w:name="_Toc43721423"/>
      <w:bookmarkStart w:id="447" w:name="_Toc179632622"/>
      <w:bookmarkStart w:id="448" w:name="_Toc246996990"/>
      <w:r>
        <w:rPr>
          <w:rFonts w:hint="eastAsia"/>
        </w:rPr>
        <w:t>3. 评标程序</w:t>
      </w:r>
      <w:bookmarkEnd w:id="441"/>
      <w:bookmarkEnd w:id="442"/>
      <w:bookmarkEnd w:id="443"/>
      <w:bookmarkEnd w:id="444"/>
      <w:bookmarkEnd w:id="445"/>
      <w:bookmarkEnd w:id="446"/>
      <w:bookmarkEnd w:id="447"/>
      <w:bookmarkEnd w:id="448"/>
    </w:p>
    <w:p w14:paraId="07AF0169">
      <w:bookmarkStart w:id="449" w:name="_Toc246996248"/>
      <w:bookmarkStart w:id="450" w:name="_Toc144974572"/>
      <w:bookmarkStart w:id="451" w:name="_Toc152042382"/>
      <w:bookmarkStart w:id="452" w:name="_Toc246996991"/>
      <w:bookmarkStart w:id="453" w:name="_Toc247085763"/>
      <w:bookmarkStart w:id="454" w:name="_Toc296602493"/>
      <w:bookmarkStart w:id="455" w:name="_Toc152045605"/>
      <w:bookmarkStart w:id="456" w:name="_Toc179632623"/>
      <w:bookmarkStart w:id="457" w:name="_Toc43721424"/>
      <w:r>
        <w:rPr>
          <w:rFonts w:hint="eastAsia"/>
        </w:rPr>
        <w:t>3.1 初步评审</w:t>
      </w:r>
      <w:bookmarkEnd w:id="449"/>
      <w:bookmarkEnd w:id="450"/>
      <w:bookmarkEnd w:id="451"/>
      <w:bookmarkEnd w:id="452"/>
      <w:bookmarkEnd w:id="453"/>
      <w:bookmarkEnd w:id="454"/>
      <w:bookmarkEnd w:id="455"/>
      <w:bookmarkEnd w:id="456"/>
      <w:bookmarkEnd w:id="457"/>
    </w:p>
    <w:p w14:paraId="7A917949">
      <w:r>
        <w:rPr>
          <w:rFonts w:hint="eastAsia"/>
        </w:rPr>
        <w:t>3.1.1 磋商小组可以要求响应单位提交第二章“响应单位须知”第3.5.1项至第3.5.4项规定的有关证明和证件，以便核验。磋商小组依据本章第2.1款规定的标准对响应文件进行初步评审。有一项不符合评审标准的，磋商小组应当否决其投标。</w:t>
      </w:r>
    </w:p>
    <w:p w14:paraId="3E09B0E2">
      <w:r>
        <w:rPr>
          <w:rFonts w:hint="eastAsia"/>
        </w:rPr>
        <w:t>3.1.2 响应单位有以下情形之一的，磋商小组应当否决其投标：</w:t>
      </w:r>
    </w:p>
    <w:p w14:paraId="2941546B">
      <w:r>
        <w:rPr>
          <w:rFonts w:hint="eastAsia"/>
        </w:rPr>
        <w:t>（1）第二章“响应单位须知”第1.4.2项、第1.4.3项规定的任何一种情形的；</w:t>
      </w:r>
    </w:p>
    <w:p w14:paraId="34EE06F8">
      <w:r>
        <w:rPr>
          <w:rFonts w:hint="eastAsia"/>
        </w:rPr>
        <w:t>（2）串通投标或弄虚作假或有其他违法行为的；</w:t>
      </w:r>
    </w:p>
    <w:p w14:paraId="6C3A9EB2">
      <w:r>
        <w:rPr>
          <w:rFonts w:hint="eastAsia"/>
        </w:rPr>
        <w:t>（3）不按磋商小组要求澄清、说明或补正的。</w:t>
      </w:r>
    </w:p>
    <w:p w14:paraId="3584FAF4">
      <w:r>
        <w:rPr>
          <w:rFonts w:hint="eastAsia"/>
        </w:rPr>
        <w:t>3.1.3投标报价有算术错误的，磋商小组按以下原则对投标报价进行修正，修正的价格经响应单位书面确认后具有约束力。响应单位不接受修正价格的，磋商小组应当否决其投标。</w:t>
      </w:r>
    </w:p>
    <w:p w14:paraId="7E15A155">
      <w:bookmarkStart w:id="458" w:name="_Toc152042383"/>
      <w:r>
        <w:rPr>
          <w:rFonts w:hint="eastAsia"/>
        </w:rPr>
        <w:t>（1）响应文件中的大写金额与小写金额不一致的，以大写金额为准；</w:t>
      </w:r>
      <w:bookmarkEnd w:id="458"/>
    </w:p>
    <w:p w14:paraId="74CCED54">
      <w:r>
        <w:rPr>
          <w:rFonts w:hint="eastAsia"/>
        </w:rPr>
        <w:t>（2）总价金额与依据单价计算出的结果不一致的，以单价金额为准修正总价，但单价金额小数点有明显错误的除外。</w:t>
      </w:r>
    </w:p>
    <w:p w14:paraId="758695F4">
      <w:bookmarkStart w:id="459" w:name="_Toc152042384"/>
      <w:bookmarkStart w:id="460" w:name="_Toc246996249"/>
      <w:bookmarkStart w:id="461" w:name="_Toc152045606"/>
      <w:bookmarkStart w:id="462" w:name="_Toc144974573"/>
      <w:bookmarkStart w:id="463" w:name="_Toc246996992"/>
      <w:bookmarkStart w:id="464" w:name="_Toc296602494"/>
      <w:bookmarkStart w:id="465" w:name="_Toc247085764"/>
      <w:bookmarkStart w:id="466" w:name="_Toc179632624"/>
      <w:bookmarkStart w:id="467" w:name="_Toc43721425"/>
      <w:r>
        <w:rPr>
          <w:rFonts w:hint="eastAsia"/>
        </w:rPr>
        <w:t>3.2 详细评审</w:t>
      </w:r>
      <w:bookmarkEnd w:id="459"/>
      <w:bookmarkEnd w:id="460"/>
      <w:bookmarkEnd w:id="461"/>
      <w:bookmarkEnd w:id="462"/>
      <w:bookmarkEnd w:id="463"/>
      <w:bookmarkEnd w:id="464"/>
      <w:bookmarkEnd w:id="465"/>
      <w:bookmarkEnd w:id="466"/>
      <w:bookmarkEnd w:id="467"/>
    </w:p>
    <w:p w14:paraId="17367FFC">
      <w:r>
        <w:rPr>
          <w:rFonts w:hint="eastAsia"/>
        </w:rPr>
        <w:t>3.2.1 磋商小组按本章第2.2款规定的量化因素和分值进行打分，并计算出综合评估得分。</w:t>
      </w:r>
    </w:p>
    <w:p w14:paraId="24D163B6">
      <w:r>
        <w:rPr>
          <w:rFonts w:hint="eastAsia"/>
        </w:rPr>
        <w:t>（1）按本章第2.2.4（1）目规定的评审因素和分值对施工组织设计计算出得分A；</w:t>
      </w:r>
    </w:p>
    <w:p w14:paraId="3A0827AD">
      <w:r>
        <w:rPr>
          <w:rFonts w:hint="eastAsia"/>
        </w:rPr>
        <w:t>（2）按本章第2.2.4（2）目规定的评审因素和分值对项目管理机构计算出得分B；</w:t>
      </w:r>
    </w:p>
    <w:p w14:paraId="15867E6A">
      <w:r>
        <w:rPr>
          <w:rFonts w:hint="eastAsia"/>
        </w:rPr>
        <w:t>（3）按本章第2.2.4（3）目规定的评审因素和分值对投标报价计算出得分C；</w:t>
      </w:r>
    </w:p>
    <w:p w14:paraId="0960C8F1">
      <w:r>
        <w:rPr>
          <w:rFonts w:hint="eastAsia"/>
        </w:rPr>
        <w:t>（4）按本章第2.2.4（4）目规定的评审因素和分值对其他部分计算出得分D。</w:t>
      </w:r>
    </w:p>
    <w:p w14:paraId="58E9BD31">
      <w:r>
        <w:rPr>
          <w:rFonts w:hint="eastAsia"/>
        </w:rPr>
        <w:t>3.2.2 评分分值计算保留小数点后两位，小数点后第三位“四舍五入”。</w:t>
      </w:r>
    </w:p>
    <w:p w14:paraId="312B5AC6">
      <w:r>
        <w:rPr>
          <w:rFonts w:hint="eastAsia"/>
        </w:rPr>
        <w:t>3.2.3 响应单位得分=A+B+C+D。</w:t>
      </w:r>
    </w:p>
    <w:p w14:paraId="3E321DE6">
      <w:r>
        <w:rPr>
          <w:rFonts w:hint="eastAsia"/>
        </w:rPr>
        <w:t>3.2.4 磋商小组发现响应单位的报价明显低于其他投标报价，或者在设有标底时明显低于标底，使得其投标报价可能低于其个别成本的，应当要求该响应单位作出书面说明并提供相应的证明材料。响应单位不能合理说明或者不能提供相应证明材料的，磋商小组应当认定该响应单位以低于成本报价竞标，否决其投标。</w:t>
      </w:r>
    </w:p>
    <w:p w14:paraId="59736EC7">
      <w:pPr>
        <w:snapToGrid w:val="0"/>
        <w:spacing w:line="440" w:lineRule="exact"/>
        <w:rPr>
          <w:rFonts w:hint="eastAsia"/>
          <w:b/>
          <w:bCs/>
        </w:rPr>
      </w:pPr>
      <w:r>
        <w:rPr>
          <w:rFonts w:hint="eastAsia"/>
        </w:rPr>
        <w:t>3</w:t>
      </w:r>
      <w:r>
        <w:t>.2.5</w:t>
      </w:r>
      <w:r>
        <w:rPr>
          <w:rFonts w:cs="宋体"/>
        </w:rPr>
        <w:t>落实政府采购政策需满足的资格要求：</w:t>
      </w:r>
      <w:r>
        <w:rPr>
          <w:rFonts w:hint="eastAsia" w:cs="宋体"/>
        </w:rPr>
        <w:t>本项目为</w:t>
      </w:r>
      <w:r>
        <w:rPr>
          <w:rFonts w:hint="eastAsia" w:cs="宋体"/>
          <w:b/>
          <w:bCs/>
        </w:rPr>
        <w:t>专门面向中小企业采购</w:t>
      </w:r>
      <w:r>
        <w:rPr>
          <w:rFonts w:hint="eastAsia" w:cs="宋体"/>
          <w:b w:val="0"/>
          <w:bCs w:val="0"/>
        </w:rPr>
        <w:t>项</w:t>
      </w:r>
      <w:r>
        <w:rPr>
          <w:rFonts w:hint="eastAsia" w:cs="宋体"/>
        </w:rPr>
        <w:t>目。</w:t>
      </w:r>
      <w:bookmarkStart w:id="468" w:name="_Toc144974575"/>
      <w:bookmarkStart w:id="469" w:name="_Toc247085765"/>
      <w:bookmarkStart w:id="470" w:name="_Toc296602495"/>
      <w:bookmarkStart w:id="471" w:name="_Toc246996993"/>
      <w:bookmarkStart w:id="472" w:name="_Toc152042385"/>
      <w:bookmarkStart w:id="473" w:name="_Toc246996250"/>
      <w:bookmarkStart w:id="474" w:name="_Toc43721426"/>
      <w:bookmarkStart w:id="475" w:name="_Toc152045607"/>
      <w:bookmarkStart w:id="476" w:name="_Toc179632625"/>
      <w:r>
        <w:rPr>
          <w:rFonts w:hint="eastAsia"/>
          <w:b/>
          <w:bCs/>
        </w:rPr>
        <w:t>本项目中小企业划型所属行业标准为：建筑业。</w:t>
      </w:r>
    </w:p>
    <w:p w14:paraId="159DF6F8">
      <w:r>
        <w:rPr>
          <w:rFonts w:hint="eastAsia"/>
        </w:rPr>
        <w:t>3.3 响应文件的澄清</w:t>
      </w:r>
      <w:bookmarkEnd w:id="468"/>
      <w:r>
        <w:rPr>
          <w:rFonts w:hint="eastAsia"/>
        </w:rPr>
        <w:t>和补正</w:t>
      </w:r>
      <w:bookmarkEnd w:id="469"/>
      <w:bookmarkEnd w:id="470"/>
      <w:bookmarkEnd w:id="471"/>
      <w:bookmarkEnd w:id="472"/>
      <w:bookmarkEnd w:id="473"/>
      <w:bookmarkEnd w:id="474"/>
      <w:bookmarkEnd w:id="475"/>
      <w:bookmarkEnd w:id="476"/>
    </w:p>
    <w:p w14:paraId="3663B751">
      <w:r>
        <w:rPr>
          <w:rFonts w:hint="eastAsia"/>
        </w:rPr>
        <w:t>3.3.1在评标过程中，磋商小组可以书面形式要求响应单位对所提交响应文件中不明确的内容进行书面澄清或说明，或者对细微偏差进行补正。磋商小组不接受响应单位主动提出的澄清、说明或补正。</w:t>
      </w:r>
    </w:p>
    <w:p w14:paraId="2C7B7C4B">
      <w:r>
        <w:rPr>
          <w:rFonts w:hint="eastAsia"/>
        </w:rPr>
        <w:t>3.3.2 澄清、说明和补正不得改变响应文件的实质性内容。响应单位的书面澄清、说明和补正属于响应文件的组成部分。</w:t>
      </w:r>
    </w:p>
    <w:p w14:paraId="5A077C36">
      <w:r>
        <w:rPr>
          <w:rFonts w:hint="eastAsia"/>
        </w:rPr>
        <w:t>3.3.3 磋商小组对响应单位提交的澄清、说明或补正有疑问的，可以要求响应单位进一步澄清、说明或补正，直至满足磋商小组的要求。</w:t>
      </w:r>
    </w:p>
    <w:p w14:paraId="7776576A">
      <w:bookmarkStart w:id="477" w:name="_Toc152042386"/>
      <w:bookmarkStart w:id="478" w:name="_Toc296602496"/>
      <w:bookmarkStart w:id="479" w:name="_Toc152045608"/>
      <w:bookmarkStart w:id="480" w:name="_Toc246996251"/>
      <w:bookmarkStart w:id="481" w:name="_Toc43721427"/>
      <w:bookmarkStart w:id="482" w:name="_Toc144974576"/>
      <w:bookmarkStart w:id="483" w:name="_Toc247085766"/>
      <w:bookmarkStart w:id="484" w:name="_Toc179632626"/>
      <w:bookmarkStart w:id="485" w:name="_Toc246996994"/>
      <w:r>
        <w:rPr>
          <w:rFonts w:hint="eastAsia"/>
        </w:rPr>
        <w:t>3.4 评标结果</w:t>
      </w:r>
      <w:bookmarkEnd w:id="477"/>
      <w:bookmarkEnd w:id="478"/>
      <w:bookmarkEnd w:id="479"/>
      <w:bookmarkEnd w:id="480"/>
      <w:bookmarkEnd w:id="481"/>
      <w:bookmarkEnd w:id="482"/>
      <w:bookmarkEnd w:id="483"/>
      <w:bookmarkEnd w:id="484"/>
      <w:bookmarkEnd w:id="485"/>
    </w:p>
    <w:p w14:paraId="46002537">
      <w:r>
        <w:rPr>
          <w:rFonts w:hint="eastAsia"/>
        </w:rPr>
        <w:t>3.4.1除第二章“响应单位须知”前附表授权直接确定中标人外，磋商小组按照得分由高到低的顺序推荐中标候选人。</w:t>
      </w:r>
    </w:p>
    <w:p w14:paraId="2E763EC5">
      <w:r>
        <w:rPr>
          <w:rFonts w:hint="eastAsia"/>
        </w:rPr>
        <w:t>3.4.2 磋商小组完成评标后，应当向采购单位提交书面评标报告。</w:t>
      </w:r>
    </w:p>
    <w:p w14:paraId="7C229B39">
      <w:r>
        <w:rPr>
          <w:szCs w:val="21"/>
        </w:rPr>
        <w:br w:type="page"/>
      </w:r>
      <w:r>
        <w:rPr>
          <w:rFonts w:hint="eastAsia"/>
        </w:rPr>
        <w:t>附件A：评标详细程序</w:t>
      </w:r>
    </w:p>
    <w:p w14:paraId="1A25A4B1">
      <w:r>
        <w:rPr>
          <w:rFonts w:hint="eastAsia"/>
        </w:rPr>
        <w:t>评标详细程序</w:t>
      </w:r>
    </w:p>
    <w:p w14:paraId="7ACD3AAB">
      <w:r>
        <w:rPr>
          <w:rFonts w:hint="eastAsia"/>
        </w:rPr>
        <w:t>AO.总则</w:t>
      </w:r>
    </w:p>
    <w:p w14:paraId="1BDE61F2">
      <w:r>
        <w:rPr>
          <w:rFonts w:hint="eastAsia"/>
        </w:rPr>
        <w:t xml:space="preserve">    本附件是本章“评标办法”的组成部分，是对本章第3条所规定的评标程序的进一些细化，磋商小组应当按照本附件所规定的详细程序开展并完成评标工作。</w:t>
      </w:r>
    </w:p>
    <w:p w14:paraId="3E5E66B7">
      <w:r>
        <w:rPr>
          <w:rFonts w:hint="eastAsia"/>
        </w:rPr>
        <w:t>A1．基本程序</w:t>
      </w:r>
    </w:p>
    <w:p w14:paraId="66BCD776">
      <w:r>
        <w:rPr>
          <w:rFonts w:hint="eastAsia"/>
        </w:rPr>
        <w:t xml:space="preserve">    评标活动将按以下五个步骤进行：</w:t>
      </w:r>
    </w:p>
    <w:p w14:paraId="2159A0A0">
      <w:r>
        <w:rPr>
          <w:rFonts w:hint="eastAsia"/>
        </w:rPr>
        <w:t xml:space="preserve">    (1)评标准备；</w:t>
      </w:r>
    </w:p>
    <w:p w14:paraId="417B1073">
      <w:r>
        <w:rPr>
          <w:rFonts w:hint="eastAsia"/>
        </w:rPr>
        <w:t xml:space="preserve">    (2)初步评审；</w:t>
      </w:r>
    </w:p>
    <w:p w14:paraId="5EC4F7DF">
      <w:r>
        <w:rPr>
          <w:rFonts w:hint="eastAsia"/>
        </w:rPr>
        <w:t xml:space="preserve">    (3)详细评审；</w:t>
      </w:r>
    </w:p>
    <w:p w14:paraId="5918E64D">
      <w:r>
        <w:rPr>
          <w:rFonts w:hint="eastAsia"/>
        </w:rPr>
        <w:t xml:space="preserve">    (4)澄清、说明或补正；</w:t>
      </w:r>
    </w:p>
    <w:p w14:paraId="080B5497">
      <w:r>
        <w:rPr>
          <w:rFonts w:hint="eastAsia"/>
        </w:rPr>
        <w:t xml:space="preserve">    (5)推荐中标候选人或者直接确定中标人及提交评标报告。</w:t>
      </w:r>
    </w:p>
    <w:p w14:paraId="13D235B2">
      <w:r>
        <w:rPr>
          <w:rFonts w:hint="eastAsia"/>
        </w:rPr>
        <w:t>A2.评标准备</w:t>
      </w:r>
    </w:p>
    <w:p w14:paraId="1BEF2E83">
      <w:r>
        <w:rPr>
          <w:rFonts w:hint="eastAsia"/>
        </w:rPr>
        <w:t>A2.1磋商小组成员签到</w:t>
      </w:r>
    </w:p>
    <w:p w14:paraId="5CA13CC3">
      <w:r>
        <w:rPr>
          <w:rFonts w:hint="eastAsia"/>
        </w:rPr>
        <w:t xml:space="preserve">    磋商小组成员到达评标现场时应在签到表上签到以证明其出席。磋商小组签到表见附表A-1.</w:t>
      </w:r>
    </w:p>
    <w:p w14:paraId="639D64A2">
      <w:r>
        <w:rPr>
          <w:rFonts w:hint="eastAsia"/>
        </w:rPr>
        <w:t>A2.2磋商小组的分工</w:t>
      </w:r>
    </w:p>
    <w:p w14:paraId="11A5ED5C">
      <w:r>
        <w:rPr>
          <w:rFonts w:hint="eastAsia"/>
        </w:rPr>
        <w:t xml:space="preserve">    磋商小组首先推选一名磋商小组主任。采购单位也可以直接指定磋商小组主任。磋商小组主任负责评标活动的组织领导工作。磋商小组主任在与其他磋商小组成员商议的基础上可以将磋商小组划分为技术组和商务组。</w:t>
      </w:r>
    </w:p>
    <w:p w14:paraId="260090BB">
      <w:r>
        <w:rPr>
          <w:rFonts w:hint="eastAsia"/>
        </w:rPr>
        <w:t>A2.3熟悉文件资料</w:t>
      </w:r>
    </w:p>
    <w:p w14:paraId="6035346E">
      <w:r>
        <w:rPr>
          <w:rFonts w:hint="eastAsia"/>
        </w:rPr>
        <w:t xml:space="preserve">    A2.3.1磋商小组主任应组织磋商小组成员认真研究竞争性磋商文件，了解和熟悉招标目的、招标范围、主要合同条件、技术标准和要求、质量标准和工期要求，掌握评标标准和方法，熟悉本章及附件中包括的评标表格的使用，如果本章及附件所附的表格不能满足评标所需时，磋商小组应补充编制评标所需的表格，尤其是用于详细分析计算的表格。未在竞争性磋商文件中规定的标准和方法不得作为评标的依据。</w:t>
      </w:r>
    </w:p>
    <w:p w14:paraId="0224DD42">
      <w:r>
        <w:rPr>
          <w:rFonts w:hint="eastAsia"/>
        </w:rPr>
        <w:t xml:space="preserve">    A2.3.2采购单位或招标代理机构应向磋商小组提供评标所需的信息和数据，包括竞争性磋商文件、未在开标会上当场拒绝的各响应文件、开标会记录、标底（如有）、工程所在地工程造价管理部门颁布的工程造价信息、定额（如作为计价依据时）、有关的法律、法规、规章、国家标准以及采购单位或磋商小组认为必要的其他信息和数据。</w:t>
      </w:r>
    </w:p>
    <w:p w14:paraId="486AF998">
      <w:r>
        <w:rPr>
          <w:rFonts w:hint="eastAsia"/>
        </w:rPr>
        <w:t>A3初步评审</w:t>
      </w:r>
    </w:p>
    <w:p w14:paraId="6CCD8468">
      <w:r>
        <w:rPr>
          <w:rFonts w:hint="eastAsia"/>
        </w:rPr>
        <w:t>A3.1形式评审</w:t>
      </w:r>
    </w:p>
    <w:p w14:paraId="28015635">
      <w:r>
        <w:rPr>
          <w:rFonts w:hint="eastAsia"/>
        </w:rPr>
        <w:t xml:space="preserve">    磋商小组根据评标办法前附表中规定的评审因素和评审标准，对响应单位的响应文件进行形式评审，并使用附表A一2记录评审结果。</w:t>
      </w:r>
    </w:p>
    <w:p w14:paraId="0827DB64">
      <w:r>
        <w:rPr>
          <w:rFonts w:hint="eastAsia"/>
        </w:rPr>
        <w:t>A3.2资格评审</w:t>
      </w:r>
    </w:p>
    <w:p w14:paraId="14FA117A">
      <w:r>
        <w:rPr>
          <w:rFonts w:hint="eastAsia"/>
        </w:rPr>
        <w:t xml:space="preserve">    A3.2.1  磋商小组根据评标办法前附表中规定的评审因素和评审标准，对响应单位的响应文件进行资格评审，并使用附表A一3记录评审结果。</w:t>
      </w:r>
    </w:p>
    <w:p w14:paraId="5038E5D9">
      <w:r>
        <w:rPr>
          <w:rFonts w:hint="eastAsia"/>
        </w:rPr>
        <w:t>A3.3响应性评审</w:t>
      </w:r>
    </w:p>
    <w:p w14:paraId="5B6393A6">
      <w:r>
        <w:rPr>
          <w:rFonts w:hint="eastAsia"/>
        </w:rPr>
        <w:t xml:space="preserve">    A3.3.1磋商小组根据评标办法前附表中规定的评审因素和评审标准，对响应单位的响应文件进行响应性评审，并使用附表A-4记录评审结果。</w:t>
      </w:r>
    </w:p>
    <w:p w14:paraId="4AE3754B">
      <w:r>
        <w:rPr>
          <w:rFonts w:hint="eastAsia"/>
        </w:rPr>
        <w:t xml:space="preserve">    A3.3-2响应单位投标</w:t>
      </w:r>
      <w:r>
        <w:rPr>
          <w:rFonts w:hint="eastAsia"/>
          <w:lang w:val="en-US" w:eastAsia="zh-CN"/>
        </w:rPr>
        <w:t>报价</w:t>
      </w:r>
      <w:r>
        <w:rPr>
          <w:rFonts w:hint="eastAsia"/>
        </w:rPr>
        <w:t>不得超出（不含等于）按照第二章“响应单位须知”前附表载明的招标控制价</w:t>
      </w:r>
      <w:r>
        <w:rPr>
          <w:rFonts w:hint="eastAsia"/>
          <w:lang w:eastAsia="zh-CN"/>
        </w:rPr>
        <w:t>（</w:t>
      </w:r>
      <w:r>
        <w:rPr>
          <w:rFonts w:hint="eastAsia"/>
          <w:lang w:val="en-US" w:eastAsia="zh-CN"/>
        </w:rPr>
        <w:t>最高限价</w:t>
      </w:r>
      <w:r>
        <w:rPr>
          <w:rFonts w:hint="eastAsia"/>
          <w:lang w:eastAsia="zh-CN"/>
        </w:rPr>
        <w:t>）</w:t>
      </w:r>
      <w:r>
        <w:rPr>
          <w:rFonts w:hint="eastAsia"/>
        </w:rPr>
        <w:t>。凡响应单位的投标价格超出招标控制单价的，该响应单位的响应文件不能通过响应性评审。</w:t>
      </w:r>
    </w:p>
    <w:p w14:paraId="7A6F59A6">
      <w:r>
        <w:rPr>
          <w:rFonts w:hint="eastAsia"/>
        </w:rPr>
        <w:t>A3.4判断投标是否为废标</w:t>
      </w:r>
    </w:p>
    <w:p w14:paraId="4D85416A">
      <w:r>
        <w:rPr>
          <w:rFonts w:hint="eastAsia"/>
        </w:rPr>
        <w:t xml:space="preserve">    A3.4.1判断响应单位的投标是否为废标的全部条件（包括本章第3.1.2项中规定的条件），在本章附件B中集中列示。</w:t>
      </w:r>
    </w:p>
    <w:p w14:paraId="7F0CD426">
      <w:r>
        <w:rPr>
          <w:rFonts w:hint="eastAsia"/>
        </w:rPr>
        <w:t xml:space="preserve">    A3.4.2本章附件B集中列示的废标条件不应与第二章“响应单位须知”和本章正文部分包括的废标条件抵触，如果出现相互矛盾的情况，以第二章“响应单位须知”和本章正文部分的规定为准。</w:t>
      </w:r>
    </w:p>
    <w:p w14:paraId="0D9E2336">
      <w:r>
        <w:rPr>
          <w:rFonts w:hint="eastAsia"/>
        </w:rPr>
        <w:t xml:space="preserve">    A3.4.3磋商小组在评标（包括初步评审和详细评审）过程中，依据本章附件B中规定的废标条件判断响应单位的投标是否为废标。</w:t>
      </w:r>
    </w:p>
    <w:p w14:paraId="4277E313">
      <w:r>
        <w:rPr>
          <w:rFonts w:hint="eastAsia"/>
        </w:rPr>
        <w:t>A3.5算术错误修正</w:t>
      </w:r>
    </w:p>
    <w:p w14:paraId="7C6E40AB">
      <w:r>
        <w:rPr>
          <w:rFonts w:hint="eastAsia"/>
        </w:rPr>
        <w:t>磋商小组依据本章中规定的相关原则对投标报价中存在的算术错误进行修正，并根据算术错误修正结果计算评标价。</w:t>
      </w:r>
    </w:p>
    <w:p w14:paraId="0B0B256B">
      <w:r>
        <w:rPr>
          <w:rFonts w:hint="eastAsia"/>
        </w:rPr>
        <w:t>A3.6澄清、说明或补正</w:t>
      </w:r>
    </w:p>
    <w:p w14:paraId="5E34E2CA">
      <w:r>
        <w:rPr>
          <w:rFonts w:hint="eastAsia"/>
        </w:rPr>
        <w:t xml:space="preserve">    在初步评审过程中，磋商小组应当就响应文件中不明确的内容要求响应单位进行澄清、说明或者补正。响应单位对此以书面形式予以澄清、说明或者补正。澄清、说明或补正根据本章第3.3款的规定执行。</w:t>
      </w:r>
    </w:p>
    <w:p w14:paraId="275C3AEF">
      <w:r>
        <w:rPr>
          <w:rFonts w:hint="eastAsia"/>
        </w:rPr>
        <w:t>A4.详细评审</w:t>
      </w:r>
    </w:p>
    <w:p w14:paraId="2C080953">
      <w:r>
        <w:rPr>
          <w:rFonts w:hint="eastAsia"/>
        </w:rPr>
        <w:t xml:space="preserve">    只有通过了初步评审、被判定为合格的投标方可进入详细评审。</w:t>
      </w:r>
    </w:p>
    <w:p w14:paraId="72F15A76">
      <w:r>
        <w:rPr>
          <w:rFonts w:hint="eastAsia"/>
        </w:rPr>
        <w:t>A4.1详细评审的程序</w:t>
      </w:r>
    </w:p>
    <w:p w14:paraId="7A2F56A6">
      <w:r>
        <w:rPr>
          <w:rFonts w:hint="eastAsia"/>
        </w:rPr>
        <w:t xml:space="preserve">    A4.1.1  磋商小组按照本章第3.2款中规定的程序进行详细评审：</w:t>
      </w:r>
    </w:p>
    <w:p w14:paraId="661BBC3C">
      <w:r>
        <w:rPr>
          <w:rFonts w:hint="eastAsia"/>
        </w:rPr>
        <w:t xml:space="preserve">    (1)施工组织设计评审和评分；</w:t>
      </w:r>
    </w:p>
    <w:p w14:paraId="54021EBF">
      <w:r>
        <w:rPr>
          <w:rFonts w:hint="eastAsia"/>
        </w:rPr>
        <w:t xml:space="preserve">    (2)项目管理机构评审和评分；</w:t>
      </w:r>
    </w:p>
    <w:p w14:paraId="795565FA">
      <w:r>
        <w:rPr>
          <w:rFonts w:hint="eastAsia"/>
        </w:rPr>
        <w:t xml:space="preserve">    (3)投标报价评审和评分，并对明显低于其他投标报价的投标报价，或者在设有标底时明显低于标底的投标报价，判断是否低于其个别成本；</w:t>
      </w:r>
    </w:p>
    <w:p w14:paraId="400A849B">
      <w:r>
        <w:rPr>
          <w:rFonts w:hint="eastAsia"/>
        </w:rPr>
        <w:t xml:space="preserve">    (4)其他因素评审和评分；</w:t>
      </w:r>
    </w:p>
    <w:p w14:paraId="262039D1">
      <w:r>
        <w:rPr>
          <w:rFonts w:hint="eastAsia"/>
        </w:rPr>
        <w:t xml:space="preserve">    (5)汇总评分结果。</w:t>
      </w:r>
    </w:p>
    <w:p w14:paraId="15D68F77">
      <w:r>
        <w:rPr>
          <w:rFonts w:hint="eastAsia"/>
        </w:rPr>
        <w:t xml:space="preserve">  A4.2施工组织设计评审和评分</w:t>
      </w:r>
    </w:p>
    <w:p w14:paraId="34A3CD22">
      <w:r>
        <w:rPr>
          <w:rFonts w:hint="eastAsia"/>
        </w:rPr>
        <w:t xml:space="preserve">    A4.2.1按照评标办法前附表中规定的分值设定、各项评分因素、评分标准，对施工组织设计进行评审和评分，并使用附表A-5记录对施工组织设计的评分结果，施工组织设计的得分记录为A。</w:t>
      </w:r>
    </w:p>
    <w:p w14:paraId="2A0C44F1">
      <w:r>
        <w:rPr>
          <w:rFonts w:hint="eastAsia"/>
        </w:rPr>
        <w:t xml:space="preserve">  A4.3项目管理机构评审和评分</w:t>
      </w:r>
    </w:p>
    <w:p w14:paraId="26303BFD">
      <w:r>
        <w:rPr>
          <w:rFonts w:hint="eastAsia"/>
        </w:rPr>
        <w:t xml:space="preserve">    A4.3.1按照评标办法前附表中规定的分值设定，各项评分因素、评分标准，对项目管理机构进行评审和评分，并使用附表A-6记录对项目管理机构的评分结果，项目管理机构的得分记录为B。</w:t>
      </w:r>
    </w:p>
    <w:p w14:paraId="7EE09590">
      <w:r>
        <w:rPr>
          <w:rFonts w:hint="eastAsia"/>
        </w:rPr>
        <w:t xml:space="preserve">  A4.4投标报价评审和评分（仅按投标总报价进行评分）</w:t>
      </w:r>
    </w:p>
    <w:p w14:paraId="0E1C6AB4">
      <w:r>
        <w:rPr>
          <w:rFonts w:hint="eastAsia"/>
        </w:rPr>
        <w:t xml:space="preserve">    A4.4.1按照评标办法前附表中规定的方法计算“评标基准价”。</w:t>
      </w:r>
    </w:p>
    <w:p w14:paraId="0CC487DC">
      <w:r>
        <w:rPr>
          <w:rFonts w:hint="eastAsia"/>
        </w:rPr>
        <w:t xml:space="preserve">    A4.4.2按照评标办法前附表中规定的评分标准，对照投标报价的偏差率，分别对各个投标报价进行评分，使用附表A-7记录对投标报价的评分结果，投标报价的得分记录为C。</w:t>
      </w:r>
    </w:p>
    <w:p w14:paraId="24A55126">
      <w:r>
        <w:rPr>
          <w:rFonts w:hint="eastAsia"/>
        </w:rPr>
        <w:t xml:space="preserve">    A4.5其他因素的评审和评分</w:t>
      </w:r>
    </w:p>
    <w:p w14:paraId="1ADF6FCC">
      <w:r>
        <w:t xml:space="preserve">   </w:t>
      </w:r>
      <w:r>
        <w:rPr>
          <w:rFonts w:hint="eastAsia"/>
        </w:rPr>
        <w:t xml:space="preserve"> 根据评标办法前附表中规定的分值设定、各项评分因素和相应的评分标准，对其他因素（如果有）进行评审和评分，并使用附表A-8记录对其他因素的评分结果，其他因素的得分记录为D。</w:t>
      </w:r>
    </w:p>
    <w:p w14:paraId="7F494064">
      <w:r>
        <w:rPr>
          <w:rFonts w:hint="eastAsia"/>
        </w:rPr>
        <w:t>A4.6判断投标报价是否低于成本</w:t>
      </w:r>
    </w:p>
    <w:p w14:paraId="284C67DE">
      <w:r>
        <w:rPr>
          <w:rFonts w:hint="eastAsia"/>
        </w:rPr>
        <w:t xml:space="preserve">    根据本章第3.2.4项的规定，磋商小组根据本章附件C中规定的程序、标准和方法，判断投标报价是否低于其成本。由磋商小组认定响应单位以低于成本竞标的，其投标作废标处理。</w:t>
      </w:r>
    </w:p>
    <w:p w14:paraId="1329D36C">
      <w:r>
        <w:rPr>
          <w:rFonts w:hint="eastAsia"/>
        </w:rPr>
        <w:t>A4.7澄清、说明或补正</w:t>
      </w:r>
    </w:p>
    <w:p w14:paraId="1539955C">
      <w:r>
        <w:rPr>
          <w:rFonts w:hint="eastAsia"/>
        </w:rPr>
        <w:t xml:space="preserve">    在详细评审过程中，磋商小组应当就响应文件中不明确的内容要求响应单位进行澄清、说明或者补正。响应单位对此以书面形式予以澄清、说明或者补正。澄清、说明或补正根据本量第3.3款的规定执行。</w:t>
      </w:r>
    </w:p>
    <w:p w14:paraId="69A52080">
      <w:r>
        <w:rPr>
          <w:rFonts w:hint="eastAsia"/>
        </w:rPr>
        <w:t>A4.8汇总评分结果</w:t>
      </w:r>
    </w:p>
    <w:p w14:paraId="2F63C72E">
      <w:r>
        <w:rPr>
          <w:rFonts w:hint="eastAsia"/>
        </w:rPr>
        <w:t xml:space="preserve">    A4.8.1磋商小组成员应按照附表A-9的格式填写详细评审评分汇总表。</w:t>
      </w:r>
    </w:p>
    <w:p w14:paraId="32456E5A">
      <w:r>
        <w:rPr>
          <w:rFonts w:hint="eastAsia"/>
        </w:rPr>
        <w:t xml:space="preserve">    A4.8.2详细评审工作全部结束后，按照附表A-1O的格式汇总各个磋商小组成员的详细评审评分结果，并按照详细评审最终得分由高至低的次序对响应单位进行排序。</w:t>
      </w:r>
    </w:p>
    <w:p w14:paraId="3F8923CF">
      <w:r>
        <w:rPr>
          <w:rFonts w:hint="eastAsia"/>
        </w:rPr>
        <w:t>A5．  推荐中标候选人或者直接确定中标人</w:t>
      </w:r>
    </w:p>
    <w:p w14:paraId="7BDA7769">
      <w:r>
        <w:rPr>
          <w:rFonts w:hint="eastAsia"/>
        </w:rPr>
        <w:t>A5.1  推荐中标候选人</w:t>
      </w:r>
    </w:p>
    <w:p w14:paraId="4DEEF904">
      <w:r>
        <w:rPr>
          <w:rFonts w:hint="eastAsia"/>
        </w:rPr>
        <w:t xml:space="preserve">    A5.1.1  除第二章“响应单位须知”前附表第7.1款授权直接确定中标人外，磋商小组推荐中标候选人时，应遵照以下原则，并按附表A-11格式填写。</w:t>
      </w:r>
    </w:p>
    <w:p w14:paraId="22E13CA7">
      <w:r>
        <w:rPr>
          <w:rFonts w:hint="eastAsia"/>
        </w:rPr>
        <w:t xml:space="preserve">    (1)磋商小组按照最终得分由高至低的次序排列，并根据第二章“响应单位须知”前附表第7.1款规定的中标候选人数量，将排序在前的响应单位推荐为中标候选人。</w:t>
      </w:r>
    </w:p>
    <w:p w14:paraId="4E438F54">
      <w:r>
        <w:rPr>
          <w:rFonts w:hint="eastAsia"/>
        </w:rPr>
        <w:t xml:space="preserve">    (2)如果磋商小组根据本章的规定作废标处理后，有效投标不足三个，且少于第二章“响应单位须知”前附表第7.1款规定的中标候选人数量的，则磋商小组可以将所有有效投标按最终得分由高至低的次序作为中标候选人向采购单位推荐。如果因有效投标不足三个使得投标明显缺乏竞争的，磋商小组可以建议采购单位重新招标。</w:t>
      </w:r>
    </w:p>
    <w:p w14:paraId="35B91E50">
      <w:r>
        <w:rPr>
          <w:rFonts w:hint="eastAsia"/>
        </w:rPr>
        <w:t xml:space="preserve">  A5.2.2响应单位数量少于三个或者所有投标被否决的，采购单位应当依法重新招标。</w:t>
      </w:r>
    </w:p>
    <w:p w14:paraId="357A5E86">
      <w:r>
        <w:rPr>
          <w:rFonts w:hint="eastAsia"/>
        </w:rPr>
        <w:t>A5.2直接确定中标人</w:t>
      </w:r>
    </w:p>
    <w:p w14:paraId="5A80BFA2">
      <w:r>
        <w:rPr>
          <w:rFonts w:hint="eastAsia"/>
        </w:rPr>
        <w:t xml:space="preserve">    第二章“响应单位须知”前附表授权磋商小组直接确定中标人的，磋商小组按照最终得分由高至低的次序排列，并确定排名第一的响应单位为中标人。</w:t>
      </w:r>
    </w:p>
    <w:p w14:paraId="45C79734">
      <w:r>
        <w:rPr>
          <w:rFonts w:hint="eastAsia"/>
        </w:rPr>
        <w:t>A5.3编制评标报告</w:t>
      </w:r>
    </w:p>
    <w:p w14:paraId="35CA8172">
      <w:r>
        <w:rPr>
          <w:rFonts w:hint="eastAsia"/>
        </w:rPr>
        <w:t xml:space="preserve">    磋商小组根据本章第3.4.2项的规定向采购单位提交评标报告。评标报告应当由全体磋商小组成员签字，并于评标结束时抄送有关行政监督部门。评标报告应当包括以下内容：</w:t>
      </w:r>
    </w:p>
    <w:p w14:paraId="2718C45A">
      <w:r>
        <w:rPr>
          <w:rFonts w:hint="eastAsia"/>
        </w:rPr>
        <w:t xml:space="preserve">    (1)基本情况和数据表；</w:t>
      </w:r>
    </w:p>
    <w:p w14:paraId="03FB100E">
      <w:r>
        <w:rPr>
          <w:rFonts w:hint="eastAsia"/>
        </w:rPr>
        <w:t xml:space="preserve">    (2)磋商小组成员名单；</w:t>
      </w:r>
    </w:p>
    <w:p w14:paraId="11481585">
      <w:r>
        <w:rPr>
          <w:rFonts w:hint="eastAsia"/>
        </w:rPr>
        <w:t xml:space="preserve">    (3)开标记录；</w:t>
      </w:r>
    </w:p>
    <w:p w14:paraId="4EFF02A1">
      <w:r>
        <w:rPr>
          <w:rFonts w:hint="eastAsia"/>
        </w:rPr>
        <w:t xml:space="preserve">    (4)符合要求的投标一览表；</w:t>
      </w:r>
    </w:p>
    <w:p w14:paraId="0B103473">
      <w:r>
        <w:rPr>
          <w:rFonts w:hint="eastAsia"/>
        </w:rPr>
        <w:t xml:space="preserve">    (5)废标情况说明；</w:t>
      </w:r>
    </w:p>
    <w:p w14:paraId="71865967">
      <w:r>
        <w:rPr>
          <w:rFonts w:hint="eastAsia"/>
        </w:rPr>
        <w:t xml:space="preserve">    (6)评标标准、评标方法或者评标因素一览表；</w:t>
      </w:r>
    </w:p>
    <w:p w14:paraId="4952B261">
      <w:r>
        <w:rPr>
          <w:rFonts w:hint="eastAsia"/>
        </w:rPr>
        <w:t xml:space="preserve">    (7)经评审的价格一览表（包括磋商小组在评标过程中所形成的所有记载评标结果、结论的表格、说明、记录等文件）；</w:t>
      </w:r>
    </w:p>
    <w:p w14:paraId="31753FA6">
      <w:r>
        <w:rPr>
          <w:rFonts w:hint="eastAsia"/>
        </w:rPr>
        <w:t xml:space="preserve">    (8)经评审的响应单位排序；</w:t>
      </w:r>
    </w:p>
    <w:p w14:paraId="0A814973">
      <w:r>
        <w:rPr>
          <w:rFonts w:hint="eastAsia"/>
        </w:rPr>
        <w:t xml:space="preserve">    (9)推荐的中标候选人名单（如果第二章“响应单位须知”前附表授权磋商小组直接确定中标人，则为“确定的中标人”）与签订合同前要处理的事宜；</w:t>
      </w:r>
    </w:p>
    <w:p w14:paraId="1441266A">
      <w:r>
        <w:rPr>
          <w:rFonts w:hint="eastAsia"/>
        </w:rPr>
        <w:t xml:space="preserve">    (10)澄清、说明、补正事项纪要。</w:t>
      </w:r>
    </w:p>
    <w:p w14:paraId="0CF8D8A8">
      <w:r>
        <w:rPr>
          <w:rFonts w:hint="eastAsia"/>
        </w:rPr>
        <w:t>A6.特殊情况的处置程序</w:t>
      </w:r>
    </w:p>
    <w:p w14:paraId="2A5339AD">
      <w:r>
        <w:rPr>
          <w:rFonts w:hint="eastAsia"/>
        </w:rPr>
        <w:t>A6.1关于评标活动暂停</w:t>
      </w:r>
    </w:p>
    <w:p w14:paraId="7F1C1910">
      <w:r>
        <w:rPr>
          <w:rFonts w:hint="eastAsia"/>
        </w:rPr>
        <w:t xml:space="preserve">    A6. 1. 1磋商小组应当执行连续评标的原则，按评标办法中规定的程序、内容、方法、标准完成全部评标工作。只有发生不可抗力导致评标工作无法继续时，评标活动方可暂停。</w:t>
      </w:r>
    </w:p>
    <w:p w14:paraId="6F9D44DC">
      <w:r>
        <w:rPr>
          <w:rFonts w:hint="eastAsia"/>
        </w:rPr>
        <w:t xml:space="preserve">    A6. 1.2发生评标暂停情况时，磋商小组应当封存全部响应文件和评标记录，待不可抗力的影响结束具备继续评标的条件时，由原磋商小组继续评标。</w:t>
      </w:r>
    </w:p>
    <w:p w14:paraId="55E320B3">
      <w:r>
        <w:rPr>
          <w:rFonts w:hint="eastAsia"/>
        </w:rPr>
        <w:t>A6.3关于评标中途更换评委</w:t>
      </w:r>
    </w:p>
    <w:p w14:paraId="5EE55565">
      <w:r>
        <w:rPr>
          <w:rFonts w:hint="eastAsia"/>
        </w:rPr>
        <w:t xml:space="preserve">  A6.3.1  除非发生下列情况之一，磋商小组成员不得在评标中途更换：</w:t>
      </w:r>
    </w:p>
    <w:p w14:paraId="73536283">
      <w:r>
        <w:rPr>
          <w:rFonts w:hint="eastAsia"/>
        </w:rPr>
        <w:t xml:space="preserve">  (l)因不可抗拒的客观原因，不能到场或需在评标中途退出评标活动。</w:t>
      </w:r>
    </w:p>
    <w:p w14:paraId="5B8C2C0B">
      <w:r>
        <w:rPr>
          <w:rFonts w:hint="eastAsia"/>
        </w:rPr>
        <w:t xml:space="preserve">  (2)根据法律法规规定，某个或某儿个磋商小组成员需要回避。</w:t>
      </w:r>
    </w:p>
    <w:p w14:paraId="2A7C88F9">
      <w:r>
        <w:rPr>
          <w:rFonts w:hint="eastAsia"/>
        </w:rPr>
        <w:t xml:space="preserve">  A6.3.2退出评标的磋商小组成员，其已完成的评标行为无效。由采购单位根据本竞争性磋商文件规定的磋商小组成员生产方式另行确定替代者进行评标。</w:t>
      </w:r>
    </w:p>
    <w:p w14:paraId="2E9F7FC0">
      <w:r>
        <w:rPr>
          <w:rFonts w:hint="eastAsia"/>
        </w:rPr>
        <w:t>A6.4记名投票</w:t>
      </w:r>
    </w:p>
    <w:p w14:paraId="5FE45398">
      <w:r>
        <w:rPr>
          <w:rFonts w:hint="eastAsia"/>
        </w:rPr>
        <w:t xml:space="preserve">    在任何评标环节中，需磋商小组就某项定性的评审结论做出表决的，由磋商小组全体成员按照少数服从多数的原则，以记名投票方式表决。</w:t>
      </w:r>
    </w:p>
    <w:p w14:paraId="53890848">
      <w:pPr>
        <w:widowControl/>
        <w:spacing w:line="240" w:lineRule="auto"/>
        <w:jc w:val="left"/>
      </w:pPr>
      <w:r>
        <w:br w:type="page"/>
      </w:r>
    </w:p>
    <w:p w14:paraId="7B7159F3">
      <w:r>
        <w:rPr>
          <w:rFonts w:hint="eastAsia"/>
        </w:rPr>
        <w:t>附件B：废标条件</w:t>
      </w:r>
    </w:p>
    <w:p w14:paraId="02521D5A">
      <w:r>
        <w:rPr>
          <w:rFonts w:hint="eastAsia"/>
        </w:rPr>
        <w:t>废标条件</w:t>
      </w:r>
    </w:p>
    <w:p w14:paraId="70773513">
      <w:r>
        <w:rPr>
          <w:rFonts w:hint="eastAsia"/>
        </w:rPr>
        <w:t>BO.总则</w:t>
      </w:r>
    </w:p>
    <w:p w14:paraId="686E7F70">
      <w:r>
        <w:rPr>
          <w:rFonts w:hint="eastAsia"/>
        </w:rPr>
        <w:t xml:space="preserve">    本附件所集中列示的废标条件，是本章“评标办法”的组成部分，是对第二章“响应单位须知”和本章正文部分所规定的废标条件的总结和补充，如果出现相互矛盾的情况，以第二章“响应单位须知”和本章正文部分的规定为准。</w:t>
      </w:r>
    </w:p>
    <w:p w14:paraId="2653488E">
      <w:r>
        <w:rPr>
          <w:rFonts w:hint="eastAsia"/>
        </w:rPr>
        <w:t>B1.废标条件</w:t>
      </w:r>
    </w:p>
    <w:p w14:paraId="4E6AE3AF">
      <w:r>
        <w:rPr>
          <w:rFonts w:hint="eastAsia"/>
        </w:rPr>
        <w:t xml:space="preserve">    响应单位或其响应文件有下列情形之一的，其投标作废标处理：</w:t>
      </w:r>
    </w:p>
    <w:p w14:paraId="236AA2B5">
      <w:r>
        <w:rPr>
          <w:rFonts w:hint="eastAsia"/>
        </w:rPr>
        <w:t xml:space="preserve">    B1.1有第二章“响应单位须知”第1.4.</w:t>
      </w:r>
      <w:r>
        <w:t>2</w:t>
      </w:r>
      <w:r>
        <w:rPr>
          <w:rFonts w:hint="eastAsia"/>
        </w:rPr>
        <w:t>项规定的任何一种情形的。</w:t>
      </w:r>
    </w:p>
    <w:p w14:paraId="2DB95C12">
      <w:r>
        <w:rPr>
          <w:rFonts w:hint="eastAsia"/>
        </w:rPr>
        <w:t xml:space="preserve">    B1.2有串通投标或弄虚作假或有其他违法行为的。</w:t>
      </w:r>
    </w:p>
    <w:p w14:paraId="3B6D30CF">
      <w:r>
        <w:rPr>
          <w:rFonts w:hint="eastAsia"/>
        </w:rPr>
        <w:t xml:space="preserve">    B1.3不按磋商小组要求澄清、说明或补正的。</w:t>
      </w:r>
    </w:p>
    <w:p w14:paraId="14DE33C2">
      <w:r>
        <w:rPr>
          <w:rFonts w:hint="eastAsia"/>
        </w:rPr>
        <w:t xml:space="preserve">    B1.4在形式评审、资格评审（适用于未进行资格预审的）、响应性评审中，磋商小组认定响应单位的投标不符合评标办法前附表中规定的任何一项评审标准的。</w:t>
      </w:r>
    </w:p>
    <w:p w14:paraId="39CAD378">
      <w:r>
        <w:rPr>
          <w:rFonts w:hint="eastAsia"/>
        </w:rPr>
        <w:t xml:space="preserve">    B1.5 投标报价文件（投标函除外）未经有资格的，工程造价专业人员签字并加盖执业专用章的；</w:t>
      </w:r>
    </w:p>
    <w:p w14:paraId="1F6C3824">
      <w:r>
        <w:rPr>
          <w:rFonts w:hint="eastAsia"/>
        </w:rPr>
        <w:t xml:space="preserve">    B1-6磋商小组认定响应单位以低于成本报价竞标的。</w:t>
      </w:r>
    </w:p>
    <w:p w14:paraId="3CA08B50">
      <w:r>
        <w:rPr>
          <w:rFonts w:hint="eastAsia"/>
        </w:rPr>
        <w:t xml:space="preserve">    B1.7响应单位未按第二章“响应单位须知”第10.6款规定出席开标会的。</w:t>
      </w:r>
      <w:r>
        <w:br w:type="page"/>
      </w:r>
    </w:p>
    <w:p w14:paraId="34B1A34F">
      <w:r>
        <w:rPr>
          <w:rFonts w:hint="eastAsia"/>
        </w:rPr>
        <w:t>附件C：响应单位成本评审办法</w:t>
      </w:r>
    </w:p>
    <w:p w14:paraId="1B33D3AA">
      <w:r>
        <w:rPr>
          <w:rFonts w:hint="eastAsia"/>
        </w:rPr>
        <w:t>C</w:t>
      </w:r>
      <w:r>
        <w:t>0.</w:t>
      </w:r>
      <w:r>
        <w:rPr>
          <w:rFonts w:hint="eastAsia"/>
        </w:rPr>
        <w:t>总则</w:t>
      </w:r>
    </w:p>
    <w:p w14:paraId="2E0D6DAA">
      <w:r>
        <w:rPr>
          <w:rFonts w:hint="eastAsia"/>
        </w:rPr>
        <w:t xml:space="preserve">  本附件是本章“评标办法”的组成部分，磋商小组按照本章第3.2.4项的规定，对响应单位投标报价是否低于其成本进行评审和判断时，适用本附件所规定的办法。</w:t>
      </w:r>
    </w:p>
    <w:p w14:paraId="761DBC9A">
      <w:r>
        <w:rPr>
          <w:rFonts w:hint="eastAsia"/>
        </w:rPr>
        <w:t>C1.评审程序</w:t>
      </w:r>
    </w:p>
    <w:p w14:paraId="68D78AA9">
      <w:r>
        <w:rPr>
          <w:rFonts w:hint="eastAsia"/>
        </w:rPr>
        <w:t>C1.1启动成本评审工作的前提条件</w:t>
      </w:r>
    </w:p>
    <w:p w14:paraId="22189725">
      <w:r>
        <w:rPr>
          <w:rFonts w:hint="eastAsia"/>
        </w:rPr>
        <w:t xml:space="preserve">  在满足下列两项条件的前提下，磋商小组应当启动并进行本办法所规定的评审：</w:t>
      </w:r>
    </w:p>
    <w:p w14:paraId="04C2875A">
      <w:r>
        <w:rPr>
          <w:rFonts w:hint="eastAsia"/>
        </w:rPr>
        <w:t xml:space="preserve">  CI.1.1响应单位的响应文件已经通过本章“评标办法”规定的“初步评审”，不存在应当废标的情形；</w:t>
      </w:r>
    </w:p>
    <w:p w14:paraId="28CC1C9F">
      <w:r>
        <w:rPr>
          <w:rFonts w:hint="eastAsia"/>
        </w:rPr>
        <w:t xml:space="preserve">  CI.1.2响应单位的投标报价低于（含等于）招标控制价</w:t>
      </w:r>
      <w:r>
        <w:rPr>
          <w:rFonts w:hint="eastAsia"/>
          <w:lang w:eastAsia="zh-CN"/>
        </w:rPr>
        <w:t>（</w:t>
      </w:r>
      <w:r>
        <w:rPr>
          <w:rFonts w:hint="eastAsia"/>
          <w:lang w:val="en-US" w:eastAsia="zh-CN"/>
        </w:rPr>
        <w:t>最高限价</w:t>
      </w:r>
      <w:r>
        <w:rPr>
          <w:rFonts w:hint="eastAsia"/>
          <w:lang w:eastAsia="zh-CN"/>
        </w:rPr>
        <w:t>）</w:t>
      </w:r>
      <w:r>
        <w:rPr>
          <w:rFonts w:hint="eastAsia"/>
        </w:rPr>
        <w:t>金额的。</w:t>
      </w:r>
    </w:p>
    <w:p w14:paraId="19B6DB5E">
      <w:r>
        <w:rPr>
          <w:rFonts w:hint="eastAsia"/>
        </w:rPr>
        <w:t>C1.2对投标价格的合理性进行评审</w:t>
      </w:r>
    </w:p>
    <w:p w14:paraId="0B548F37">
      <w:r>
        <w:rPr>
          <w:rFonts w:hint="eastAsia"/>
        </w:rPr>
        <w:t xml:space="preserve">    磋商小组对响应单位响应文件中的投标报价进行评审，评审内容包括：</w:t>
      </w:r>
    </w:p>
    <w:p w14:paraId="690043E4">
      <w:r>
        <w:rPr>
          <w:rFonts w:hint="eastAsia"/>
        </w:rPr>
        <w:t xml:space="preserve">    一、计算错误修正。磋商小组对投标报价算术计算错误进行修正、如有计算错误进行调整，通过集体询标，由响应单位确认。</w:t>
      </w:r>
    </w:p>
    <w:p w14:paraId="3EC279D3">
      <w:r>
        <w:rPr>
          <w:rFonts w:hint="eastAsia"/>
        </w:rPr>
        <w:t>C1.3有以下情况视为低于成本</w:t>
      </w:r>
    </w:p>
    <w:p w14:paraId="37939F20">
      <w:r>
        <w:rPr>
          <w:rFonts w:hint="eastAsia"/>
        </w:rPr>
        <w:t xml:space="preserve">    一、磋商小组发现响应单位的报价明显低于其他投标报价，或者在设有标底时明显低于标底，使得其投标报价可能低于其个别成本的，应当要求该响应单位作出书面说明并提供相应的证明材料。响应单位不能合理说明或者不能提供相应证明材料的，由磋商小组认定该响应单位以低于成本报价竞标，其投标作废标处理。</w:t>
      </w:r>
    </w:p>
    <w:p w14:paraId="56A63050">
      <w:r>
        <w:rPr>
          <w:rFonts w:hint="eastAsia"/>
        </w:rPr>
        <w:t xml:space="preserve">    二、响应单位的工程量清单、措施项目清单、其他项目清单报价，如果漏项金额超过其利润金额；主要材料价格的报价明显低于市场价格，金额超过其利润金额。</w:t>
      </w:r>
    </w:p>
    <w:p w14:paraId="311BCB8F">
      <w:pPr>
        <w:sectPr>
          <w:type w:val="continuous"/>
          <w:pgSz w:w="11906" w:h="16838"/>
          <w:pgMar w:top="1440" w:right="1800" w:bottom="1440" w:left="1800" w:header="851" w:footer="992" w:gutter="0"/>
          <w:cols w:space="720" w:num="1"/>
          <w:titlePg/>
          <w:docGrid w:type="lines" w:linePitch="312" w:charSpace="0"/>
        </w:sectPr>
      </w:pPr>
    </w:p>
    <w:bookmarkEnd w:id="402"/>
    <w:bookmarkEnd w:id="403"/>
    <w:bookmarkEnd w:id="404"/>
    <w:bookmarkEnd w:id="405"/>
    <w:bookmarkEnd w:id="406"/>
    <w:bookmarkEnd w:id="407"/>
    <w:bookmarkEnd w:id="408"/>
    <w:p w14:paraId="4C79C660">
      <w:bookmarkStart w:id="486" w:name="_Toc152042387"/>
      <w:bookmarkStart w:id="487" w:name="_Toc179632627"/>
      <w:bookmarkStart w:id="488" w:name="_Toc247085767"/>
      <w:bookmarkStart w:id="489" w:name="_Toc43721428"/>
      <w:bookmarkStart w:id="490" w:name="_Toc71552371"/>
      <w:bookmarkStart w:id="491" w:name="_Toc246996995"/>
      <w:bookmarkStart w:id="492" w:name="_Toc71552337"/>
      <w:bookmarkStart w:id="493" w:name="_Toc144974577"/>
      <w:bookmarkStart w:id="494" w:name="_Toc246996252"/>
      <w:bookmarkStart w:id="495" w:name="_Toc152045609"/>
    </w:p>
    <w:p w14:paraId="0B84842A"/>
    <w:p w14:paraId="14970968">
      <w:pPr>
        <w:widowControl/>
        <w:spacing w:line="240" w:lineRule="auto"/>
        <w:jc w:val="left"/>
      </w:pPr>
      <w:r>
        <w:br w:type="page"/>
      </w:r>
    </w:p>
    <w:p w14:paraId="4E4293AC"/>
    <w:p w14:paraId="3BD756A7"/>
    <w:p w14:paraId="6A27EAAF"/>
    <w:p w14:paraId="4E78FC7B"/>
    <w:p w14:paraId="55321390"/>
    <w:p w14:paraId="3B6C1E2C"/>
    <w:p w14:paraId="6C00E14E"/>
    <w:p w14:paraId="02F570CB"/>
    <w:p w14:paraId="42100750"/>
    <w:p w14:paraId="1C7C8293"/>
    <w:p w14:paraId="4D550426">
      <w:pPr>
        <w:pStyle w:val="3"/>
      </w:pPr>
      <w:bookmarkStart w:id="496" w:name="_Toc30801"/>
      <w:r>
        <w:rPr>
          <w:rFonts w:hint="eastAsia"/>
        </w:rPr>
        <w:t>第四章 合同条款及格式</w:t>
      </w:r>
      <w:bookmarkEnd w:id="486"/>
      <w:bookmarkEnd w:id="487"/>
      <w:bookmarkEnd w:id="488"/>
      <w:bookmarkEnd w:id="489"/>
      <w:bookmarkEnd w:id="490"/>
      <w:bookmarkEnd w:id="491"/>
      <w:bookmarkEnd w:id="492"/>
      <w:bookmarkEnd w:id="493"/>
      <w:bookmarkEnd w:id="494"/>
      <w:bookmarkEnd w:id="495"/>
      <w:bookmarkEnd w:id="496"/>
    </w:p>
    <w:p w14:paraId="177DED2C"/>
    <w:p w14:paraId="11AE60C9"/>
    <w:p w14:paraId="5268E8F4">
      <w:pPr>
        <w:rPr>
          <w:b/>
        </w:rPr>
      </w:pPr>
      <w:r>
        <w:br w:type="page"/>
      </w:r>
      <w:r>
        <w:rPr>
          <w:rFonts w:hint="eastAsia"/>
          <w:b/>
        </w:rPr>
        <w:t>此合同文本仅为通用参考合同文本，在确定中标人后，双方将对商务、技术、保修承诺等内容签订更加详细的内容，采购单位保留对合同条款的修改的权力。</w:t>
      </w:r>
    </w:p>
    <w:p w14:paraId="7AE753AD">
      <w:pPr>
        <w:pStyle w:val="3"/>
        <w:sectPr>
          <w:footerReference r:id="rId9" w:type="default"/>
          <w:type w:val="continuous"/>
          <w:pgSz w:w="11906" w:h="16838"/>
          <w:pgMar w:top="1440" w:right="1800" w:bottom="1440" w:left="1800" w:header="851" w:footer="851" w:gutter="0"/>
          <w:cols w:space="720" w:num="1"/>
          <w:docGrid w:linePitch="312" w:charSpace="0"/>
        </w:sectPr>
      </w:pPr>
    </w:p>
    <w:p w14:paraId="1BE8C4B7">
      <w:bookmarkStart w:id="497" w:name="_Toc144974578"/>
      <w:bookmarkStart w:id="498" w:name="_Toc246996996"/>
      <w:bookmarkStart w:id="499" w:name="_Toc43721429"/>
      <w:bookmarkStart w:id="500" w:name="_Toc152045610"/>
      <w:bookmarkStart w:id="501" w:name="_Toc247085768"/>
      <w:bookmarkStart w:id="502" w:name="_Toc152042388"/>
      <w:bookmarkStart w:id="503" w:name="_Toc246996253"/>
      <w:bookmarkStart w:id="504" w:name="_Toc179632628"/>
      <w:r>
        <w:rPr>
          <w:rFonts w:hint="eastAsia"/>
        </w:rPr>
        <w:t>第一节 通用合同条款</w:t>
      </w:r>
      <w:bookmarkEnd w:id="497"/>
      <w:bookmarkEnd w:id="498"/>
      <w:bookmarkEnd w:id="499"/>
      <w:bookmarkEnd w:id="500"/>
      <w:bookmarkEnd w:id="501"/>
      <w:bookmarkEnd w:id="502"/>
      <w:bookmarkEnd w:id="503"/>
      <w:bookmarkEnd w:id="504"/>
    </w:p>
    <w:p w14:paraId="4287FE07">
      <w:bookmarkStart w:id="505" w:name="_Toc184635098"/>
      <w:bookmarkStart w:id="506" w:name="_Toc246996254"/>
      <w:bookmarkStart w:id="507" w:name="_Toc246996997"/>
      <w:bookmarkStart w:id="508" w:name="_Toc247085769"/>
      <w:bookmarkStart w:id="509" w:name="_Toc296602499"/>
      <w:r>
        <w:rPr>
          <w:rFonts w:hint="eastAsia"/>
        </w:rPr>
        <w:t>1. 一般约定</w:t>
      </w:r>
      <w:bookmarkEnd w:id="505"/>
      <w:bookmarkEnd w:id="506"/>
      <w:bookmarkEnd w:id="507"/>
      <w:bookmarkEnd w:id="508"/>
      <w:bookmarkEnd w:id="509"/>
    </w:p>
    <w:p w14:paraId="7014D81E">
      <w:bookmarkStart w:id="510" w:name="_Toc246996998"/>
      <w:bookmarkStart w:id="511" w:name="_Toc246996255"/>
      <w:bookmarkStart w:id="512" w:name="_Toc247085770"/>
      <w:bookmarkStart w:id="513" w:name="_Toc296602500"/>
      <w:r>
        <w:rPr>
          <w:rFonts w:hint="eastAsia"/>
        </w:rPr>
        <w:t>1.1 词语定义</w:t>
      </w:r>
      <w:bookmarkEnd w:id="510"/>
      <w:bookmarkEnd w:id="511"/>
      <w:bookmarkEnd w:id="512"/>
      <w:bookmarkEnd w:id="513"/>
    </w:p>
    <w:p w14:paraId="2F71FFCA">
      <w:r>
        <w:rPr>
          <w:rFonts w:hint="eastAsia"/>
        </w:rPr>
        <w:t>通用合同条款、专用合同条款中的下列词语应具有本款所赋予的含义。</w:t>
      </w:r>
    </w:p>
    <w:p w14:paraId="47FD9847">
      <w:r>
        <w:t xml:space="preserve">1.1.1 </w:t>
      </w:r>
      <w:r>
        <w:rPr>
          <w:rFonts w:hint="eastAsia"/>
        </w:rPr>
        <w:t>合同</w:t>
      </w:r>
    </w:p>
    <w:p w14:paraId="4EFFBA4C">
      <w:r>
        <w:rPr>
          <w:rFonts w:hint="eastAsia"/>
        </w:rPr>
        <w:t>1.1.1.1 合同文件（或称合同）：指合同协议书、成交通知书、投标函及投标函附录、专用合同条款、通用合同条款、技术标准和要求、图纸、已标价工程量清单，以及其他合同文件。</w:t>
      </w:r>
    </w:p>
    <w:p w14:paraId="17D2B84E">
      <w:r>
        <w:rPr>
          <w:rFonts w:hint="eastAsia"/>
        </w:rPr>
        <w:t>1.1.1.2 合同协议书：指第1.5 款所指的合同协议书。</w:t>
      </w:r>
    </w:p>
    <w:p w14:paraId="50E8DE0E">
      <w:r>
        <w:rPr>
          <w:rFonts w:hint="eastAsia"/>
        </w:rPr>
        <w:t>1.1.1.3 成交通知书：指发包人通知承包人中标的函件。成交通知书随附的澄清、说明、补正事项纪要等，是成交通知书的组成部分。</w:t>
      </w:r>
    </w:p>
    <w:p w14:paraId="700E4D19">
      <w:r>
        <w:rPr>
          <w:rFonts w:hint="eastAsia"/>
        </w:rPr>
        <w:t>1.1.1.4 投标函：指构成合同文件组成部分的由承包人填写并签署的投标函。</w:t>
      </w:r>
    </w:p>
    <w:p w14:paraId="26A442E2">
      <w:r>
        <w:rPr>
          <w:rFonts w:hint="eastAsia"/>
        </w:rPr>
        <w:t>1.1.1.5 投标函附录：指附在投标函后构成合同文件的投标函附录。</w:t>
      </w:r>
    </w:p>
    <w:p w14:paraId="74C995ED">
      <w:r>
        <w:rPr>
          <w:rFonts w:hint="eastAsia"/>
        </w:rPr>
        <w:t>1.1.1.6 技术标准和要求：指构成合同文件组成部分的名为技术标准和要求的文件，以及合同双方当事人约定对其所作的修改或补充。</w:t>
      </w:r>
    </w:p>
    <w:p w14:paraId="2E37508E">
      <w:r>
        <w:rPr>
          <w:rFonts w:hint="eastAsia"/>
        </w:rPr>
        <w:t>1.1.1.7 图纸：指包含在合同中的工程图纸，以及由发包人按合同约定提供的任何补充和修改的图纸，包括配套的说明。</w:t>
      </w:r>
    </w:p>
    <w:p w14:paraId="11F89CFE">
      <w:r>
        <w:rPr>
          <w:rFonts w:hint="eastAsia"/>
        </w:rPr>
        <w:t>1.1.1.8 已标价工程量清单：指构成合同文件组成部分的由承包人按照规定的格式和要求填写并标明价格的工程量清单。</w:t>
      </w:r>
    </w:p>
    <w:p w14:paraId="0DEFD91E">
      <w:r>
        <w:rPr>
          <w:rFonts w:hint="eastAsia"/>
        </w:rPr>
        <w:t>1.1.1.9 其他合同文件：指经合同双方当事人确认构成合同文件的其他文件。</w:t>
      </w:r>
    </w:p>
    <w:p w14:paraId="65939439">
      <w:r>
        <w:rPr>
          <w:rFonts w:hint="eastAsia"/>
        </w:rPr>
        <w:t>1.1.2 合同当事人和人员</w:t>
      </w:r>
    </w:p>
    <w:p w14:paraId="2042BECE">
      <w:r>
        <w:rPr>
          <w:rFonts w:hint="eastAsia"/>
        </w:rPr>
        <w:t>1.1.2.1 合同当事人：指发包人和（或）承包人。</w:t>
      </w:r>
    </w:p>
    <w:p w14:paraId="38BE5EBB">
      <w:r>
        <w:rPr>
          <w:rFonts w:hint="eastAsia"/>
        </w:rPr>
        <w:t xml:space="preserve">1.1.2.2 发包人：指专用合同条款中指明并与承包人在合同协议书中签字的当事人。 </w:t>
      </w:r>
    </w:p>
    <w:p w14:paraId="3CCC0067">
      <w:r>
        <w:rPr>
          <w:rFonts w:hint="eastAsia"/>
        </w:rPr>
        <w:t>1.1.2.3 承包人：指与发包人签订合同协议书的当事人。</w:t>
      </w:r>
    </w:p>
    <w:p w14:paraId="16F9571E">
      <w:r>
        <w:rPr>
          <w:rFonts w:hint="eastAsia"/>
        </w:rPr>
        <w:t>1.1.2.4 承包人项目经理：指承包人派驻施工场地的全权负责人。</w:t>
      </w:r>
    </w:p>
    <w:p w14:paraId="36B7E0B0">
      <w:r>
        <w:rPr>
          <w:rFonts w:hint="eastAsia"/>
        </w:rPr>
        <w:t>1.1.2.5 监理人：指在专用合同条款中指明的，受发包人委托对合同履行实施管理的法人或其他组织。属于国家强制监理的，监理人应当具有相应的监理资质。</w:t>
      </w:r>
    </w:p>
    <w:p w14:paraId="4CA9FADB">
      <w:r>
        <w:rPr>
          <w:rFonts w:hint="eastAsia"/>
        </w:rPr>
        <w:t>1.1.2.6 总监理工程师（总监）：指由监理人委派常驻施工场地对合同履行实施管理的全权负责人。</w:t>
      </w:r>
    </w:p>
    <w:p w14:paraId="5B659477">
      <w:r>
        <w:rPr>
          <w:rFonts w:hint="eastAsia"/>
        </w:rPr>
        <w:t>1.1.3 工程和设备</w:t>
      </w:r>
    </w:p>
    <w:p w14:paraId="5049D87A">
      <w:r>
        <w:rPr>
          <w:rFonts w:hint="eastAsia"/>
        </w:rPr>
        <w:t>1.1.3.1 工程：指永久工程和（或）临时工程。</w:t>
      </w:r>
    </w:p>
    <w:p w14:paraId="09F44499">
      <w:r>
        <w:rPr>
          <w:rFonts w:hint="eastAsia"/>
        </w:rPr>
        <w:t>1.1.3.2 工程设备：指构成或计划构成永久工程一部分的机电设备、仪器装置、运载工具及其他类似的设备和装置。</w:t>
      </w:r>
    </w:p>
    <w:p w14:paraId="1356A769">
      <w:r>
        <w:rPr>
          <w:rFonts w:hint="eastAsia"/>
        </w:rPr>
        <w:t>1.1.3.3 施工场地（或称工地、现场）：指用于合同工程施工的场所，以及在合同中指定作为施工场地组成部分的其他场所，包括永久占地和临时占地。</w:t>
      </w:r>
    </w:p>
    <w:p w14:paraId="4B11FF7B">
      <w:r>
        <w:rPr>
          <w:rFonts w:hint="eastAsia"/>
        </w:rPr>
        <w:t>1.1.4 日期</w:t>
      </w:r>
    </w:p>
    <w:p w14:paraId="489AC8E4">
      <w:r>
        <w:rPr>
          <w:rFonts w:hint="eastAsia"/>
        </w:rPr>
        <w:t>1.1.4.1 开工通知：指监理人按第6.2款通知承包人开工的函件。</w:t>
      </w:r>
    </w:p>
    <w:p w14:paraId="21734C50">
      <w:r>
        <w:rPr>
          <w:rFonts w:hint="eastAsia"/>
        </w:rPr>
        <w:t>1.1.4.2 开工日期：指监理人按第6.2款发出的开工通知中写明的开工日期。</w:t>
      </w:r>
    </w:p>
    <w:p w14:paraId="43693BFA">
      <w:r>
        <w:rPr>
          <w:rFonts w:hint="eastAsia"/>
        </w:rPr>
        <w:t>1.1.4.3 工期：指承包人在投标函中承诺的完成合同工程所需的期限，包括按第6.3款、第6.4款约定所作的变更。</w:t>
      </w:r>
    </w:p>
    <w:p w14:paraId="5684D392">
      <w:r>
        <w:rPr>
          <w:rFonts w:hint="eastAsia"/>
        </w:rPr>
        <w:t>1.1.4.4 竣工日期：指第1.1.4.3目约定工期届满时的日期。实际竣工日期以工程接收证书中写明的日期为准。</w:t>
      </w:r>
    </w:p>
    <w:p w14:paraId="196D864A">
      <w:r>
        <w:rPr>
          <w:rFonts w:hint="eastAsia"/>
        </w:rPr>
        <w:t>1.1.4.5 缺陷责任期：指履行第12.1款约定的缺陷责任的期限，具体期限由专用合同条款约定。</w:t>
      </w:r>
    </w:p>
    <w:p w14:paraId="27482F48">
      <w:r>
        <w:rPr>
          <w:rFonts w:hint="eastAsia"/>
        </w:rPr>
        <w:t>1.1.4.6 天：除特别指明外，指日历天。合同中按天计算时间的，开始当天不计入，从次日开始计算。期限最后一天的截止时间为当天24:00。</w:t>
      </w:r>
    </w:p>
    <w:p w14:paraId="56A78BE3">
      <w:r>
        <w:rPr>
          <w:rFonts w:hint="eastAsia"/>
        </w:rPr>
        <w:t>1.1.5 合同价格和费用</w:t>
      </w:r>
    </w:p>
    <w:p w14:paraId="4AD80213">
      <w:r>
        <w:rPr>
          <w:rFonts w:hint="eastAsia"/>
        </w:rPr>
        <w:t>1.1.5.1 签约合同价：指签定合同时合同协议书中写明的，包括了暂列金额的合同总金额。</w:t>
      </w:r>
    </w:p>
    <w:p w14:paraId="01F4707A">
      <w:r>
        <w:rPr>
          <w:rFonts w:hint="eastAsia"/>
        </w:rPr>
        <w:t>1.1.5.2 合同价格：指承包人按合同约定完成了包括缺陷责任期内的全部承包工作后，发包人应付给承包人的金额，包括在履行合同过程中按合同约定进行的变更和调整。</w:t>
      </w:r>
    </w:p>
    <w:p w14:paraId="4295F16E">
      <w:r>
        <w:rPr>
          <w:rFonts w:hint="eastAsia"/>
        </w:rPr>
        <w:t>1.1.5.3 费用：指为履行合同所发生的或将要发生的所有合理开支，包括管理费和应分摊的其他费用，但不包括利润。</w:t>
      </w:r>
    </w:p>
    <w:p w14:paraId="2B838062">
      <w:r>
        <w:rPr>
          <w:rFonts w:hint="eastAsia"/>
        </w:rPr>
        <w:t>1.1.5.4 暂列金额：指已标价工程量清单中所列的暂列金额，用于在签订协议书时尚未确定或不可预见变更的施工及其所需材料、工程设备、服务等的金额，包括以计日工方式支付的金额。</w:t>
      </w:r>
    </w:p>
    <w:p w14:paraId="1CD956A8">
      <w:r>
        <w:rPr>
          <w:rFonts w:hint="eastAsia"/>
        </w:rPr>
        <w:t>1.1.5.5 计日工：指对零星工作采取的一种计价方式，按合同中的计日工子目及其单价计价付款。</w:t>
      </w:r>
    </w:p>
    <w:p w14:paraId="10DC096D">
      <w:r>
        <w:rPr>
          <w:rFonts w:hint="eastAsia"/>
        </w:rPr>
        <w:t>1.1.5.6 质量保证金（或称保留金）：指按第10.4款约定用于保证在缺陷责任期内履行缺陷修复义务的金额。</w:t>
      </w:r>
    </w:p>
    <w:p w14:paraId="2EF3FFDE">
      <w:r>
        <w:rPr>
          <w:rFonts w:hint="eastAsia"/>
        </w:rPr>
        <w:t>1.1.6 其他</w:t>
      </w:r>
    </w:p>
    <w:p w14:paraId="12754FD9">
      <w:r>
        <w:rPr>
          <w:rFonts w:hint="eastAsia"/>
        </w:rPr>
        <w:t>1.1.6.1 书面形式：指合同文件、信函、电报、传真、电子数据交换和电子邮件等可以有形地表现所载内容的形式。</w:t>
      </w:r>
    </w:p>
    <w:p w14:paraId="396ECAAE">
      <w:bookmarkStart w:id="514" w:name="_Toc246996256"/>
      <w:bookmarkStart w:id="515" w:name="_Toc246996999"/>
      <w:bookmarkStart w:id="516" w:name="_Toc247085771"/>
      <w:bookmarkStart w:id="517" w:name="_Toc296602501"/>
      <w:r>
        <w:rPr>
          <w:rFonts w:hint="eastAsia"/>
        </w:rPr>
        <w:t>1.2 语言文字</w:t>
      </w:r>
      <w:bookmarkEnd w:id="514"/>
      <w:bookmarkEnd w:id="515"/>
      <w:bookmarkEnd w:id="516"/>
      <w:bookmarkEnd w:id="517"/>
    </w:p>
    <w:p w14:paraId="44E3047C">
      <w:bookmarkStart w:id="518" w:name="_Toc246997000"/>
      <w:bookmarkStart w:id="519" w:name="_Toc247085772"/>
      <w:bookmarkStart w:id="520" w:name="_Toc246996257"/>
      <w:r>
        <w:rPr>
          <w:rFonts w:hint="eastAsia"/>
        </w:rPr>
        <w:t>合同使用的语言文字为中文。专用术语使用外文的，应附有中文注释。</w:t>
      </w:r>
    </w:p>
    <w:p w14:paraId="65D04DC0">
      <w:bookmarkStart w:id="521" w:name="_Toc296602502"/>
      <w:r>
        <w:rPr>
          <w:rFonts w:hint="eastAsia"/>
        </w:rPr>
        <w:t>1.3 法律</w:t>
      </w:r>
      <w:bookmarkEnd w:id="518"/>
      <w:bookmarkEnd w:id="519"/>
      <w:bookmarkEnd w:id="520"/>
      <w:bookmarkEnd w:id="521"/>
    </w:p>
    <w:p w14:paraId="6F1BDF53">
      <w:r>
        <w:rPr>
          <w:rFonts w:hint="eastAsia"/>
        </w:rPr>
        <w:t>适用于合同的法律包括中华人民共和国法律、行政法规、部门规章，以及工程所在地的地方法规、自治条例、单行条例和地方政府规章。</w:t>
      </w:r>
    </w:p>
    <w:p w14:paraId="522C08DA">
      <w:bookmarkStart w:id="522" w:name="_Toc247085773"/>
      <w:bookmarkStart w:id="523" w:name="_Toc246997001"/>
      <w:bookmarkStart w:id="524" w:name="_Toc296602503"/>
      <w:bookmarkStart w:id="525" w:name="_Toc246996258"/>
      <w:r>
        <w:rPr>
          <w:rFonts w:hint="eastAsia"/>
        </w:rPr>
        <w:t>1.4 合同文件的优先顺序</w:t>
      </w:r>
      <w:bookmarkEnd w:id="522"/>
      <w:bookmarkEnd w:id="523"/>
      <w:bookmarkEnd w:id="524"/>
      <w:bookmarkEnd w:id="525"/>
    </w:p>
    <w:p w14:paraId="33826D23">
      <w:r>
        <w:rPr>
          <w:rFonts w:hint="eastAsia"/>
        </w:rPr>
        <w:t>组成合同的各项文件应互相解释，互为说明。除专用合同条款另有约定外，解释合同文件的优先顺序如下：</w:t>
      </w:r>
    </w:p>
    <w:p w14:paraId="0711E809">
      <w:r>
        <w:rPr>
          <w:rFonts w:hint="eastAsia"/>
        </w:rPr>
        <w:t>（1）合同协议书；</w:t>
      </w:r>
    </w:p>
    <w:p w14:paraId="2B37D457">
      <w:r>
        <w:rPr>
          <w:rFonts w:hint="eastAsia"/>
        </w:rPr>
        <w:t>（2）成交通知书；</w:t>
      </w:r>
    </w:p>
    <w:p w14:paraId="7FCE4603">
      <w:r>
        <w:rPr>
          <w:rFonts w:hint="eastAsia"/>
        </w:rPr>
        <w:t>（3）投标函及投标函附录；</w:t>
      </w:r>
    </w:p>
    <w:p w14:paraId="24E4DEE7">
      <w:r>
        <w:rPr>
          <w:rFonts w:hint="eastAsia"/>
        </w:rPr>
        <w:t>（4）专用合同条款；</w:t>
      </w:r>
    </w:p>
    <w:p w14:paraId="6D998413">
      <w:r>
        <w:rPr>
          <w:rFonts w:hint="eastAsia"/>
        </w:rPr>
        <w:t>（5）通用合同条款；</w:t>
      </w:r>
    </w:p>
    <w:p w14:paraId="1BB43732">
      <w:r>
        <w:rPr>
          <w:rFonts w:hint="eastAsia"/>
        </w:rPr>
        <w:t>（6）技术标准和要求；</w:t>
      </w:r>
    </w:p>
    <w:p w14:paraId="662D6251">
      <w:r>
        <w:rPr>
          <w:rFonts w:hint="eastAsia"/>
        </w:rPr>
        <w:t>（7）图纸；</w:t>
      </w:r>
    </w:p>
    <w:p w14:paraId="7AC0AA26">
      <w:r>
        <w:rPr>
          <w:rFonts w:hint="eastAsia"/>
        </w:rPr>
        <w:t>（8）已标价工程量清单；</w:t>
      </w:r>
    </w:p>
    <w:p w14:paraId="144CF89F">
      <w:r>
        <w:rPr>
          <w:rFonts w:hint="eastAsia"/>
        </w:rPr>
        <w:t>（9）其他合同文件。</w:t>
      </w:r>
    </w:p>
    <w:p w14:paraId="55A0EB8B">
      <w:bookmarkStart w:id="526" w:name="_Toc246996259"/>
      <w:bookmarkStart w:id="527" w:name="_Toc296602504"/>
      <w:bookmarkStart w:id="528" w:name="_Toc247085774"/>
      <w:bookmarkStart w:id="529" w:name="_Toc246997002"/>
      <w:r>
        <w:rPr>
          <w:rFonts w:hint="eastAsia"/>
        </w:rPr>
        <w:t>1.5 合同协议书</w:t>
      </w:r>
      <w:bookmarkEnd w:id="526"/>
      <w:bookmarkEnd w:id="527"/>
      <w:bookmarkEnd w:id="528"/>
      <w:bookmarkEnd w:id="529"/>
    </w:p>
    <w:p w14:paraId="7A438550">
      <w:r>
        <w:rPr>
          <w:rFonts w:hint="eastAsia"/>
        </w:rPr>
        <w:t>承包人按成交通知书规定的时间与发包人签订合同协议书。除法律另有规定或合同另有约定外，发包人和承包人的法定代表人或其委托代理人在合同协议书上签字并盖单位章后，合同生效。</w:t>
      </w:r>
    </w:p>
    <w:p w14:paraId="456FB5F0">
      <w:bookmarkStart w:id="530" w:name="_Toc296602505"/>
      <w:bookmarkStart w:id="531" w:name="_Toc246997003"/>
      <w:bookmarkStart w:id="532" w:name="_Toc247085775"/>
      <w:bookmarkStart w:id="533" w:name="_Toc246996260"/>
      <w:r>
        <w:rPr>
          <w:rFonts w:hint="eastAsia"/>
        </w:rPr>
        <w:t>1.6 图纸和承包人文件</w:t>
      </w:r>
      <w:bookmarkEnd w:id="530"/>
      <w:bookmarkEnd w:id="531"/>
      <w:bookmarkEnd w:id="532"/>
      <w:bookmarkEnd w:id="533"/>
    </w:p>
    <w:p w14:paraId="22B5A376">
      <w:r>
        <w:rPr>
          <w:rFonts w:hint="eastAsia"/>
        </w:rPr>
        <w:t>1.6.1 发包人提供的图纸</w:t>
      </w:r>
    </w:p>
    <w:p w14:paraId="1B60D2E8">
      <w:r>
        <w:rPr>
          <w:rFonts w:hint="eastAsia"/>
        </w:rPr>
        <w:t>除专用合同条款另有约定外，图纸应在合理的期限内按照合同约定的数量提供给承包人。</w:t>
      </w:r>
    </w:p>
    <w:p w14:paraId="78819FC8">
      <w:r>
        <w:rPr>
          <w:rFonts w:hint="eastAsia"/>
        </w:rPr>
        <w:t>1.6.2 承包人提供的文件</w:t>
      </w:r>
    </w:p>
    <w:p w14:paraId="010450A5">
      <w:r>
        <w:rPr>
          <w:rFonts w:hint="eastAsia"/>
        </w:rPr>
        <w:t>按专用合同条款约定由承包人提供的文件，包括部分工程的大样图、加工图等，承包人应按约定的数量和期限报送监理人。监理人应在专用合同条款约定的期限内批复。</w:t>
      </w:r>
    </w:p>
    <w:p w14:paraId="5DFA7D29">
      <w:bookmarkStart w:id="534" w:name="_Toc246997004"/>
      <w:bookmarkStart w:id="535" w:name="_Toc296602506"/>
      <w:bookmarkStart w:id="536" w:name="_Toc246996261"/>
      <w:bookmarkStart w:id="537" w:name="_Toc247085776"/>
      <w:r>
        <w:rPr>
          <w:rFonts w:hint="eastAsia"/>
        </w:rPr>
        <w:t>1.7 联络</w:t>
      </w:r>
      <w:bookmarkEnd w:id="534"/>
      <w:bookmarkEnd w:id="535"/>
      <w:bookmarkEnd w:id="536"/>
      <w:bookmarkEnd w:id="537"/>
    </w:p>
    <w:p w14:paraId="6BDB235E">
      <w:r>
        <w:rPr>
          <w:rFonts w:hint="eastAsia"/>
        </w:rPr>
        <w:t>与合同有关的通知、批准、证明、证书、指示、要求、请求、同意、意见、确定和决定等重要文件，均应采用书面形式。</w:t>
      </w:r>
    </w:p>
    <w:p w14:paraId="1874CFAB">
      <w:r>
        <w:rPr>
          <w:rFonts w:hint="eastAsia"/>
        </w:rPr>
        <w:t>按合同约定应当由监理人审核、批准、确认或者提出修改意见的承包人的要求、请求、申请和报批等，监理人在合同约定的期限内未回复的，视同认可，合同中未明确约定回复期限的，其相应期限均为收到相关文件后7天。</w:t>
      </w:r>
    </w:p>
    <w:p w14:paraId="15D63FFF">
      <w:bookmarkStart w:id="538" w:name="_Toc184635099"/>
      <w:bookmarkStart w:id="539" w:name="_Toc296602507"/>
      <w:bookmarkStart w:id="540" w:name="_Toc247085778"/>
      <w:bookmarkStart w:id="541" w:name="_Toc246996263"/>
      <w:bookmarkStart w:id="542" w:name="_Toc246997006"/>
      <w:r>
        <w:rPr>
          <w:rFonts w:hint="eastAsia"/>
        </w:rPr>
        <w:t>2. 发包人义务</w:t>
      </w:r>
      <w:bookmarkEnd w:id="538"/>
      <w:bookmarkEnd w:id="539"/>
      <w:bookmarkEnd w:id="540"/>
      <w:bookmarkEnd w:id="541"/>
      <w:bookmarkEnd w:id="542"/>
    </w:p>
    <w:p w14:paraId="2314F17B">
      <w:bookmarkStart w:id="543" w:name="_Toc296602508"/>
      <w:bookmarkStart w:id="544" w:name="_Toc246996264"/>
      <w:bookmarkStart w:id="545" w:name="_Toc247085779"/>
      <w:bookmarkStart w:id="546" w:name="_Toc246997007"/>
      <w:r>
        <w:rPr>
          <w:rFonts w:hint="eastAsia"/>
        </w:rPr>
        <w:t>2.1 遵守法律</w:t>
      </w:r>
      <w:bookmarkEnd w:id="543"/>
      <w:bookmarkEnd w:id="544"/>
      <w:bookmarkEnd w:id="545"/>
      <w:bookmarkEnd w:id="546"/>
    </w:p>
    <w:p w14:paraId="5DAF56A5">
      <w:r>
        <w:rPr>
          <w:rFonts w:hint="eastAsia"/>
        </w:rPr>
        <w:t>发包人在履行合同过程中应遵守法律，并保证承包人免于承担因发包人违反法律而引起的任何责任。</w:t>
      </w:r>
    </w:p>
    <w:p w14:paraId="4A556915">
      <w:bookmarkStart w:id="547" w:name="_Toc246997008"/>
      <w:bookmarkStart w:id="548" w:name="_Toc296602509"/>
      <w:bookmarkStart w:id="549" w:name="_Toc247085780"/>
      <w:bookmarkStart w:id="550" w:name="_Toc246996265"/>
      <w:r>
        <w:rPr>
          <w:rFonts w:hint="eastAsia"/>
        </w:rPr>
        <w:t>2.2 发出开工通知</w:t>
      </w:r>
      <w:bookmarkEnd w:id="547"/>
      <w:bookmarkEnd w:id="548"/>
      <w:bookmarkEnd w:id="549"/>
      <w:bookmarkEnd w:id="550"/>
    </w:p>
    <w:p w14:paraId="42252D38">
      <w:r>
        <w:rPr>
          <w:rFonts w:hint="eastAsia"/>
        </w:rPr>
        <w:t>发包人应委托监理人按第6.2 款的约定向承包人发出开工通知。</w:t>
      </w:r>
    </w:p>
    <w:p w14:paraId="6E39E6F8">
      <w:bookmarkStart w:id="551" w:name="_Toc246997009"/>
      <w:bookmarkStart w:id="552" w:name="_Toc296602510"/>
      <w:bookmarkStart w:id="553" w:name="_Toc247085781"/>
      <w:bookmarkStart w:id="554" w:name="_Toc246996266"/>
      <w:r>
        <w:rPr>
          <w:rFonts w:hint="eastAsia"/>
        </w:rPr>
        <w:t>2.3 提供施工场地</w:t>
      </w:r>
      <w:bookmarkEnd w:id="551"/>
      <w:bookmarkEnd w:id="552"/>
      <w:bookmarkEnd w:id="553"/>
      <w:bookmarkEnd w:id="554"/>
    </w:p>
    <w:p w14:paraId="04E35445">
      <w:r>
        <w:rPr>
          <w:rFonts w:hint="eastAsia"/>
        </w:rPr>
        <w:t>发包人应按专用合同条款约定向承包人提供施工场地，以及施工场地内地下管线和地下设施等有关资料，并保证资料的真实、准确、完整。</w:t>
      </w:r>
    </w:p>
    <w:p w14:paraId="62F0061B">
      <w:bookmarkStart w:id="555" w:name="_Toc296602511"/>
      <w:bookmarkStart w:id="556" w:name="_Toc246996267"/>
      <w:bookmarkStart w:id="557" w:name="_Toc247085782"/>
      <w:bookmarkStart w:id="558" w:name="_Toc246997010"/>
      <w:r>
        <w:rPr>
          <w:rFonts w:hint="eastAsia"/>
        </w:rPr>
        <w:t>2.4 协助承包人办理证件和批件</w:t>
      </w:r>
      <w:bookmarkEnd w:id="555"/>
      <w:bookmarkEnd w:id="556"/>
      <w:bookmarkEnd w:id="557"/>
      <w:bookmarkEnd w:id="558"/>
    </w:p>
    <w:p w14:paraId="63548D4A">
      <w:r>
        <w:rPr>
          <w:rFonts w:hint="eastAsia"/>
        </w:rPr>
        <w:t>发包人应协助承包人办理法律规定的有关施工证件和批件。</w:t>
      </w:r>
    </w:p>
    <w:p w14:paraId="794DC3D1">
      <w:bookmarkStart w:id="559" w:name="_Toc296602512"/>
      <w:bookmarkStart w:id="560" w:name="_Toc246997011"/>
      <w:bookmarkStart w:id="561" w:name="_Toc246996268"/>
      <w:bookmarkStart w:id="562" w:name="_Toc247085783"/>
      <w:r>
        <w:rPr>
          <w:rFonts w:hint="eastAsia"/>
        </w:rPr>
        <w:t>2.5 组织设计交底</w:t>
      </w:r>
      <w:bookmarkEnd w:id="559"/>
      <w:bookmarkEnd w:id="560"/>
      <w:bookmarkEnd w:id="561"/>
      <w:bookmarkEnd w:id="562"/>
    </w:p>
    <w:p w14:paraId="14547E7F">
      <w:r>
        <w:rPr>
          <w:rFonts w:hint="eastAsia"/>
        </w:rPr>
        <w:t>发包人应根据合同进度计划，组织设计单位向承包人进行设计交底。</w:t>
      </w:r>
    </w:p>
    <w:p w14:paraId="3C327C7A">
      <w:bookmarkStart w:id="563" w:name="_Toc246996269"/>
      <w:bookmarkStart w:id="564" w:name="_Toc247085784"/>
      <w:bookmarkStart w:id="565" w:name="_Toc246997012"/>
      <w:bookmarkStart w:id="566" w:name="_Toc296602513"/>
      <w:r>
        <w:rPr>
          <w:rFonts w:hint="eastAsia"/>
        </w:rPr>
        <w:t>2.6 支付合同价款</w:t>
      </w:r>
      <w:bookmarkEnd w:id="563"/>
      <w:bookmarkEnd w:id="564"/>
      <w:bookmarkEnd w:id="565"/>
      <w:bookmarkEnd w:id="566"/>
    </w:p>
    <w:p w14:paraId="1C32E3F7">
      <w:r>
        <w:rPr>
          <w:rFonts w:hint="eastAsia"/>
        </w:rPr>
        <w:t>发包人应按合同约定向承包人及时支付合同价款。</w:t>
      </w:r>
    </w:p>
    <w:p w14:paraId="02DE96D2">
      <w:bookmarkStart w:id="567" w:name="_Toc246996270"/>
      <w:bookmarkStart w:id="568" w:name="_Toc246997013"/>
      <w:bookmarkStart w:id="569" w:name="_Toc247085785"/>
      <w:bookmarkStart w:id="570" w:name="_Toc296602514"/>
      <w:r>
        <w:rPr>
          <w:rFonts w:hint="eastAsia"/>
        </w:rPr>
        <w:t>2.7 组织竣工验收</w:t>
      </w:r>
      <w:bookmarkEnd w:id="567"/>
      <w:bookmarkEnd w:id="568"/>
      <w:bookmarkEnd w:id="569"/>
      <w:bookmarkEnd w:id="570"/>
    </w:p>
    <w:p w14:paraId="6848786E">
      <w:r>
        <w:rPr>
          <w:rFonts w:hint="eastAsia"/>
        </w:rPr>
        <w:t>发包人应按合同约定及时组织竣工验收。</w:t>
      </w:r>
    </w:p>
    <w:p w14:paraId="283EBDD1">
      <w:bookmarkStart w:id="571" w:name="_Toc247085786"/>
      <w:bookmarkStart w:id="572" w:name="_Toc246996271"/>
      <w:bookmarkStart w:id="573" w:name="_Toc296602515"/>
      <w:bookmarkStart w:id="574" w:name="_Toc246997014"/>
      <w:r>
        <w:rPr>
          <w:rFonts w:hint="eastAsia"/>
        </w:rPr>
        <w:t>2.8 其他义务</w:t>
      </w:r>
      <w:bookmarkEnd w:id="571"/>
      <w:bookmarkEnd w:id="572"/>
      <w:bookmarkEnd w:id="573"/>
      <w:bookmarkEnd w:id="574"/>
    </w:p>
    <w:p w14:paraId="4CF6C9BB">
      <w:r>
        <w:rPr>
          <w:rFonts w:hint="eastAsia"/>
        </w:rPr>
        <w:t>发包人应履行合同约定的其他义务。</w:t>
      </w:r>
    </w:p>
    <w:p w14:paraId="46C6043A">
      <w:bookmarkStart w:id="575" w:name="_Toc246996272"/>
      <w:bookmarkStart w:id="576" w:name="_Toc184635100"/>
      <w:bookmarkStart w:id="577" w:name="_Toc296602516"/>
      <w:bookmarkStart w:id="578" w:name="_Toc247085787"/>
      <w:bookmarkStart w:id="579" w:name="_Toc246997015"/>
      <w:r>
        <w:rPr>
          <w:rFonts w:hint="eastAsia"/>
        </w:rPr>
        <w:t>3. 监理人</w:t>
      </w:r>
      <w:bookmarkEnd w:id="575"/>
      <w:bookmarkEnd w:id="576"/>
      <w:bookmarkEnd w:id="577"/>
      <w:bookmarkEnd w:id="578"/>
      <w:bookmarkEnd w:id="579"/>
    </w:p>
    <w:p w14:paraId="5D280F04">
      <w:bookmarkStart w:id="580" w:name="_Toc296602517"/>
      <w:bookmarkStart w:id="581" w:name="_Toc247085788"/>
      <w:bookmarkStart w:id="582" w:name="_Toc246996273"/>
      <w:bookmarkStart w:id="583" w:name="_Toc246997016"/>
      <w:r>
        <w:rPr>
          <w:rFonts w:hint="eastAsia"/>
        </w:rPr>
        <w:t>3.1 监理人的职责和权力</w:t>
      </w:r>
      <w:bookmarkEnd w:id="580"/>
      <w:bookmarkEnd w:id="581"/>
      <w:bookmarkEnd w:id="582"/>
      <w:bookmarkEnd w:id="583"/>
    </w:p>
    <w:p w14:paraId="3C28EA9F">
      <w:r>
        <w:rPr>
          <w:rFonts w:hint="eastAsia"/>
        </w:rPr>
        <w:t>3.1.1 监理人受发包人委托，享有合同约定的权力，其所发出的任何指示应视为已得到发包人的批准。监理人在行使某项权力前需要经发包人事先批准而通用合同条款没有指明的，应在专用合同条款中指明。未经发包人批准，监理人无权修改合同。</w:t>
      </w:r>
    </w:p>
    <w:p w14:paraId="36BADBD3">
      <w:r>
        <w:rPr>
          <w:rFonts w:hint="eastAsia"/>
        </w:rPr>
        <w:t>3.1.2 合同约定应由承包人承担的义务和责任，不因监理人对承包人文件的审查或批准，对工程、材料和工程设备的检查和检验，以及为实施监理作出的指示等职务行为而减轻或解除。</w:t>
      </w:r>
    </w:p>
    <w:p w14:paraId="7F85BC77">
      <w:bookmarkStart w:id="584" w:name="_Toc246996274"/>
      <w:bookmarkStart w:id="585" w:name="_Toc296602518"/>
      <w:bookmarkStart w:id="586" w:name="_Toc247085789"/>
      <w:bookmarkStart w:id="587" w:name="_Toc246997017"/>
      <w:r>
        <w:rPr>
          <w:rFonts w:hint="eastAsia"/>
        </w:rPr>
        <w:t>3.2 总监理工程师</w:t>
      </w:r>
      <w:bookmarkEnd w:id="584"/>
      <w:bookmarkEnd w:id="585"/>
      <w:bookmarkEnd w:id="586"/>
      <w:bookmarkEnd w:id="587"/>
    </w:p>
    <w:p w14:paraId="68518158">
      <w:r>
        <w:rPr>
          <w:rFonts w:hint="eastAsia"/>
        </w:rPr>
        <w:t>发包人应在发出开工通知前将总监理工程师的任命通知承包人。</w:t>
      </w:r>
    </w:p>
    <w:p w14:paraId="446E2832">
      <w:bookmarkStart w:id="588" w:name="_Toc246997018"/>
      <w:bookmarkStart w:id="589" w:name="_Toc246996275"/>
      <w:bookmarkStart w:id="590" w:name="_Toc247085790"/>
      <w:bookmarkStart w:id="591" w:name="_Toc296602519"/>
      <w:r>
        <w:rPr>
          <w:rFonts w:hint="eastAsia"/>
        </w:rPr>
        <w:t>3.3 监理人员</w:t>
      </w:r>
      <w:bookmarkEnd w:id="588"/>
      <w:bookmarkEnd w:id="589"/>
      <w:bookmarkEnd w:id="590"/>
      <w:bookmarkEnd w:id="591"/>
    </w:p>
    <w:p w14:paraId="79DE5075">
      <w:r>
        <w:rPr>
          <w:rFonts w:hint="eastAsia"/>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发包人和承包人。</w:t>
      </w:r>
    </w:p>
    <w:p w14:paraId="38E4E158">
      <w:r>
        <w:rPr>
          <w:rFonts w:hint="eastAsia"/>
        </w:rPr>
        <w:t>3.3.2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14:paraId="3F443A8C">
      <w:r>
        <w:rPr>
          <w:rFonts w:hint="eastAsia"/>
        </w:rPr>
        <w:t>3.3.3 承包人对总监理工程师授权的监理人员发出的指示有疑问的，可在该指示发出的48小时内向总监理工程师提出书面异议，总监理工程师应在48小时内对该指示予以确认、更改或撤销。</w:t>
      </w:r>
    </w:p>
    <w:p w14:paraId="7C79B1F8">
      <w:r>
        <w:rPr>
          <w:rFonts w:hint="eastAsia"/>
        </w:rPr>
        <w:t>3.3.4 除专用合同条款另有约定外，总监理工程师不应将第3.5 款约定应由总监理工程师作出确定的权力授权或委托给其他监理人员。</w:t>
      </w:r>
    </w:p>
    <w:p w14:paraId="4FB97808">
      <w:bookmarkStart w:id="592" w:name="_Toc246996276"/>
      <w:bookmarkStart w:id="593" w:name="_Toc246997019"/>
      <w:bookmarkStart w:id="594" w:name="_Toc296602520"/>
      <w:bookmarkStart w:id="595" w:name="_Toc247085791"/>
      <w:r>
        <w:rPr>
          <w:rFonts w:hint="eastAsia"/>
        </w:rPr>
        <w:t>3.4 监理人的指示</w:t>
      </w:r>
      <w:bookmarkEnd w:id="592"/>
      <w:bookmarkEnd w:id="593"/>
      <w:bookmarkEnd w:id="594"/>
      <w:bookmarkEnd w:id="595"/>
    </w:p>
    <w:p w14:paraId="7ADA760C">
      <w:r>
        <w:rPr>
          <w:rFonts w:hint="eastAsia"/>
        </w:rPr>
        <w:t>3.4.1 监理人应按第3.1 款的约定向承包人发出指示，监理人的指示应盖有监理人授权的施工场地机构章，并由总监理工程师或总监理工程师按第3.3.1 项约定授权的监理人员签字。</w:t>
      </w:r>
    </w:p>
    <w:p w14:paraId="275B23C1">
      <w:r>
        <w:rPr>
          <w:rFonts w:hint="eastAsia"/>
        </w:rPr>
        <w:t>3.4.2 承包人收到监理人按第3.4.1 项作出的指示后应遵照执行。指示构成变更的，应按第9条处理。</w:t>
      </w:r>
    </w:p>
    <w:p w14:paraId="0A8F5B91">
      <w:r>
        <w:rPr>
          <w:rFonts w:hint="eastAsia"/>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5F629D6C">
      <w:r>
        <w:rPr>
          <w:rFonts w:hint="eastAsia"/>
        </w:rPr>
        <w:t>3.4.4 除合同另有约定外，承包人只从总监理工程师或按第3.3.1 项被授权的监理人员处取得指示。</w:t>
      </w:r>
    </w:p>
    <w:p w14:paraId="7022EB36">
      <w:r>
        <w:rPr>
          <w:rFonts w:hint="eastAsia"/>
        </w:rPr>
        <w:t>3.4.5 由于监理人未能按合同约定发出指示、指示延误或指示错误而导致承包人费用增加和（或）工期延误的，由发包人承担赔偿责任。</w:t>
      </w:r>
    </w:p>
    <w:p w14:paraId="6CA1C7F3">
      <w:bookmarkStart w:id="596" w:name="_Toc247085792"/>
      <w:bookmarkStart w:id="597" w:name="_Toc246996277"/>
      <w:bookmarkStart w:id="598" w:name="_Toc246997020"/>
      <w:bookmarkStart w:id="599" w:name="_Toc296602521"/>
      <w:r>
        <w:rPr>
          <w:rFonts w:hint="eastAsia"/>
        </w:rPr>
        <w:t>3.5 商定或确定</w:t>
      </w:r>
      <w:bookmarkEnd w:id="596"/>
      <w:bookmarkEnd w:id="597"/>
      <w:bookmarkEnd w:id="598"/>
      <w:bookmarkEnd w:id="599"/>
    </w:p>
    <w:p w14:paraId="7890D226">
      <w:r>
        <w:rPr>
          <w:rFonts w:hint="eastAsia"/>
        </w:rPr>
        <w:t>3.5.1 合同约定总监理工程师应按照本款对任何事项进行商定或确定时，总监理工程师应与合同当事人协商，尽量达成一致。不能达成一致的，总监理工程师应认真研究后审慎确定。</w:t>
      </w:r>
    </w:p>
    <w:p w14:paraId="75387D25">
      <w:r>
        <w:rPr>
          <w:rFonts w:hint="eastAsia"/>
        </w:rPr>
        <w:t>3.5.2 总监理工程师应将商定或确定的事项通知合同当事人，并附详细依据。对总监理工程师的确定有异议的，构成争议，按照第17条的约定处理。在争议解决前，双方应暂按总监理工程师的确定执行，按照第17 条的约定对总监理工程师的确定作出修改的，按修改后的结果执行。</w:t>
      </w:r>
    </w:p>
    <w:p w14:paraId="041C08AD">
      <w:bookmarkStart w:id="600" w:name="_Toc246997021"/>
      <w:bookmarkStart w:id="601" w:name="_Toc246996278"/>
      <w:bookmarkStart w:id="602" w:name="_Toc184635101"/>
      <w:bookmarkStart w:id="603" w:name="_Toc296602522"/>
      <w:bookmarkStart w:id="604" w:name="_Toc247085793"/>
      <w:r>
        <w:rPr>
          <w:rFonts w:hint="eastAsia"/>
        </w:rPr>
        <w:t>4. 承包人</w:t>
      </w:r>
      <w:bookmarkEnd w:id="600"/>
      <w:bookmarkEnd w:id="601"/>
      <w:bookmarkEnd w:id="602"/>
      <w:bookmarkEnd w:id="603"/>
      <w:bookmarkEnd w:id="604"/>
    </w:p>
    <w:p w14:paraId="6C60EC09">
      <w:bookmarkStart w:id="605" w:name="_Toc296602523"/>
      <w:bookmarkStart w:id="606" w:name="_Toc246996279"/>
      <w:bookmarkStart w:id="607" w:name="_Toc247085794"/>
      <w:bookmarkStart w:id="608" w:name="_Toc246997022"/>
      <w:r>
        <w:rPr>
          <w:rFonts w:hint="eastAsia"/>
        </w:rPr>
        <w:t>4.1 承包人的一般义务</w:t>
      </w:r>
      <w:bookmarkEnd w:id="605"/>
      <w:bookmarkEnd w:id="606"/>
      <w:bookmarkEnd w:id="607"/>
      <w:bookmarkEnd w:id="608"/>
    </w:p>
    <w:p w14:paraId="72887F88">
      <w:r>
        <w:t>4.1.1</w:t>
      </w:r>
      <w:r>
        <w:rPr>
          <w:rFonts w:hint="eastAsia"/>
        </w:rPr>
        <w:t xml:space="preserve"> 承包人应按合同约定以及监理人根据第3.4 款作出的指示，实施、完成全部工程，并修补工程中的任何缺陷。</w:t>
      </w:r>
    </w:p>
    <w:p w14:paraId="0936BBA3">
      <w:r>
        <w:t>4.</w:t>
      </w:r>
      <w:r>
        <w:rPr>
          <w:rFonts w:hint="eastAsia"/>
        </w:rPr>
        <w:t>1</w:t>
      </w:r>
      <w:r>
        <w:t>.</w:t>
      </w:r>
      <w:r>
        <w:rPr>
          <w:rFonts w:hint="eastAsia"/>
        </w:rPr>
        <w:t xml:space="preserve">2 </w:t>
      </w:r>
      <w:r>
        <w:t>除合同另有约定外，承包人应提供为按照合同完成工程所需的</w:t>
      </w:r>
      <w:r>
        <w:rPr>
          <w:rFonts w:hint="eastAsia"/>
        </w:rPr>
        <w:t>劳务、</w:t>
      </w:r>
      <w:r>
        <w:t>材料、</w:t>
      </w:r>
      <w:r>
        <w:rPr>
          <w:rFonts w:hint="eastAsia"/>
        </w:rPr>
        <w:t>施工设备、</w:t>
      </w:r>
      <w:r>
        <w:t>工程设备</w:t>
      </w:r>
      <w:r>
        <w:rPr>
          <w:rFonts w:hint="eastAsia"/>
        </w:rPr>
        <w:t>和其他物品，</w:t>
      </w:r>
      <w:r>
        <w:t>以及</w:t>
      </w:r>
      <w:r>
        <w:rPr>
          <w:rFonts w:hint="eastAsia"/>
        </w:rPr>
        <w:t>按合同约定的</w:t>
      </w:r>
      <w:r>
        <w:t>临时设施等。</w:t>
      </w:r>
    </w:p>
    <w:p w14:paraId="37E0E66B">
      <w:r>
        <w:t>4.</w:t>
      </w:r>
      <w:r>
        <w:rPr>
          <w:rFonts w:hint="eastAsia"/>
        </w:rPr>
        <w:t>1</w:t>
      </w:r>
      <w:r>
        <w:t>.</w:t>
      </w:r>
      <w:r>
        <w:rPr>
          <w:rFonts w:hint="eastAsia"/>
        </w:rPr>
        <w:t xml:space="preserve">3 </w:t>
      </w:r>
      <w:r>
        <w:t>承包人应对所有现场作业、所有施工方法和全部工程的完备性、稳定性和安全性负责。</w:t>
      </w:r>
    </w:p>
    <w:p w14:paraId="2BBCA9E6">
      <w:r>
        <w:t>4.</w:t>
      </w:r>
      <w:r>
        <w:rPr>
          <w:rFonts w:hint="eastAsia"/>
        </w:rPr>
        <w:t>1</w:t>
      </w:r>
      <w:r>
        <w:t>.</w:t>
      </w:r>
      <w:r>
        <w:rPr>
          <w:rFonts w:hint="eastAsia"/>
        </w:rPr>
        <w:t>4 承包人应按照法律规定和合同约定，负责施工场地及其周边环境与生态的保护工作。</w:t>
      </w:r>
    </w:p>
    <w:p w14:paraId="05AA9D72">
      <w:r>
        <w:rPr>
          <w:rFonts w:hint="eastAsia"/>
        </w:rPr>
        <w:t>4.1.5 工程接收证书颁发前，承包人应负责照管和维护工程。工程接收证书颁发时尚有部分未竣工工程的，承包人还应负责该未竣工工程的照管和维护工作，直至竣工后移交给发包人为止。</w:t>
      </w:r>
    </w:p>
    <w:p w14:paraId="454669AF">
      <w:r>
        <w:rPr>
          <w:rFonts w:hint="eastAsia"/>
        </w:rPr>
        <w:t>4.1.6 承包人应履行合同约定的其他义务。</w:t>
      </w:r>
    </w:p>
    <w:p w14:paraId="1DD34A20">
      <w:bookmarkStart w:id="609" w:name="_Toc247085795"/>
      <w:bookmarkStart w:id="610" w:name="_Toc246997023"/>
      <w:bookmarkStart w:id="611" w:name="_Toc296602524"/>
      <w:bookmarkStart w:id="612" w:name="_Toc246996280"/>
      <w:r>
        <w:rPr>
          <w:rFonts w:hint="eastAsia"/>
        </w:rPr>
        <w:t>4.2 履约担保</w:t>
      </w:r>
      <w:bookmarkEnd w:id="609"/>
      <w:bookmarkEnd w:id="610"/>
      <w:bookmarkEnd w:id="611"/>
      <w:bookmarkEnd w:id="612"/>
    </w:p>
    <w:p w14:paraId="2266F720">
      <w:r>
        <w:rPr>
          <w:rFonts w:hint="eastAsia"/>
        </w:rPr>
        <w:t>4.2.1承包人应保证其履约担保在发包人颁发工程接收证书前一直有效。发包人应在工程接收证书颁发后28 天内把履约担保退还给承包人。</w:t>
      </w:r>
    </w:p>
    <w:p w14:paraId="4094DC8E">
      <w:r>
        <w:rPr>
          <w:rFonts w:hint="eastAsia"/>
        </w:rPr>
        <w:t>4.2.2如工程延期，承包人有义务继续提供履约担保。由于发包人原因导致延期的，继续提供履约担保所需的费用由发包人承担；由于承包人原因导致延期的，继续提供履约担保所需费用由承包人承担。</w:t>
      </w:r>
    </w:p>
    <w:p w14:paraId="71D7B115">
      <w:bookmarkStart w:id="613" w:name="_Toc246997025"/>
      <w:bookmarkStart w:id="614" w:name="_Toc247085797"/>
      <w:bookmarkStart w:id="615" w:name="_Toc296602525"/>
      <w:bookmarkStart w:id="616" w:name="_Toc246996282"/>
      <w:r>
        <w:rPr>
          <w:rFonts w:hint="eastAsia"/>
        </w:rPr>
        <w:t>4.3 承包人项目经理</w:t>
      </w:r>
      <w:bookmarkEnd w:id="613"/>
      <w:bookmarkEnd w:id="614"/>
      <w:bookmarkEnd w:id="615"/>
      <w:bookmarkEnd w:id="616"/>
    </w:p>
    <w:p w14:paraId="45DA7E1E">
      <w:r>
        <w:rPr>
          <w:rFonts w:hint="eastAsia"/>
        </w:rPr>
        <w:t>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p>
    <w:p w14:paraId="22F93B10">
      <w:bookmarkStart w:id="617" w:name="_Toc247085798"/>
      <w:bookmarkStart w:id="618" w:name="_Toc296602526"/>
      <w:bookmarkStart w:id="619" w:name="_Toc246996283"/>
      <w:bookmarkStart w:id="620" w:name="_Toc246997026"/>
      <w:r>
        <w:rPr>
          <w:rFonts w:hint="eastAsia"/>
        </w:rPr>
        <w:t>4.4 工程价款应专款专用</w:t>
      </w:r>
      <w:bookmarkEnd w:id="617"/>
      <w:bookmarkEnd w:id="618"/>
      <w:bookmarkEnd w:id="619"/>
      <w:bookmarkEnd w:id="620"/>
    </w:p>
    <w:p w14:paraId="091C75C9">
      <w:r>
        <w:rPr>
          <w:rFonts w:hint="eastAsia"/>
        </w:rPr>
        <w:t>发包人按合同约定支付给承包人的各项价款应专用于合同工程。</w:t>
      </w:r>
      <w:bookmarkStart w:id="621" w:name="_Toc246996284"/>
      <w:bookmarkStart w:id="622" w:name="_Toc247085799"/>
      <w:bookmarkStart w:id="623" w:name="_Toc246997027"/>
    </w:p>
    <w:p w14:paraId="4515BD62">
      <w:bookmarkStart w:id="624" w:name="_Toc144974618"/>
      <w:bookmarkStart w:id="625" w:name="_Toc152045650"/>
      <w:bookmarkStart w:id="626" w:name="_Toc179632668"/>
      <w:bookmarkStart w:id="627" w:name="_Toc296602527"/>
      <w:bookmarkStart w:id="628" w:name="_Toc152042428"/>
      <w:r>
        <w:rPr>
          <w:rFonts w:hint="eastAsia"/>
        </w:rPr>
        <w:t>4.5 不利物质条件</w:t>
      </w:r>
      <w:bookmarkEnd w:id="624"/>
      <w:bookmarkEnd w:id="625"/>
      <w:bookmarkEnd w:id="626"/>
      <w:bookmarkEnd w:id="627"/>
      <w:bookmarkEnd w:id="628"/>
    </w:p>
    <w:p w14:paraId="777163B5">
      <w:r>
        <w:rPr>
          <w:rFonts w:hint="eastAsia"/>
          <w:szCs w:val="21"/>
        </w:rPr>
        <w:t>4.5.1</w:t>
      </w:r>
      <w:r>
        <w:rPr>
          <w:rFonts w:hint="eastAsia"/>
        </w:rPr>
        <w:t xml:space="preserve"> 不利物质条件，除专用合同条款另有约定外，是指承包人在施工场地遇到的不可预见的自然物质条件、非自然的物质障碍和污染物，包括地下和水文条件，但不包括气候条件。</w:t>
      </w:r>
    </w:p>
    <w:p w14:paraId="34F8F0D3">
      <w:r>
        <w:rPr>
          <w:rFonts w:hint="eastAsia"/>
          <w:szCs w:val="21"/>
        </w:rPr>
        <w:t xml:space="preserve">4.5.2 </w:t>
      </w:r>
      <w:r>
        <w:rPr>
          <w:rFonts w:hint="eastAsia"/>
        </w:rPr>
        <w:t>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p>
    <w:p w14:paraId="08295F05">
      <w:bookmarkStart w:id="629" w:name="_Toc152045668"/>
      <w:bookmarkStart w:id="630" w:name="_Toc152042446"/>
      <w:bookmarkStart w:id="631" w:name="_Toc144974636"/>
      <w:bookmarkStart w:id="632" w:name="_Toc179632686"/>
      <w:bookmarkStart w:id="633" w:name="_Toc296602528"/>
      <w:r>
        <w:rPr>
          <w:rFonts w:hint="eastAsia"/>
        </w:rPr>
        <w:t xml:space="preserve">5. </w:t>
      </w:r>
      <w:bookmarkEnd w:id="629"/>
      <w:bookmarkEnd w:id="630"/>
      <w:bookmarkEnd w:id="631"/>
      <w:bookmarkEnd w:id="632"/>
      <w:bookmarkStart w:id="634" w:name="_Toc179632687"/>
      <w:bookmarkStart w:id="635" w:name="_Toc144974637"/>
      <w:bookmarkStart w:id="636" w:name="_Toc152045669"/>
      <w:bookmarkStart w:id="637" w:name="_Toc152042447"/>
      <w:r>
        <w:rPr>
          <w:rFonts w:hint="eastAsia"/>
        </w:rPr>
        <w:t>施工控制网</w:t>
      </w:r>
      <w:bookmarkEnd w:id="633"/>
      <w:bookmarkEnd w:id="634"/>
      <w:bookmarkEnd w:id="635"/>
      <w:bookmarkEnd w:id="636"/>
      <w:bookmarkEnd w:id="637"/>
    </w:p>
    <w:p w14:paraId="259B4432">
      <w:r>
        <w:rPr>
          <w:rFonts w:hint="eastAsia"/>
        </w:rPr>
        <w:t>5.1 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40766E94">
      <w:r>
        <w:rPr>
          <w:rFonts w:hint="eastAsia"/>
        </w:rPr>
        <w:t>5.2 承包人应负责管理施工控制网点。施工控制网点丢失或损坏的，承包人应及时修复。承包人应承担施工控制网点的管理与修复费用，并在工程竣工后将施工控制网点移交发包人。</w:t>
      </w:r>
    </w:p>
    <w:p w14:paraId="725A5480">
      <w:bookmarkStart w:id="638" w:name="_Toc179632697"/>
      <w:bookmarkStart w:id="639" w:name="_Toc152042457"/>
      <w:bookmarkStart w:id="640" w:name="_Toc152045679"/>
      <w:bookmarkStart w:id="641" w:name="_Toc144974647"/>
      <w:bookmarkStart w:id="642" w:name="_Toc296602529"/>
      <w:r>
        <w:rPr>
          <w:rFonts w:hint="eastAsia"/>
        </w:rPr>
        <w:t xml:space="preserve">6. </w:t>
      </w:r>
      <w:bookmarkEnd w:id="638"/>
      <w:bookmarkEnd w:id="639"/>
      <w:bookmarkEnd w:id="640"/>
      <w:bookmarkEnd w:id="641"/>
      <w:r>
        <w:rPr>
          <w:rFonts w:hint="eastAsia"/>
        </w:rPr>
        <w:t>工期</w:t>
      </w:r>
      <w:bookmarkEnd w:id="642"/>
    </w:p>
    <w:p w14:paraId="38BD0A75">
      <w:bookmarkStart w:id="643" w:name="_Toc296602530"/>
      <w:bookmarkStart w:id="644" w:name="_Toc179632700"/>
      <w:bookmarkStart w:id="645" w:name="_Toc152042460"/>
      <w:bookmarkStart w:id="646" w:name="_Toc144974650"/>
      <w:bookmarkStart w:id="647" w:name="_Toc152045682"/>
      <w:r>
        <w:rPr>
          <w:rFonts w:hint="eastAsia"/>
        </w:rPr>
        <w:t>6.1 进度计划</w:t>
      </w:r>
      <w:bookmarkEnd w:id="643"/>
    </w:p>
    <w:p w14:paraId="6DB37F56">
      <w:r>
        <w:rPr>
          <w:rFonts w:hint="eastAsia"/>
        </w:rPr>
        <w:t>承包</w:t>
      </w:r>
      <w:r>
        <w:t>人应按照</w:t>
      </w:r>
      <w:r>
        <w:rPr>
          <w:rFonts w:hint="eastAsia"/>
        </w:rPr>
        <w:t>专用合同条款约</w:t>
      </w:r>
      <w:r>
        <w:t>定的时间，向监理人提交进度计划</w:t>
      </w:r>
      <w:r>
        <w:rPr>
          <w:rFonts w:hint="eastAsia"/>
        </w:rPr>
        <w:t>。</w:t>
      </w:r>
      <w:r>
        <w:t>经监理人审批后</w:t>
      </w:r>
      <w:r>
        <w:rPr>
          <w:rFonts w:hint="eastAsia"/>
        </w:rPr>
        <w:t>的进度计划具有合同约束力，承包人应当严格执行。实际进度与进度计划不符时，监理人应当指示承包人对进度计划进行修订，重新提交给监理人审批。</w:t>
      </w:r>
    </w:p>
    <w:bookmarkEnd w:id="644"/>
    <w:bookmarkEnd w:id="645"/>
    <w:bookmarkEnd w:id="646"/>
    <w:bookmarkEnd w:id="647"/>
    <w:p w14:paraId="4D40E478">
      <w:bookmarkStart w:id="648" w:name="_Toc296602531"/>
      <w:r>
        <w:rPr>
          <w:rFonts w:hint="eastAsia"/>
        </w:rPr>
        <w:t>6.2 工程实施</w:t>
      </w:r>
      <w:bookmarkEnd w:id="648"/>
    </w:p>
    <w:p w14:paraId="59AA593E">
      <w:r>
        <w:rPr>
          <w:rFonts w:hint="eastAsia"/>
        </w:rPr>
        <w:t>监理人应在开工日期7天前向承包人发出开工通知。承包人应在第</w:t>
      </w:r>
      <w:r>
        <w:t>1.1.4.3</w:t>
      </w:r>
      <w:r>
        <w:rPr>
          <w:rFonts w:hint="eastAsia"/>
        </w:rPr>
        <w:t>目约定的期限内完成合同工程。实际竣工日期在接收证书中写明。</w:t>
      </w:r>
    </w:p>
    <w:p w14:paraId="696B8ACD">
      <w:bookmarkStart w:id="649" w:name="_Toc296602532"/>
      <w:bookmarkStart w:id="650" w:name="_Toc152045685"/>
      <w:bookmarkStart w:id="651" w:name="_Toc144974653"/>
      <w:bookmarkStart w:id="652" w:name="_Toc179632703"/>
      <w:bookmarkStart w:id="653" w:name="_Toc152042463"/>
      <w:r>
        <w:rPr>
          <w:rFonts w:hint="eastAsia"/>
        </w:rPr>
        <w:t>6.3 发包人引起的工期延误</w:t>
      </w:r>
      <w:bookmarkEnd w:id="649"/>
      <w:bookmarkEnd w:id="650"/>
      <w:bookmarkEnd w:id="651"/>
      <w:bookmarkEnd w:id="652"/>
      <w:bookmarkEnd w:id="653"/>
    </w:p>
    <w:p w14:paraId="56DB8E7C">
      <w:r>
        <w:rPr>
          <w:rFonts w:hint="eastAsia"/>
        </w:rPr>
        <w:t>在履行合同过程中，由于发包人的下列原因造成工期延误的，承包人有权要求发包人延长工期和（或）增加费用，并支付合理利润。需要修订合同进度计划的，按照第6.1款的约定执行。</w:t>
      </w:r>
    </w:p>
    <w:p w14:paraId="619D783D">
      <w:r>
        <w:rPr>
          <w:rFonts w:hint="eastAsia"/>
        </w:rPr>
        <w:t>（1）增加合同工作内容；</w:t>
      </w:r>
    </w:p>
    <w:p w14:paraId="0240F92A">
      <w:r>
        <w:rPr>
          <w:rFonts w:hint="eastAsia"/>
        </w:rPr>
        <w:t>（2）改变合同中任何一项工作的质量要求或其他特性；</w:t>
      </w:r>
    </w:p>
    <w:p w14:paraId="551F8B98">
      <w:r>
        <w:rPr>
          <w:rFonts w:hint="eastAsia"/>
        </w:rPr>
        <w:t>（3）发包人迟延提供材料、工程设备或变更交货地点；</w:t>
      </w:r>
    </w:p>
    <w:p w14:paraId="0E6FAE31">
      <w:r>
        <w:rPr>
          <w:rFonts w:hint="eastAsia"/>
        </w:rPr>
        <w:t>（4）因发包人原因导致的暂停施工；</w:t>
      </w:r>
    </w:p>
    <w:p w14:paraId="36CABC74">
      <w:r>
        <w:rPr>
          <w:rFonts w:hint="eastAsia"/>
        </w:rPr>
        <w:t>（5）提供图纸延误；</w:t>
      </w:r>
    </w:p>
    <w:p w14:paraId="33669C78">
      <w:r>
        <w:rPr>
          <w:rFonts w:hint="eastAsia"/>
        </w:rPr>
        <w:t>（6）未按合同约定及时支付预付款、进度款；</w:t>
      </w:r>
    </w:p>
    <w:p w14:paraId="606087EE">
      <w:r>
        <w:rPr>
          <w:rFonts w:hint="eastAsia"/>
        </w:rPr>
        <w:t>（7）发包人造成工期延误的其他原因。</w:t>
      </w:r>
    </w:p>
    <w:p w14:paraId="648B8249">
      <w:bookmarkStart w:id="654" w:name="_Toc179632704"/>
      <w:bookmarkStart w:id="655" w:name="_Toc152045686"/>
      <w:bookmarkStart w:id="656" w:name="_Toc152042464"/>
      <w:bookmarkStart w:id="657" w:name="_Toc144974654"/>
      <w:bookmarkStart w:id="658" w:name="_Toc296602533"/>
      <w:r>
        <w:rPr>
          <w:rFonts w:hint="eastAsia"/>
        </w:rPr>
        <w:t>6.4 异常恶劣的气候条件</w:t>
      </w:r>
      <w:bookmarkEnd w:id="654"/>
      <w:bookmarkEnd w:id="655"/>
      <w:bookmarkEnd w:id="656"/>
      <w:bookmarkEnd w:id="657"/>
      <w:bookmarkEnd w:id="658"/>
    </w:p>
    <w:p w14:paraId="72480493">
      <w:r>
        <w:rPr>
          <w:rFonts w:hint="eastAsia"/>
        </w:rPr>
        <w:t>由于出现专用合同条款约定的异常恶劣气候导致工期延误的，承包人有权要求发包人延长工期。</w:t>
      </w:r>
    </w:p>
    <w:p w14:paraId="4365416B">
      <w:bookmarkStart w:id="659" w:name="_Toc152045687"/>
      <w:bookmarkStart w:id="660" w:name="_Toc296602534"/>
      <w:bookmarkStart w:id="661" w:name="_Toc179632705"/>
      <w:bookmarkStart w:id="662" w:name="_Toc144974655"/>
      <w:bookmarkStart w:id="663" w:name="_Toc152042465"/>
      <w:r>
        <w:rPr>
          <w:rFonts w:hint="eastAsia"/>
        </w:rPr>
        <w:t>6.5 承包人引起的工期延误</w:t>
      </w:r>
      <w:bookmarkEnd w:id="659"/>
      <w:bookmarkEnd w:id="660"/>
      <w:bookmarkEnd w:id="661"/>
      <w:bookmarkEnd w:id="662"/>
      <w:bookmarkEnd w:id="663"/>
    </w:p>
    <w:p w14:paraId="1D1F1620">
      <w:r>
        <w:t>由于</w:t>
      </w:r>
      <w:r>
        <w:rPr>
          <w:rFonts w:hint="eastAsia"/>
        </w:rPr>
        <w:t>承包</w:t>
      </w:r>
      <w:r>
        <w:t>人原因造成工期延误，</w:t>
      </w:r>
      <w:r>
        <w:rPr>
          <w:rFonts w:hint="eastAsia"/>
        </w:rPr>
        <w:t>承包</w:t>
      </w:r>
      <w:r>
        <w:t>人应按照</w:t>
      </w:r>
      <w:r>
        <w:rPr>
          <w:rFonts w:hint="eastAsia"/>
        </w:rPr>
        <w:t>专用合同条款</w:t>
      </w:r>
      <w:r>
        <w:t>中约定的逾期竣工违约金计算方法</w:t>
      </w:r>
      <w:r>
        <w:rPr>
          <w:rFonts w:hint="eastAsia"/>
        </w:rPr>
        <w:t>和最高限额</w:t>
      </w:r>
      <w:r>
        <w:t>，支付逾期竣工违约金</w:t>
      </w:r>
      <w:r>
        <w:rPr>
          <w:rFonts w:hint="eastAsia"/>
        </w:rPr>
        <w:t>。承包人支付逾期竣工违约金，不免除承包人完成工程及修补缺陷的义务。</w:t>
      </w:r>
    </w:p>
    <w:bookmarkEnd w:id="621"/>
    <w:bookmarkEnd w:id="622"/>
    <w:bookmarkEnd w:id="623"/>
    <w:p w14:paraId="53544DB6">
      <w:bookmarkStart w:id="664" w:name="_Toc296602535"/>
      <w:bookmarkStart w:id="665" w:name="_Toc247085806"/>
      <w:bookmarkStart w:id="666" w:name="_Toc184635110"/>
      <w:bookmarkStart w:id="667" w:name="_Toc246997034"/>
      <w:bookmarkStart w:id="668" w:name="_Toc246996291"/>
      <w:r>
        <w:rPr>
          <w:rFonts w:hint="eastAsia"/>
        </w:rPr>
        <w:t>7. 工程质量</w:t>
      </w:r>
      <w:bookmarkEnd w:id="664"/>
      <w:bookmarkEnd w:id="665"/>
      <w:bookmarkEnd w:id="666"/>
      <w:bookmarkEnd w:id="667"/>
      <w:bookmarkEnd w:id="668"/>
    </w:p>
    <w:p w14:paraId="735E8339">
      <w:bookmarkStart w:id="669" w:name="_Toc246997035"/>
      <w:bookmarkStart w:id="670" w:name="_Toc246996292"/>
      <w:bookmarkStart w:id="671" w:name="_Toc247085807"/>
      <w:bookmarkStart w:id="672" w:name="_Toc296602536"/>
      <w:r>
        <w:rPr>
          <w:rFonts w:hint="eastAsia"/>
        </w:rPr>
        <w:t>7.1 工程质量要求</w:t>
      </w:r>
      <w:bookmarkEnd w:id="669"/>
      <w:bookmarkEnd w:id="670"/>
      <w:bookmarkEnd w:id="671"/>
      <w:bookmarkEnd w:id="672"/>
    </w:p>
    <w:p w14:paraId="4D676E56">
      <w:r>
        <w:rPr>
          <w:rFonts w:hint="eastAsia"/>
        </w:rPr>
        <w:t>工程质量验收按照合同约定的验收标准执行。</w:t>
      </w:r>
    </w:p>
    <w:p w14:paraId="4F807E56">
      <w:bookmarkStart w:id="673" w:name="_Toc247085808"/>
      <w:bookmarkStart w:id="674" w:name="_Toc246996293"/>
      <w:bookmarkStart w:id="675" w:name="_Toc296602537"/>
      <w:bookmarkStart w:id="676" w:name="_Toc246997036"/>
      <w:r>
        <w:rPr>
          <w:rFonts w:hint="eastAsia"/>
        </w:rPr>
        <w:t>7.2 监理人的质量检查</w:t>
      </w:r>
      <w:bookmarkEnd w:id="673"/>
      <w:bookmarkEnd w:id="674"/>
      <w:bookmarkEnd w:id="675"/>
      <w:bookmarkEnd w:id="676"/>
    </w:p>
    <w:p w14:paraId="258E9A25">
      <w:r>
        <w:rPr>
          <w:rFonts w:hint="eastAsia"/>
        </w:rPr>
        <w:t>监理人有权对工程的所有部位及其施工工艺、材料和工程设备进行检查和检验。监理人的检查和检验，不免除承包人按合同约定应负的责任。</w:t>
      </w:r>
    </w:p>
    <w:p w14:paraId="24DDF817">
      <w:bookmarkStart w:id="677" w:name="_Toc247085809"/>
      <w:bookmarkStart w:id="678" w:name="_Toc296602538"/>
      <w:bookmarkStart w:id="679" w:name="_Toc246996294"/>
      <w:bookmarkStart w:id="680" w:name="_Toc246997037"/>
      <w:r>
        <w:rPr>
          <w:rFonts w:hint="eastAsia"/>
        </w:rPr>
        <w:t>7.3 工程隐蔽部位覆盖前的检查</w:t>
      </w:r>
      <w:bookmarkEnd w:id="677"/>
      <w:bookmarkEnd w:id="678"/>
      <w:bookmarkEnd w:id="679"/>
      <w:bookmarkEnd w:id="680"/>
    </w:p>
    <w:p w14:paraId="5F7E88B6">
      <w:r>
        <w:rPr>
          <w:rFonts w:hint="eastAsia"/>
        </w:rPr>
        <w:t>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w:t>
      </w:r>
      <w:r>
        <w:t>可</w:t>
      </w:r>
      <w:r>
        <w:rPr>
          <w:rFonts w:hint="eastAsia"/>
        </w:rPr>
        <w:t>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8DEFC50">
      <w:r>
        <w:rPr>
          <w:rFonts w:hint="eastAsia"/>
        </w:rPr>
        <w:t>承包人未通知监理人到场检查，私自将工程隐蔽部位覆盖的，监理人有权指示承包人钻孔探测或揭开检查，无论工程隐蔽部位质量是否合格，由此增加的费用和（或）工期延误由承包人承担。</w:t>
      </w:r>
    </w:p>
    <w:p w14:paraId="5C5DC678">
      <w:bookmarkStart w:id="681" w:name="_Toc246997038"/>
      <w:bookmarkStart w:id="682" w:name="_Toc246996295"/>
      <w:bookmarkStart w:id="683" w:name="_Toc247085810"/>
      <w:bookmarkStart w:id="684" w:name="_Toc296602539"/>
      <w:r>
        <w:rPr>
          <w:rFonts w:hint="eastAsia"/>
        </w:rPr>
        <w:t>7.4 清除不合格工程</w:t>
      </w:r>
      <w:bookmarkEnd w:id="681"/>
      <w:bookmarkEnd w:id="682"/>
      <w:bookmarkEnd w:id="683"/>
      <w:bookmarkEnd w:id="684"/>
    </w:p>
    <w:p w14:paraId="6FE833DE">
      <w:r>
        <w:t>由于</w:t>
      </w:r>
      <w:r>
        <w:rPr>
          <w:rFonts w:hint="eastAsia"/>
        </w:rPr>
        <w:t>承包</w:t>
      </w:r>
      <w:r>
        <w:t>人的材料、工程设备，或采用施工工艺不符合合同</w:t>
      </w:r>
      <w:r>
        <w:rPr>
          <w:rFonts w:hint="eastAsia"/>
        </w:rPr>
        <w:t>要求</w:t>
      </w:r>
      <w:r>
        <w:t>造成的任何缺陷，监理人可以随时发出指示，要求承包人立即采取措施进行补救，直至达到合同要求的质量标准，由此增加的费用和（或）工期延误由</w:t>
      </w:r>
      <w:r>
        <w:rPr>
          <w:rFonts w:hint="eastAsia"/>
        </w:rPr>
        <w:t>承包</w:t>
      </w:r>
      <w:r>
        <w:t>人承担</w:t>
      </w:r>
      <w:r>
        <w:rPr>
          <w:rFonts w:hint="eastAsia"/>
        </w:rPr>
        <w:t>。</w:t>
      </w:r>
    </w:p>
    <w:p w14:paraId="1B696998">
      <w:bookmarkStart w:id="685" w:name="_Toc247085811"/>
      <w:bookmarkStart w:id="686" w:name="_Toc246996296"/>
      <w:bookmarkStart w:id="687" w:name="_Toc246997039"/>
      <w:bookmarkStart w:id="688" w:name="_Toc296602540"/>
      <w:r>
        <w:rPr>
          <w:rFonts w:hint="eastAsia"/>
        </w:rPr>
        <w:t>8. 试验和检验</w:t>
      </w:r>
      <w:bookmarkEnd w:id="685"/>
      <w:bookmarkEnd w:id="686"/>
      <w:bookmarkEnd w:id="687"/>
      <w:bookmarkEnd w:id="688"/>
    </w:p>
    <w:p w14:paraId="2E186846">
      <w:bookmarkStart w:id="689" w:name="_Toc152042481"/>
      <w:bookmarkStart w:id="690" w:name="_Toc144974672"/>
      <w:bookmarkStart w:id="691" w:name="_Toc179632721"/>
      <w:bookmarkStart w:id="692" w:name="_Toc152045703"/>
      <w:bookmarkStart w:id="693" w:name="_Toc296602541"/>
      <w:r>
        <w:rPr>
          <w:rFonts w:hint="eastAsia"/>
        </w:rPr>
        <w:t>8.1 材料、工程设备和工程的试验和检验</w:t>
      </w:r>
      <w:bookmarkEnd w:id="689"/>
      <w:bookmarkEnd w:id="690"/>
      <w:bookmarkEnd w:id="691"/>
      <w:bookmarkEnd w:id="692"/>
      <w:bookmarkEnd w:id="693"/>
    </w:p>
    <w:p w14:paraId="781B7236">
      <w:r>
        <w:rPr>
          <w:rFonts w:hint="eastAsia"/>
          <w:szCs w:val="21"/>
        </w:rPr>
        <w:t>8.1.1</w:t>
      </w:r>
      <w:r>
        <w:rPr>
          <w:rFonts w:hint="eastAsia"/>
        </w:rPr>
        <w:t xml:space="preserve">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702D2C33">
      <w:r>
        <w:rPr>
          <w:rFonts w:hint="eastAsia"/>
          <w:szCs w:val="21"/>
        </w:rPr>
        <w:t>8.1.2</w:t>
      </w:r>
      <w:r>
        <w:rPr>
          <w:rFonts w:hint="eastAsia"/>
        </w:rPr>
        <w:t xml:space="preserve"> 监理人未按合同约定派员参加试验和检验的，除监理人另有指示外，承包人可自行试验和检验，并应立即将试验和检验结果报送监理人，监理人应签字确认。</w:t>
      </w:r>
    </w:p>
    <w:p w14:paraId="42D5534A">
      <w:r>
        <w:rPr>
          <w:rFonts w:hint="eastAsia"/>
          <w:szCs w:val="21"/>
        </w:rPr>
        <w:t xml:space="preserve">8.1.3 </w:t>
      </w:r>
      <w:r>
        <w:rPr>
          <w:rFonts w:hint="eastAsia"/>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1DA3F8C">
      <w:bookmarkStart w:id="694" w:name="_Toc152045704"/>
      <w:bookmarkStart w:id="695" w:name="_Toc179632722"/>
      <w:bookmarkStart w:id="696" w:name="_Toc296602542"/>
      <w:bookmarkStart w:id="697" w:name="_Toc152042482"/>
      <w:bookmarkStart w:id="698" w:name="_Toc144974673"/>
      <w:r>
        <w:rPr>
          <w:rFonts w:hint="eastAsia"/>
        </w:rPr>
        <w:t>8.2 现场材料试验</w:t>
      </w:r>
      <w:bookmarkEnd w:id="694"/>
      <w:bookmarkEnd w:id="695"/>
      <w:bookmarkEnd w:id="696"/>
      <w:bookmarkEnd w:id="697"/>
      <w:bookmarkEnd w:id="698"/>
    </w:p>
    <w:p w14:paraId="24081A57">
      <w:r>
        <w:rPr>
          <w:rFonts w:hint="eastAsia"/>
          <w:szCs w:val="21"/>
        </w:rPr>
        <w:t>8.2.1</w:t>
      </w:r>
      <w:r>
        <w:rPr>
          <w:rFonts w:hint="eastAsia"/>
        </w:rPr>
        <w:t xml:space="preserve"> 承包人根据合同约定或监理人指示进行的现场材料试验，应由承包人提供试验场所、试验人员、试验设备器材以及其他必要的试验条件。</w:t>
      </w:r>
    </w:p>
    <w:p w14:paraId="6C28E8EA">
      <w:pPr>
        <w:rPr>
          <w:szCs w:val="21"/>
        </w:rPr>
      </w:pPr>
      <w:r>
        <w:rPr>
          <w:rFonts w:hint="eastAsia"/>
          <w:szCs w:val="21"/>
        </w:rPr>
        <w:t>8.2.2</w:t>
      </w:r>
      <w:r>
        <w:rPr>
          <w:rFonts w:hint="eastAsia"/>
        </w:rPr>
        <w:t xml:space="preserve"> 监理人在必要时可以使用承包人的试验场所、试验设备器材以及其他试验条件，进行以工程质量检查为目的的复核性材料试验，承包人应予以协助。</w:t>
      </w:r>
    </w:p>
    <w:p w14:paraId="6A50A23D">
      <w:bookmarkStart w:id="699" w:name="_Toc246997040"/>
      <w:bookmarkStart w:id="700" w:name="_Toc296602543"/>
      <w:bookmarkStart w:id="701" w:name="_Toc247085812"/>
      <w:bookmarkStart w:id="702" w:name="_Toc184635112"/>
      <w:bookmarkStart w:id="703" w:name="_Toc246996297"/>
      <w:r>
        <w:rPr>
          <w:rFonts w:hint="eastAsia"/>
        </w:rPr>
        <w:t>9. 变更</w:t>
      </w:r>
      <w:bookmarkEnd w:id="699"/>
      <w:bookmarkEnd w:id="700"/>
      <w:bookmarkEnd w:id="701"/>
      <w:bookmarkEnd w:id="702"/>
      <w:bookmarkEnd w:id="703"/>
    </w:p>
    <w:p w14:paraId="5605785F">
      <w:bookmarkStart w:id="704" w:name="_Toc296602544"/>
      <w:bookmarkStart w:id="705" w:name="_Toc247085813"/>
      <w:bookmarkStart w:id="706" w:name="_Toc246997041"/>
      <w:bookmarkStart w:id="707" w:name="_Toc246996298"/>
      <w:r>
        <w:rPr>
          <w:rFonts w:hint="eastAsia"/>
        </w:rPr>
        <w:t>9.1 变更权</w:t>
      </w:r>
      <w:bookmarkEnd w:id="704"/>
      <w:bookmarkEnd w:id="705"/>
      <w:bookmarkEnd w:id="706"/>
      <w:bookmarkEnd w:id="707"/>
    </w:p>
    <w:p w14:paraId="4DA4E889">
      <w:r>
        <w:rPr>
          <w:rFonts w:hint="eastAsia"/>
        </w:rPr>
        <w:t>在履行合同过程中，经发包人同意，监理人可按第9.2款约定的变更程序向承包人作出变更指示，承包人应遵照执行。</w:t>
      </w:r>
    </w:p>
    <w:p w14:paraId="0970A564">
      <w:bookmarkStart w:id="708" w:name="_Toc247085814"/>
      <w:bookmarkStart w:id="709" w:name="_Toc246997042"/>
      <w:bookmarkStart w:id="710" w:name="_Toc296602545"/>
      <w:bookmarkStart w:id="711" w:name="_Toc246996299"/>
      <w:r>
        <w:rPr>
          <w:rFonts w:hint="eastAsia"/>
        </w:rPr>
        <w:t>9.2 变更程序</w:t>
      </w:r>
      <w:bookmarkEnd w:id="708"/>
      <w:bookmarkEnd w:id="709"/>
      <w:bookmarkEnd w:id="710"/>
      <w:bookmarkEnd w:id="711"/>
    </w:p>
    <w:p w14:paraId="7E2E430F">
      <w:r>
        <w:rPr>
          <w:rFonts w:hint="eastAsia"/>
        </w:rPr>
        <w:t>承包</w:t>
      </w:r>
      <w:r>
        <w:t>人应在</w:t>
      </w:r>
      <w:r>
        <w:rPr>
          <w:rFonts w:hint="eastAsia"/>
        </w:rPr>
        <w:t>收到变更指示14</w:t>
      </w:r>
      <w:r>
        <w:t>天内，向监理人提交</w:t>
      </w:r>
      <w:r>
        <w:rPr>
          <w:rFonts w:hint="eastAsia"/>
        </w:rPr>
        <w:t>变更报价书</w:t>
      </w:r>
      <w:r>
        <w:t>。监理人应审查，并</w:t>
      </w:r>
      <w:r>
        <w:rPr>
          <w:rFonts w:hint="eastAsia"/>
        </w:rPr>
        <w:t>在收到承包人变更报价书后14天内，</w:t>
      </w:r>
      <w:r>
        <w:t>与发包人和</w:t>
      </w:r>
      <w:r>
        <w:rPr>
          <w:rFonts w:hint="eastAsia"/>
        </w:rPr>
        <w:t>承包</w:t>
      </w:r>
      <w:r>
        <w:t>人共同商定此估价。在未达成协议的情况下，监理人应确定该估价</w:t>
      </w:r>
      <w:r>
        <w:rPr>
          <w:rFonts w:hint="eastAsia"/>
        </w:rPr>
        <w:t>。</w:t>
      </w:r>
    </w:p>
    <w:p w14:paraId="244C7CFD">
      <w:bookmarkStart w:id="712" w:name="_Toc247085815"/>
      <w:bookmarkStart w:id="713" w:name="_Toc296602546"/>
      <w:bookmarkStart w:id="714" w:name="_Toc246996300"/>
      <w:bookmarkStart w:id="715" w:name="_Toc246997043"/>
      <w:r>
        <w:rPr>
          <w:rFonts w:hint="eastAsia"/>
        </w:rPr>
        <w:t>9.3 变更的估价原则</w:t>
      </w:r>
      <w:bookmarkEnd w:id="712"/>
      <w:bookmarkEnd w:id="713"/>
      <w:bookmarkEnd w:id="714"/>
      <w:bookmarkEnd w:id="715"/>
    </w:p>
    <w:p w14:paraId="6A2ED82D">
      <w:r>
        <w:rPr>
          <w:rFonts w:hint="eastAsia"/>
        </w:rPr>
        <w:t>除专用合同条款另有约定外，因</w:t>
      </w:r>
      <w:r>
        <w:t>变更</w:t>
      </w:r>
      <w:r>
        <w:rPr>
          <w:rFonts w:hint="eastAsia"/>
        </w:rPr>
        <w:t>引起的价格调整按照本款约定处理</w:t>
      </w:r>
      <w:r>
        <w:t>：</w:t>
      </w:r>
    </w:p>
    <w:p w14:paraId="7195282F">
      <w:r>
        <w:rPr>
          <w:rFonts w:hint="eastAsia"/>
        </w:rPr>
        <w:t>（1）已标价工程量清单中有适用于变更工作的子目的，采用该子目的单价；</w:t>
      </w:r>
    </w:p>
    <w:p w14:paraId="78D8EF5F">
      <w:r>
        <w:rPr>
          <w:rFonts w:hint="eastAsia"/>
        </w:rPr>
        <w:t>（2）已标价工程量清单中无适用于变更工作的子目，但有类似子目的，可在合理范围内参照类似项目，由监理人按第3.5款商定或确定变更工作的单价；</w:t>
      </w:r>
      <w:r>
        <w:t xml:space="preserve"> </w:t>
      </w:r>
    </w:p>
    <w:p w14:paraId="63AB2BF2">
      <w:r>
        <w:rPr>
          <w:rFonts w:hint="eastAsia"/>
        </w:rPr>
        <w:t>（3）已标价工程量清单中无适用或类似子目的单价，可按照成本加利润的原则，由监理人按第3.5款商定或确定变更工作的单价。</w:t>
      </w:r>
    </w:p>
    <w:p w14:paraId="50B96F90">
      <w:bookmarkStart w:id="716" w:name="_Toc247085816"/>
      <w:bookmarkStart w:id="717" w:name="_Toc246996301"/>
      <w:bookmarkStart w:id="718" w:name="_Toc296602547"/>
      <w:bookmarkStart w:id="719" w:name="_Toc246997044"/>
      <w:r>
        <w:rPr>
          <w:rFonts w:hint="eastAsia"/>
        </w:rPr>
        <w:t>9.4 暂列金额</w:t>
      </w:r>
      <w:bookmarkEnd w:id="716"/>
      <w:bookmarkEnd w:id="717"/>
      <w:bookmarkEnd w:id="718"/>
      <w:bookmarkEnd w:id="719"/>
    </w:p>
    <w:p w14:paraId="6354E4D7">
      <w:r>
        <w:rPr>
          <w:rFonts w:hint="eastAsia"/>
        </w:rPr>
        <w:t>暂列金额只能按照监理人的指示使用，并对合同价格进行相应调整。</w:t>
      </w:r>
    </w:p>
    <w:p w14:paraId="683BCBF5">
      <w:bookmarkStart w:id="720" w:name="_Toc247085817"/>
      <w:bookmarkStart w:id="721" w:name="_Toc296602548"/>
      <w:bookmarkStart w:id="722" w:name="_Toc246996302"/>
      <w:bookmarkStart w:id="723" w:name="_Toc246997045"/>
      <w:r>
        <w:rPr>
          <w:rFonts w:hint="eastAsia"/>
        </w:rPr>
        <w:t>9.5 计日工</w:t>
      </w:r>
      <w:bookmarkEnd w:id="720"/>
      <w:bookmarkEnd w:id="721"/>
      <w:bookmarkEnd w:id="722"/>
      <w:bookmarkEnd w:id="723"/>
    </w:p>
    <w:p w14:paraId="62DAF5A7">
      <w:r>
        <w:rPr>
          <w:rFonts w:hint="eastAsia"/>
        </w:rPr>
        <w:t>9.5.1 发包人认为有必要时，由监理人通知承包人以计日工方式实施变更的零星工作。其价款按列入已标价工程量清单中的计日工计价子目及其单价进行计算。</w:t>
      </w:r>
    </w:p>
    <w:p w14:paraId="271014F1">
      <w:r>
        <w:rPr>
          <w:rFonts w:hint="eastAsia"/>
        </w:rPr>
        <w:t>9.5.2 采用计日工计价的任何一项变更工作，应从暂列金额中支付，承包人应在该项变更的实施过程中，每天提交以下报表和有关凭证报送监理人审批：</w:t>
      </w:r>
    </w:p>
    <w:p w14:paraId="7B00F282">
      <w:r>
        <w:rPr>
          <w:rFonts w:hint="eastAsia"/>
        </w:rPr>
        <w:t>（l）工作名称、内容和数量；</w:t>
      </w:r>
    </w:p>
    <w:p w14:paraId="12ECF7C5">
      <w:r>
        <w:rPr>
          <w:rFonts w:hint="eastAsia"/>
        </w:rPr>
        <w:t>（2）投入该工作所有人员的姓名、工种、级别和耗用工时；</w:t>
      </w:r>
    </w:p>
    <w:p w14:paraId="71D091E8">
      <w:r>
        <w:rPr>
          <w:rFonts w:hint="eastAsia"/>
        </w:rPr>
        <w:t>（3）投入该工作的材料类别和数量；</w:t>
      </w:r>
    </w:p>
    <w:p w14:paraId="6CB7FE4E">
      <w:r>
        <w:rPr>
          <w:rFonts w:hint="eastAsia"/>
        </w:rPr>
        <w:t>（4）投入该工作的施工设备型号、台数和耗用台时；</w:t>
      </w:r>
    </w:p>
    <w:p w14:paraId="4CA8FE80">
      <w:r>
        <w:rPr>
          <w:rFonts w:hint="eastAsia"/>
        </w:rPr>
        <w:t>（5）监理人要求提交的其他资料和凭证。</w:t>
      </w:r>
    </w:p>
    <w:p w14:paraId="0A20F9B2">
      <w:r>
        <w:rPr>
          <w:rFonts w:hint="eastAsia"/>
        </w:rPr>
        <w:t>9.5.3 计日工由承包人汇总后，按第10.3款的约定列入进度付款申请单，由监理人复核并经发包人同意后列入进度付款。</w:t>
      </w:r>
    </w:p>
    <w:p w14:paraId="011A9229">
      <w:bookmarkStart w:id="724" w:name="_Toc246996304"/>
      <w:bookmarkStart w:id="725" w:name="_Toc184635114"/>
      <w:bookmarkStart w:id="726" w:name="_Toc247085819"/>
      <w:bookmarkStart w:id="727" w:name="_Toc246997047"/>
      <w:bookmarkStart w:id="728" w:name="_Toc296602549"/>
      <w:r>
        <w:rPr>
          <w:rFonts w:hint="eastAsia"/>
        </w:rPr>
        <w:t>10. 计量与支付</w:t>
      </w:r>
      <w:bookmarkEnd w:id="724"/>
      <w:bookmarkEnd w:id="725"/>
      <w:bookmarkEnd w:id="726"/>
      <w:bookmarkEnd w:id="727"/>
      <w:bookmarkEnd w:id="728"/>
    </w:p>
    <w:p w14:paraId="10677E6B">
      <w:bookmarkStart w:id="729" w:name="_Toc246996305"/>
      <w:bookmarkStart w:id="730" w:name="_Toc247085820"/>
      <w:bookmarkStart w:id="731" w:name="_Toc246997048"/>
      <w:bookmarkStart w:id="732" w:name="_Toc296602550"/>
      <w:r>
        <w:rPr>
          <w:rFonts w:hint="eastAsia"/>
        </w:rPr>
        <w:t>10.1 计量</w:t>
      </w:r>
      <w:bookmarkEnd w:id="729"/>
      <w:bookmarkEnd w:id="730"/>
      <w:bookmarkEnd w:id="731"/>
      <w:bookmarkEnd w:id="732"/>
    </w:p>
    <w:p w14:paraId="4D5F82B9">
      <w:r>
        <w:rPr>
          <w:rFonts w:hint="eastAsia"/>
        </w:rPr>
        <w:t>除专用合同条款另有约定外，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p>
    <w:p w14:paraId="1EC81694">
      <w:bookmarkStart w:id="733" w:name="_Toc247085821"/>
      <w:bookmarkStart w:id="734" w:name="_Toc246997049"/>
      <w:bookmarkStart w:id="735" w:name="_Toc296602551"/>
      <w:bookmarkStart w:id="736" w:name="_Toc246996306"/>
      <w:r>
        <w:rPr>
          <w:rFonts w:hint="eastAsia"/>
        </w:rPr>
        <w:t>10.2 预付款</w:t>
      </w:r>
      <w:bookmarkEnd w:id="733"/>
      <w:bookmarkEnd w:id="734"/>
      <w:bookmarkEnd w:id="735"/>
      <w:bookmarkEnd w:id="736"/>
    </w:p>
    <w:p w14:paraId="7C6C34DC">
      <w:r>
        <w:rPr>
          <w:rFonts w:hint="eastAsia"/>
        </w:rPr>
        <w:t>预付款用于承包人为合同工程施工购置材料、工程设备、施工设备、修建临时设施以及组织施工队伍进场等。预付款的额度、预付办法，以及扣回与还清办法在专用合同条款中约定。预付款必须专用于合同工程。</w:t>
      </w:r>
    </w:p>
    <w:p w14:paraId="48DA5238">
      <w:bookmarkStart w:id="737" w:name="_Toc246997050"/>
      <w:bookmarkStart w:id="738" w:name="_Toc247085822"/>
      <w:bookmarkStart w:id="739" w:name="_Toc246996307"/>
      <w:bookmarkStart w:id="740" w:name="_Toc296602552"/>
      <w:r>
        <w:rPr>
          <w:rFonts w:hint="eastAsia"/>
        </w:rPr>
        <w:t>10.3 工程进度付款</w:t>
      </w:r>
      <w:bookmarkEnd w:id="737"/>
      <w:bookmarkEnd w:id="738"/>
      <w:bookmarkEnd w:id="739"/>
      <w:bookmarkEnd w:id="740"/>
    </w:p>
    <w:p w14:paraId="6F2F0752">
      <w:r>
        <w:rPr>
          <w:rFonts w:hint="eastAsia"/>
        </w:rPr>
        <w:t>承包人应在第10.1款约定的支付分解表确定的每个付款周期末，按监理人批准的格式和专用合同条款约定的份数，向监理人提交进度付款申请单，并附相应的支持性证明文件。除专用合同条款另有约定外，进度付款申请单应包括下列内容：</w:t>
      </w:r>
    </w:p>
    <w:p w14:paraId="68A416DD">
      <w:r>
        <w:rPr>
          <w:rFonts w:hint="eastAsia"/>
        </w:rPr>
        <w:t>（1）截至本次付款周期末已实施工程的合同价款；</w:t>
      </w:r>
    </w:p>
    <w:p w14:paraId="2C77A8AB">
      <w:r>
        <w:rPr>
          <w:rFonts w:hint="eastAsia"/>
        </w:rPr>
        <w:t>（2）根据第9条应增加和扣减的变更金额；</w:t>
      </w:r>
    </w:p>
    <w:p w14:paraId="2261577A">
      <w:r>
        <w:rPr>
          <w:rFonts w:hint="eastAsia"/>
        </w:rPr>
        <w:t>（3）根据第16条应增加和扣减的索赔金额；</w:t>
      </w:r>
    </w:p>
    <w:p w14:paraId="3755B4D1">
      <w:r>
        <w:rPr>
          <w:rFonts w:hint="eastAsia"/>
        </w:rPr>
        <w:t>（4）根据第10.2款应支付的预付款和扣减的返还预付款；</w:t>
      </w:r>
    </w:p>
    <w:p w14:paraId="4424EE38">
      <w:r>
        <w:rPr>
          <w:rFonts w:hint="eastAsia"/>
        </w:rPr>
        <w:t>（5）根据第10.4款应扣减的质量保证金；</w:t>
      </w:r>
    </w:p>
    <w:p w14:paraId="22AE47EC">
      <w:r>
        <w:rPr>
          <w:rFonts w:hint="eastAsia"/>
        </w:rPr>
        <w:t>（6）根据合同应增加和扣减的其他金额。</w:t>
      </w:r>
    </w:p>
    <w:p w14:paraId="60AA82DD">
      <w:r>
        <w:rPr>
          <w:rFonts w:hint="eastAsia"/>
        </w:rPr>
        <w:t>监理人应在收到承包人进度付款申请单以及相应的支持性证明文件后的7天内完成核查</w:t>
      </w:r>
      <w:r>
        <w:t>，</w:t>
      </w:r>
      <w:r>
        <w:rPr>
          <w:rFonts w:hint="eastAsia"/>
        </w:rPr>
        <w:t>并向承包人出具经发包人签认的付款证书。</w:t>
      </w:r>
      <w:r>
        <w:t>发包人应在监理人收到进度付款申请单的</w:t>
      </w:r>
      <w:r>
        <w:rPr>
          <w:rFonts w:hint="eastAsia"/>
        </w:rPr>
        <w:t>14</w:t>
      </w:r>
      <w:r>
        <w:t>天内将进度</w:t>
      </w:r>
      <w:r>
        <w:rPr>
          <w:rFonts w:hint="eastAsia"/>
        </w:rPr>
        <w:t>应付</w:t>
      </w:r>
      <w:r>
        <w:t>款支付给</w:t>
      </w:r>
      <w:r>
        <w:rPr>
          <w:rFonts w:hint="eastAsia"/>
        </w:rPr>
        <w:t>承包</w:t>
      </w:r>
      <w:r>
        <w:t>人</w:t>
      </w:r>
      <w:r>
        <w:rPr>
          <w:rFonts w:hint="eastAsia"/>
        </w:rPr>
        <w:t>。涉及政府投资资金的，按照国库集中支付等国家相关规定和专用合同条款的约定执行。</w:t>
      </w:r>
    </w:p>
    <w:p w14:paraId="320735C1">
      <w:bookmarkStart w:id="741" w:name="_Toc246997051"/>
      <w:bookmarkStart w:id="742" w:name="_Toc246996308"/>
      <w:bookmarkStart w:id="743" w:name="_Toc247085823"/>
      <w:bookmarkStart w:id="744" w:name="_Toc296602553"/>
      <w:r>
        <w:rPr>
          <w:rFonts w:hint="eastAsia"/>
        </w:rPr>
        <w:t>10.4 质量保证金</w:t>
      </w:r>
      <w:bookmarkEnd w:id="741"/>
      <w:bookmarkEnd w:id="742"/>
      <w:bookmarkEnd w:id="743"/>
      <w:bookmarkEnd w:id="744"/>
    </w:p>
    <w:p w14:paraId="5A086999">
      <w:r>
        <w:rPr>
          <w:rFonts w:hint="eastAsia"/>
        </w:rPr>
        <w:t>监理人应从第一个付款周期开始，在发包人的进度付款中，按专用合同条款的约定扣留质量保证金，直至扣留的质量保证金总额达到专用合同条款约定的金额或比例为止。</w:t>
      </w:r>
    </w:p>
    <w:p w14:paraId="4D21F4AB">
      <w:r>
        <w:rPr>
          <w:rFonts w:hint="eastAsia"/>
        </w:rPr>
        <w:t>在专用合同条款约定的缺陷责任期满时，承包人向发包人申请到期应返还承包人剩余的质量保证金金额，发包人应在14天内会同承包人按照合同约定的内容核实承包人是否完成缺陷责任，并将无异议的剩余质量保证金返还承包人。</w:t>
      </w:r>
    </w:p>
    <w:p w14:paraId="17C4A37C">
      <w:bookmarkStart w:id="745" w:name="_Toc246997052"/>
      <w:bookmarkStart w:id="746" w:name="_Toc247085824"/>
      <w:bookmarkStart w:id="747" w:name="_Toc296602554"/>
      <w:bookmarkStart w:id="748" w:name="_Toc246996309"/>
      <w:r>
        <w:rPr>
          <w:rFonts w:hint="eastAsia"/>
        </w:rPr>
        <w:t>10.5 竣工结算</w:t>
      </w:r>
      <w:bookmarkEnd w:id="745"/>
      <w:bookmarkEnd w:id="746"/>
      <w:bookmarkEnd w:id="747"/>
      <w:bookmarkEnd w:id="748"/>
    </w:p>
    <w:p w14:paraId="1657839A">
      <w:r>
        <w:rPr>
          <w:rFonts w:hint="eastAsia"/>
        </w:rPr>
        <w:t>10.5.1 除专用合同条款另有约定外，竣工结算价格不因物价波动和法律变化而调整。</w:t>
      </w:r>
    </w:p>
    <w:p w14:paraId="1C425075">
      <w:r>
        <w:rPr>
          <w:rFonts w:hint="eastAsia"/>
        </w:rPr>
        <w:t>10.5.2</w:t>
      </w:r>
      <w:r>
        <w:t>工程接收证书颁发后，承包人应按</w:t>
      </w:r>
      <w:r>
        <w:rPr>
          <w:rFonts w:hint="eastAsia"/>
        </w:rPr>
        <w:t>专用合同条款</w:t>
      </w:r>
      <w:r>
        <w:t>约定的份数和期限向监理人提交竣工付款申请单，并提供相关证明材料。监理人</w:t>
      </w:r>
      <w:r>
        <w:rPr>
          <w:rFonts w:hint="eastAsia"/>
        </w:rPr>
        <w:t>应当在</w:t>
      </w:r>
      <w:r>
        <w:t>收到竣工结算申请单的</w:t>
      </w:r>
      <w:r>
        <w:rPr>
          <w:rFonts w:hint="eastAsia"/>
        </w:rPr>
        <w:t>7天内完成</w:t>
      </w:r>
      <w:r>
        <w:t>核查</w:t>
      </w:r>
      <w:r>
        <w:rPr>
          <w:rFonts w:hint="eastAsia"/>
        </w:rPr>
        <w:t>、准备竣工付款证书并送发包人审核</w:t>
      </w:r>
      <w:r>
        <w:t>，发包人应在</w:t>
      </w:r>
      <w:r>
        <w:rPr>
          <w:rFonts w:hint="eastAsia"/>
        </w:rPr>
        <w:t>收到后14</w:t>
      </w:r>
      <w:r>
        <w:t>天内</w:t>
      </w:r>
      <w:r>
        <w:rPr>
          <w:rFonts w:hint="eastAsia"/>
        </w:rPr>
        <w:t>提出具体意见或签认竣工付款证书，并在</w:t>
      </w:r>
      <w:r>
        <w:t>监理人收到竣工结算申请单的</w:t>
      </w:r>
      <w:r>
        <w:rPr>
          <w:rFonts w:hint="eastAsia"/>
        </w:rPr>
        <w:t>28</w:t>
      </w:r>
      <w:r>
        <w:t>天内将应付款支付给承包人。</w:t>
      </w:r>
      <w:r>
        <w:rPr>
          <w:rFonts w:hint="eastAsia"/>
        </w:rPr>
        <w:t>发包人未在约定时间内审核并提出具体意见或者签认竣工付款证书的，视为同意承包人提出的竣工付款金额。</w:t>
      </w:r>
    </w:p>
    <w:p w14:paraId="29887B82">
      <w:r>
        <w:rPr>
          <w:rFonts w:hint="eastAsia"/>
        </w:rPr>
        <w:t>10.5.3竣工付款涉及政府投资资金的，按照国库集中支付等国家相关规定和专用合同条款的约定执行。</w:t>
      </w:r>
    </w:p>
    <w:p w14:paraId="36FCCD19">
      <w:bookmarkStart w:id="749" w:name="_Toc296602555"/>
      <w:bookmarkStart w:id="750" w:name="_Toc246996310"/>
      <w:bookmarkStart w:id="751" w:name="_Toc247085825"/>
      <w:bookmarkStart w:id="752" w:name="_Toc246997053"/>
      <w:r>
        <w:rPr>
          <w:rFonts w:hint="eastAsia"/>
        </w:rPr>
        <w:t>10.6 付款延误</w:t>
      </w:r>
      <w:bookmarkEnd w:id="749"/>
      <w:bookmarkEnd w:id="750"/>
      <w:bookmarkEnd w:id="751"/>
      <w:bookmarkEnd w:id="752"/>
    </w:p>
    <w:p w14:paraId="2A966D09">
      <w:r>
        <w:rPr>
          <w:rFonts w:hint="eastAsia"/>
        </w:rPr>
        <w:t>发包人不按期支付的，按专用合同条款的约定支付逾期付款违约金。</w:t>
      </w:r>
    </w:p>
    <w:p w14:paraId="70F2E85B">
      <w:bookmarkStart w:id="753" w:name="_Toc296602556"/>
      <w:bookmarkStart w:id="754" w:name="_Toc246997054"/>
      <w:bookmarkStart w:id="755" w:name="_Toc247085826"/>
      <w:bookmarkStart w:id="756" w:name="_Toc184635115"/>
      <w:bookmarkStart w:id="757" w:name="_Toc246996311"/>
      <w:r>
        <w:rPr>
          <w:rFonts w:hint="eastAsia"/>
        </w:rPr>
        <w:t>11. 竣工验收</w:t>
      </w:r>
      <w:bookmarkEnd w:id="753"/>
      <w:bookmarkEnd w:id="754"/>
      <w:bookmarkEnd w:id="755"/>
      <w:bookmarkEnd w:id="756"/>
      <w:bookmarkEnd w:id="757"/>
    </w:p>
    <w:p w14:paraId="70A4CA3B">
      <w:bookmarkStart w:id="758" w:name="_Toc296602557"/>
      <w:bookmarkStart w:id="759" w:name="_Toc247085827"/>
      <w:bookmarkStart w:id="760" w:name="_Toc246996312"/>
      <w:bookmarkStart w:id="761" w:name="_Toc246997055"/>
      <w:r>
        <w:rPr>
          <w:rFonts w:hint="eastAsia"/>
        </w:rPr>
        <w:t>11.1 竣工验收的含义</w:t>
      </w:r>
      <w:bookmarkEnd w:id="758"/>
    </w:p>
    <w:p w14:paraId="4A954BCA">
      <w:r>
        <w:rPr>
          <w:rFonts w:hint="eastAsia"/>
          <w:szCs w:val="21"/>
        </w:rPr>
        <w:t>11.1.1</w:t>
      </w:r>
      <w:r>
        <w:rPr>
          <w:rFonts w:hint="eastAsia"/>
        </w:rPr>
        <w:t xml:space="preserve"> 竣工验收是指承包人完成了全部合同工作后，发包人按合同要求进行的验收。</w:t>
      </w:r>
    </w:p>
    <w:p w14:paraId="0CE32342">
      <w:pPr>
        <w:rPr>
          <w:szCs w:val="21"/>
        </w:rPr>
      </w:pPr>
      <w:r>
        <w:rPr>
          <w:rFonts w:hint="eastAsia"/>
          <w:szCs w:val="21"/>
        </w:rPr>
        <w:t>11.1.2</w:t>
      </w:r>
      <w:r>
        <w:rPr>
          <w:rFonts w:hint="eastAsia"/>
        </w:rPr>
        <w:t xml:space="preserve"> 需要进行国家验收的，竣工验收是国家验收的一部分。竣工验收所采用的各项验收和评定标准应符合国家验收标准。发包人和承包人为竣工验收提供的各项竣工验收资料应符合国家验收的要求。</w:t>
      </w:r>
    </w:p>
    <w:p w14:paraId="46483794">
      <w:bookmarkStart w:id="762" w:name="_Toc296602558"/>
      <w:r>
        <w:rPr>
          <w:rFonts w:hint="eastAsia"/>
        </w:rPr>
        <w:t>11.2 竣工验收申请报告</w:t>
      </w:r>
      <w:bookmarkEnd w:id="759"/>
      <w:bookmarkEnd w:id="760"/>
      <w:bookmarkEnd w:id="761"/>
      <w:bookmarkEnd w:id="762"/>
    </w:p>
    <w:p w14:paraId="00BB7C0E">
      <w:r>
        <w:t>当工程具备竣工条件时，</w:t>
      </w:r>
      <w:r>
        <w:rPr>
          <w:rFonts w:hint="eastAsia"/>
        </w:rPr>
        <w:t>承包</w:t>
      </w:r>
      <w:r>
        <w:t>人即可向监理人报送竣工验收申请报告</w:t>
      </w:r>
      <w:r>
        <w:rPr>
          <w:rFonts w:hint="eastAsia"/>
        </w:rPr>
        <w:t>。</w:t>
      </w:r>
    </w:p>
    <w:p w14:paraId="6A2E1447">
      <w:bookmarkStart w:id="763" w:name="_Toc246996313"/>
      <w:bookmarkStart w:id="764" w:name="_Toc247085828"/>
      <w:bookmarkStart w:id="765" w:name="_Toc246997056"/>
      <w:bookmarkStart w:id="766" w:name="_Toc296602559"/>
      <w:r>
        <w:rPr>
          <w:rFonts w:hint="eastAsia"/>
        </w:rPr>
        <w:t>11.3 竣工和验收</w:t>
      </w:r>
      <w:bookmarkEnd w:id="763"/>
      <w:bookmarkEnd w:id="764"/>
      <w:bookmarkEnd w:id="765"/>
      <w:bookmarkEnd w:id="766"/>
    </w:p>
    <w:p w14:paraId="78FFD494">
      <w:r>
        <w:t>监理人审查后认为具备竣工验收条件的，提请发包人进行工程验收。发包人经过验收后同意接收工程的，由监理人向</w:t>
      </w:r>
      <w:r>
        <w:rPr>
          <w:rFonts w:hint="eastAsia"/>
        </w:rPr>
        <w:t>承包</w:t>
      </w:r>
      <w:r>
        <w:t>人出具经发包人签认的工程接收证书</w:t>
      </w:r>
      <w:r>
        <w:rPr>
          <w:rFonts w:hint="eastAsia"/>
        </w:rPr>
        <w:t>。</w:t>
      </w:r>
    </w:p>
    <w:p w14:paraId="425F8C59">
      <w:r>
        <w:t>除专用合同条款另有约定外，经验收合格工程的实际竣工日期，以提交竣工验收申请报告的日期为准，并在工程接收证书中写明</w:t>
      </w:r>
      <w:r>
        <w:rPr>
          <w:rFonts w:hint="eastAsia"/>
        </w:rPr>
        <w:t>。</w:t>
      </w:r>
    </w:p>
    <w:p w14:paraId="21018810">
      <w:bookmarkStart w:id="767" w:name="_Toc246997057"/>
      <w:bookmarkStart w:id="768" w:name="_Toc296602560"/>
      <w:bookmarkStart w:id="769" w:name="_Toc247085829"/>
      <w:bookmarkStart w:id="770" w:name="_Toc246996314"/>
      <w:r>
        <w:rPr>
          <w:rFonts w:hint="eastAsia"/>
        </w:rPr>
        <w:t>11.4 试运行</w:t>
      </w:r>
      <w:bookmarkEnd w:id="767"/>
      <w:bookmarkEnd w:id="768"/>
      <w:bookmarkEnd w:id="769"/>
      <w:bookmarkEnd w:id="770"/>
    </w:p>
    <w:p w14:paraId="6D4A4993">
      <w:r>
        <w:rPr>
          <w:rFonts w:hint="eastAsia"/>
        </w:rPr>
        <w:t>除专用合同条款另有约定外，承包人应按专用合同条款约定进行工程及工程设备试运行，负责提供试运行所需的人员、器材和必要的条件，并承担全部试运行费用。</w:t>
      </w:r>
    </w:p>
    <w:p w14:paraId="7CA33710">
      <w:bookmarkStart w:id="771" w:name="_Toc247085830"/>
      <w:bookmarkStart w:id="772" w:name="_Toc246997058"/>
      <w:bookmarkStart w:id="773" w:name="_Toc296602561"/>
      <w:bookmarkStart w:id="774" w:name="_Toc246996315"/>
      <w:r>
        <w:rPr>
          <w:rFonts w:hint="eastAsia"/>
        </w:rPr>
        <w:t>11.5 竣工清场</w:t>
      </w:r>
      <w:bookmarkEnd w:id="771"/>
      <w:bookmarkEnd w:id="772"/>
      <w:bookmarkEnd w:id="773"/>
      <w:bookmarkEnd w:id="774"/>
    </w:p>
    <w:p w14:paraId="0F7C6E67">
      <w:r>
        <w:rPr>
          <w:rFonts w:hint="eastAsia"/>
        </w:rPr>
        <w:t>除合同另有约定外，工程接收证书颁发后，承包人应对施工场地进行清理，直至监理人检验合格为止。竣工清场费用由承包人承担。</w:t>
      </w:r>
    </w:p>
    <w:p w14:paraId="1CE3D24C">
      <w:bookmarkStart w:id="775" w:name="_Toc246997059"/>
      <w:bookmarkStart w:id="776" w:name="_Toc246996316"/>
      <w:bookmarkStart w:id="777" w:name="_Toc296602562"/>
      <w:bookmarkStart w:id="778" w:name="_Toc247085831"/>
      <w:bookmarkStart w:id="779" w:name="_Toc184635116"/>
      <w:r>
        <w:rPr>
          <w:rFonts w:hint="eastAsia"/>
        </w:rPr>
        <w:t>12. 缺陷责任与保修责任</w:t>
      </w:r>
      <w:bookmarkEnd w:id="775"/>
      <w:bookmarkEnd w:id="776"/>
      <w:bookmarkEnd w:id="777"/>
      <w:bookmarkEnd w:id="778"/>
      <w:bookmarkEnd w:id="779"/>
    </w:p>
    <w:p w14:paraId="07578F56">
      <w:bookmarkStart w:id="780" w:name="_Toc246997060"/>
      <w:bookmarkStart w:id="781" w:name="_Toc296602563"/>
      <w:bookmarkStart w:id="782" w:name="_Toc246996317"/>
      <w:bookmarkStart w:id="783" w:name="_Toc247085832"/>
      <w:r>
        <w:rPr>
          <w:rFonts w:hint="eastAsia"/>
        </w:rPr>
        <w:t>12.1 缺陷责任</w:t>
      </w:r>
      <w:bookmarkEnd w:id="780"/>
      <w:bookmarkEnd w:id="781"/>
      <w:bookmarkEnd w:id="782"/>
      <w:bookmarkEnd w:id="783"/>
    </w:p>
    <w:p w14:paraId="1B61C639">
      <w:r>
        <w:rPr>
          <w:rFonts w:hint="eastAsia"/>
        </w:rPr>
        <w:t>缺陷责任自实际竣工日期起计算。在缺陷责任期内，已交付的工程</w:t>
      </w:r>
      <w:r>
        <w:t>由于</w:t>
      </w:r>
      <w:r>
        <w:rPr>
          <w:rFonts w:hint="eastAsia"/>
        </w:rPr>
        <w:t>承包</w:t>
      </w:r>
      <w:r>
        <w:t>人的材料、设备或工艺不符合合同要求所产生的缺陷，修补费用由</w:t>
      </w:r>
      <w:r>
        <w:rPr>
          <w:rFonts w:hint="eastAsia"/>
        </w:rPr>
        <w:t>承包</w:t>
      </w:r>
      <w:r>
        <w:t>人承担</w:t>
      </w:r>
      <w:r>
        <w:rPr>
          <w:rFonts w:hint="eastAsia"/>
        </w:rPr>
        <w:t>。由于承包人原因造成某项缺陷或损坏使某项工程或工程设备不能按原定目标使用而需要再次检查、检验和修复的，发包人有权要求承包人相应延长缺陷责任期，但缺陷责任期最长不超过2年。</w:t>
      </w:r>
    </w:p>
    <w:p w14:paraId="7388005F">
      <w:bookmarkStart w:id="784" w:name="_Toc296602564"/>
      <w:bookmarkStart w:id="785" w:name="_Toc247085833"/>
      <w:bookmarkStart w:id="786" w:name="_Toc246997061"/>
      <w:bookmarkStart w:id="787" w:name="_Toc246996318"/>
      <w:r>
        <w:rPr>
          <w:rFonts w:hint="eastAsia"/>
        </w:rPr>
        <w:t>12.2 保修责任</w:t>
      </w:r>
      <w:bookmarkEnd w:id="784"/>
      <w:bookmarkEnd w:id="785"/>
      <w:bookmarkEnd w:id="786"/>
      <w:bookmarkEnd w:id="787"/>
    </w:p>
    <w:p w14:paraId="5FFF0F40">
      <w:r>
        <w:rPr>
          <w:rFonts w:hint="eastAsia"/>
        </w:rPr>
        <w:t>合同当事人根据有关法律规定，在专用合同条款中约定工程质量保修范围、期限和责任。保修期自实际竣工日期起计算。</w:t>
      </w:r>
      <w:bookmarkStart w:id="788" w:name="_Toc247085834"/>
      <w:bookmarkStart w:id="789" w:name="_Toc246996319"/>
      <w:bookmarkStart w:id="790" w:name="_Toc184635117"/>
      <w:bookmarkStart w:id="791" w:name="_Toc246997062"/>
    </w:p>
    <w:p w14:paraId="31C285DA">
      <w:bookmarkStart w:id="792" w:name="_Toc296602565"/>
      <w:r>
        <w:rPr>
          <w:rFonts w:hint="eastAsia"/>
        </w:rPr>
        <w:t>13. 保险</w:t>
      </w:r>
      <w:bookmarkEnd w:id="788"/>
      <w:bookmarkEnd w:id="789"/>
      <w:bookmarkEnd w:id="790"/>
      <w:bookmarkEnd w:id="791"/>
      <w:bookmarkEnd w:id="792"/>
    </w:p>
    <w:p w14:paraId="6133026A">
      <w:bookmarkStart w:id="793" w:name="_Toc247085835"/>
      <w:bookmarkStart w:id="794" w:name="_Toc246997063"/>
      <w:bookmarkStart w:id="795" w:name="_Toc246996320"/>
      <w:bookmarkStart w:id="796" w:name="_Toc296602566"/>
      <w:r>
        <w:rPr>
          <w:rFonts w:hint="eastAsia"/>
        </w:rPr>
        <w:t>13.1 保险范围</w:t>
      </w:r>
      <w:bookmarkEnd w:id="793"/>
      <w:bookmarkEnd w:id="794"/>
      <w:bookmarkEnd w:id="795"/>
      <w:bookmarkEnd w:id="796"/>
    </w:p>
    <w:p w14:paraId="710DF3D3">
      <w:r>
        <w:rPr>
          <w:rFonts w:hint="eastAsia"/>
        </w:rPr>
        <w:t>13.1.1承包人按照专用合同条款的约定向双方同意的保险人投保建筑工程一切险或安装工程一切险等保险。具体的投保险种、保险范围、保险金额、保险费率、保险期限等有关内容应当在专用合同条款中明确约定。</w:t>
      </w:r>
    </w:p>
    <w:p w14:paraId="6A8D8653">
      <w:r>
        <w:rPr>
          <w:rFonts w:hint="eastAsia"/>
        </w:rPr>
        <w:t>13.1.2承包</w:t>
      </w:r>
      <w:r>
        <w:t>人应依照有关法律规定参加工伤保险和人身意外伤害险，为其履行合同所雇佣的全部人员，缴纳工伤保险费和</w:t>
      </w:r>
      <w:r>
        <w:rPr>
          <w:rFonts w:hint="eastAsia"/>
        </w:rPr>
        <w:t>人身</w:t>
      </w:r>
      <w:r>
        <w:t>意外伤害险费。</w:t>
      </w:r>
    </w:p>
    <w:p w14:paraId="7D008174">
      <w:r>
        <w:rPr>
          <w:rFonts w:hint="eastAsia"/>
        </w:rPr>
        <w:t>13.1.3</w:t>
      </w:r>
      <w:r>
        <w:t>发包人应依照有关法律规定参加工伤保险和人身意外伤害险，为其现场机构雇佣的全部人员，缴纳工伤保险费和人身意外伤害险费，并要求其监理人也进行此类保险</w:t>
      </w:r>
      <w:r>
        <w:rPr>
          <w:rFonts w:hint="eastAsia"/>
        </w:rPr>
        <w:t>。</w:t>
      </w:r>
    </w:p>
    <w:p w14:paraId="1185E70E">
      <w:bookmarkStart w:id="797" w:name="_Toc246997064"/>
      <w:bookmarkStart w:id="798" w:name="_Toc247085836"/>
      <w:bookmarkStart w:id="799" w:name="_Toc246996321"/>
      <w:r>
        <w:rPr>
          <w:rFonts w:hint="eastAsia"/>
        </w:rPr>
        <w:t xml:space="preserve"> </w:t>
      </w:r>
      <w:bookmarkStart w:id="800" w:name="_Toc296602567"/>
      <w:r>
        <w:rPr>
          <w:rFonts w:hint="eastAsia"/>
        </w:rPr>
        <w:t xml:space="preserve">13.2 </w:t>
      </w:r>
      <w:r>
        <w:t>未办理保</w:t>
      </w:r>
      <w:r>
        <w:rPr>
          <w:rFonts w:hint="eastAsia"/>
        </w:rPr>
        <w:t>险</w:t>
      </w:r>
      <w:bookmarkEnd w:id="797"/>
      <w:bookmarkEnd w:id="798"/>
      <w:bookmarkEnd w:id="799"/>
      <w:bookmarkEnd w:id="800"/>
    </w:p>
    <w:p w14:paraId="757A42E7">
      <w:bookmarkStart w:id="801" w:name="_Toc184635118"/>
      <w:r>
        <w:rPr>
          <w:rFonts w:hint="eastAsia"/>
        </w:rPr>
        <w:t>13.2.1</w:t>
      </w:r>
      <w:r>
        <w:t>由于负有投保义务的一方当事人未按合同约定办理保险，或未能使保险持续有效的，另一方当事人可代为办理，所需费用由对方当事人承担。</w:t>
      </w:r>
    </w:p>
    <w:p w14:paraId="3C5D33A2">
      <w:r>
        <w:rPr>
          <w:rFonts w:hint="eastAsia"/>
        </w:rPr>
        <w:t>13.2.2</w:t>
      </w:r>
      <w:r>
        <w:t>由于负有投保义务的一方当事人未按合同约定办理某项保险，导致受益人未能得到保险人的赔偿，原应从该项保险得到的保险金应由负有投保义务的一方当事人支付</w:t>
      </w:r>
      <w:r>
        <w:rPr>
          <w:rFonts w:hint="eastAsia"/>
        </w:rPr>
        <w:t>。</w:t>
      </w:r>
    </w:p>
    <w:bookmarkEnd w:id="801"/>
    <w:p w14:paraId="74575452">
      <w:bookmarkStart w:id="802" w:name="_Toc247527781"/>
      <w:bookmarkStart w:id="803" w:name="_Toc271821895"/>
      <w:bookmarkStart w:id="804" w:name="_Toc296602568"/>
      <w:bookmarkStart w:id="805" w:name="_Toc247514180"/>
      <w:bookmarkStart w:id="806" w:name="_Toc247085837"/>
      <w:bookmarkStart w:id="807" w:name="_Toc184635119"/>
      <w:bookmarkStart w:id="808" w:name="_Toc246996322"/>
      <w:bookmarkStart w:id="809" w:name="_Toc246997065"/>
      <w:r>
        <w:rPr>
          <w:rFonts w:hint="eastAsia"/>
        </w:rPr>
        <w:t>14. 不可抗力</w:t>
      </w:r>
      <w:bookmarkEnd w:id="802"/>
      <w:bookmarkEnd w:id="803"/>
      <w:bookmarkEnd w:id="804"/>
      <w:bookmarkEnd w:id="805"/>
    </w:p>
    <w:p w14:paraId="2E3765DF">
      <w:bookmarkStart w:id="810" w:name="_Toc247514181"/>
      <w:bookmarkStart w:id="811" w:name="_Toc296602569"/>
      <w:bookmarkStart w:id="812" w:name="_Toc271821896"/>
      <w:bookmarkStart w:id="813" w:name="_Toc247527782"/>
      <w:r>
        <w:rPr>
          <w:rFonts w:hint="eastAsia"/>
        </w:rPr>
        <w:t>14.1 不可抗力的确认</w:t>
      </w:r>
      <w:bookmarkEnd w:id="810"/>
      <w:bookmarkEnd w:id="811"/>
      <w:bookmarkEnd w:id="812"/>
      <w:bookmarkEnd w:id="813"/>
    </w:p>
    <w:p w14:paraId="48177968">
      <w:r>
        <w:rPr>
          <w:rFonts w:hint="eastAsia"/>
        </w:rPr>
        <w:t>14.1.1 不可抗力是指承包人和发包人在订立合同时不可预见，在履行合同过程中不可避免发生并不能克服的自然灾害和社会性突发事件，如地震、海啸、瘟疫、水灾、骚乱、暴动、战争和专用合同条款约定的其他情形。</w:t>
      </w:r>
    </w:p>
    <w:p w14:paraId="537854AE">
      <w:r>
        <w:rPr>
          <w:rFonts w:hint="eastAsia"/>
        </w:rPr>
        <w:t>14.1.2 不可抗力发生后，发包人和承包人应及时认真统计所造成的损失，收集不可抗力造成损失的证据。合同双方对是否属于不可抗力或其损失的意见不一致的，由监理人按第3.5 款商定或确定。发生争议时，按第17条的约定执行。</w:t>
      </w:r>
    </w:p>
    <w:p w14:paraId="18F67AA8">
      <w:bookmarkStart w:id="814" w:name="_Toc296602570"/>
      <w:bookmarkStart w:id="815" w:name="_Toc247527783"/>
      <w:bookmarkStart w:id="816" w:name="_Toc271821897"/>
      <w:bookmarkStart w:id="817" w:name="_Toc247514182"/>
      <w:r>
        <w:rPr>
          <w:rFonts w:hint="eastAsia"/>
        </w:rPr>
        <w:t>14.2 不可抗力的通知</w:t>
      </w:r>
      <w:bookmarkEnd w:id="814"/>
      <w:bookmarkEnd w:id="815"/>
      <w:bookmarkEnd w:id="816"/>
      <w:bookmarkEnd w:id="817"/>
    </w:p>
    <w:p w14:paraId="56AC6573">
      <w:r>
        <w:rPr>
          <w:rFonts w:hint="eastAsia"/>
        </w:rPr>
        <w:t>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p>
    <w:p w14:paraId="015447C6">
      <w:bookmarkStart w:id="818" w:name="_Toc296602571"/>
      <w:bookmarkStart w:id="819" w:name="_Toc247527784"/>
      <w:bookmarkStart w:id="820" w:name="_Toc271821898"/>
      <w:bookmarkStart w:id="821" w:name="_Toc247514183"/>
      <w:r>
        <w:rPr>
          <w:rFonts w:hint="eastAsia"/>
        </w:rPr>
        <w:t>14.3 不可抗力后果及其处理</w:t>
      </w:r>
      <w:bookmarkEnd w:id="818"/>
      <w:bookmarkEnd w:id="819"/>
      <w:bookmarkEnd w:id="820"/>
      <w:bookmarkEnd w:id="821"/>
    </w:p>
    <w:p w14:paraId="70CCA249">
      <w:r>
        <w:rPr>
          <w:rFonts w:hint="eastAsia"/>
        </w:rPr>
        <w:t>除专用合同条款另有约定外，不可抗力导致的人员伤亡、财产损失、费用增加和（或）工期延误等后果，由合同双方按以下原则承担：</w:t>
      </w:r>
    </w:p>
    <w:p w14:paraId="5F7ED6BC">
      <w:r>
        <w:rPr>
          <w:rFonts w:hint="eastAsia"/>
        </w:rPr>
        <w:t>（1）永久工程，包括已运至施工场地的材料和工程设备的损害，以及因工程损害造成的第三者人员伤亡和财产损失由发包人承担；</w:t>
      </w:r>
    </w:p>
    <w:p w14:paraId="4F16BF82">
      <w:r>
        <w:rPr>
          <w:rFonts w:hint="eastAsia"/>
        </w:rPr>
        <w:t>（2）承包人设备的损坏由承包人承担；</w:t>
      </w:r>
    </w:p>
    <w:p w14:paraId="4667EA12">
      <w:r>
        <w:rPr>
          <w:rFonts w:hint="eastAsia"/>
        </w:rPr>
        <w:t>（3）发包人和承包人各自承担其人员伤亡和其他财产损失及其相关费用；</w:t>
      </w:r>
    </w:p>
    <w:p w14:paraId="2F12A7E6">
      <w:r>
        <w:rPr>
          <w:rFonts w:hint="eastAsia"/>
        </w:rPr>
        <w:t>（4）承包人的停工损失由承包人承担，但停工期间应监理人要求照管工程和清理、修复工程的金额由发包人承担；</w:t>
      </w:r>
    </w:p>
    <w:p w14:paraId="46237552">
      <w:r>
        <w:rPr>
          <w:rFonts w:hint="eastAsia"/>
        </w:rPr>
        <w:t>（5）不能按期竣工的，应合理延长工期，承包人不需支付逾期竣工违约金。发包人要求赶工的，承包人应采取赶工措施，赶工费用由发包人承担。</w:t>
      </w:r>
    </w:p>
    <w:p w14:paraId="34EC3200">
      <w:bookmarkStart w:id="822" w:name="_Toc296602572"/>
      <w:r>
        <w:rPr>
          <w:rFonts w:hint="eastAsia"/>
        </w:rPr>
        <w:t>15. 违约</w:t>
      </w:r>
      <w:bookmarkEnd w:id="806"/>
      <w:bookmarkEnd w:id="807"/>
      <w:bookmarkEnd w:id="808"/>
      <w:bookmarkEnd w:id="809"/>
      <w:bookmarkEnd w:id="822"/>
    </w:p>
    <w:p w14:paraId="50051F8B">
      <w:bookmarkStart w:id="823" w:name="_Toc246996323"/>
      <w:bookmarkStart w:id="824" w:name="_Toc247085838"/>
      <w:bookmarkStart w:id="825" w:name="_Toc296602573"/>
      <w:bookmarkStart w:id="826" w:name="_Toc246997066"/>
      <w:r>
        <w:rPr>
          <w:rFonts w:hint="eastAsia"/>
        </w:rPr>
        <w:t>15.1 承包人违约</w:t>
      </w:r>
      <w:bookmarkEnd w:id="823"/>
      <w:bookmarkEnd w:id="824"/>
      <w:bookmarkEnd w:id="825"/>
      <w:bookmarkEnd w:id="826"/>
    </w:p>
    <w:p w14:paraId="3D958F5F">
      <w:r>
        <w:rPr>
          <w:rFonts w:hint="eastAsia"/>
        </w:rPr>
        <w:t xml:space="preserve">15.1.1 </w:t>
      </w:r>
      <w:r>
        <w:t>如果</w:t>
      </w:r>
      <w:r>
        <w:rPr>
          <w:rFonts w:hint="eastAsia"/>
        </w:rPr>
        <w:t>承包</w:t>
      </w:r>
      <w:r>
        <w:t>人拒绝或未能遵守监理人的指示，或未能按合同进度计划及时完成合同约定的工作，已造成或预期造成工期延误，或违反合同不顾书面警告，监理人可发出通知</w:t>
      </w:r>
      <w:r>
        <w:rPr>
          <w:rFonts w:hint="eastAsia"/>
        </w:rPr>
        <w:t>，告知</w:t>
      </w:r>
      <w:r>
        <w:t>承包人违约</w:t>
      </w:r>
      <w:r>
        <w:rPr>
          <w:rFonts w:hint="eastAsia"/>
        </w:rPr>
        <w:t>。</w:t>
      </w:r>
    </w:p>
    <w:p w14:paraId="39A52A47">
      <w:r>
        <w:rPr>
          <w:rFonts w:hint="eastAsia"/>
        </w:rPr>
        <w:t xml:space="preserve">15.1.2 </w:t>
      </w:r>
      <w:r>
        <w:t>如果</w:t>
      </w:r>
      <w:r>
        <w:rPr>
          <w:rFonts w:hint="eastAsia"/>
        </w:rPr>
        <w:t>承包</w:t>
      </w:r>
      <w:r>
        <w:t>人在收到监理人通知后21天内，没有采取可行的措施纠正违约，发包人可向</w:t>
      </w:r>
      <w:r>
        <w:rPr>
          <w:rFonts w:hint="eastAsia"/>
        </w:rPr>
        <w:t>承包</w:t>
      </w:r>
      <w:r>
        <w:t>人发出解除合同通知。发包人因继续完成该工程的需要，有权扣留使用承包人在现场的材料、设备</w:t>
      </w:r>
      <w:r>
        <w:rPr>
          <w:rFonts w:hint="eastAsia"/>
        </w:rPr>
        <w:t>和</w:t>
      </w:r>
      <w:r>
        <w:t>临时设施。但发包人的这一行动不免除</w:t>
      </w:r>
      <w:r>
        <w:rPr>
          <w:rFonts w:hint="eastAsia"/>
        </w:rPr>
        <w:t>承包</w:t>
      </w:r>
      <w:r>
        <w:t>人应承担的违约责任，也不影响发包人根据合同约定享有的索赔权利</w:t>
      </w:r>
      <w:r>
        <w:rPr>
          <w:rFonts w:hint="eastAsia"/>
        </w:rPr>
        <w:t>。</w:t>
      </w:r>
    </w:p>
    <w:p w14:paraId="15AA633F">
      <w:bookmarkStart w:id="827" w:name="_Toc246996324"/>
      <w:bookmarkStart w:id="828" w:name="_Toc247085839"/>
      <w:bookmarkStart w:id="829" w:name="_Toc246997067"/>
      <w:bookmarkStart w:id="830" w:name="_Toc296602574"/>
      <w:r>
        <w:rPr>
          <w:rFonts w:hint="eastAsia"/>
        </w:rPr>
        <w:t>15.2 发包人违约</w:t>
      </w:r>
      <w:bookmarkEnd w:id="827"/>
      <w:bookmarkEnd w:id="828"/>
      <w:bookmarkEnd w:id="829"/>
      <w:bookmarkEnd w:id="830"/>
    </w:p>
    <w:p w14:paraId="14AA4C0D">
      <w:r>
        <w:rPr>
          <w:rFonts w:hint="eastAsia"/>
        </w:rPr>
        <w:t xml:space="preserve">15.2.1 </w:t>
      </w:r>
      <w:r>
        <w:t>如果发包人未能按合同付款，或违反合同不顾书面警告，承包人可发出通知</w:t>
      </w:r>
      <w:r>
        <w:rPr>
          <w:rFonts w:hint="eastAsia"/>
        </w:rPr>
        <w:t>，告知</w:t>
      </w:r>
      <w:r>
        <w:t>发包人违约。如果发包人在收到该通知后14天内</w:t>
      </w:r>
      <w:r>
        <w:rPr>
          <w:rFonts w:hint="eastAsia"/>
        </w:rPr>
        <w:t>未</w:t>
      </w:r>
      <w:r>
        <w:t>纠正违约，承包人可暂停工作或放慢工作进度。</w:t>
      </w:r>
    </w:p>
    <w:p w14:paraId="60A9E223">
      <w:r>
        <w:rPr>
          <w:rFonts w:hint="eastAsia"/>
        </w:rPr>
        <w:t xml:space="preserve">15.2.2 </w:t>
      </w:r>
      <w:r>
        <w:t>如果发包人收到承包人通知后28内</w:t>
      </w:r>
      <w:r>
        <w:rPr>
          <w:rFonts w:hint="eastAsia"/>
        </w:rPr>
        <w:t>未</w:t>
      </w:r>
      <w:r>
        <w:t>纠正违约，承包人可向发包人发出解除合同通知。合同解除后，承包人应妥善做好已竣工工程和已购材料、设备的保护和移交工作，按发包人要求将承包人设备和人员撤出施工场地，同时发包人应为承包人</w:t>
      </w:r>
      <w:r>
        <w:rPr>
          <w:rFonts w:hint="eastAsia"/>
        </w:rPr>
        <w:t>的</w:t>
      </w:r>
      <w:r>
        <w:t>撤出提供必要条件</w:t>
      </w:r>
      <w:r>
        <w:rPr>
          <w:rFonts w:hint="eastAsia"/>
        </w:rPr>
        <w:t>，</w:t>
      </w:r>
      <w:r>
        <w:t>但承包人的</w:t>
      </w:r>
      <w:r>
        <w:rPr>
          <w:rFonts w:hint="eastAsia"/>
        </w:rPr>
        <w:t>这一</w:t>
      </w:r>
      <w:r>
        <w:t>行动不免除发包人应承担的违约责任，也不影响承包人根据合同约定享有的索赔权利</w:t>
      </w:r>
      <w:r>
        <w:rPr>
          <w:rFonts w:hint="eastAsia"/>
        </w:rPr>
        <w:t>。</w:t>
      </w:r>
    </w:p>
    <w:p w14:paraId="4CECB9B6">
      <w:bookmarkStart w:id="831" w:name="_Toc246997069"/>
      <w:bookmarkStart w:id="832" w:name="_Toc296602575"/>
      <w:bookmarkStart w:id="833" w:name="_Toc184635120"/>
      <w:bookmarkStart w:id="834" w:name="_Toc247085841"/>
      <w:bookmarkStart w:id="835" w:name="_Toc246996326"/>
      <w:r>
        <w:rPr>
          <w:rFonts w:hint="eastAsia"/>
        </w:rPr>
        <w:t>16. 索赔</w:t>
      </w:r>
      <w:bookmarkEnd w:id="831"/>
      <w:bookmarkEnd w:id="832"/>
      <w:bookmarkEnd w:id="833"/>
      <w:bookmarkEnd w:id="834"/>
      <w:bookmarkEnd w:id="835"/>
    </w:p>
    <w:p w14:paraId="52D8E878">
      <w:bookmarkStart w:id="836" w:name="_Toc296602576"/>
      <w:bookmarkStart w:id="837" w:name="_Toc246997070"/>
      <w:bookmarkStart w:id="838" w:name="_Toc246996327"/>
      <w:bookmarkStart w:id="839" w:name="_Toc247085842"/>
      <w:r>
        <w:rPr>
          <w:rFonts w:hint="eastAsia"/>
        </w:rPr>
        <w:t>16.1 承包人索赔的提出</w:t>
      </w:r>
      <w:bookmarkEnd w:id="836"/>
      <w:bookmarkEnd w:id="837"/>
      <w:bookmarkEnd w:id="838"/>
      <w:bookmarkEnd w:id="839"/>
    </w:p>
    <w:p w14:paraId="37D1AC50">
      <w:r>
        <w:rPr>
          <w:rFonts w:hint="eastAsia"/>
        </w:rPr>
        <w:t>根据合同约定，承包人认为有权得到追加付款和（或）延长工期的，应按以下程序向发包人提出索赔：</w:t>
      </w:r>
    </w:p>
    <w:p w14:paraId="636B98C9">
      <w:r>
        <w:rPr>
          <w:rFonts w:hint="eastAsia"/>
        </w:rPr>
        <w:t>（l）承包人应在知道或应当知道索赔事件发生后14天内，向监理人递交索赔通知书。索赔通知书应详细说明索赔理由以及要求追加的付款金额和（或）延长的工期，并附必要的记录和证明材料；</w:t>
      </w:r>
      <w:r>
        <w:t xml:space="preserve"> </w:t>
      </w:r>
    </w:p>
    <w:p w14:paraId="345C7442">
      <w:r>
        <w:rPr>
          <w:rFonts w:hint="eastAsia"/>
        </w:rPr>
        <w:t>（2）索赔事件具有连续影响的，承包人应在索赔事件影响结束后的14天内，向监理人递交最终索赔通知书，说明最终要求索赔的追加付款金额和延长的工期，并附必要的记录和证明材料；</w:t>
      </w:r>
    </w:p>
    <w:p w14:paraId="1D18FAD6">
      <w:r>
        <w:rPr>
          <w:rFonts w:hint="eastAsia"/>
        </w:rPr>
        <w:t>（3）承包人未在前述14天内递交索赔通知书的，丧失要求追加付款和（或）延长工期的权利。</w:t>
      </w:r>
    </w:p>
    <w:p w14:paraId="43E2960E">
      <w:bookmarkStart w:id="840" w:name="_Toc296602577"/>
      <w:bookmarkStart w:id="841" w:name="_Toc246997071"/>
      <w:bookmarkStart w:id="842" w:name="_Toc246996328"/>
      <w:bookmarkStart w:id="843" w:name="_Toc247085843"/>
      <w:r>
        <w:rPr>
          <w:rFonts w:hint="eastAsia"/>
        </w:rPr>
        <w:t>16.2 承包人索赔处理程序</w:t>
      </w:r>
      <w:bookmarkEnd w:id="840"/>
      <w:bookmarkEnd w:id="841"/>
      <w:bookmarkEnd w:id="842"/>
      <w:bookmarkEnd w:id="843"/>
    </w:p>
    <w:p w14:paraId="7171FA76">
      <w:r>
        <w:rPr>
          <w:rFonts w:hint="eastAsia"/>
        </w:rPr>
        <w:t>（1）监理人收到承包人提交的索赔通知书后，应按第3.5 款商定或确定追加的付款和（或）延长的工期，并在收到上述索赔通知书或有关索赔的进一步证明材料后的14天内，将索赔处理结果答复承包人。</w:t>
      </w:r>
    </w:p>
    <w:p w14:paraId="0845ED65">
      <w:r>
        <w:rPr>
          <w:rFonts w:hint="eastAsia"/>
        </w:rPr>
        <w:t>（2）承包人接受索赔处理结果的，发包人应在作出索赔处理结果答复后14天内完成赔付。承包人不接受索赔处理结果的，按第17条的约定执行。</w:t>
      </w:r>
    </w:p>
    <w:p w14:paraId="10EEE12D">
      <w:bookmarkStart w:id="844" w:name="_Toc247085844"/>
      <w:bookmarkStart w:id="845" w:name="_Toc246996329"/>
      <w:bookmarkStart w:id="846" w:name="_Toc246997072"/>
      <w:bookmarkStart w:id="847" w:name="_Toc296602578"/>
      <w:r>
        <w:rPr>
          <w:rFonts w:hint="eastAsia"/>
        </w:rPr>
        <w:t>16.3 承包人提出索赔的期限</w:t>
      </w:r>
      <w:bookmarkEnd w:id="844"/>
      <w:bookmarkEnd w:id="845"/>
      <w:bookmarkEnd w:id="846"/>
      <w:bookmarkEnd w:id="847"/>
    </w:p>
    <w:p w14:paraId="15010F29">
      <w:r>
        <w:rPr>
          <w:rFonts w:hint="eastAsia"/>
        </w:rPr>
        <w:t>承包人按第10.5 款的约定接受了竣工付款证书后，应被认为已无权再提出在合同工程接收证书颁发前所发生的任何索赔。</w:t>
      </w:r>
    </w:p>
    <w:p w14:paraId="23A63398">
      <w:bookmarkStart w:id="848" w:name="_Toc296602579"/>
      <w:r>
        <w:rPr>
          <w:rFonts w:hint="eastAsia"/>
        </w:rPr>
        <w:t>16.4 发包人索赔的提出</w:t>
      </w:r>
      <w:bookmarkEnd w:id="848"/>
    </w:p>
    <w:p w14:paraId="6508B3C8">
      <w:r>
        <w:rPr>
          <w:rFonts w:hint="eastAsia"/>
        </w:rPr>
        <w:t>根据合同约定，发包人认为有权得到追加付款和（或）延长工期的，应按以下程序向承包人提出索赔：</w:t>
      </w:r>
    </w:p>
    <w:p w14:paraId="4E06D909">
      <w:r>
        <w:rPr>
          <w:rFonts w:hint="eastAsia"/>
        </w:rPr>
        <w:t>（l）监理人应在知道或应当知道索赔事件发生后14天内，向承包人递交索赔通知书。索赔通知书应详细说明索赔理由以及要求追加的付款金额和（或）延长的工期，并附必要的记录和证明材料；</w:t>
      </w:r>
      <w:r>
        <w:t xml:space="preserve"> </w:t>
      </w:r>
    </w:p>
    <w:p w14:paraId="1C4E6900">
      <w:r>
        <w:rPr>
          <w:rFonts w:hint="eastAsia"/>
        </w:rPr>
        <w:t>（2）索赔事件具有连续影响的，监理人应在索赔事件影响结束后的14天内，向承包人递交最终索赔通知书，说明最终要求索赔的追加付款金额和延长的工期，并附必要的记录和证明材料。</w:t>
      </w:r>
    </w:p>
    <w:p w14:paraId="33C2388C">
      <w:bookmarkStart w:id="849" w:name="_Toc296602580"/>
      <w:r>
        <w:rPr>
          <w:rFonts w:hint="eastAsia"/>
        </w:rPr>
        <w:t>16.5 发包人索赔处理程序</w:t>
      </w:r>
      <w:bookmarkEnd w:id="849"/>
    </w:p>
    <w:p w14:paraId="34938338">
      <w:r>
        <w:rPr>
          <w:rFonts w:hint="eastAsia"/>
        </w:rPr>
        <w:t>（1）承包人收到监理人提交的索赔通知书后，应按第3.5 款商定或确定追加的付款和（或）延长的工期，并在收到上述索赔通知书或有关索赔的进一步证明材料后的14天内，将索赔处理结果答复监理人。</w:t>
      </w:r>
    </w:p>
    <w:p w14:paraId="14994A6B">
      <w:r>
        <w:rPr>
          <w:rFonts w:hint="eastAsia"/>
        </w:rPr>
        <w:t>（2）监理人接受索赔处理结果的，承包人应在作出索赔处理结果答复后14天内完成赔付。监理人不接受索赔处理结果的，按第17条的约定执行。</w:t>
      </w:r>
    </w:p>
    <w:p w14:paraId="63029978">
      <w:bookmarkStart w:id="850" w:name="_Toc184635121"/>
      <w:bookmarkStart w:id="851" w:name="_Toc247085846"/>
      <w:bookmarkStart w:id="852" w:name="_Toc296602581"/>
      <w:bookmarkStart w:id="853" w:name="_Toc246996331"/>
      <w:bookmarkStart w:id="854" w:name="_Toc246997074"/>
      <w:r>
        <w:rPr>
          <w:rFonts w:hint="eastAsia"/>
        </w:rPr>
        <w:t>17. 争议的解决</w:t>
      </w:r>
      <w:bookmarkEnd w:id="850"/>
      <w:bookmarkEnd w:id="851"/>
      <w:bookmarkEnd w:id="852"/>
      <w:bookmarkEnd w:id="853"/>
      <w:bookmarkEnd w:id="854"/>
    </w:p>
    <w:p w14:paraId="13AF0B4E">
      <w:bookmarkStart w:id="855" w:name="_Toc247085847"/>
      <w:bookmarkStart w:id="856" w:name="_Toc296602582"/>
      <w:bookmarkStart w:id="857" w:name="_Toc246997075"/>
      <w:bookmarkStart w:id="858" w:name="_Toc246996332"/>
      <w:r>
        <w:rPr>
          <w:rFonts w:hint="eastAsia"/>
        </w:rPr>
        <w:t>17.1 争议的解决方式</w:t>
      </w:r>
      <w:bookmarkEnd w:id="855"/>
      <w:bookmarkEnd w:id="856"/>
      <w:bookmarkEnd w:id="857"/>
      <w:bookmarkEnd w:id="858"/>
    </w:p>
    <w:p w14:paraId="5B52B6F3">
      <w:r>
        <w:rPr>
          <w:rFonts w:hint="eastAsi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4A884880">
      <w:r>
        <w:rPr>
          <w:rFonts w:hint="eastAsia"/>
        </w:rPr>
        <w:t>（l）向约定的仲裁委员会申请仲裁；</w:t>
      </w:r>
    </w:p>
    <w:p w14:paraId="12490C5F">
      <w:r>
        <w:rPr>
          <w:rFonts w:hint="eastAsia"/>
        </w:rPr>
        <w:t>（2）向有管辖权的人民法院提起诉讼。</w:t>
      </w:r>
    </w:p>
    <w:p w14:paraId="33E9E411">
      <w:bookmarkStart w:id="859" w:name="_Toc246996333"/>
      <w:bookmarkStart w:id="860" w:name="_Toc246997076"/>
      <w:bookmarkStart w:id="861" w:name="_Toc296602583"/>
      <w:bookmarkStart w:id="862" w:name="_Toc247085848"/>
      <w:r>
        <w:rPr>
          <w:rFonts w:hint="eastAsia"/>
        </w:rPr>
        <w:t>17.2 友好解决</w:t>
      </w:r>
      <w:bookmarkEnd w:id="859"/>
      <w:bookmarkEnd w:id="860"/>
      <w:bookmarkEnd w:id="861"/>
      <w:bookmarkEnd w:id="862"/>
    </w:p>
    <w:p w14:paraId="79D8C681">
      <w:r>
        <w:rPr>
          <w:rFonts w:hint="eastAsia"/>
        </w:rPr>
        <w:t>在提请争议评审、仲裁或者诉讼前，以及在争议评审、仲裁或诉讼过程中，发包人和承包人均可共同努力友好协商解决争议。</w:t>
      </w:r>
    </w:p>
    <w:p w14:paraId="4FBAB358">
      <w:bookmarkStart w:id="863" w:name="_Toc246997077"/>
      <w:bookmarkStart w:id="864" w:name="_Toc247085849"/>
      <w:bookmarkStart w:id="865" w:name="_Toc246996334"/>
      <w:bookmarkStart w:id="866" w:name="_Toc296602584"/>
      <w:r>
        <w:rPr>
          <w:rFonts w:hint="eastAsia"/>
        </w:rPr>
        <w:t>17.3 争议评审</w:t>
      </w:r>
      <w:bookmarkEnd w:id="863"/>
      <w:bookmarkEnd w:id="864"/>
      <w:bookmarkEnd w:id="865"/>
      <w:bookmarkEnd w:id="866"/>
    </w:p>
    <w:p w14:paraId="349A42BA">
      <w:r>
        <w:rPr>
          <w:rFonts w:hint="eastAsia"/>
        </w:rPr>
        <w:t>17.3.1 采用争议评审的，发包人和承包人应当在专用合同条款中约定争议评审的程序和规则，并在开工日后的28天内或在争议发生后，协商成立争议评审组。</w:t>
      </w:r>
    </w:p>
    <w:p w14:paraId="4C650D50">
      <w:r>
        <w:rPr>
          <w:rFonts w:hint="eastAsia"/>
        </w:rPr>
        <w:t>17.3.2 发包人和承包人接受评审意见的，由监理人根据评审意见拟定执行协议，经争议双方签字后作为合同的补充文件，并遵照执行。</w:t>
      </w:r>
    </w:p>
    <w:p w14:paraId="78DB878D">
      <w:r>
        <w:rPr>
          <w:rFonts w:hint="eastAsia"/>
        </w:rPr>
        <w:t>17.3.3 发包人或承包人不接受评审意见，并要求提交仲裁或提起诉讼的，应在收到评审意见后的14 天内将仲裁或起诉意向书面通知另一方，并抄送监理人，但在仲裁或诉讼结束前应暂按总监理工程师的确定执行。</w:t>
      </w:r>
      <w:bookmarkStart w:id="867" w:name="_Toc247085850"/>
      <w:bookmarkStart w:id="868" w:name="_Toc246997078"/>
      <w:bookmarkStart w:id="869" w:name="_Toc246996335"/>
    </w:p>
    <w:p w14:paraId="4D315A38"/>
    <w:p w14:paraId="022265EA">
      <w:bookmarkStart w:id="870" w:name="_Toc43721430"/>
      <w:r>
        <w:rPr>
          <w:rFonts w:hint="eastAsia"/>
        </w:rPr>
        <w:t>第二节 专用合同条款</w:t>
      </w:r>
      <w:bookmarkEnd w:id="867"/>
      <w:bookmarkEnd w:id="868"/>
      <w:bookmarkEnd w:id="869"/>
      <w:bookmarkEnd w:id="870"/>
      <w:bookmarkStart w:id="871" w:name="_Toc152042546"/>
      <w:bookmarkStart w:id="872" w:name="_Toc152045767"/>
      <w:bookmarkStart w:id="873" w:name="_Toc179632785"/>
      <w:bookmarkStart w:id="874" w:name="_Toc144974826"/>
    </w:p>
    <w:p w14:paraId="4594B534">
      <w:r>
        <w:rPr>
          <w:rFonts w:hint="eastAsia"/>
        </w:rPr>
        <w:t>（略</w:t>
      </w:r>
      <w:r>
        <w:t>）</w:t>
      </w:r>
    </w:p>
    <w:p w14:paraId="74D70CFF"/>
    <w:p w14:paraId="5A0975D9">
      <w:bookmarkStart w:id="875" w:name="_Toc247085851"/>
      <w:bookmarkStart w:id="876" w:name="_Toc246997079"/>
      <w:bookmarkStart w:id="877" w:name="_Toc43721431"/>
      <w:bookmarkStart w:id="878" w:name="_Toc246996336"/>
      <w:r>
        <w:rPr>
          <w:rFonts w:hint="eastAsia"/>
        </w:rPr>
        <w:t>第三节 合同附件格式</w:t>
      </w:r>
      <w:bookmarkEnd w:id="871"/>
      <w:bookmarkEnd w:id="872"/>
      <w:bookmarkEnd w:id="873"/>
      <w:bookmarkEnd w:id="874"/>
      <w:bookmarkEnd w:id="875"/>
      <w:bookmarkEnd w:id="876"/>
      <w:bookmarkEnd w:id="877"/>
      <w:bookmarkEnd w:id="878"/>
    </w:p>
    <w:p w14:paraId="7B4C2AF6"/>
    <w:p w14:paraId="7B474DAF">
      <w:r>
        <w:br w:type="page"/>
      </w:r>
      <w:bookmarkStart w:id="879" w:name="_Toc246997080"/>
      <w:bookmarkStart w:id="880" w:name="_Toc179632786"/>
      <w:bookmarkStart w:id="881" w:name="_Toc152042547"/>
      <w:bookmarkStart w:id="882" w:name="_Toc144974827"/>
      <w:bookmarkStart w:id="883" w:name="_Toc246996337"/>
      <w:bookmarkStart w:id="884" w:name="_Toc247085852"/>
      <w:bookmarkStart w:id="885" w:name="_Toc152045768"/>
      <w:r>
        <w:rPr>
          <w:rFonts w:hint="eastAsia"/>
        </w:rPr>
        <w:t>附件一：合同协议书</w:t>
      </w:r>
      <w:bookmarkEnd w:id="879"/>
      <w:bookmarkEnd w:id="880"/>
      <w:bookmarkEnd w:id="881"/>
      <w:bookmarkEnd w:id="882"/>
      <w:bookmarkEnd w:id="883"/>
      <w:bookmarkEnd w:id="884"/>
      <w:bookmarkEnd w:id="885"/>
    </w:p>
    <w:p w14:paraId="221F89D5">
      <w:pPr>
        <w:spacing w:line="276" w:lineRule="auto"/>
      </w:pPr>
      <w:r>
        <w:rPr>
          <w:rFonts w:hint="eastAsia"/>
        </w:rPr>
        <w:t>合同协议书</w:t>
      </w:r>
    </w:p>
    <w:p w14:paraId="51774923">
      <w:pPr>
        <w:spacing w:line="276" w:lineRule="auto"/>
      </w:pPr>
      <w:r>
        <w:rPr>
          <w:u w:val="single"/>
        </w:rPr>
        <w:t xml:space="preserve">       </w:t>
      </w:r>
      <w:r>
        <w:t>（发包人名称，以下简称“发包人”）为实施</w:t>
      </w:r>
      <w:r>
        <w:rPr>
          <w:u w:val="single"/>
        </w:rPr>
        <w:t xml:space="preserve">                        </w:t>
      </w:r>
      <w:r>
        <w:t>（项目名称），已接受</w:t>
      </w:r>
      <w:r>
        <w:rPr>
          <w:u w:val="single"/>
        </w:rPr>
        <w:t xml:space="preserve">        </w:t>
      </w:r>
      <w:r>
        <w:t>（承包人名称，以下简称“承包人”）对该项目</w:t>
      </w:r>
      <w:r>
        <w:rPr>
          <w:rFonts w:hint="eastAsia"/>
        </w:rPr>
        <w:t>的</w:t>
      </w:r>
      <w:r>
        <w:t>投标。发包人和承包人共同达成如下协议。</w:t>
      </w:r>
    </w:p>
    <w:p w14:paraId="7FBCAB18">
      <w:pPr>
        <w:spacing w:line="276" w:lineRule="auto"/>
      </w:pPr>
      <w:bookmarkStart w:id="886" w:name="_Toc152042548"/>
      <w:bookmarkStart w:id="887" w:name="_Toc144974828"/>
      <w:r>
        <w:t>1. 本协议书与下列文件一起构成合同文件：</w:t>
      </w:r>
      <w:bookmarkEnd w:id="886"/>
      <w:bookmarkEnd w:id="887"/>
    </w:p>
    <w:p w14:paraId="3387972F">
      <w:pPr>
        <w:spacing w:line="276" w:lineRule="auto"/>
      </w:pPr>
      <w:r>
        <w:rPr>
          <w:rFonts w:hint="eastAsia"/>
        </w:rPr>
        <w:t>（</w:t>
      </w:r>
      <w:r>
        <w:t>1</w:t>
      </w:r>
      <w:r>
        <w:rPr>
          <w:rFonts w:hint="eastAsia"/>
        </w:rPr>
        <w:t>）</w:t>
      </w:r>
      <w:r>
        <w:t>成交通知书；</w:t>
      </w:r>
    </w:p>
    <w:p w14:paraId="4C3E5588">
      <w:pPr>
        <w:spacing w:line="276" w:lineRule="auto"/>
      </w:pPr>
      <w:r>
        <w:rPr>
          <w:rFonts w:hint="eastAsia"/>
        </w:rPr>
        <w:t>（</w:t>
      </w:r>
      <w:r>
        <w:t>2</w:t>
      </w:r>
      <w:r>
        <w:rPr>
          <w:rFonts w:hint="eastAsia"/>
        </w:rPr>
        <w:t>）</w:t>
      </w:r>
      <w:r>
        <w:t>投标函及投标函附录；</w:t>
      </w:r>
    </w:p>
    <w:p w14:paraId="4DC4058C">
      <w:pPr>
        <w:spacing w:line="276" w:lineRule="auto"/>
      </w:pPr>
      <w:r>
        <w:rPr>
          <w:rFonts w:hint="eastAsia"/>
        </w:rPr>
        <w:t>（</w:t>
      </w:r>
      <w:r>
        <w:t>3</w:t>
      </w:r>
      <w:r>
        <w:rPr>
          <w:rFonts w:hint="eastAsia"/>
        </w:rPr>
        <w:t>）</w:t>
      </w:r>
      <w:r>
        <w:t>专用合同条款；</w:t>
      </w:r>
    </w:p>
    <w:p w14:paraId="6691F8A7">
      <w:pPr>
        <w:spacing w:line="276" w:lineRule="auto"/>
      </w:pPr>
      <w:r>
        <w:rPr>
          <w:rFonts w:hint="eastAsia"/>
        </w:rPr>
        <w:t>（</w:t>
      </w:r>
      <w:r>
        <w:t>4</w:t>
      </w:r>
      <w:r>
        <w:rPr>
          <w:rFonts w:hint="eastAsia"/>
        </w:rPr>
        <w:t>）</w:t>
      </w:r>
      <w:r>
        <w:t>通用合同条款；</w:t>
      </w:r>
    </w:p>
    <w:p w14:paraId="4C1F7560">
      <w:pPr>
        <w:spacing w:line="276" w:lineRule="auto"/>
      </w:pPr>
      <w:r>
        <w:rPr>
          <w:rFonts w:hint="eastAsia"/>
        </w:rPr>
        <w:t>（</w:t>
      </w:r>
      <w:r>
        <w:t>5</w:t>
      </w:r>
      <w:r>
        <w:rPr>
          <w:rFonts w:hint="eastAsia"/>
        </w:rPr>
        <w:t>）</w:t>
      </w:r>
      <w:r>
        <w:t>技术标准和要求；</w:t>
      </w:r>
    </w:p>
    <w:p w14:paraId="4B02541A">
      <w:pPr>
        <w:spacing w:line="276" w:lineRule="auto"/>
      </w:pPr>
      <w:r>
        <w:rPr>
          <w:rFonts w:hint="eastAsia"/>
        </w:rPr>
        <w:t>（</w:t>
      </w:r>
      <w:r>
        <w:t>6）图纸；</w:t>
      </w:r>
    </w:p>
    <w:p w14:paraId="3B87F343">
      <w:pPr>
        <w:spacing w:line="276" w:lineRule="auto"/>
      </w:pPr>
      <w:r>
        <w:t>（7）已标价工程量清单；</w:t>
      </w:r>
    </w:p>
    <w:p w14:paraId="56ADC5C4">
      <w:pPr>
        <w:spacing w:line="276" w:lineRule="auto"/>
      </w:pPr>
      <w:r>
        <w:t>（8）其他合同文件。</w:t>
      </w:r>
    </w:p>
    <w:p w14:paraId="56A4EB13">
      <w:pPr>
        <w:spacing w:line="276" w:lineRule="auto"/>
      </w:pPr>
      <w:bookmarkStart w:id="888" w:name="_Toc152042549"/>
      <w:bookmarkStart w:id="889" w:name="_Toc144974829"/>
      <w:r>
        <w:t>2. 上述文件互相补充和解释，如有不明确或不一致之处，以合同约定次序在先者为准。</w:t>
      </w:r>
      <w:bookmarkEnd w:id="888"/>
      <w:bookmarkEnd w:id="889"/>
    </w:p>
    <w:p w14:paraId="7B0174D6">
      <w:pPr>
        <w:spacing w:line="276" w:lineRule="auto"/>
      </w:pPr>
      <w:r>
        <w:t>3. 签约合同价：人民币（大写）</w:t>
      </w:r>
      <w:r>
        <w:rPr>
          <w:u w:val="single"/>
        </w:rPr>
        <w:t xml:space="preserve">          </w:t>
      </w:r>
      <w:r>
        <w:t>（¥</w:t>
      </w:r>
      <w:r>
        <w:rPr>
          <w:u w:val="single"/>
        </w:rPr>
        <w:t xml:space="preserve">    </w:t>
      </w:r>
      <w:r>
        <w:rPr>
          <w:rFonts w:hint="eastAsia"/>
          <w:u w:val="single"/>
        </w:rPr>
        <w:t xml:space="preserve"> </w:t>
      </w:r>
      <w:r>
        <w:rPr>
          <w:u w:val="single"/>
        </w:rPr>
        <w:t xml:space="preserve">    </w:t>
      </w:r>
      <w:r>
        <w:t>）。</w:t>
      </w:r>
    </w:p>
    <w:p w14:paraId="0419B71A">
      <w:pPr>
        <w:spacing w:line="276" w:lineRule="auto"/>
      </w:pPr>
      <w:r>
        <w:rPr>
          <w:rFonts w:hint="eastAsia"/>
        </w:rPr>
        <w:t>4. 合同形式：                。</w:t>
      </w:r>
    </w:p>
    <w:p w14:paraId="53440033">
      <w:pPr>
        <w:spacing w:line="276" w:lineRule="auto"/>
      </w:pPr>
      <w:r>
        <w:rPr>
          <w:rFonts w:hint="eastAsia"/>
        </w:rPr>
        <w:t>5. 计划开工日期：     年     月      日；</w:t>
      </w:r>
    </w:p>
    <w:p w14:paraId="6081DC05">
      <w:pPr>
        <w:spacing w:line="276" w:lineRule="auto"/>
      </w:pPr>
      <w:r>
        <w:rPr>
          <w:rFonts w:hint="eastAsia"/>
        </w:rPr>
        <w:t>计划竣工日期：     年     月      日；工期：                  日历天。</w:t>
      </w:r>
    </w:p>
    <w:p w14:paraId="6972154C">
      <w:pPr>
        <w:spacing w:line="276" w:lineRule="auto"/>
      </w:pPr>
      <w:r>
        <w:rPr>
          <w:rFonts w:hint="eastAsia"/>
        </w:rPr>
        <w:t>6</w:t>
      </w:r>
      <w:r>
        <w:t xml:space="preserve">. </w:t>
      </w:r>
      <w:r>
        <w:rPr>
          <w:rFonts w:hint="eastAsia"/>
        </w:rPr>
        <w:t>承包人</w:t>
      </w:r>
      <w:r>
        <w:t>项目经理：</w:t>
      </w:r>
      <w:r>
        <w:rPr>
          <w:rFonts w:hint="eastAsia"/>
        </w:rPr>
        <w:t xml:space="preserve">                  </w:t>
      </w:r>
      <w:r>
        <w:t>。</w:t>
      </w:r>
    </w:p>
    <w:p w14:paraId="64501410">
      <w:pPr>
        <w:spacing w:line="276" w:lineRule="auto"/>
      </w:pPr>
      <w:r>
        <w:rPr>
          <w:rFonts w:hint="eastAsia"/>
        </w:rPr>
        <w:t>7</w:t>
      </w:r>
      <w:r>
        <w:t>. 工程质量符合</w:t>
      </w:r>
      <w:r>
        <w:rPr>
          <w:rFonts w:hint="eastAsia"/>
        </w:rPr>
        <w:t xml:space="preserve">                    </w:t>
      </w:r>
      <w:r>
        <w:t>标准。</w:t>
      </w:r>
    </w:p>
    <w:p w14:paraId="253D3A81">
      <w:pPr>
        <w:spacing w:line="276" w:lineRule="auto"/>
      </w:pPr>
      <w:r>
        <w:rPr>
          <w:rFonts w:hint="eastAsia"/>
        </w:rPr>
        <w:t>8</w:t>
      </w:r>
      <w:r>
        <w:t>. 承包人承诺按合同约定承担工程的</w:t>
      </w:r>
      <w:r>
        <w:rPr>
          <w:rFonts w:hint="eastAsia"/>
        </w:rPr>
        <w:t>施工</w:t>
      </w:r>
      <w:r>
        <w:t>、</w:t>
      </w:r>
      <w:r>
        <w:rPr>
          <w:rFonts w:hint="eastAsia"/>
        </w:rPr>
        <w:t>竣工交付</w:t>
      </w:r>
      <w:r>
        <w:t>及缺陷修复。</w:t>
      </w:r>
    </w:p>
    <w:p w14:paraId="31D49ADB">
      <w:pPr>
        <w:spacing w:line="276" w:lineRule="auto"/>
      </w:pPr>
      <w:r>
        <w:rPr>
          <w:rFonts w:hint="eastAsia"/>
        </w:rPr>
        <w:t>9</w:t>
      </w:r>
      <w:r>
        <w:t>. 发包人承诺按合同约定的条件、时间和方式向承包人支付合同价款。</w:t>
      </w:r>
    </w:p>
    <w:p w14:paraId="53257225">
      <w:pPr>
        <w:spacing w:line="276" w:lineRule="auto"/>
      </w:pPr>
      <w:r>
        <w:rPr>
          <w:rFonts w:hint="eastAsia"/>
        </w:rPr>
        <w:t>10</w:t>
      </w:r>
      <w:r>
        <w:t>.本协议书一式</w:t>
      </w:r>
      <w:r>
        <w:rPr>
          <w:u w:val="single"/>
        </w:rPr>
        <w:t xml:space="preserve">     </w:t>
      </w:r>
      <w:r>
        <w:t>份，合同双方各执</w:t>
      </w:r>
      <w:r>
        <w:rPr>
          <w:rFonts w:hint="eastAsia"/>
          <w:u w:val="single"/>
        </w:rPr>
        <w:t xml:space="preserve">    </w:t>
      </w:r>
      <w:r>
        <w:t>份。</w:t>
      </w:r>
    </w:p>
    <w:p w14:paraId="3157303A">
      <w:pPr>
        <w:spacing w:line="276" w:lineRule="auto"/>
      </w:pPr>
      <w:bookmarkStart w:id="890" w:name="_Toc144974830"/>
      <w:bookmarkStart w:id="891" w:name="_Toc152042550"/>
      <w:r>
        <w:t>1</w:t>
      </w:r>
      <w:r>
        <w:rPr>
          <w:rFonts w:hint="eastAsia"/>
        </w:rPr>
        <w:t>1</w:t>
      </w:r>
      <w:r>
        <w:t>. 合同未尽事宜，双方另行签订补充协议。补充协议是合同的组成部分。</w:t>
      </w:r>
      <w:bookmarkEnd w:id="890"/>
      <w:bookmarkEnd w:id="891"/>
    </w:p>
    <w:p w14:paraId="1B7104E5">
      <w:pPr>
        <w:spacing w:line="276" w:lineRule="auto"/>
      </w:pPr>
    </w:p>
    <w:p w14:paraId="6C70777F">
      <w:pPr>
        <w:spacing w:line="276" w:lineRule="auto"/>
      </w:pPr>
      <w:r>
        <w:t xml:space="preserve">发包人：     </w:t>
      </w:r>
      <w:r>
        <w:rPr>
          <w:rFonts w:hint="eastAsia"/>
        </w:rPr>
        <w:t xml:space="preserve"> </w:t>
      </w:r>
      <w:r>
        <w:t xml:space="preserve">    （盖单位章）</w:t>
      </w:r>
      <w:r>
        <w:rPr>
          <w:rFonts w:hint="eastAsia"/>
        </w:rPr>
        <w:t xml:space="preserve">     </w:t>
      </w:r>
      <w:r>
        <w:t xml:space="preserve">    承包人：  </w:t>
      </w:r>
      <w:r>
        <w:rPr>
          <w:rFonts w:hint="eastAsia"/>
        </w:rPr>
        <w:t xml:space="preserve">          </w:t>
      </w:r>
      <w:r>
        <w:t>（盖单位章）</w:t>
      </w:r>
    </w:p>
    <w:p w14:paraId="72AD9870">
      <w:pPr>
        <w:spacing w:line="276" w:lineRule="auto"/>
      </w:pPr>
      <w:r>
        <w:t>法定代表人</w:t>
      </w:r>
      <w:r>
        <w:rPr>
          <w:rFonts w:hint="eastAsia"/>
        </w:rPr>
        <w:t xml:space="preserve"> </w:t>
      </w:r>
      <w:r>
        <w:t xml:space="preserve">                            法定代表人</w:t>
      </w:r>
    </w:p>
    <w:p w14:paraId="5FECA825">
      <w:pPr>
        <w:spacing w:line="276" w:lineRule="auto"/>
      </w:pPr>
      <w:r>
        <w:t>或其委托代理人：</w:t>
      </w:r>
      <w:r>
        <w:rPr>
          <w:u w:val="single"/>
        </w:rPr>
        <w:t xml:space="preserve">      </w:t>
      </w:r>
      <w:r>
        <w:t>（签字）</w:t>
      </w:r>
      <w:r>
        <w:rPr>
          <w:rFonts w:hint="eastAsia"/>
        </w:rPr>
        <w:t xml:space="preserve">   </w:t>
      </w:r>
      <w:r>
        <w:t xml:space="preserve">     </w:t>
      </w:r>
      <w:r>
        <w:rPr>
          <w:rFonts w:hint="eastAsia"/>
        </w:rPr>
        <w:t xml:space="preserve"> </w:t>
      </w:r>
      <w:r>
        <w:t>或其委托代理人：</w:t>
      </w:r>
      <w:r>
        <w:rPr>
          <w:u w:val="single"/>
        </w:rPr>
        <w:t xml:space="preserve">      </w:t>
      </w:r>
      <w:r>
        <w:t>（签字）</w:t>
      </w:r>
    </w:p>
    <w:p w14:paraId="23C7EEF2">
      <w:pPr>
        <w:spacing w:line="276" w:lineRule="auto"/>
      </w:pPr>
    </w:p>
    <w:p w14:paraId="2494AD19">
      <w:pPr>
        <w:spacing w:line="276" w:lineRule="auto"/>
      </w:pPr>
      <w:r>
        <w:t xml:space="preserve">         年    月    日</w:t>
      </w:r>
      <w:r>
        <w:rPr>
          <w:rFonts w:hint="eastAsia"/>
        </w:rPr>
        <w:t xml:space="preserve">         </w:t>
      </w:r>
      <w:r>
        <w:t xml:space="preserve">            年    月    日</w:t>
      </w:r>
      <w:bookmarkStart w:id="892" w:name="_Toc152045769"/>
      <w:bookmarkStart w:id="893" w:name="_Toc247085853"/>
      <w:bookmarkStart w:id="894" w:name="_Toc144974831"/>
      <w:bookmarkStart w:id="895" w:name="_Toc246996338"/>
      <w:bookmarkStart w:id="896" w:name="_Toc246997081"/>
      <w:bookmarkStart w:id="897" w:name="_Toc179632787"/>
      <w:bookmarkStart w:id="898" w:name="_Toc152042551"/>
      <w:r>
        <w:rPr>
          <w:sz w:val="32"/>
          <w:szCs w:val="32"/>
        </w:rPr>
        <w:br w:type="page"/>
      </w:r>
      <w:r>
        <w:rPr>
          <w:rFonts w:hint="eastAsia"/>
        </w:rPr>
        <w:t>附件二：履约担保格式</w:t>
      </w:r>
      <w:bookmarkEnd w:id="892"/>
      <w:bookmarkEnd w:id="893"/>
      <w:bookmarkEnd w:id="894"/>
      <w:bookmarkEnd w:id="895"/>
      <w:bookmarkEnd w:id="896"/>
      <w:bookmarkEnd w:id="897"/>
      <w:bookmarkEnd w:id="898"/>
    </w:p>
    <w:p w14:paraId="0CBA7844"/>
    <w:p w14:paraId="60051DBA">
      <w:r>
        <w:t>履约担保</w:t>
      </w:r>
    </w:p>
    <w:p w14:paraId="2DFD9E18"/>
    <w:p w14:paraId="071C8796">
      <w:r>
        <w:t xml:space="preserve">               （发包人名称）：</w:t>
      </w:r>
    </w:p>
    <w:p w14:paraId="11FB07ED"/>
    <w:p w14:paraId="71FE79BF">
      <w:r>
        <w:t>鉴于</w:t>
      </w:r>
      <w:r>
        <w:rPr>
          <w:u w:val="single"/>
        </w:rPr>
        <w:t xml:space="preserve">                </w:t>
      </w:r>
      <w:r>
        <w:t xml:space="preserve">（发包人名称，以下简称“发包人”）接受 </w:t>
      </w:r>
      <w:r>
        <w:rPr>
          <w:u w:val="single"/>
        </w:rPr>
        <w:t xml:space="preserve">      </w:t>
      </w:r>
      <w:r>
        <w:t>（承包人名称</w:t>
      </w:r>
      <w:r>
        <w:rPr>
          <w:rFonts w:hint="eastAsia"/>
        </w:rPr>
        <w:t>，</w:t>
      </w:r>
      <w:r>
        <w:t>以下称“承包人”）于</w:t>
      </w:r>
      <w:r>
        <w:rPr>
          <w:u w:val="single"/>
        </w:rPr>
        <w:t xml:space="preserve">    </w:t>
      </w:r>
      <w:r>
        <w:t>年</w:t>
      </w:r>
      <w:r>
        <w:rPr>
          <w:u w:val="single"/>
        </w:rPr>
        <w:t xml:space="preserve">    </w:t>
      </w:r>
      <w:r>
        <w:t>月</w:t>
      </w:r>
      <w:r>
        <w:rPr>
          <w:u w:val="single"/>
        </w:rPr>
        <w:t xml:space="preserve">    </w:t>
      </w:r>
      <w:r>
        <w:t>日参加</w:t>
      </w:r>
      <w:r>
        <w:rPr>
          <w:u w:val="single"/>
        </w:rPr>
        <w:t xml:space="preserve">         </w:t>
      </w:r>
      <w:r>
        <w:t xml:space="preserve">（项目名称）的投标。我方愿意就承包人履行与你方订立的合同，向你方提供担保。 </w:t>
      </w:r>
    </w:p>
    <w:p w14:paraId="64E84F32">
      <w:r>
        <w:t>1. 担保金额人民币（大写）                 （¥             ）。</w:t>
      </w:r>
    </w:p>
    <w:p w14:paraId="15EEF10C">
      <w:r>
        <w:t>2. 担保有效期自发包人与承包人签订的合同生效之日起至发包人签发工程接收证书</w:t>
      </w:r>
      <w:r>
        <w:rPr>
          <w:rFonts w:hint="eastAsia"/>
        </w:rPr>
        <w:t>之日</w:t>
      </w:r>
      <w:r>
        <w:t>止。</w:t>
      </w:r>
    </w:p>
    <w:p w14:paraId="099A5856">
      <w:r>
        <w:t>3. 在本担保有效期内，因承包人违反合同约定的义务给你方造成经济损失时，我方在收到你方以书面形式提出的在担保金额内的赔偿要求后，在7天内</w:t>
      </w:r>
      <w:r>
        <w:rPr>
          <w:rFonts w:hint="eastAsia"/>
        </w:rPr>
        <w:t>支付</w:t>
      </w:r>
      <w:r>
        <w:t>。</w:t>
      </w:r>
      <w:r>
        <w:rPr>
          <w:rFonts w:hint="eastAsia"/>
        </w:rPr>
        <w:t xml:space="preserve"> </w:t>
      </w:r>
    </w:p>
    <w:p w14:paraId="05A7B1E4">
      <w:r>
        <w:t>4. 发包人和承包人按《通用合同条款》第</w:t>
      </w:r>
      <w:r>
        <w:rPr>
          <w:rFonts w:hint="eastAsia"/>
        </w:rPr>
        <w:t>9</w:t>
      </w:r>
      <w:r>
        <w:t>条变更合同时，我</w:t>
      </w:r>
      <w:r>
        <w:rPr>
          <w:rFonts w:hint="eastAsia"/>
        </w:rPr>
        <w:t>方</w:t>
      </w:r>
      <w:r>
        <w:t>承担本</w:t>
      </w:r>
      <w:r>
        <w:rPr>
          <w:rFonts w:hint="eastAsia"/>
        </w:rPr>
        <w:t>担保</w:t>
      </w:r>
      <w:r>
        <w:t>规定的义务不变。</w:t>
      </w:r>
      <w:r>
        <w:rPr>
          <w:rFonts w:hint="eastAsia"/>
        </w:rPr>
        <w:t xml:space="preserve"> </w:t>
      </w:r>
    </w:p>
    <w:p w14:paraId="6FF6CA1C"/>
    <w:p w14:paraId="6898B761">
      <w:r>
        <w:rPr>
          <w:rFonts w:hint="eastAsia"/>
        </w:rPr>
        <w:t>担 保</w:t>
      </w:r>
      <w:r>
        <w:t xml:space="preserve"> 人：                  </w:t>
      </w:r>
      <w:r>
        <w:rPr>
          <w:rFonts w:hint="eastAsia"/>
        </w:rPr>
        <w:t xml:space="preserve">   </w:t>
      </w:r>
      <w:r>
        <w:t xml:space="preserve">   （盖单位章）</w:t>
      </w:r>
    </w:p>
    <w:p w14:paraId="181BF07E">
      <w:r>
        <w:t>法定代表人或其委托代理人：</w:t>
      </w:r>
      <w:r>
        <w:rPr>
          <w:u w:val="single"/>
        </w:rPr>
        <w:t xml:space="preserve">            </w:t>
      </w:r>
      <w:r>
        <w:t>（签字）</w:t>
      </w:r>
    </w:p>
    <w:p w14:paraId="15E7C1F7">
      <w:r>
        <w:t xml:space="preserve">地    址：                                    </w:t>
      </w:r>
    </w:p>
    <w:p w14:paraId="3895FEC9">
      <w:r>
        <w:t>邮政编码：</w:t>
      </w:r>
      <w:r>
        <w:rPr>
          <w:rFonts w:hint="eastAsia"/>
        </w:rPr>
        <w:t xml:space="preserve">                                    </w:t>
      </w:r>
    </w:p>
    <w:p w14:paraId="15B6C774">
      <w:r>
        <w:t xml:space="preserve">电    话：                                  </w:t>
      </w:r>
      <w:r>
        <w:rPr>
          <w:rFonts w:hint="eastAsia"/>
        </w:rPr>
        <w:t xml:space="preserve"> </w:t>
      </w:r>
    </w:p>
    <w:p w14:paraId="10E4000C">
      <w:r>
        <w:rPr>
          <w:rFonts w:hint="eastAsia"/>
        </w:rPr>
        <w:t>传    真：</w:t>
      </w:r>
      <w:r>
        <w:t xml:space="preserve">                                  </w:t>
      </w:r>
      <w:r>
        <w:rPr>
          <w:rFonts w:hint="eastAsia"/>
        </w:rPr>
        <w:t xml:space="preserve"> </w:t>
      </w:r>
    </w:p>
    <w:p w14:paraId="55EFB78F">
      <w:r>
        <w:t xml:space="preserve">           年        月        日</w:t>
      </w:r>
    </w:p>
    <w:p w14:paraId="57AC496B">
      <w:r>
        <w:br w:type="page"/>
      </w:r>
      <w:bookmarkStart w:id="899" w:name="_Toc144974834"/>
      <w:bookmarkStart w:id="900" w:name="_Toc71552338"/>
      <w:bookmarkStart w:id="901" w:name="_Toc179632789"/>
      <w:bookmarkStart w:id="902" w:name="_Toc152042554"/>
      <w:bookmarkStart w:id="903" w:name="_Toc43721432"/>
      <w:bookmarkStart w:id="904" w:name="_Toc71552372"/>
      <w:bookmarkStart w:id="905" w:name="_Toc152045772"/>
      <w:bookmarkStart w:id="906" w:name="_Toc246997083"/>
      <w:bookmarkStart w:id="907" w:name="_Toc246996340"/>
      <w:bookmarkStart w:id="908" w:name="_Toc247085855"/>
    </w:p>
    <w:p w14:paraId="19EEF15D"/>
    <w:p w14:paraId="53111CE0"/>
    <w:p w14:paraId="5203E961"/>
    <w:p w14:paraId="26851D3D"/>
    <w:p w14:paraId="055DF60F"/>
    <w:p w14:paraId="1BD66B99"/>
    <w:p w14:paraId="184A6A3D"/>
    <w:p w14:paraId="6C901A6E"/>
    <w:p w14:paraId="6041B0B7"/>
    <w:p w14:paraId="20148643"/>
    <w:p w14:paraId="425AAB12"/>
    <w:p w14:paraId="10A590C0">
      <w:pPr>
        <w:pStyle w:val="3"/>
        <w:rPr>
          <w:b w:val="0"/>
          <w:bCs w:val="0"/>
          <w:sz w:val="48"/>
          <w:szCs w:val="48"/>
        </w:rPr>
      </w:pPr>
      <w:bookmarkStart w:id="909" w:name="_Toc25440"/>
      <w:r>
        <w:rPr>
          <w:rFonts w:hint="eastAsia"/>
        </w:rPr>
        <w:t>第五</w:t>
      </w:r>
      <w:r>
        <w:rPr>
          <w:rFonts w:hint="eastAsia"/>
          <w:b w:val="0"/>
          <w:bCs w:val="0"/>
          <w:sz w:val="48"/>
          <w:szCs w:val="48"/>
        </w:rPr>
        <w:t>章 工程量清单</w:t>
      </w:r>
      <w:bookmarkEnd w:id="899"/>
      <w:bookmarkEnd w:id="900"/>
      <w:bookmarkEnd w:id="901"/>
      <w:bookmarkEnd w:id="902"/>
      <w:bookmarkEnd w:id="903"/>
      <w:bookmarkEnd w:id="904"/>
      <w:bookmarkEnd w:id="905"/>
      <w:bookmarkEnd w:id="906"/>
      <w:bookmarkEnd w:id="907"/>
      <w:bookmarkEnd w:id="908"/>
      <w:bookmarkEnd w:id="909"/>
    </w:p>
    <w:p w14:paraId="68E42935">
      <w:pPr>
        <w:jc w:val="center"/>
        <w:rPr>
          <w:sz w:val="28"/>
          <w:szCs w:val="28"/>
        </w:rPr>
      </w:pPr>
      <w:r>
        <w:rPr>
          <w:rFonts w:hint="eastAsia"/>
          <w:sz w:val="28"/>
          <w:szCs w:val="28"/>
        </w:rPr>
        <w:t>（另附）</w:t>
      </w:r>
    </w:p>
    <w:p w14:paraId="01B3DA38">
      <w:r>
        <w:br w:type="page"/>
      </w:r>
      <w:bookmarkStart w:id="910" w:name="_Toc71552339"/>
      <w:bookmarkStart w:id="911" w:name="_Toc71552373"/>
      <w:bookmarkStart w:id="912" w:name="_Toc43721433"/>
      <w:bookmarkStart w:id="913" w:name="_Toc152045782"/>
      <w:bookmarkStart w:id="914" w:name="_Toc247085866"/>
      <w:bookmarkStart w:id="915" w:name="_Toc246996350"/>
      <w:bookmarkStart w:id="916" w:name="_Toc152042571"/>
      <w:bookmarkStart w:id="917" w:name="_Toc144974851"/>
      <w:bookmarkStart w:id="918" w:name="_Toc247096438"/>
      <w:bookmarkStart w:id="919" w:name="_Toc246997093"/>
      <w:bookmarkStart w:id="920" w:name="_Toc179632800"/>
    </w:p>
    <w:p w14:paraId="649A757D"/>
    <w:p w14:paraId="7D5D5521"/>
    <w:p w14:paraId="43BEFAAE"/>
    <w:p w14:paraId="032ACAD9"/>
    <w:p w14:paraId="1CE76282"/>
    <w:p w14:paraId="0D85F338"/>
    <w:p w14:paraId="2A3F76CB"/>
    <w:p w14:paraId="3A696805"/>
    <w:p w14:paraId="5E1E6E84"/>
    <w:p w14:paraId="7F0B4C8B"/>
    <w:p w14:paraId="1DB08F88"/>
    <w:p w14:paraId="45F88ACA">
      <w:pPr>
        <w:pStyle w:val="3"/>
      </w:pPr>
      <w:bookmarkStart w:id="921" w:name="_Toc13715"/>
      <w:r>
        <w:rPr>
          <w:rFonts w:hint="eastAsia"/>
        </w:rPr>
        <w:t>第六章 图纸</w:t>
      </w:r>
      <w:bookmarkEnd w:id="910"/>
      <w:bookmarkEnd w:id="911"/>
      <w:bookmarkEnd w:id="912"/>
      <w:bookmarkEnd w:id="921"/>
    </w:p>
    <w:p w14:paraId="20C53683">
      <w:pPr>
        <w:jc w:val="center"/>
      </w:pPr>
      <w:r>
        <w:rPr>
          <w:rFonts w:hint="eastAsia"/>
        </w:rPr>
        <w:t>（另附）</w:t>
      </w:r>
    </w:p>
    <w:p w14:paraId="7A5E9C44">
      <w:r>
        <w:br w:type="page"/>
      </w:r>
      <w:bookmarkStart w:id="922" w:name="_Toc71552374"/>
      <w:bookmarkStart w:id="923" w:name="_Toc43721434"/>
      <w:bookmarkStart w:id="924" w:name="_Toc246996353"/>
      <w:bookmarkStart w:id="925" w:name="_Toc247085870"/>
      <w:bookmarkStart w:id="926" w:name="_Toc144974854"/>
      <w:bookmarkStart w:id="927" w:name="_Toc71552340"/>
      <w:bookmarkStart w:id="928" w:name="_Toc152045785"/>
      <w:bookmarkStart w:id="929" w:name="_Toc246997096"/>
      <w:bookmarkStart w:id="930" w:name="_Toc152042574"/>
      <w:bookmarkStart w:id="931" w:name="_Toc179632804"/>
    </w:p>
    <w:p w14:paraId="66A2E1CD"/>
    <w:p w14:paraId="3975E526"/>
    <w:p w14:paraId="4F1E5A8E"/>
    <w:p w14:paraId="57B3FF33"/>
    <w:p w14:paraId="44A5606E"/>
    <w:p w14:paraId="35FF9B1F"/>
    <w:p w14:paraId="11B96D76"/>
    <w:p w14:paraId="1F399D30"/>
    <w:p w14:paraId="24ABCD96"/>
    <w:p w14:paraId="6509F6B0"/>
    <w:p w14:paraId="2F37B982"/>
    <w:p w14:paraId="50460DFC">
      <w:pPr>
        <w:pStyle w:val="3"/>
      </w:pPr>
      <w:bookmarkStart w:id="932" w:name="_Toc22661"/>
      <w:r>
        <w:rPr>
          <w:rFonts w:hint="eastAsia"/>
        </w:rPr>
        <w:t>第七章 技术标准和要求</w:t>
      </w:r>
      <w:bookmarkEnd w:id="922"/>
      <w:bookmarkEnd w:id="923"/>
      <w:bookmarkEnd w:id="924"/>
      <w:bookmarkEnd w:id="925"/>
      <w:bookmarkEnd w:id="926"/>
      <w:bookmarkEnd w:id="927"/>
      <w:bookmarkEnd w:id="928"/>
      <w:bookmarkEnd w:id="929"/>
      <w:bookmarkEnd w:id="930"/>
      <w:bookmarkEnd w:id="931"/>
      <w:bookmarkEnd w:id="932"/>
    </w:p>
    <w:p w14:paraId="57223546"/>
    <w:p w14:paraId="706D826A">
      <w:pPr>
        <w:pStyle w:val="21"/>
      </w:pPr>
    </w:p>
    <w:p w14:paraId="7A98ABA0">
      <w:pPr>
        <w:pStyle w:val="21"/>
      </w:pPr>
      <w:r>
        <w:br w:type="page"/>
      </w:r>
    </w:p>
    <w:p w14:paraId="0EF368B7">
      <w:pPr>
        <w:pStyle w:val="21"/>
      </w:pPr>
      <w:r>
        <w:rPr>
          <w:rFonts w:hint="eastAsia"/>
        </w:rPr>
        <w:t>工程建设标准</w:t>
      </w:r>
    </w:p>
    <w:p w14:paraId="6A888C17">
      <w:pPr>
        <w:pStyle w:val="21"/>
      </w:pPr>
      <w:r>
        <w:rPr>
          <w:rFonts w:hint="eastAsia"/>
        </w:rPr>
        <w:t>依据设计文件的要求，本招标工程项目的材料、设备、施工须达到现行中华人民共和国以及省、自治区、直辖市或行业的工程建设标准、规范的要求。</w:t>
      </w:r>
    </w:p>
    <w:p w14:paraId="7D62FFAE">
      <w:r>
        <w:br w:type="page"/>
      </w:r>
      <w:bookmarkStart w:id="933" w:name="_Toc247085872"/>
      <w:bookmarkStart w:id="934" w:name="_Toc43721435"/>
      <w:bookmarkStart w:id="935" w:name="_Toc246996354"/>
      <w:bookmarkStart w:id="936" w:name="_Toc152042575"/>
      <w:bookmarkStart w:id="937" w:name="_Toc71552375"/>
      <w:bookmarkStart w:id="938" w:name="_Toc246997097"/>
      <w:bookmarkStart w:id="939" w:name="_Toc152045786"/>
      <w:bookmarkStart w:id="940" w:name="_Toc179632806"/>
      <w:bookmarkStart w:id="941" w:name="_Toc71552341"/>
      <w:bookmarkStart w:id="942" w:name="_Toc144974855"/>
    </w:p>
    <w:p w14:paraId="3B68C6AE"/>
    <w:p w14:paraId="074F81AD"/>
    <w:p w14:paraId="2100291A"/>
    <w:p w14:paraId="5F455A80"/>
    <w:p w14:paraId="36D50D6B"/>
    <w:p w14:paraId="6AD244BD"/>
    <w:p w14:paraId="7E30868C"/>
    <w:p w14:paraId="449C9706"/>
    <w:p w14:paraId="4A865CD1"/>
    <w:p w14:paraId="544E5964"/>
    <w:p w14:paraId="0751DFFB"/>
    <w:p w14:paraId="27E9EB75">
      <w:pPr>
        <w:pStyle w:val="3"/>
      </w:pPr>
      <w:bookmarkStart w:id="943" w:name="_Toc26619"/>
      <w:r>
        <w:rPr>
          <w:rFonts w:hint="eastAsia"/>
        </w:rPr>
        <w:t>第八章 响应文件格式</w:t>
      </w:r>
      <w:bookmarkEnd w:id="933"/>
      <w:bookmarkEnd w:id="934"/>
      <w:bookmarkEnd w:id="935"/>
      <w:bookmarkEnd w:id="936"/>
      <w:bookmarkEnd w:id="937"/>
      <w:bookmarkEnd w:id="938"/>
      <w:bookmarkEnd w:id="939"/>
      <w:bookmarkEnd w:id="940"/>
      <w:bookmarkEnd w:id="941"/>
      <w:bookmarkEnd w:id="942"/>
      <w:bookmarkEnd w:id="943"/>
    </w:p>
    <w:p w14:paraId="30B58696"/>
    <w:p w14:paraId="7F7F583D">
      <w:pPr>
        <w:rPr>
          <w:b/>
          <w:sz w:val="32"/>
          <w:szCs w:val="32"/>
        </w:rPr>
      </w:pPr>
      <w:r>
        <w:rPr>
          <w:rFonts w:hint="eastAsia"/>
        </w:rPr>
        <w:br w:type="page"/>
      </w:r>
      <w:r>
        <w:rPr>
          <w:rFonts w:hint="eastAsia"/>
          <w:b/>
          <w:sz w:val="32"/>
          <w:szCs w:val="32"/>
        </w:rPr>
        <w:t>封面</w:t>
      </w:r>
    </w:p>
    <w:p w14:paraId="4AB1A0AC"/>
    <w:p w14:paraId="5C8FB514">
      <w:pPr>
        <w:jc w:val="right"/>
        <w:rPr>
          <w:rFonts w:cs="宋体"/>
          <w:b/>
          <w:bCs/>
          <w:sz w:val="32"/>
          <w:szCs w:val="32"/>
        </w:rPr>
      </w:pPr>
      <w:r>
        <w:rPr>
          <w:rFonts w:hint="eastAsia"/>
        </w:rPr>
        <w:t xml:space="preserve"> </w:t>
      </w:r>
      <w:bookmarkStart w:id="944" w:name="_Toc30262"/>
      <w:bookmarkStart w:id="945" w:name="_Toc9633"/>
      <w:bookmarkStart w:id="946" w:name="_Toc29278"/>
      <w:bookmarkStart w:id="947" w:name="_Toc4856"/>
      <w:bookmarkStart w:id="948" w:name="_Hlk51245049"/>
      <w:r>
        <w:rPr>
          <w:rFonts w:hint="eastAsia" w:cs="宋体"/>
          <w:b/>
          <w:bCs/>
          <w:sz w:val="32"/>
          <w:szCs w:val="32"/>
        </w:rPr>
        <w:t>正/副</w:t>
      </w:r>
      <w:bookmarkEnd w:id="944"/>
      <w:bookmarkEnd w:id="945"/>
      <w:bookmarkEnd w:id="946"/>
      <w:bookmarkEnd w:id="947"/>
    </w:p>
    <w:p w14:paraId="52EAD2E4">
      <w:pPr>
        <w:jc w:val="center"/>
        <w:rPr>
          <w:rFonts w:cs="宋体"/>
          <w:b/>
          <w:bCs/>
          <w:sz w:val="32"/>
          <w:szCs w:val="32"/>
        </w:rPr>
      </w:pPr>
    </w:p>
    <w:p w14:paraId="342DBA42">
      <w:pPr>
        <w:spacing w:line="240" w:lineRule="auto"/>
        <w:rPr>
          <w:rFonts w:cs="宋体"/>
        </w:rPr>
      </w:pPr>
      <w:r>
        <w:rPr>
          <w:rFonts w:hint="eastAsia" w:cs="宋体"/>
          <w:b/>
          <w:bCs/>
          <w:sz w:val="32"/>
          <w:szCs w:val="32"/>
        </w:rPr>
        <w:t>项目名称：</w:t>
      </w:r>
      <w:r>
        <w:rPr>
          <w:rFonts w:hint="eastAsia" w:cs="宋体"/>
          <w:b/>
          <w:bCs/>
          <w:sz w:val="28"/>
          <w:szCs w:val="28"/>
          <w:u w:val="single"/>
        </w:rPr>
        <w:t xml:space="preserve">             </w:t>
      </w:r>
      <w:r>
        <w:rPr>
          <w:rFonts w:cs="宋体"/>
          <w:b/>
          <w:bCs/>
          <w:sz w:val="28"/>
          <w:szCs w:val="28"/>
          <w:u w:val="single"/>
        </w:rPr>
        <w:t xml:space="preserve">                          </w:t>
      </w:r>
      <w:r>
        <w:rPr>
          <w:rFonts w:hint="eastAsia" w:cs="宋体"/>
          <w:b/>
          <w:bCs/>
          <w:sz w:val="28"/>
          <w:szCs w:val="28"/>
          <w:u w:val="single"/>
        </w:rPr>
        <w:t xml:space="preserve">       </w:t>
      </w:r>
    </w:p>
    <w:p w14:paraId="60782D6D"/>
    <w:p w14:paraId="0EE74BE2"/>
    <w:p w14:paraId="315C00C1"/>
    <w:p w14:paraId="142FAE04"/>
    <w:p w14:paraId="1B5CB2BE">
      <w:pPr>
        <w:spacing w:line="0" w:lineRule="atLeast"/>
        <w:jc w:val="center"/>
        <w:rPr>
          <w:rFonts w:cs="宋体"/>
          <w:b/>
          <w:bCs/>
          <w:sz w:val="44"/>
        </w:rPr>
      </w:pPr>
      <w:bookmarkStart w:id="949" w:name="_Toc9463"/>
      <w:bookmarkStart w:id="950" w:name="_Toc9903"/>
      <w:bookmarkStart w:id="951" w:name="_Toc11080"/>
      <w:bookmarkStart w:id="952" w:name="_Toc2156"/>
      <w:bookmarkStart w:id="953" w:name="_Toc15425"/>
      <w:r>
        <w:rPr>
          <w:rFonts w:hint="eastAsia" w:cs="宋体"/>
          <w:b/>
          <w:bCs/>
          <w:sz w:val="44"/>
        </w:rPr>
        <w:t>响 应 文 件</w:t>
      </w:r>
      <w:bookmarkEnd w:id="949"/>
      <w:bookmarkEnd w:id="950"/>
      <w:bookmarkEnd w:id="951"/>
      <w:bookmarkEnd w:id="952"/>
      <w:bookmarkEnd w:id="953"/>
    </w:p>
    <w:p w14:paraId="32160253"/>
    <w:p w14:paraId="63501096">
      <w:pPr>
        <w:spacing w:line="0" w:lineRule="atLeast"/>
        <w:ind w:firstLine="2976" w:firstLineChars="1235"/>
        <w:rPr>
          <w:rFonts w:cs="宋体"/>
        </w:rPr>
      </w:pPr>
      <w:bookmarkStart w:id="954" w:name="_Toc20940"/>
      <w:r>
        <w:rPr>
          <w:rFonts w:hint="eastAsia" w:cs="宋体"/>
          <w:b/>
          <w:bCs/>
        </w:rPr>
        <w:t>项目编号：</w:t>
      </w:r>
      <w:bookmarkEnd w:id="954"/>
      <w:r>
        <w:rPr>
          <w:rFonts w:hint="eastAsia" w:cs="宋体"/>
          <w:b/>
          <w:bCs/>
          <w:sz w:val="28"/>
          <w:szCs w:val="28"/>
          <w:u w:val="single"/>
        </w:rPr>
        <w:t xml:space="preserve">   </w:t>
      </w:r>
      <w:r>
        <w:rPr>
          <w:rFonts w:cs="宋体"/>
          <w:b/>
          <w:bCs/>
          <w:sz w:val="28"/>
          <w:szCs w:val="28"/>
          <w:u w:val="single"/>
        </w:rPr>
        <w:t xml:space="preserve">     </w:t>
      </w:r>
      <w:r>
        <w:rPr>
          <w:rFonts w:hint="eastAsia" w:cs="宋体"/>
          <w:b/>
          <w:bCs/>
          <w:sz w:val="28"/>
          <w:szCs w:val="28"/>
          <w:u w:val="single"/>
        </w:rPr>
        <w:t xml:space="preserve">  </w:t>
      </w:r>
    </w:p>
    <w:p w14:paraId="1DB4C44F">
      <w:pPr>
        <w:spacing w:line="200" w:lineRule="exact"/>
        <w:rPr>
          <w:rFonts w:cs="宋体"/>
        </w:rPr>
      </w:pPr>
    </w:p>
    <w:p w14:paraId="14141248"/>
    <w:p w14:paraId="422B9F56"/>
    <w:p w14:paraId="57F6621B"/>
    <w:p w14:paraId="2C41B7AA"/>
    <w:p w14:paraId="01F4AD5A"/>
    <w:p w14:paraId="73A413A7"/>
    <w:p w14:paraId="456F92F2"/>
    <w:p w14:paraId="46B7569F"/>
    <w:p w14:paraId="7F27EE28"/>
    <w:p w14:paraId="16149B92">
      <w:pPr>
        <w:rPr>
          <w:rFonts w:cs="宋体"/>
          <w:b/>
          <w:bCs/>
          <w:sz w:val="28"/>
          <w:szCs w:val="28"/>
          <w:u w:val="single"/>
        </w:rPr>
      </w:pPr>
      <w:r>
        <w:rPr>
          <w:rFonts w:hint="eastAsia" w:cs="宋体"/>
          <w:b/>
          <w:bCs/>
          <w:sz w:val="28"/>
          <w:szCs w:val="28"/>
        </w:rPr>
        <w:t>投标单位：</w:t>
      </w:r>
      <w:r>
        <w:rPr>
          <w:rFonts w:hint="eastAsia" w:cs="宋体"/>
          <w:b/>
          <w:bCs/>
          <w:sz w:val="28"/>
          <w:szCs w:val="28"/>
          <w:u w:val="single"/>
        </w:rPr>
        <w:t xml:space="preserve">                     </w:t>
      </w:r>
      <w:r>
        <w:rPr>
          <w:rFonts w:cs="宋体"/>
          <w:b/>
          <w:bCs/>
          <w:sz w:val="28"/>
          <w:szCs w:val="28"/>
          <w:u w:val="single"/>
        </w:rPr>
        <w:t xml:space="preserve">          </w:t>
      </w:r>
      <w:r>
        <w:rPr>
          <w:rFonts w:hint="eastAsia" w:cs="宋体"/>
          <w:b/>
          <w:bCs/>
          <w:sz w:val="28"/>
          <w:szCs w:val="28"/>
          <w:u w:val="single"/>
        </w:rPr>
        <w:t xml:space="preserve">   （盖章）</w:t>
      </w:r>
    </w:p>
    <w:p w14:paraId="5CDE02E5">
      <w:pPr>
        <w:rPr>
          <w:rFonts w:cs="宋体"/>
          <w:b/>
          <w:bCs/>
          <w:sz w:val="28"/>
          <w:szCs w:val="28"/>
          <w:u w:val="single"/>
        </w:rPr>
      </w:pPr>
      <w:r>
        <w:rPr>
          <w:rFonts w:hint="eastAsia" w:cs="宋体"/>
          <w:b/>
          <w:bCs/>
          <w:sz w:val="28"/>
          <w:szCs w:val="28"/>
        </w:rPr>
        <w:t>法定代表人或其授权委托人：</w:t>
      </w:r>
      <w:r>
        <w:rPr>
          <w:rFonts w:hint="eastAsia" w:cs="宋体"/>
          <w:b/>
          <w:bCs/>
          <w:sz w:val="28"/>
          <w:szCs w:val="28"/>
          <w:u w:val="single"/>
        </w:rPr>
        <w:t xml:space="preserve">      </w:t>
      </w:r>
      <w:r>
        <w:rPr>
          <w:rFonts w:cs="宋体"/>
          <w:b/>
          <w:bCs/>
          <w:sz w:val="28"/>
          <w:szCs w:val="28"/>
          <w:u w:val="single"/>
        </w:rPr>
        <w:t xml:space="preserve">     </w:t>
      </w:r>
      <w:r>
        <w:rPr>
          <w:rFonts w:hint="eastAsia" w:cs="宋体"/>
          <w:b/>
          <w:bCs/>
          <w:sz w:val="28"/>
          <w:szCs w:val="28"/>
          <w:u w:val="single"/>
        </w:rPr>
        <w:t xml:space="preserve">  </w:t>
      </w:r>
      <w:r>
        <w:rPr>
          <w:rFonts w:hint="eastAsia" w:cs="宋体"/>
          <w:b/>
          <w:bCs/>
          <w:sz w:val="28"/>
          <w:szCs w:val="28"/>
        </w:rPr>
        <w:t>（签字或盖章）</w:t>
      </w:r>
    </w:p>
    <w:p w14:paraId="6AF7FAF4">
      <w:pPr>
        <w:rPr>
          <w:rFonts w:cs="宋体"/>
          <w:b/>
          <w:bCs/>
          <w:sz w:val="28"/>
          <w:szCs w:val="28"/>
        </w:rPr>
      </w:pPr>
      <w:r>
        <w:rPr>
          <w:rFonts w:hint="eastAsia" w:cs="宋体"/>
          <w:b/>
          <w:bCs/>
          <w:sz w:val="28"/>
          <w:szCs w:val="28"/>
        </w:rPr>
        <w:t>日期：</w:t>
      </w:r>
      <w:r>
        <w:rPr>
          <w:rFonts w:hint="eastAsia" w:cs="宋体"/>
          <w:b/>
          <w:bCs/>
          <w:sz w:val="28"/>
          <w:szCs w:val="28"/>
          <w:u w:val="single"/>
        </w:rPr>
        <w:t xml:space="preserve">                                        </w:t>
      </w:r>
      <w:r>
        <w:rPr>
          <w:rFonts w:hint="eastAsia" w:cs="宋体"/>
          <w:b/>
          <w:bCs/>
          <w:sz w:val="28"/>
          <w:szCs w:val="28"/>
        </w:rPr>
        <w:t xml:space="preserve"> </w:t>
      </w:r>
    </w:p>
    <w:bookmarkEnd w:id="948"/>
    <w:p w14:paraId="31F46887"/>
    <w:p w14:paraId="0C7C2700">
      <w:pPr>
        <w:spacing w:line="200" w:lineRule="exact"/>
      </w:pPr>
      <w:r>
        <w:rPr>
          <w:rFonts w:cs="宋体"/>
        </w:rPr>
        <w:br w:type="page"/>
      </w:r>
    </w:p>
    <w:p w14:paraId="7005BA0B">
      <w:bookmarkStart w:id="955" w:name="_Toc152045787"/>
      <w:bookmarkStart w:id="956" w:name="_Toc246996355"/>
      <w:bookmarkStart w:id="957" w:name="_Toc152042576"/>
      <w:bookmarkStart w:id="958" w:name="_Toc43721436"/>
      <w:bookmarkStart w:id="959" w:name="_Toc246997098"/>
      <w:bookmarkStart w:id="960" w:name="_Toc144974856"/>
      <w:bookmarkStart w:id="961" w:name="_Toc179632807"/>
      <w:bookmarkStart w:id="962" w:name="_Toc247085873"/>
      <w:r>
        <w:rPr>
          <w:rFonts w:hint="eastAsia"/>
        </w:rPr>
        <w:t>目    录</w:t>
      </w:r>
      <w:bookmarkEnd w:id="955"/>
      <w:bookmarkEnd w:id="956"/>
      <w:bookmarkEnd w:id="957"/>
      <w:bookmarkEnd w:id="958"/>
      <w:bookmarkEnd w:id="959"/>
      <w:bookmarkEnd w:id="960"/>
      <w:bookmarkEnd w:id="961"/>
      <w:bookmarkEnd w:id="962"/>
    </w:p>
    <w:p w14:paraId="4ADA1A03"/>
    <w:p w14:paraId="62689FE0">
      <w:bookmarkStart w:id="963" w:name="_Hlk110343004"/>
      <w:r>
        <w:rPr>
          <w:rFonts w:hint="eastAsia"/>
        </w:rPr>
        <w:t>一、投标函及投标函附录</w:t>
      </w:r>
    </w:p>
    <w:p w14:paraId="1AE09F1A">
      <w:r>
        <w:rPr>
          <w:rFonts w:hint="eastAsia"/>
        </w:rPr>
        <w:t>二、法定代表人身份证明</w:t>
      </w:r>
    </w:p>
    <w:p w14:paraId="607A4B3A">
      <w:r>
        <w:rPr>
          <w:rFonts w:hint="eastAsia"/>
        </w:rPr>
        <w:t>三、授权委托书</w:t>
      </w:r>
    </w:p>
    <w:p w14:paraId="40B51DB6">
      <w:r>
        <w:rPr>
          <w:rFonts w:hint="eastAsia"/>
        </w:rPr>
        <w:t xml:space="preserve">四、投标保证金 </w:t>
      </w:r>
    </w:p>
    <w:p w14:paraId="6F9DE7CE">
      <w:r>
        <w:rPr>
          <w:rFonts w:hint="eastAsia"/>
        </w:rPr>
        <w:t>五、已标价工程量清单</w:t>
      </w:r>
    </w:p>
    <w:p w14:paraId="543385E1">
      <w:r>
        <w:rPr>
          <w:rFonts w:hint="eastAsia"/>
        </w:rPr>
        <w:t>六、施工组织设计</w:t>
      </w:r>
    </w:p>
    <w:p w14:paraId="3FEE29C9">
      <w:r>
        <w:rPr>
          <w:rFonts w:hint="eastAsia"/>
        </w:rPr>
        <w:t>七、项目管理机构</w:t>
      </w:r>
    </w:p>
    <w:p w14:paraId="595EC6CD">
      <w:r>
        <w:rPr>
          <w:rFonts w:hint="eastAsia"/>
        </w:rPr>
        <w:t>八、资格审查资料</w:t>
      </w:r>
    </w:p>
    <w:p w14:paraId="5FBF66EE">
      <w:r>
        <w:rPr>
          <w:rFonts w:hint="eastAsia"/>
        </w:rPr>
        <w:t>九</w:t>
      </w:r>
      <w:r>
        <w:t>、其他资料</w:t>
      </w:r>
    </w:p>
    <w:p w14:paraId="4C3625D4">
      <w:r>
        <w:rPr>
          <w:rFonts w:hint="eastAsia"/>
        </w:rPr>
        <w:t>十、</w:t>
      </w:r>
      <w:r>
        <w:t>附件</w:t>
      </w:r>
    </w:p>
    <w:bookmarkEnd w:id="963"/>
    <w:p w14:paraId="22AFE40D">
      <w:pPr>
        <w:pStyle w:val="4"/>
      </w:pPr>
      <w:r>
        <w:br w:type="page"/>
      </w:r>
      <w:bookmarkStart w:id="964" w:name="_Toc247085874"/>
      <w:bookmarkStart w:id="965" w:name="_Toc71552376"/>
      <w:bookmarkStart w:id="966" w:name="_Toc152045788"/>
      <w:bookmarkStart w:id="967" w:name="_Toc179632808"/>
      <w:bookmarkStart w:id="968" w:name="_Toc152042577"/>
      <w:bookmarkStart w:id="969" w:name="_Toc16874"/>
      <w:bookmarkStart w:id="970" w:name="_Toc43721437"/>
      <w:bookmarkStart w:id="971" w:name="_Toc246997099"/>
      <w:bookmarkStart w:id="972" w:name="_Toc144974857"/>
      <w:bookmarkStart w:id="973" w:name="_Toc246996356"/>
      <w:bookmarkStart w:id="974" w:name="_Toc71552342"/>
      <w:r>
        <w:t>一、投标函及投标函附录</w:t>
      </w:r>
      <w:bookmarkEnd w:id="964"/>
      <w:bookmarkEnd w:id="965"/>
      <w:bookmarkEnd w:id="966"/>
      <w:bookmarkEnd w:id="967"/>
      <w:bookmarkEnd w:id="968"/>
      <w:bookmarkEnd w:id="969"/>
      <w:bookmarkEnd w:id="970"/>
      <w:bookmarkEnd w:id="971"/>
      <w:bookmarkEnd w:id="972"/>
      <w:bookmarkEnd w:id="973"/>
      <w:bookmarkEnd w:id="974"/>
    </w:p>
    <w:p w14:paraId="0197E083">
      <w:pPr>
        <w:pStyle w:val="5"/>
      </w:pPr>
      <w:bookmarkStart w:id="975" w:name="_Toc43721438"/>
      <w:bookmarkStart w:id="976" w:name="_Toc71552343"/>
      <w:bookmarkStart w:id="977" w:name="_Toc152045789"/>
      <w:bookmarkStart w:id="978" w:name="_Toc1947"/>
      <w:bookmarkStart w:id="979" w:name="_Toc144974858"/>
      <w:bookmarkStart w:id="980" w:name="_Toc296602603"/>
      <w:bookmarkStart w:id="981" w:name="_Toc246996357"/>
      <w:bookmarkStart w:id="982" w:name="_Toc246997100"/>
      <w:bookmarkStart w:id="983" w:name="_Toc247085875"/>
      <w:bookmarkStart w:id="984" w:name="_Toc152042578"/>
      <w:bookmarkStart w:id="985" w:name="_Toc71552377"/>
      <w:bookmarkStart w:id="986" w:name="_Toc179632809"/>
      <w:r>
        <w:t>（一）投标函</w:t>
      </w:r>
      <w:bookmarkEnd w:id="975"/>
      <w:bookmarkEnd w:id="976"/>
      <w:bookmarkEnd w:id="977"/>
      <w:bookmarkEnd w:id="978"/>
      <w:bookmarkEnd w:id="979"/>
      <w:bookmarkEnd w:id="980"/>
      <w:bookmarkEnd w:id="981"/>
      <w:bookmarkEnd w:id="982"/>
      <w:bookmarkEnd w:id="983"/>
      <w:bookmarkEnd w:id="984"/>
      <w:bookmarkEnd w:id="985"/>
      <w:bookmarkEnd w:id="986"/>
    </w:p>
    <w:p w14:paraId="03D19F2E">
      <w:r>
        <w:rPr>
          <w:u w:val="single"/>
        </w:rPr>
        <w:t xml:space="preserve">                        </w:t>
      </w:r>
      <w:r>
        <w:t>（采购单位名称）：</w:t>
      </w:r>
    </w:p>
    <w:p w14:paraId="307DBCC7"/>
    <w:p w14:paraId="68F78D00">
      <w:pPr>
        <w:jc w:val="left"/>
      </w:pPr>
      <w:r>
        <w:t>1．我方已仔细研究了</w:t>
      </w:r>
      <w:r>
        <w:rPr>
          <w:u w:val="single"/>
        </w:rPr>
        <w:t xml:space="preserve">          </w:t>
      </w:r>
      <w:r>
        <w:t>（项目名称）竞争性磋商文件的全部内容，愿意以人民币（大写）</w:t>
      </w:r>
      <w:r>
        <w:rPr>
          <w:u w:val="single"/>
        </w:rPr>
        <w:t xml:space="preserve">         </w:t>
      </w:r>
      <w:r>
        <w:t>（¥</w:t>
      </w:r>
      <w:r>
        <w:rPr>
          <w:u w:val="single"/>
        </w:rPr>
        <w:t xml:space="preserve">           </w:t>
      </w:r>
      <w:r>
        <w:t>）的投标</w:t>
      </w:r>
      <w:r>
        <w:rPr>
          <w:rFonts w:hint="eastAsia"/>
          <w:lang w:val="en-US" w:eastAsia="zh-CN"/>
        </w:rPr>
        <w:t>单</w:t>
      </w:r>
      <w:r>
        <w:t>价，</w:t>
      </w:r>
      <w:r>
        <w:rPr>
          <w:rFonts w:hint="eastAsia"/>
        </w:rPr>
        <w:t>工期</w:t>
      </w:r>
      <w:r>
        <w:rPr>
          <w:rFonts w:hint="eastAsia"/>
          <w:u w:val="single"/>
        </w:rPr>
        <w:t xml:space="preserve">          </w:t>
      </w:r>
      <w:r>
        <w:rPr>
          <w:rFonts w:hint="eastAsia"/>
        </w:rPr>
        <w:t>，</w:t>
      </w:r>
      <w:r>
        <w:t>按合同约定实施和完成承包工程，修补工程中的任何缺陷，工程质量达到</w:t>
      </w:r>
      <w:r>
        <w:rPr>
          <w:u w:val="single"/>
        </w:rPr>
        <w:t xml:space="preserve">           </w:t>
      </w:r>
      <w:r>
        <w:t>。</w:t>
      </w:r>
    </w:p>
    <w:p w14:paraId="1F8E2718">
      <w:r>
        <w:t>2．我方承诺在</w:t>
      </w:r>
      <w:r>
        <w:rPr>
          <w:rFonts w:hint="eastAsia"/>
        </w:rPr>
        <w:t>竞争性磋商文件规定的</w:t>
      </w:r>
      <w:r>
        <w:t>投标有效期内不修改、撤销响应文件。</w:t>
      </w:r>
    </w:p>
    <w:p w14:paraId="51EA412B">
      <w:r>
        <w:t>3．随同本投标函提交投标保证金一份，金额为人民币（大写）</w:t>
      </w:r>
      <w:r>
        <w:rPr>
          <w:u w:val="single"/>
        </w:rPr>
        <w:t xml:space="preserve">        </w:t>
      </w:r>
      <w:r>
        <w:t>（¥</w:t>
      </w:r>
      <w:r>
        <w:rPr>
          <w:u w:val="single"/>
        </w:rPr>
        <w:t xml:space="preserve">  </w:t>
      </w:r>
      <w:r>
        <w:rPr>
          <w:rFonts w:hint="eastAsia"/>
          <w:u w:val="single"/>
        </w:rPr>
        <w:t xml:space="preserve">   </w:t>
      </w:r>
      <w:r>
        <w:rPr>
          <w:u w:val="single"/>
        </w:rPr>
        <w:t xml:space="preserve">  </w:t>
      </w:r>
      <w:r>
        <w:t>）。</w:t>
      </w:r>
    </w:p>
    <w:p w14:paraId="543389EF">
      <w:r>
        <w:t>4．如我方中标：</w:t>
      </w:r>
    </w:p>
    <w:p w14:paraId="74526498">
      <w:r>
        <w:t>（1）我方承诺在收到成交通知书后，在成交通知书规定的期限内与你方签订合同。</w:t>
      </w:r>
    </w:p>
    <w:p w14:paraId="73EC9D2A">
      <w:r>
        <w:t>（2）随同本投标函递交的投标函附录属于合同文件的组成部分。</w:t>
      </w:r>
    </w:p>
    <w:p w14:paraId="4C559FCE">
      <w:r>
        <w:t>（3）我方承诺按照竞争性磋商文件规定向你方递交履约担保。</w:t>
      </w:r>
    </w:p>
    <w:p w14:paraId="2EDD9296">
      <w:r>
        <w:t>（</w:t>
      </w:r>
      <w:r>
        <w:rPr>
          <w:rFonts w:hint="eastAsia"/>
        </w:rPr>
        <w:t>4</w:t>
      </w:r>
      <w:r>
        <w:t>）我方承诺在合同约定的期限内完成并移交全部合同工程。</w:t>
      </w:r>
    </w:p>
    <w:p w14:paraId="53B832AB">
      <w:pPr>
        <w:rPr>
          <w:szCs w:val="21"/>
        </w:rPr>
      </w:pPr>
      <w:r>
        <w:rPr>
          <w:szCs w:val="21"/>
        </w:rPr>
        <w:t>5．</w:t>
      </w:r>
      <w:r>
        <w:rPr>
          <w:rFonts w:hint="eastAsia"/>
        </w:rPr>
        <w:t>我方在此声明，所递交的响应文件及有关资料内容完整、真实和准确，且不存在第二章“响应单位须知”第1.4.2项和第1.4.3项规定的任何一种情形。</w:t>
      </w:r>
    </w:p>
    <w:p w14:paraId="15A33EF6">
      <w:r>
        <w:rPr>
          <w:rFonts w:hint="eastAsia"/>
        </w:rPr>
        <w:t>6．</w:t>
      </w:r>
      <w:r>
        <w:rPr>
          <w:u w:val="single"/>
        </w:rPr>
        <w:t xml:space="preserve">                                       </w:t>
      </w:r>
      <w:r>
        <w:t>（</w:t>
      </w:r>
      <w:r>
        <w:rPr>
          <w:rFonts w:hint="eastAsia"/>
        </w:rPr>
        <w:t>其他</w:t>
      </w:r>
      <w:r>
        <w:t>补充说明）。</w:t>
      </w:r>
    </w:p>
    <w:p w14:paraId="78083DC3">
      <w:bookmarkStart w:id="987" w:name="_Hlk71703665"/>
      <w:r>
        <w:rPr>
          <w:rFonts w:hint="eastAsia"/>
        </w:rPr>
        <w:t>投标单位</w:t>
      </w:r>
      <w:r>
        <w:t>：</w:t>
      </w:r>
      <w:r>
        <w:rPr>
          <w:u w:val="single"/>
        </w:rPr>
        <w:t xml:space="preserve">                              </w:t>
      </w:r>
      <w:r>
        <w:t>（盖单位章）</w:t>
      </w:r>
    </w:p>
    <w:p w14:paraId="3CE81678">
      <w:r>
        <w:t>法定代表人或其委托代理人：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2CA7E14A">
      <w:r>
        <w:t>地址：</w:t>
      </w:r>
      <w:r>
        <w:rPr>
          <w:u w:val="single"/>
        </w:rPr>
        <w:t xml:space="preserve">                                             </w:t>
      </w:r>
    </w:p>
    <w:p w14:paraId="5FCB19DC">
      <w:r>
        <w:t>电话：</w:t>
      </w:r>
      <w:r>
        <w:rPr>
          <w:u w:val="single"/>
        </w:rPr>
        <w:t xml:space="preserve">                                             </w:t>
      </w:r>
    </w:p>
    <w:p w14:paraId="2F847751">
      <w:r>
        <w:t>邮政编码：</w:t>
      </w:r>
      <w:r>
        <w:rPr>
          <w:u w:val="single"/>
        </w:rPr>
        <w:t xml:space="preserve">                                         </w:t>
      </w:r>
    </w:p>
    <w:p w14:paraId="28DD2543">
      <w:r>
        <w:t>传真：</w:t>
      </w:r>
      <w:r>
        <w:rPr>
          <w:u w:val="single"/>
        </w:rPr>
        <w:t xml:space="preserve">                                             </w:t>
      </w:r>
    </w:p>
    <w:p w14:paraId="4069FA91">
      <w:r>
        <w:rPr>
          <w:rFonts w:hint="eastAsia"/>
        </w:rPr>
        <w:t>日期：</w:t>
      </w:r>
      <w:r>
        <w:rPr>
          <w:u w:val="single"/>
        </w:rPr>
        <w:t xml:space="preserve">                                             </w:t>
      </w:r>
    </w:p>
    <w:bookmarkEnd w:id="987"/>
    <w:p w14:paraId="2085B7B9">
      <w:pPr>
        <w:pStyle w:val="5"/>
      </w:pPr>
      <w:bookmarkStart w:id="988" w:name="_Toc43721439"/>
      <w:bookmarkStart w:id="989" w:name="_Toc152045790"/>
      <w:bookmarkStart w:id="990" w:name="_Toc246997101"/>
      <w:bookmarkStart w:id="991" w:name="_Toc144974859"/>
      <w:bookmarkStart w:id="992" w:name="_Toc246996358"/>
      <w:bookmarkStart w:id="993" w:name="_Toc14010"/>
      <w:bookmarkStart w:id="994" w:name="_Toc152042579"/>
      <w:bookmarkStart w:id="995" w:name="_Toc296602604"/>
      <w:bookmarkStart w:id="996" w:name="_Toc71552378"/>
      <w:bookmarkStart w:id="997" w:name="_Toc71552344"/>
      <w:bookmarkStart w:id="998" w:name="_Toc247085876"/>
      <w:bookmarkStart w:id="999" w:name="_Toc179632810"/>
      <w:r>
        <w:t>（二）投标函附录</w:t>
      </w:r>
      <w:bookmarkEnd w:id="988"/>
      <w:bookmarkEnd w:id="989"/>
      <w:bookmarkEnd w:id="990"/>
      <w:bookmarkEnd w:id="991"/>
      <w:bookmarkEnd w:id="992"/>
      <w:bookmarkEnd w:id="993"/>
      <w:bookmarkEnd w:id="994"/>
      <w:bookmarkEnd w:id="995"/>
      <w:bookmarkEnd w:id="996"/>
      <w:bookmarkEnd w:id="997"/>
      <w:bookmarkEnd w:id="998"/>
      <w:bookmarkEnd w:id="999"/>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693"/>
        <w:gridCol w:w="2756"/>
        <w:gridCol w:w="1922"/>
      </w:tblGrid>
      <w:tr w14:paraId="5373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68BA5C4E">
            <w:r>
              <w:rPr>
                <w:rFonts w:hint="eastAsia"/>
              </w:rPr>
              <w:t>序 号</w:t>
            </w:r>
          </w:p>
        </w:tc>
        <w:tc>
          <w:tcPr>
            <w:tcW w:w="2693" w:type="dxa"/>
            <w:vAlign w:val="center"/>
          </w:tcPr>
          <w:p w14:paraId="426D32CD">
            <w:r>
              <w:rPr>
                <w:rFonts w:hint="eastAsia"/>
              </w:rPr>
              <w:t>条款内容</w:t>
            </w:r>
          </w:p>
        </w:tc>
        <w:tc>
          <w:tcPr>
            <w:tcW w:w="2756" w:type="dxa"/>
            <w:vAlign w:val="center"/>
          </w:tcPr>
          <w:p w14:paraId="0C21E284">
            <w:r>
              <w:rPr>
                <w:rFonts w:hint="eastAsia"/>
              </w:rPr>
              <w:t>约定内容</w:t>
            </w:r>
          </w:p>
        </w:tc>
        <w:tc>
          <w:tcPr>
            <w:tcW w:w="1922" w:type="dxa"/>
            <w:vAlign w:val="center"/>
          </w:tcPr>
          <w:p w14:paraId="5DCB4B15">
            <w:r>
              <w:rPr>
                <w:rFonts w:hint="eastAsia"/>
              </w:rPr>
              <w:t>备注</w:t>
            </w:r>
          </w:p>
        </w:tc>
      </w:tr>
      <w:tr w14:paraId="5414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2F8DB207">
            <w:r>
              <w:rPr>
                <w:rFonts w:hint="eastAsia"/>
              </w:rPr>
              <w:t>1</w:t>
            </w:r>
          </w:p>
        </w:tc>
        <w:tc>
          <w:tcPr>
            <w:tcW w:w="2693" w:type="dxa"/>
            <w:vAlign w:val="center"/>
          </w:tcPr>
          <w:p w14:paraId="16CA58AC">
            <w:r>
              <w:rPr>
                <w:rFonts w:hint="eastAsia"/>
              </w:rPr>
              <w:t>项目经理</w:t>
            </w:r>
          </w:p>
        </w:tc>
        <w:tc>
          <w:tcPr>
            <w:tcW w:w="2756" w:type="dxa"/>
            <w:vAlign w:val="center"/>
          </w:tcPr>
          <w:p w14:paraId="3FA84F68">
            <w:pPr>
              <w:rPr>
                <w:u w:val="single"/>
              </w:rPr>
            </w:pPr>
            <w:r>
              <w:rPr>
                <w:rFonts w:hint="eastAsia"/>
              </w:rPr>
              <w:t>姓名：</w:t>
            </w:r>
            <w:r>
              <w:rPr>
                <w:rFonts w:hint="eastAsia"/>
                <w:u w:val="single"/>
              </w:rPr>
              <w:t xml:space="preserve">          </w:t>
            </w:r>
          </w:p>
          <w:p w14:paraId="78059C22">
            <w:r>
              <w:rPr>
                <w:rFonts w:hint="eastAsia"/>
              </w:rPr>
              <w:t>身份证号码：</w:t>
            </w:r>
            <w:r>
              <w:rPr>
                <w:rFonts w:hint="eastAsia"/>
                <w:u w:val="single"/>
              </w:rPr>
              <w:t xml:space="preserve">          </w:t>
            </w:r>
          </w:p>
          <w:p w14:paraId="5518AD8A">
            <w:r>
              <w:rPr>
                <w:rFonts w:hint="eastAsia"/>
              </w:rPr>
              <w:t>执业证书编号：</w:t>
            </w:r>
            <w:r>
              <w:rPr>
                <w:rFonts w:hint="eastAsia"/>
                <w:u w:val="single"/>
              </w:rPr>
              <w:t xml:space="preserve">          </w:t>
            </w:r>
          </w:p>
        </w:tc>
        <w:tc>
          <w:tcPr>
            <w:tcW w:w="1922" w:type="dxa"/>
            <w:vAlign w:val="center"/>
          </w:tcPr>
          <w:p w14:paraId="1AF6B41A"/>
        </w:tc>
      </w:tr>
      <w:tr w14:paraId="3087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084C90B6">
            <w:r>
              <w:rPr>
                <w:rFonts w:hint="eastAsia"/>
              </w:rPr>
              <w:t>2</w:t>
            </w:r>
          </w:p>
        </w:tc>
        <w:tc>
          <w:tcPr>
            <w:tcW w:w="2693" w:type="dxa"/>
            <w:vAlign w:val="center"/>
          </w:tcPr>
          <w:p w14:paraId="70A4CA52">
            <w:r>
              <w:rPr>
                <w:rFonts w:hint="eastAsia"/>
              </w:rPr>
              <w:t>计划工期</w:t>
            </w:r>
          </w:p>
        </w:tc>
        <w:tc>
          <w:tcPr>
            <w:tcW w:w="2756" w:type="dxa"/>
            <w:vAlign w:val="center"/>
          </w:tcPr>
          <w:p w14:paraId="43ABAE18"/>
        </w:tc>
        <w:tc>
          <w:tcPr>
            <w:tcW w:w="1922" w:type="dxa"/>
            <w:vAlign w:val="center"/>
          </w:tcPr>
          <w:p w14:paraId="0C4BB62D"/>
        </w:tc>
      </w:tr>
      <w:tr w14:paraId="516A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4E8AB9D3">
            <w:r>
              <w:rPr>
                <w:rFonts w:hint="eastAsia"/>
              </w:rPr>
              <w:t>3</w:t>
            </w:r>
          </w:p>
        </w:tc>
        <w:tc>
          <w:tcPr>
            <w:tcW w:w="2693" w:type="dxa"/>
            <w:vAlign w:val="center"/>
          </w:tcPr>
          <w:p w14:paraId="41B77DFD">
            <w:r>
              <w:rPr>
                <w:rFonts w:hint="eastAsia"/>
              </w:rPr>
              <w:t>承包人履约担保金额</w:t>
            </w:r>
          </w:p>
        </w:tc>
        <w:tc>
          <w:tcPr>
            <w:tcW w:w="2756" w:type="dxa"/>
            <w:vAlign w:val="center"/>
          </w:tcPr>
          <w:p w14:paraId="63489372"/>
        </w:tc>
        <w:tc>
          <w:tcPr>
            <w:tcW w:w="1922" w:type="dxa"/>
            <w:vAlign w:val="center"/>
          </w:tcPr>
          <w:p w14:paraId="6F7709FB"/>
        </w:tc>
      </w:tr>
      <w:tr w14:paraId="2858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3CE5AEF2">
            <w:r>
              <w:rPr>
                <w:rFonts w:hint="eastAsia"/>
              </w:rPr>
              <w:t>4</w:t>
            </w:r>
          </w:p>
        </w:tc>
        <w:tc>
          <w:tcPr>
            <w:tcW w:w="2693" w:type="dxa"/>
            <w:vAlign w:val="center"/>
          </w:tcPr>
          <w:p w14:paraId="5AC74949">
            <w:r>
              <w:rPr>
                <w:rFonts w:hint="eastAsia"/>
              </w:rPr>
              <w:t>逾期竣工违约金</w:t>
            </w:r>
          </w:p>
        </w:tc>
        <w:tc>
          <w:tcPr>
            <w:tcW w:w="2756" w:type="dxa"/>
            <w:vAlign w:val="center"/>
          </w:tcPr>
          <w:p w14:paraId="4D8FCDAE">
            <w:r>
              <w:rPr>
                <w:rFonts w:hint="eastAsia"/>
              </w:rPr>
              <w:t xml:space="preserve">    </w:t>
            </w:r>
            <w:r>
              <w:rPr>
                <w:rFonts w:hint="eastAsia"/>
                <w:u w:val="single"/>
              </w:rPr>
              <w:t xml:space="preserve"> </w:t>
            </w:r>
            <w:r>
              <w:rPr>
                <w:u w:val="single"/>
              </w:rPr>
              <w:t xml:space="preserve">      </w:t>
            </w:r>
            <w:r>
              <w:rPr>
                <w:rFonts w:hint="eastAsia"/>
              </w:rPr>
              <w:t>元/天</w:t>
            </w:r>
          </w:p>
        </w:tc>
        <w:tc>
          <w:tcPr>
            <w:tcW w:w="1922" w:type="dxa"/>
            <w:vAlign w:val="center"/>
          </w:tcPr>
          <w:p w14:paraId="3B81C528"/>
        </w:tc>
      </w:tr>
      <w:tr w14:paraId="1794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3D51BEB4">
            <w:r>
              <w:rPr>
                <w:rFonts w:hint="eastAsia"/>
              </w:rPr>
              <w:t>5</w:t>
            </w:r>
          </w:p>
        </w:tc>
        <w:tc>
          <w:tcPr>
            <w:tcW w:w="2693" w:type="dxa"/>
            <w:vAlign w:val="center"/>
          </w:tcPr>
          <w:p w14:paraId="6D9D5A2D">
            <w:r>
              <w:rPr>
                <w:rFonts w:hint="eastAsia"/>
              </w:rPr>
              <w:t>逾期竣工违约金最高限额</w:t>
            </w:r>
          </w:p>
        </w:tc>
        <w:tc>
          <w:tcPr>
            <w:tcW w:w="2756" w:type="dxa"/>
            <w:vAlign w:val="center"/>
          </w:tcPr>
          <w:p w14:paraId="48599309">
            <w:pPr>
              <w:rPr>
                <w:rFonts w:hint="eastAsia" w:eastAsia="宋体"/>
                <w:lang w:eastAsia="zh-CN"/>
              </w:rPr>
            </w:pPr>
            <w:r>
              <w:rPr>
                <w:rFonts w:hint="eastAsia"/>
              </w:rPr>
              <w:t>由于承包人原因造成工期延误，承包人应按</w:t>
            </w:r>
            <w:r>
              <w:rPr>
                <w:rFonts w:hint="eastAsia"/>
                <w:u w:val="single"/>
                <w:lang w:val="en-US" w:eastAsia="zh-CN"/>
              </w:rPr>
              <w:t xml:space="preserve">  </w:t>
            </w:r>
            <w:r>
              <w:rPr>
                <w:rFonts w:hint="eastAsia"/>
              </w:rPr>
              <w:t>元/日支付逾期竣工违约金，最高不超合同总价的3%。承包人支付逾期竣工违约金，不免除承包人完成工程及修补缺陷的义务</w:t>
            </w:r>
            <w:r>
              <w:rPr>
                <w:rFonts w:hint="eastAsia"/>
                <w:lang w:eastAsia="zh-CN"/>
              </w:rPr>
              <w:t>。</w:t>
            </w:r>
          </w:p>
        </w:tc>
        <w:tc>
          <w:tcPr>
            <w:tcW w:w="1922" w:type="dxa"/>
            <w:vAlign w:val="center"/>
          </w:tcPr>
          <w:p w14:paraId="6AC8221A"/>
        </w:tc>
      </w:tr>
      <w:tr w14:paraId="11A0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164F7662">
            <w:r>
              <w:rPr>
                <w:rFonts w:hint="eastAsia"/>
              </w:rPr>
              <w:t>6</w:t>
            </w:r>
          </w:p>
        </w:tc>
        <w:tc>
          <w:tcPr>
            <w:tcW w:w="2693" w:type="dxa"/>
            <w:vAlign w:val="center"/>
          </w:tcPr>
          <w:p w14:paraId="10D9DAA0">
            <w:r>
              <w:rPr>
                <w:rFonts w:hint="eastAsia"/>
              </w:rPr>
              <w:t>质量标准</w:t>
            </w:r>
          </w:p>
        </w:tc>
        <w:tc>
          <w:tcPr>
            <w:tcW w:w="2756" w:type="dxa"/>
            <w:vAlign w:val="center"/>
          </w:tcPr>
          <w:p w14:paraId="5CB3F470">
            <w:pPr>
              <w:rPr>
                <w:color w:val="000000"/>
              </w:rPr>
            </w:pPr>
            <w:r>
              <w:rPr>
                <w:rFonts w:hint="eastAsia"/>
              </w:rPr>
              <w:t xml:space="preserve"> </w:t>
            </w:r>
            <w:r>
              <w:t xml:space="preserve">                                </w:t>
            </w:r>
          </w:p>
        </w:tc>
        <w:tc>
          <w:tcPr>
            <w:tcW w:w="1922" w:type="dxa"/>
            <w:vAlign w:val="center"/>
          </w:tcPr>
          <w:p w14:paraId="38958724"/>
        </w:tc>
      </w:tr>
      <w:tr w14:paraId="1E3E5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48F231AA">
            <w:r>
              <w:rPr>
                <w:rFonts w:hint="eastAsia"/>
              </w:rPr>
              <w:t>7</w:t>
            </w:r>
          </w:p>
        </w:tc>
        <w:tc>
          <w:tcPr>
            <w:tcW w:w="2693" w:type="dxa"/>
            <w:vAlign w:val="center"/>
          </w:tcPr>
          <w:p w14:paraId="39BFB409">
            <w:r>
              <w:rPr>
                <w:rFonts w:hint="eastAsia"/>
              </w:rPr>
              <w:t>保修期</w:t>
            </w:r>
          </w:p>
        </w:tc>
        <w:tc>
          <w:tcPr>
            <w:tcW w:w="2756" w:type="dxa"/>
            <w:vAlign w:val="center"/>
          </w:tcPr>
          <w:p w14:paraId="7D63B775">
            <w:r>
              <w:rPr>
                <w:rFonts w:hint="eastAsia"/>
              </w:rPr>
              <w:t xml:space="preserve">     年</w:t>
            </w:r>
          </w:p>
        </w:tc>
        <w:tc>
          <w:tcPr>
            <w:tcW w:w="1922" w:type="dxa"/>
            <w:vAlign w:val="center"/>
          </w:tcPr>
          <w:p w14:paraId="7C38885F"/>
        </w:tc>
      </w:tr>
      <w:tr w14:paraId="6EB77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66472270">
            <w:r>
              <w:rPr>
                <w:rFonts w:hint="eastAsia"/>
              </w:rPr>
              <w:t>8</w:t>
            </w:r>
          </w:p>
        </w:tc>
        <w:tc>
          <w:tcPr>
            <w:tcW w:w="2693" w:type="dxa"/>
            <w:vAlign w:val="center"/>
          </w:tcPr>
          <w:p w14:paraId="1E2114A7">
            <w:r>
              <w:rPr>
                <w:rFonts w:hint="eastAsia"/>
              </w:rPr>
              <w:t>优惠条件</w:t>
            </w:r>
          </w:p>
        </w:tc>
        <w:tc>
          <w:tcPr>
            <w:tcW w:w="2756" w:type="dxa"/>
            <w:vAlign w:val="center"/>
          </w:tcPr>
          <w:p w14:paraId="3CB324D8"/>
        </w:tc>
        <w:tc>
          <w:tcPr>
            <w:tcW w:w="1922" w:type="dxa"/>
            <w:vAlign w:val="center"/>
          </w:tcPr>
          <w:p w14:paraId="2FF67578"/>
        </w:tc>
      </w:tr>
      <w:tr w14:paraId="0E62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4D19594C">
            <w:r>
              <w:rPr>
                <w:rFonts w:hint="eastAsia"/>
              </w:rPr>
              <w:t>9</w:t>
            </w:r>
          </w:p>
        </w:tc>
        <w:tc>
          <w:tcPr>
            <w:tcW w:w="2693" w:type="dxa"/>
            <w:vAlign w:val="center"/>
          </w:tcPr>
          <w:p w14:paraId="084E99D9">
            <w:r>
              <w:rPr>
                <w:rFonts w:hint="eastAsia"/>
              </w:rPr>
              <w:t>服务承诺</w:t>
            </w:r>
          </w:p>
        </w:tc>
        <w:tc>
          <w:tcPr>
            <w:tcW w:w="2756" w:type="dxa"/>
            <w:vAlign w:val="center"/>
          </w:tcPr>
          <w:p w14:paraId="2B8A083D"/>
        </w:tc>
        <w:tc>
          <w:tcPr>
            <w:tcW w:w="1922" w:type="dxa"/>
            <w:vAlign w:val="center"/>
          </w:tcPr>
          <w:p w14:paraId="548553B8"/>
        </w:tc>
      </w:tr>
      <w:tr w14:paraId="2DA71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07AAFFE8">
            <w:pPr>
              <w:rPr>
                <w:rFonts w:hint="default" w:eastAsia="宋体"/>
                <w:lang w:val="en-US" w:eastAsia="zh-CN"/>
              </w:rPr>
            </w:pPr>
            <w:r>
              <w:rPr>
                <w:rFonts w:hint="eastAsia"/>
                <w:lang w:val="en-US" w:eastAsia="zh-CN"/>
              </w:rPr>
              <w:t>...</w:t>
            </w:r>
          </w:p>
        </w:tc>
        <w:tc>
          <w:tcPr>
            <w:tcW w:w="2693" w:type="dxa"/>
            <w:vAlign w:val="center"/>
          </w:tcPr>
          <w:p w14:paraId="010C6E22"/>
        </w:tc>
        <w:tc>
          <w:tcPr>
            <w:tcW w:w="2756" w:type="dxa"/>
            <w:vAlign w:val="center"/>
          </w:tcPr>
          <w:p w14:paraId="2713DAA3"/>
        </w:tc>
        <w:tc>
          <w:tcPr>
            <w:tcW w:w="1922" w:type="dxa"/>
            <w:vAlign w:val="center"/>
          </w:tcPr>
          <w:p w14:paraId="1A4059C7"/>
        </w:tc>
      </w:tr>
      <w:tr w14:paraId="79275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7473849D"/>
        </w:tc>
        <w:tc>
          <w:tcPr>
            <w:tcW w:w="2693" w:type="dxa"/>
            <w:vAlign w:val="center"/>
          </w:tcPr>
          <w:p w14:paraId="0F8834F8"/>
        </w:tc>
        <w:tc>
          <w:tcPr>
            <w:tcW w:w="2756" w:type="dxa"/>
            <w:vAlign w:val="center"/>
          </w:tcPr>
          <w:p w14:paraId="13B55307"/>
        </w:tc>
        <w:tc>
          <w:tcPr>
            <w:tcW w:w="1922" w:type="dxa"/>
            <w:vAlign w:val="center"/>
          </w:tcPr>
          <w:p w14:paraId="745D91ED"/>
        </w:tc>
      </w:tr>
      <w:tr w14:paraId="5C3C8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851" w:type="dxa"/>
            <w:vAlign w:val="center"/>
          </w:tcPr>
          <w:p w14:paraId="558D1AB2"/>
        </w:tc>
        <w:tc>
          <w:tcPr>
            <w:tcW w:w="2693" w:type="dxa"/>
            <w:vAlign w:val="center"/>
          </w:tcPr>
          <w:p w14:paraId="11C320A8"/>
        </w:tc>
        <w:tc>
          <w:tcPr>
            <w:tcW w:w="2756" w:type="dxa"/>
            <w:vAlign w:val="center"/>
          </w:tcPr>
          <w:p w14:paraId="1D94316A"/>
        </w:tc>
        <w:tc>
          <w:tcPr>
            <w:tcW w:w="1922" w:type="dxa"/>
            <w:vAlign w:val="center"/>
          </w:tcPr>
          <w:p w14:paraId="62E04294"/>
        </w:tc>
      </w:tr>
      <w:tr w14:paraId="04DB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vAlign w:val="center"/>
          </w:tcPr>
          <w:p w14:paraId="32803EBF"/>
        </w:tc>
        <w:tc>
          <w:tcPr>
            <w:tcW w:w="2693" w:type="dxa"/>
            <w:vAlign w:val="center"/>
          </w:tcPr>
          <w:p w14:paraId="3D516D33"/>
        </w:tc>
        <w:tc>
          <w:tcPr>
            <w:tcW w:w="2756" w:type="dxa"/>
            <w:vAlign w:val="center"/>
          </w:tcPr>
          <w:p w14:paraId="466A9EE1"/>
        </w:tc>
        <w:tc>
          <w:tcPr>
            <w:tcW w:w="1922" w:type="dxa"/>
            <w:vAlign w:val="center"/>
          </w:tcPr>
          <w:p w14:paraId="4BC8C84B"/>
        </w:tc>
      </w:tr>
    </w:tbl>
    <w:p w14:paraId="4E0EC384"/>
    <w:p w14:paraId="116A23F9">
      <w:pPr>
        <w:pStyle w:val="4"/>
        <w:bidi w:val="0"/>
      </w:pPr>
      <w:bookmarkStart w:id="1000" w:name="_Toc71552379"/>
      <w:bookmarkStart w:id="1001" w:name="_Toc43721440"/>
      <w:bookmarkStart w:id="1002" w:name="_Toc30901"/>
      <w:bookmarkStart w:id="1003" w:name="_Toc71552345"/>
      <w:bookmarkStart w:id="1004" w:name="_Toc247085877"/>
      <w:bookmarkStart w:id="1005" w:name="_Toc144974860"/>
      <w:bookmarkStart w:id="1006" w:name="_Toc152042580"/>
      <w:bookmarkStart w:id="1007" w:name="_Toc179632811"/>
      <w:bookmarkStart w:id="1008" w:name="_Toc246997102"/>
      <w:bookmarkStart w:id="1009" w:name="_Toc152045791"/>
      <w:bookmarkStart w:id="1010" w:name="_Toc246996359"/>
      <w:r>
        <w:rPr>
          <w:rFonts w:hint="eastAsia"/>
          <w:lang w:val="en-US" w:eastAsia="zh-CN"/>
        </w:rPr>
        <w:t>二、</w:t>
      </w:r>
      <w:r>
        <w:rPr>
          <w:rFonts w:hint="eastAsia"/>
        </w:rPr>
        <w:t>开标一览表</w:t>
      </w:r>
      <w:bookmarkEnd w:id="1000"/>
      <w:bookmarkEnd w:id="1001"/>
      <w:bookmarkEnd w:id="1002"/>
      <w:bookmarkEnd w:id="1003"/>
    </w:p>
    <w:p w14:paraId="23B68CCE"/>
    <w:p w14:paraId="33AAF30A">
      <w:r>
        <w:rPr>
          <w:rFonts w:hint="eastAsia"/>
        </w:rPr>
        <w:t>项目名称：</w:t>
      </w:r>
    </w:p>
    <w:p w14:paraId="3AE50796">
      <w:r>
        <w:rPr>
          <w:rFonts w:hint="eastAsia"/>
        </w:rPr>
        <w:t>招标编号：</w:t>
      </w:r>
    </w:p>
    <w:tbl>
      <w:tblPr>
        <w:tblStyle w:val="38"/>
        <w:tblW w:w="7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3260"/>
        <w:gridCol w:w="3857"/>
      </w:tblGrid>
      <w:tr w14:paraId="3A4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86" w:type="dxa"/>
            <w:vAlign w:val="center"/>
          </w:tcPr>
          <w:p w14:paraId="45711B92">
            <w:pPr>
              <w:jc w:val="center"/>
            </w:pPr>
            <w:r>
              <w:rPr>
                <w:rFonts w:hint="eastAsia"/>
              </w:rPr>
              <w:t>序号</w:t>
            </w:r>
          </w:p>
        </w:tc>
        <w:tc>
          <w:tcPr>
            <w:tcW w:w="3260" w:type="dxa"/>
            <w:vAlign w:val="center"/>
          </w:tcPr>
          <w:p w14:paraId="7F8A6EE2">
            <w:pPr>
              <w:jc w:val="center"/>
            </w:pPr>
            <w:r>
              <w:rPr>
                <w:rFonts w:hint="eastAsia"/>
              </w:rPr>
              <w:t>项目</w:t>
            </w:r>
          </w:p>
        </w:tc>
        <w:tc>
          <w:tcPr>
            <w:tcW w:w="3857" w:type="dxa"/>
            <w:vAlign w:val="center"/>
          </w:tcPr>
          <w:p w14:paraId="1FAD7533">
            <w:pPr>
              <w:jc w:val="center"/>
            </w:pPr>
            <w:r>
              <w:rPr>
                <w:rFonts w:hint="eastAsia"/>
              </w:rPr>
              <w:t>明细</w:t>
            </w:r>
          </w:p>
        </w:tc>
      </w:tr>
      <w:tr w14:paraId="2BA7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86" w:type="dxa"/>
            <w:vAlign w:val="center"/>
          </w:tcPr>
          <w:p w14:paraId="295146EB">
            <w:pPr>
              <w:jc w:val="center"/>
            </w:pPr>
            <w:r>
              <w:rPr>
                <w:rFonts w:hint="eastAsia"/>
              </w:rPr>
              <w:t>1</w:t>
            </w:r>
          </w:p>
        </w:tc>
        <w:tc>
          <w:tcPr>
            <w:tcW w:w="3260" w:type="dxa"/>
            <w:vAlign w:val="center"/>
          </w:tcPr>
          <w:p w14:paraId="73533918">
            <w:pPr>
              <w:jc w:val="center"/>
            </w:pPr>
            <w:r>
              <w:rPr>
                <w:rFonts w:hint="eastAsia"/>
              </w:rPr>
              <w:t>响应单位名称</w:t>
            </w:r>
          </w:p>
        </w:tc>
        <w:tc>
          <w:tcPr>
            <w:tcW w:w="3857" w:type="dxa"/>
            <w:vAlign w:val="center"/>
          </w:tcPr>
          <w:p w14:paraId="111E6FF2">
            <w:pPr>
              <w:jc w:val="center"/>
            </w:pPr>
          </w:p>
        </w:tc>
      </w:tr>
      <w:tr w14:paraId="27394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24FF136C">
            <w:pPr>
              <w:jc w:val="center"/>
            </w:pPr>
            <w:r>
              <w:rPr>
                <w:rFonts w:hint="eastAsia"/>
              </w:rPr>
              <w:t>2</w:t>
            </w:r>
          </w:p>
        </w:tc>
        <w:tc>
          <w:tcPr>
            <w:tcW w:w="3260" w:type="dxa"/>
            <w:vAlign w:val="center"/>
          </w:tcPr>
          <w:p w14:paraId="3B56A183">
            <w:pPr>
              <w:jc w:val="center"/>
            </w:pPr>
            <w:r>
              <w:rPr>
                <w:rFonts w:hint="eastAsia"/>
              </w:rPr>
              <w:t>投标</w:t>
            </w:r>
            <w:r>
              <w:rPr>
                <w:rFonts w:hint="eastAsia"/>
                <w:lang w:val="en-US" w:eastAsia="zh-CN"/>
              </w:rPr>
              <w:t>单</w:t>
            </w:r>
            <w:r>
              <w:rPr>
                <w:rFonts w:hint="eastAsia"/>
              </w:rPr>
              <w:t>价</w:t>
            </w:r>
          </w:p>
          <w:p w14:paraId="7B0F1737">
            <w:pPr>
              <w:jc w:val="center"/>
            </w:pPr>
            <w:r>
              <w:rPr>
                <w:rFonts w:hint="eastAsia"/>
              </w:rPr>
              <w:t>（元）</w:t>
            </w:r>
          </w:p>
        </w:tc>
        <w:tc>
          <w:tcPr>
            <w:tcW w:w="3857" w:type="dxa"/>
            <w:vAlign w:val="center"/>
          </w:tcPr>
          <w:p w14:paraId="72698B6E">
            <w:pPr>
              <w:jc w:val="center"/>
            </w:pPr>
          </w:p>
        </w:tc>
      </w:tr>
      <w:tr w14:paraId="39355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5B1F8291">
            <w:pPr>
              <w:jc w:val="center"/>
            </w:pPr>
            <w:r>
              <w:rPr>
                <w:rFonts w:hint="eastAsia"/>
              </w:rPr>
              <w:t>3</w:t>
            </w:r>
          </w:p>
        </w:tc>
        <w:tc>
          <w:tcPr>
            <w:tcW w:w="3260" w:type="dxa"/>
            <w:vAlign w:val="center"/>
          </w:tcPr>
          <w:p w14:paraId="71D28692">
            <w:pPr>
              <w:jc w:val="center"/>
            </w:pPr>
            <w:r>
              <w:rPr>
                <w:rFonts w:hint="eastAsia"/>
              </w:rPr>
              <w:t>计划工期</w:t>
            </w:r>
          </w:p>
        </w:tc>
        <w:tc>
          <w:tcPr>
            <w:tcW w:w="3857" w:type="dxa"/>
            <w:vAlign w:val="center"/>
          </w:tcPr>
          <w:p w14:paraId="1366C148">
            <w:pPr>
              <w:jc w:val="center"/>
            </w:pPr>
          </w:p>
        </w:tc>
      </w:tr>
      <w:tr w14:paraId="738F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4851D68A">
            <w:pPr>
              <w:jc w:val="center"/>
            </w:pPr>
            <w:r>
              <w:rPr>
                <w:rFonts w:hint="eastAsia"/>
              </w:rPr>
              <w:t>4</w:t>
            </w:r>
          </w:p>
        </w:tc>
        <w:tc>
          <w:tcPr>
            <w:tcW w:w="3260" w:type="dxa"/>
            <w:vAlign w:val="center"/>
          </w:tcPr>
          <w:p w14:paraId="2F035C40">
            <w:pPr>
              <w:jc w:val="center"/>
            </w:pPr>
            <w:r>
              <w:rPr>
                <w:rFonts w:hint="eastAsia"/>
              </w:rPr>
              <w:t>质量标准</w:t>
            </w:r>
          </w:p>
        </w:tc>
        <w:tc>
          <w:tcPr>
            <w:tcW w:w="3857" w:type="dxa"/>
            <w:vAlign w:val="center"/>
          </w:tcPr>
          <w:p w14:paraId="76AB4E8A">
            <w:pPr>
              <w:jc w:val="center"/>
            </w:pPr>
          </w:p>
        </w:tc>
      </w:tr>
      <w:tr w14:paraId="73965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268C7E7C">
            <w:pPr>
              <w:jc w:val="center"/>
            </w:pPr>
            <w:r>
              <w:rPr>
                <w:rFonts w:hint="eastAsia"/>
              </w:rPr>
              <w:t>5</w:t>
            </w:r>
          </w:p>
        </w:tc>
        <w:tc>
          <w:tcPr>
            <w:tcW w:w="3260" w:type="dxa"/>
            <w:vAlign w:val="center"/>
          </w:tcPr>
          <w:p w14:paraId="2BDC4A92">
            <w:pPr>
              <w:jc w:val="center"/>
            </w:pPr>
            <w:r>
              <w:rPr>
                <w:rFonts w:hint="eastAsia"/>
              </w:rPr>
              <w:t>备注</w:t>
            </w:r>
          </w:p>
        </w:tc>
        <w:tc>
          <w:tcPr>
            <w:tcW w:w="3857" w:type="dxa"/>
            <w:vAlign w:val="center"/>
          </w:tcPr>
          <w:p w14:paraId="37AE2086">
            <w:pPr>
              <w:jc w:val="center"/>
            </w:pPr>
          </w:p>
        </w:tc>
      </w:tr>
    </w:tbl>
    <w:p w14:paraId="468A837D"/>
    <w:p w14:paraId="02F9DA73">
      <w:bookmarkStart w:id="1011" w:name="_Hlk71703684"/>
      <w:r>
        <w:rPr>
          <w:rFonts w:hint="eastAsia"/>
        </w:rPr>
        <w:t>投标单位</w:t>
      </w:r>
      <w:r>
        <w:t>：</w:t>
      </w:r>
      <w:r>
        <w:rPr>
          <w:u w:val="single"/>
        </w:rPr>
        <w:t xml:space="preserve">                              </w:t>
      </w:r>
      <w:r>
        <w:t>（盖单位章）</w:t>
      </w:r>
    </w:p>
    <w:p w14:paraId="4C0753A0">
      <w:r>
        <w:t>法定代表人或其委托代理人：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65AD607D">
      <w:r>
        <w:rPr>
          <w:rFonts w:hint="eastAsia"/>
        </w:rPr>
        <w:t>日期：</w:t>
      </w:r>
      <w:r>
        <w:rPr>
          <w:u w:val="single"/>
        </w:rPr>
        <w:t xml:space="preserve">                                             </w:t>
      </w:r>
    </w:p>
    <w:bookmarkEnd w:id="1011"/>
    <w:p w14:paraId="53AEC3F8">
      <w:pPr>
        <w:ind w:left="360"/>
        <w:rPr>
          <w:b/>
          <w:bCs/>
        </w:rPr>
        <w:sectPr>
          <w:footerReference r:id="rId10" w:type="default"/>
          <w:type w:val="continuous"/>
          <w:pgSz w:w="11906" w:h="16838"/>
          <w:pgMar w:top="1440" w:right="1800" w:bottom="1440" w:left="1800" w:header="851" w:footer="992" w:gutter="0"/>
          <w:cols w:space="720" w:num="1"/>
          <w:docGrid w:linePitch="312" w:charSpace="0"/>
        </w:sectPr>
      </w:pPr>
    </w:p>
    <w:p w14:paraId="50CA2CFB">
      <w:pPr>
        <w:pStyle w:val="5"/>
      </w:pPr>
      <w:bookmarkStart w:id="1012" w:name="_Toc5361"/>
      <w:r>
        <w:rPr>
          <w:rFonts w:hint="eastAsia"/>
        </w:rPr>
        <w:t>最终报价表</w:t>
      </w:r>
      <w:bookmarkEnd w:id="1012"/>
    </w:p>
    <w:p w14:paraId="53C8F8EF"/>
    <w:p w14:paraId="262B9187">
      <w:r>
        <w:rPr>
          <w:rFonts w:hint="eastAsia"/>
        </w:rPr>
        <w:t>项目名称：</w:t>
      </w:r>
    </w:p>
    <w:p w14:paraId="7BFE4A80">
      <w:r>
        <w:rPr>
          <w:rFonts w:hint="eastAsia"/>
        </w:rPr>
        <w:t>招标编号：</w:t>
      </w:r>
    </w:p>
    <w:tbl>
      <w:tblPr>
        <w:tblStyle w:val="38"/>
        <w:tblW w:w="7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3260"/>
        <w:gridCol w:w="3857"/>
      </w:tblGrid>
      <w:tr w14:paraId="3032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86" w:type="dxa"/>
            <w:vAlign w:val="center"/>
          </w:tcPr>
          <w:p w14:paraId="04FC8997">
            <w:pPr>
              <w:jc w:val="center"/>
            </w:pPr>
            <w:r>
              <w:rPr>
                <w:rFonts w:hint="eastAsia"/>
              </w:rPr>
              <w:t>序号</w:t>
            </w:r>
          </w:p>
        </w:tc>
        <w:tc>
          <w:tcPr>
            <w:tcW w:w="3260" w:type="dxa"/>
            <w:vAlign w:val="center"/>
          </w:tcPr>
          <w:p w14:paraId="37A0594E">
            <w:pPr>
              <w:jc w:val="center"/>
            </w:pPr>
            <w:r>
              <w:rPr>
                <w:rFonts w:hint="eastAsia"/>
              </w:rPr>
              <w:t>项目</w:t>
            </w:r>
          </w:p>
        </w:tc>
        <w:tc>
          <w:tcPr>
            <w:tcW w:w="3857" w:type="dxa"/>
            <w:vAlign w:val="center"/>
          </w:tcPr>
          <w:p w14:paraId="0F09F35D">
            <w:pPr>
              <w:jc w:val="center"/>
            </w:pPr>
            <w:r>
              <w:rPr>
                <w:rFonts w:hint="eastAsia"/>
              </w:rPr>
              <w:t>明细</w:t>
            </w:r>
          </w:p>
        </w:tc>
      </w:tr>
      <w:tr w14:paraId="58A4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786" w:type="dxa"/>
            <w:vAlign w:val="center"/>
          </w:tcPr>
          <w:p w14:paraId="2E4FB2BA">
            <w:pPr>
              <w:jc w:val="center"/>
            </w:pPr>
            <w:r>
              <w:rPr>
                <w:rFonts w:hint="eastAsia"/>
              </w:rPr>
              <w:t>1</w:t>
            </w:r>
          </w:p>
        </w:tc>
        <w:tc>
          <w:tcPr>
            <w:tcW w:w="3260" w:type="dxa"/>
            <w:vAlign w:val="center"/>
          </w:tcPr>
          <w:p w14:paraId="7EF016B9">
            <w:pPr>
              <w:jc w:val="center"/>
            </w:pPr>
            <w:r>
              <w:rPr>
                <w:rFonts w:hint="eastAsia"/>
              </w:rPr>
              <w:t>响应单位名称</w:t>
            </w:r>
          </w:p>
        </w:tc>
        <w:tc>
          <w:tcPr>
            <w:tcW w:w="3857" w:type="dxa"/>
            <w:vAlign w:val="center"/>
          </w:tcPr>
          <w:p w14:paraId="495405D4">
            <w:pPr>
              <w:jc w:val="center"/>
            </w:pPr>
          </w:p>
        </w:tc>
      </w:tr>
      <w:tr w14:paraId="732F1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4CB91342">
            <w:pPr>
              <w:jc w:val="center"/>
            </w:pPr>
            <w:r>
              <w:rPr>
                <w:rFonts w:hint="eastAsia"/>
              </w:rPr>
              <w:t>2</w:t>
            </w:r>
          </w:p>
        </w:tc>
        <w:tc>
          <w:tcPr>
            <w:tcW w:w="3260" w:type="dxa"/>
            <w:vAlign w:val="center"/>
          </w:tcPr>
          <w:p w14:paraId="5D0E54BF">
            <w:pPr>
              <w:jc w:val="center"/>
            </w:pPr>
            <w:r>
              <w:rPr>
                <w:rFonts w:hint="eastAsia"/>
              </w:rPr>
              <w:t>最终报价</w:t>
            </w:r>
          </w:p>
          <w:p w14:paraId="79353AC3">
            <w:pPr>
              <w:jc w:val="center"/>
            </w:pPr>
            <w:r>
              <w:rPr>
                <w:rFonts w:hint="eastAsia"/>
              </w:rPr>
              <w:t>（</w:t>
            </w:r>
            <w:bookmarkStart w:id="1184" w:name="_GoBack"/>
            <w:bookmarkEnd w:id="1184"/>
            <w:r>
              <w:rPr>
                <w:rFonts w:hint="eastAsia"/>
              </w:rPr>
              <w:t>元）</w:t>
            </w:r>
          </w:p>
        </w:tc>
        <w:tc>
          <w:tcPr>
            <w:tcW w:w="3857" w:type="dxa"/>
            <w:vAlign w:val="center"/>
          </w:tcPr>
          <w:p w14:paraId="15FE3A0A">
            <w:pPr>
              <w:jc w:val="center"/>
            </w:pPr>
          </w:p>
        </w:tc>
      </w:tr>
      <w:tr w14:paraId="73AE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86" w:type="dxa"/>
            <w:vAlign w:val="center"/>
          </w:tcPr>
          <w:p w14:paraId="727E4A39">
            <w:pPr>
              <w:jc w:val="center"/>
            </w:pPr>
            <w:r>
              <w:rPr>
                <w:rFonts w:hint="eastAsia"/>
              </w:rPr>
              <w:t>3</w:t>
            </w:r>
          </w:p>
        </w:tc>
        <w:tc>
          <w:tcPr>
            <w:tcW w:w="3260" w:type="dxa"/>
            <w:vAlign w:val="center"/>
          </w:tcPr>
          <w:p w14:paraId="7C54DD4D">
            <w:pPr>
              <w:jc w:val="center"/>
            </w:pPr>
            <w:r>
              <w:rPr>
                <w:rFonts w:hint="eastAsia"/>
              </w:rPr>
              <w:t>授权委托人</w:t>
            </w:r>
          </w:p>
          <w:p w14:paraId="3417B2B5">
            <w:pPr>
              <w:jc w:val="center"/>
            </w:pPr>
            <w:r>
              <w:rPr>
                <w:rFonts w:hint="eastAsia"/>
              </w:rPr>
              <w:t>签字</w:t>
            </w:r>
          </w:p>
        </w:tc>
        <w:tc>
          <w:tcPr>
            <w:tcW w:w="3857" w:type="dxa"/>
            <w:vAlign w:val="center"/>
          </w:tcPr>
          <w:p w14:paraId="1EB7713C">
            <w:pPr>
              <w:jc w:val="center"/>
            </w:pPr>
          </w:p>
        </w:tc>
      </w:tr>
    </w:tbl>
    <w:p w14:paraId="6134E4CC"/>
    <w:p w14:paraId="5AEE7E6A">
      <w:pPr>
        <w:pStyle w:val="47"/>
        <w:rPr>
          <w:b/>
          <w:bCs/>
        </w:rPr>
      </w:pPr>
      <w:r>
        <w:rPr>
          <w:b/>
          <w:bCs/>
        </w:rPr>
        <w:t>注： 1、本表</w:t>
      </w:r>
      <w:r>
        <w:rPr>
          <w:rFonts w:hint="eastAsia"/>
          <w:b/>
          <w:bCs/>
          <w:lang w:val="en-US" w:eastAsia="zh-CN"/>
        </w:rPr>
        <w:t>以政采云平台模板为准</w:t>
      </w:r>
      <w:r>
        <w:rPr>
          <w:b/>
          <w:bCs/>
        </w:rPr>
        <w:t>。</w:t>
      </w:r>
    </w:p>
    <w:p w14:paraId="1026C89D">
      <w:pPr>
        <w:pStyle w:val="47"/>
        <w:ind w:firstLine="602" w:firstLineChars="250"/>
        <w:rPr>
          <w:b/>
          <w:bCs/>
        </w:rPr>
      </w:pPr>
      <w:r>
        <w:rPr>
          <w:b/>
          <w:bCs/>
        </w:rPr>
        <w:t>2、本表作为“最终报价”时使用。</w:t>
      </w:r>
    </w:p>
    <w:p w14:paraId="39EE3D61">
      <w:pPr>
        <w:pStyle w:val="47"/>
        <w:ind w:firstLine="602" w:firstLineChars="250"/>
        <w:rPr>
          <w:rFonts w:hint="eastAsia" w:eastAsia="宋体"/>
          <w:b/>
          <w:bCs/>
          <w:lang w:val="en-US" w:eastAsia="zh-CN"/>
        </w:rPr>
      </w:pPr>
      <w:r>
        <w:rPr>
          <w:b/>
          <w:bCs/>
        </w:rPr>
        <w:t>3、无需将此表放到响应文件中</w:t>
      </w:r>
      <w:r>
        <w:rPr>
          <w:rFonts w:hint="eastAsia"/>
          <w:b/>
          <w:bCs/>
          <w:lang w:eastAsia="zh-CN"/>
        </w:rPr>
        <w:t>，</w:t>
      </w:r>
      <w:r>
        <w:rPr>
          <w:rFonts w:hint="eastAsia"/>
          <w:b/>
          <w:bCs/>
          <w:lang w:val="en-US" w:eastAsia="zh-CN"/>
        </w:rPr>
        <w:t>初审通过后的</w:t>
      </w:r>
      <w:r>
        <w:rPr>
          <w:rFonts w:hint="eastAsia"/>
          <w:b/>
          <w:bCs/>
        </w:rPr>
        <w:t>供应商在规定时间内在政采云</w:t>
      </w:r>
      <w:r>
        <w:rPr>
          <w:rFonts w:hint="eastAsia"/>
          <w:b/>
          <w:bCs/>
          <w:lang w:val="en-US" w:eastAsia="zh-CN"/>
        </w:rPr>
        <w:t>平台</w:t>
      </w:r>
      <w:r>
        <w:rPr>
          <w:rFonts w:hint="eastAsia"/>
          <w:b/>
          <w:bCs/>
        </w:rPr>
        <w:t>进行二次报价</w:t>
      </w:r>
      <w:r>
        <w:rPr>
          <w:rFonts w:hint="eastAsia"/>
          <w:b/>
          <w:bCs/>
          <w:lang w:eastAsia="zh-CN"/>
        </w:rPr>
        <w:t>。</w:t>
      </w:r>
    </w:p>
    <w:bookmarkEnd w:id="1004"/>
    <w:bookmarkEnd w:id="1005"/>
    <w:bookmarkEnd w:id="1006"/>
    <w:bookmarkEnd w:id="1007"/>
    <w:bookmarkEnd w:id="1008"/>
    <w:bookmarkEnd w:id="1009"/>
    <w:bookmarkEnd w:id="1010"/>
    <w:p w14:paraId="7E1FE72C">
      <w:pPr>
        <w:pStyle w:val="4"/>
        <w:jc w:val="both"/>
      </w:pPr>
      <w:bookmarkStart w:id="1013" w:name="_Toc59101831"/>
      <w:bookmarkStart w:id="1014" w:name="_Toc71552381"/>
      <w:bookmarkStart w:id="1015" w:name="_Toc71552347"/>
    </w:p>
    <w:p w14:paraId="52938D86"/>
    <w:p w14:paraId="7D0349B3">
      <w:pPr>
        <w:widowControl/>
        <w:spacing w:line="240" w:lineRule="auto"/>
        <w:jc w:val="left"/>
        <w:rPr>
          <w:b/>
          <w:bCs/>
          <w:sz w:val="32"/>
          <w:szCs w:val="32"/>
        </w:rPr>
      </w:pPr>
      <w:r>
        <w:br w:type="page"/>
      </w:r>
    </w:p>
    <w:p w14:paraId="08161A6E">
      <w:pPr>
        <w:pStyle w:val="4"/>
        <w:rPr>
          <w:rFonts w:hint="eastAsia"/>
          <w:lang w:val="en-US" w:eastAsia="zh-CN"/>
        </w:rPr>
      </w:pPr>
      <w:bookmarkStart w:id="1016" w:name="_Toc26918"/>
      <w:r>
        <w:rPr>
          <w:rFonts w:hint="eastAsia"/>
          <w:lang w:val="en-US" w:eastAsia="zh-CN"/>
        </w:rPr>
        <w:t>三</w:t>
      </w:r>
      <w:r>
        <w:rPr>
          <w:rFonts w:hint="eastAsia"/>
        </w:rPr>
        <w:t>、法定代表人身份证明</w:t>
      </w:r>
      <w:bookmarkEnd w:id="1013"/>
      <w:bookmarkEnd w:id="1014"/>
      <w:bookmarkEnd w:id="1015"/>
      <w:r>
        <w:rPr>
          <w:rFonts w:hint="eastAsia"/>
          <w:lang w:val="en-US" w:eastAsia="zh-CN"/>
        </w:rPr>
        <w:t>及授权委托书</w:t>
      </w:r>
      <w:bookmarkEnd w:id="1016"/>
    </w:p>
    <w:p w14:paraId="748D9306">
      <w:pPr>
        <w:pStyle w:val="5"/>
        <w:bidi w:val="0"/>
        <w:rPr>
          <w:rFonts w:hint="default"/>
          <w:lang w:val="en-US" w:eastAsia="zh-CN"/>
        </w:rPr>
      </w:pPr>
      <w:bookmarkStart w:id="1017" w:name="_Toc17277"/>
      <w:r>
        <w:rPr>
          <w:rFonts w:hint="eastAsia"/>
          <w:lang w:val="en-US" w:eastAsia="zh-CN"/>
        </w:rPr>
        <w:t>（一）</w:t>
      </w:r>
      <w:r>
        <w:rPr>
          <w:rFonts w:hint="eastAsia"/>
        </w:rPr>
        <w:t>法定代表人身份证明</w:t>
      </w:r>
      <w:bookmarkEnd w:id="1017"/>
    </w:p>
    <w:p w14:paraId="364A4B05">
      <w:pPr>
        <w:spacing w:line="239" w:lineRule="auto"/>
        <w:rPr>
          <w:rFonts w:cs="宋体"/>
        </w:rPr>
      </w:pPr>
    </w:p>
    <w:p w14:paraId="02877784">
      <w:pPr>
        <w:snapToGrid w:val="0"/>
        <w:rPr>
          <w:rFonts w:cs="宋体"/>
        </w:rPr>
      </w:pPr>
      <w:r>
        <w:rPr>
          <w:rFonts w:hint="eastAsia"/>
        </w:rPr>
        <w:t>投标人名称</w:t>
      </w:r>
      <w:r>
        <w:rPr>
          <w:rFonts w:hint="eastAsia" w:cs="宋体"/>
        </w:rPr>
        <w:t>：</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 </w:t>
      </w:r>
    </w:p>
    <w:p w14:paraId="64CFCEA1">
      <w:pPr>
        <w:snapToGrid w:val="0"/>
        <w:rPr>
          <w:rFonts w:cs="宋体"/>
        </w:rPr>
      </w:pPr>
      <w:r>
        <w:rPr>
          <w:rFonts w:hint="eastAsia" w:cs="宋体"/>
        </w:rPr>
        <w:t>单位性质：</w:t>
      </w:r>
      <w:r>
        <w:rPr>
          <w:rFonts w:hint="eastAsia" w:cs="宋体"/>
          <w:u w:val="single"/>
        </w:rPr>
        <w:t xml:space="preserve">                               </w:t>
      </w:r>
      <w:r>
        <w:rPr>
          <w:rFonts w:hint="eastAsia" w:cs="宋体"/>
        </w:rPr>
        <w:t xml:space="preserve"> </w:t>
      </w:r>
    </w:p>
    <w:p w14:paraId="42F8F797">
      <w:pPr>
        <w:snapToGrid w:val="0"/>
        <w:rPr>
          <w:rFonts w:cs="宋体"/>
        </w:rPr>
      </w:pPr>
      <w:r>
        <w:rPr>
          <w:rFonts w:hint="eastAsia" w:cs="宋体"/>
        </w:rPr>
        <w:t>地址：</w:t>
      </w:r>
      <w:r>
        <w:rPr>
          <w:rFonts w:hint="eastAsia" w:cs="宋体"/>
          <w:u w:val="single"/>
        </w:rPr>
        <w:t xml:space="preserve">                                   </w:t>
      </w:r>
    </w:p>
    <w:p w14:paraId="4706B44C">
      <w:pPr>
        <w:snapToGrid w:val="0"/>
        <w:rPr>
          <w:rFonts w:cs="宋体"/>
        </w:rPr>
      </w:pPr>
      <w:r>
        <w:rPr>
          <w:rFonts w:hint="eastAsia" w:cs="宋体"/>
        </w:rPr>
        <w:t>成立时间：</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w:t>
      </w:r>
    </w:p>
    <w:p w14:paraId="1DC1E451">
      <w:pPr>
        <w:snapToGrid w:val="0"/>
        <w:rPr>
          <w:rFonts w:cs="宋体"/>
        </w:rPr>
      </w:pPr>
      <w:r>
        <w:rPr>
          <w:rFonts w:hint="eastAsia" w:cs="宋体"/>
        </w:rPr>
        <w:t>经营期限：</w:t>
      </w:r>
      <w:r>
        <w:rPr>
          <w:rFonts w:hint="eastAsia" w:cs="宋体"/>
          <w:u w:val="single"/>
        </w:rPr>
        <w:t xml:space="preserve">                               </w:t>
      </w:r>
    </w:p>
    <w:p w14:paraId="2EBF5155">
      <w:pPr>
        <w:snapToGrid w:val="0"/>
        <w:rPr>
          <w:rFonts w:cs="宋体"/>
        </w:rPr>
      </w:pPr>
      <w:r>
        <w:rPr>
          <w:rFonts w:hint="eastAsia" w:cs="宋体"/>
        </w:rPr>
        <w:t>姓名：</w:t>
      </w:r>
      <w:r>
        <w:rPr>
          <w:rFonts w:hint="eastAsia" w:cs="宋体"/>
          <w:u w:val="single"/>
        </w:rPr>
        <w:t xml:space="preserve">         </w:t>
      </w:r>
      <w:r>
        <w:rPr>
          <w:rFonts w:hint="eastAsia" w:cs="宋体"/>
        </w:rPr>
        <w:t xml:space="preserve"> 性别：</w:t>
      </w:r>
      <w:r>
        <w:rPr>
          <w:rFonts w:hint="eastAsia" w:cs="宋体"/>
          <w:u w:val="single"/>
        </w:rPr>
        <w:t xml:space="preserve">         </w:t>
      </w:r>
      <w:r>
        <w:rPr>
          <w:rFonts w:hint="eastAsia" w:cs="宋体"/>
        </w:rPr>
        <w:t>年龄：</w:t>
      </w:r>
      <w:r>
        <w:rPr>
          <w:rFonts w:hint="eastAsia" w:cs="宋体"/>
          <w:u w:val="single"/>
        </w:rPr>
        <w:t xml:space="preserve">        </w:t>
      </w:r>
      <w:r>
        <w:rPr>
          <w:rFonts w:hint="eastAsia" w:cs="宋体"/>
        </w:rPr>
        <w:t>职务：</w:t>
      </w:r>
      <w:r>
        <w:rPr>
          <w:rFonts w:hint="eastAsia" w:cs="宋体"/>
          <w:u w:val="single"/>
        </w:rPr>
        <w:t xml:space="preserve">        </w:t>
      </w:r>
    </w:p>
    <w:p w14:paraId="2FEA4788">
      <w:pPr>
        <w:snapToGrid w:val="0"/>
        <w:rPr>
          <w:rFonts w:cs="宋体"/>
        </w:rPr>
      </w:pPr>
      <w:r>
        <w:rPr>
          <w:rFonts w:hint="eastAsia" w:cs="宋体"/>
        </w:rPr>
        <w:t>系</w:t>
      </w:r>
      <w:r>
        <w:rPr>
          <w:rFonts w:hint="eastAsia" w:cs="宋体"/>
          <w:u w:val="single"/>
        </w:rPr>
        <w:t xml:space="preserve">                             </w:t>
      </w:r>
      <w:r>
        <w:rPr>
          <w:rFonts w:hint="eastAsia" w:cs="宋体"/>
        </w:rPr>
        <w:t xml:space="preserve"> （投标人名称）的法定代表人。</w:t>
      </w:r>
    </w:p>
    <w:p w14:paraId="347C581F">
      <w:pPr>
        <w:snapToGrid w:val="0"/>
        <w:ind w:firstLine="480" w:firstLineChars="200"/>
        <w:rPr>
          <w:rFonts w:cs="宋体"/>
        </w:rPr>
      </w:pPr>
      <w:r>
        <w:rPr>
          <w:rFonts w:hint="eastAsia" w:cs="宋体"/>
        </w:rPr>
        <w:t>特此证明。</w:t>
      </w:r>
    </w:p>
    <w:p w14:paraId="472483A2">
      <w:pPr>
        <w:snapToGrid w:val="0"/>
        <w:rPr>
          <w:rFonts w:cs="宋体"/>
          <w:b/>
        </w:rPr>
      </w:pPr>
      <w:r>
        <w:rPr>
          <w:rFonts w:hint="eastAsia" w:cs="宋体"/>
          <w:b/>
        </w:rPr>
        <w:t>附：法定代表人身份证复印件</w:t>
      </w:r>
    </w:p>
    <w:tbl>
      <w:tblPr>
        <w:tblStyle w:val="3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14:paraId="31FC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tcPr>
          <w:p w14:paraId="39D2CE45">
            <w:pPr>
              <w:jc w:val="center"/>
            </w:pPr>
          </w:p>
          <w:p w14:paraId="2560E5EA">
            <w:pPr>
              <w:jc w:val="center"/>
            </w:pPr>
          </w:p>
          <w:p w14:paraId="4A65CECB">
            <w:pPr>
              <w:jc w:val="center"/>
            </w:pPr>
            <w:r>
              <w:rPr>
                <w:rFonts w:hint="eastAsia"/>
              </w:rPr>
              <w:t>法定代表人身份证复印件</w:t>
            </w:r>
          </w:p>
          <w:p w14:paraId="5673F62E">
            <w:pPr>
              <w:jc w:val="center"/>
            </w:pPr>
            <w:r>
              <w:rPr>
                <w:rFonts w:hint="eastAsia"/>
              </w:rPr>
              <w:t>正面</w:t>
            </w:r>
          </w:p>
          <w:p w14:paraId="412FE983">
            <w:pPr>
              <w:jc w:val="center"/>
            </w:pPr>
          </w:p>
          <w:p w14:paraId="615F7D48">
            <w:pPr>
              <w:jc w:val="center"/>
            </w:pPr>
          </w:p>
        </w:tc>
        <w:tc>
          <w:tcPr>
            <w:tcW w:w="4148" w:type="dxa"/>
          </w:tcPr>
          <w:p w14:paraId="42BBD0AC">
            <w:pPr>
              <w:jc w:val="center"/>
            </w:pPr>
          </w:p>
          <w:p w14:paraId="24C4E698">
            <w:pPr>
              <w:jc w:val="center"/>
            </w:pPr>
          </w:p>
          <w:p w14:paraId="745D14B1">
            <w:pPr>
              <w:jc w:val="center"/>
            </w:pPr>
            <w:r>
              <w:rPr>
                <w:rFonts w:hint="eastAsia"/>
              </w:rPr>
              <w:t>法定代表人身份证复印件</w:t>
            </w:r>
          </w:p>
          <w:p w14:paraId="69AEE8F8">
            <w:pPr>
              <w:jc w:val="center"/>
            </w:pPr>
            <w:r>
              <w:rPr>
                <w:rFonts w:hint="eastAsia"/>
              </w:rPr>
              <w:t>反面</w:t>
            </w:r>
          </w:p>
          <w:p w14:paraId="76BE7197">
            <w:pPr>
              <w:jc w:val="center"/>
            </w:pPr>
          </w:p>
          <w:p w14:paraId="21B4E8F7">
            <w:pPr>
              <w:jc w:val="center"/>
            </w:pPr>
          </w:p>
        </w:tc>
      </w:tr>
    </w:tbl>
    <w:p w14:paraId="58B69E46"/>
    <w:p w14:paraId="006D4DE7">
      <w:r>
        <w:rPr>
          <w:rFonts w:hint="eastAsia"/>
        </w:rPr>
        <w:t>投标单位</w:t>
      </w:r>
      <w:r>
        <w:t>：</w:t>
      </w:r>
      <w:r>
        <w:rPr>
          <w:u w:val="single"/>
        </w:rPr>
        <w:t xml:space="preserve">                              </w:t>
      </w:r>
      <w:r>
        <w:t>（盖单位章）</w:t>
      </w:r>
    </w:p>
    <w:p w14:paraId="4B1B82CF">
      <w:r>
        <w:t>法定代表人或其委托代理人：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5E8A1164">
      <w:r>
        <w:rPr>
          <w:rFonts w:hint="eastAsia"/>
        </w:rPr>
        <w:t>日期：</w:t>
      </w:r>
      <w:r>
        <w:rPr>
          <w:u w:val="single"/>
        </w:rPr>
        <w:t xml:space="preserve">                                             </w:t>
      </w:r>
    </w:p>
    <w:p w14:paraId="419973DC">
      <w:pPr>
        <w:snapToGrid w:val="0"/>
        <w:rPr>
          <w:rFonts w:cs="宋体"/>
        </w:rPr>
      </w:pPr>
    </w:p>
    <w:p w14:paraId="2AA55E56">
      <w:pPr>
        <w:rPr>
          <w:rFonts w:hint="eastAsia" w:cs="宋体"/>
        </w:rPr>
      </w:pPr>
      <w:bookmarkStart w:id="1018" w:name="_Toc3368"/>
      <w:bookmarkStart w:id="1019" w:name="_Toc71552382"/>
      <w:bookmarkStart w:id="1020" w:name="_Toc31811"/>
      <w:bookmarkStart w:id="1021" w:name="_Toc8458"/>
      <w:bookmarkStart w:id="1022" w:name="_Toc51162466"/>
      <w:bookmarkStart w:id="1023" w:name="_Toc59101832"/>
      <w:bookmarkStart w:id="1024" w:name="_Toc23304"/>
      <w:bookmarkStart w:id="1025" w:name="_Toc71552348"/>
      <w:r>
        <w:rPr>
          <w:rFonts w:hint="eastAsia" w:cs="宋体"/>
        </w:rPr>
        <w:br w:type="page"/>
      </w:r>
    </w:p>
    <w:p w14:paraId="44C82115">
      <w:pPr>
        <w:pStyle w:val="5"/>
        <w:bidi w:val="0"/>
      </w:pPr>
      <w:bookmarkStart w:id="1026" w:name="_Toc31365"/>
      <w:r>
        <w:rPr>
          <w:rFonts w:hint="eastAsia"/>
          <w:lang w:eastAsia="zh-CN"/>
        </w:rPr>
        <w:t>（</w:t>
      </w:r>
      <w:r>
        <w:rPr>
          <w:rFonts w:hint="eastAsia"/>
          <w:lang w:val="en-US" w:eastAsia="zh-CN"/>
        </w:rPr>
        <w:t>二</w:t>
      </w:r>
      <w:r>
        <w:rPr>
          <w:rFonts w:hint="eastAsia"/>
          <w:lang w:eastAsia="zh-CN"/>
        </w:rPr>
        <w:t>）</w:t>
      </w:r>
      <w:r>
        <w:rPr>
          <w:rFonts w:hint="eastAsia"/>
        </w:rPr>
        <w:t>授权委托书</w:t>
      </w:r>
      <w:bookmarkEnd w:id="1018"/>
      <w:bookmarkEnd w:id="1019"/>
      <w:bookmarkEnd w:id="1020"/>
      <w:bookmarkEnd w:id="1021"/>
      <w:bookmarkEnd w:id="1022"/>
      <w:bookmarkEnd w:id="1023"/>
      <w:bookmarkEnd w:id="1024"/>
      <w:bookmarkEnd w:id="1025"/>
      <w:bookmarkEnd w:id="1026"/>
    </w:p>
    <w:p w14:paraId="36F2ED4E"/>
    <w:p w14:paraId="4AA52700">
      <w:pPr>
        <w:topLinePunct/>
        <w:snapToGrid w:val="0"/>
        <w:ind w:firstLine="480" w:firstLineChars="200"/>
        <w:rPr>
          <w:rFonts w:cs="宋体"/>
        </w:rPr>
      </w:pPr>
      <w:r>
        <w:rPr>
          <w:rFonts w:hint="eastAsia" w:cs="宋体"/>
        </w:rPr>
        <w:t>本人</w:t>
      </w:r>
      <w:r>
        <w:rPr>
          <w:rFonts w:hint="eastAsia" w:cs="宋体"/>
          <w:u w:val="single"/>
        </w:rPr>
        <w:t xml:space="preserve">       </w:t>
      </w:r>
      <w:r>
        <w:rPr>
          <w:rFonts w:hint="eastAsia" w:cs="宋体"/>
        </w:rPr>
        <w:t>（姓名）系</w:t>
      </w:r>
      <w:r>
        <w:rPr>
          <w:rFonts w:hint="eastAsia" w:cs="宋体"/>
          <w:u w:val="single"/>
        </w:rPr>
        <w:t xml:space="preserve">        </w:t>
      </w:r>
      <w:r>
        <w:rPr>
          <w:rFonts w:hint="eastAsia" w:cs="宋体"/>
        </w:rPr>
        <w:t>（投标人名称）的法定代表人，现委托</w:t>
      </w:r>
      <w:r>
        <w:rPr>
          <w:rFonts w:hint="eastAsia" w:cs="宋体"/>
          <w:u w:val="single"/>
        </w:rPr>
        <w:t xml:space="preserve">        </w:t>
      </w:r>
      <w:r>
        <w:rPr>
          <w:rFonts w:hint="eastAsia" w:cs="宋体"/>
        </w:rPr>
        <w:t>（姓名）为我方代理人。代理人根据授权，以我方名义签署、澄清、说明、补正、递交、撤回、修改</w:t>
      </w:r>
      <w:r>
        <w:rPr>
          <w:rFonts w:hint="eastAsia" w:cs="宋体"/>
          <w:u w:val="single"/>
        </w:rPr>
        <w:t xml:space="preserve">           </w:t>
      </w:r>
      <w:r>
        <w:rPr>
          <w:rFonts w:hint="eastAsia" w:cs="宋体"/>
        </w:rPr>
        <w:t>（项目名称）投标文件、签订合同和处理有关事宜，其法律后果由我方承担。</w:t>
      </w:r>
    </w:p>
    <w:p w14:paraId="7EFE8849">
      <w:pPr>
        <w:snapToGrid w:val="0"/>
        <w:rPr>
          <w:rFonts w:cs="宋体"/>
        </w:rPr>
      </w:pPr>
      <w:r>
        <w:rPr>
          <w:rFonts w:hint="eastAsia" w:cs="宋体"/>
        </w:rPr>
        <w:t xml:space="preserve">    委托期限：</w:t>
      </w:r>
      <w:r>
        <w:rPr>
          <w:rFonts w:hint="eastAsia" w:cs="宋体"/>
          <w:u w:val="single"/>
        </w:rPr>
        <w:t xml:space="preserve">             </w:t>
      </w:r>
      <w:r>
        <w:rPr>
          <w:rFonts w:hint="eastAsia" w:cs="宋体"/>
        </w:rPr>
        <w:t>。</w:t>
      </w:r>
    </w:p>
    <w:p w14:paraId="1F05D0A1">
      <w:pPr>
        <w:snapToGrid w:val="0"/>
        <w:ind w:firstLine="480" w:firstLineChars="200"/>
        <w:rPr>
          <w:rFonts w:cs="宋体"/>
        </w:rPr>
      </w:pPr>
      <w:r>
        <w:rPr>
          <w:rFonts w:hint="eastAsia" w:cs="宋体"/>
        </w:rPr>
        <w:t>代理人无转委托权。</w:t>
      </w:r>
    </w:p>
    <w:p w14:paraId="628660AC">
      <w:pPr>
        <w:snapToGrid w:val="0"/>
        <w:rPr>
          <w:rFonts w:cs="宋体"/>
          <w:b/>
        </w:rPr>
      </w:pPr>
      <w:r>
        <w:rPr>
          <w:rFonts w:hint="eastAsia" w:cs="宋体"/>
          <w:b/>
        </w:rPr>
        <w:t>附：法定代表人和授权委托人身份证复印件</w:t>
      </w:r>
    </w:p>
    <w:tbl>
      <w:tblPr>
        <w:tblStyle w:val="3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4"/>
        <w:gridCol w:w="4205"/>
      </w:tblGrid>
      <w:tr w14:paraId="2737D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4" w:type="dxa"/>
          </w:tcPr>
          <w:p w14:paraId="50153472">
            <w:pPr>
              <w:jc w:val="center"/>
            </w:pPr>
          </w:p>
          <w:p w14:paraId="6FD4B31A">
            <w:pPr>
              <w:jc w:val="center"/>
            </w:pPr>
          </w:p>
          <w:p w14:paraId="7AC331CE">
            <w:pPr>
              <w:jc w:val="center"/>
            </w:pPr>
            <w:r>
              <w:rPr>
                <w:rFonts w:hint="eastAsia"/>
              </w:rPr>
              <w:t>法定代表人身份证复印件</w:t>
            </w:r>
          </w:p>
          <w:p w14:paraId="6C15DCA9">
            <w:pPr>
              <w:jc w:val="center"/>
            </w:pPr>
            <w:r>
              <w:rPr>
                <w:rFonts w:hint="eastAsia"/>
              </w:rPr>
              <w:t>正面</w:t>
            </w:r>
          </w:p>
          <w:p w14:paraId="476B8DAB">
            <w:pPr>
              <w:jc w:val="center"/>
            </w:pPr>
          </w:p>
        </w:tc>
        <w:tc>
          <w:tcPr>
            <w:tcW w:w="4205" w:type="dxa"/>
          </w:tcPr>
          <w:p w14:paraId="292B9026">
            <w:pPr>
              <w:jc w:val="center"/>
            </w:pPr>
          </w:p>
          <w:p w14:paraId="5EBA3C01">
            <w:pPr>
              <w:jc w:val="center"/>
            </w:pPr>
          </w:p>
          <w:p w14:paraId="022BA021">
            <w:pPr>
              <w:jc w:val="center"/>
            </w:pPr>
            <w:r>
              <w:rPr>
                <w:rFonts w:hint="eastAsia"/>
              </w:rPr>
              <w:t>法定代表人身份证复印件</w:t>
            </w:r>
          </w:p>
          <w:p w14:paraId="626DC6AB">
            <w:pPr>
              <w:jc w:val="center"/>
            </w:pPr>
            <w:r>
              <w:rPr>
                <w:rFonts w:hint="eastAsia"/>
              </w:rPr>
              <w:t>反面</w:t>
            </w:r>
          </w:p>
          <w:p w14:paraId="5C987E72">
            <w:pPr>
              <w:jc w:val="center"/>
            </w:pPr>
          </w:p>
        </w:tc>
      </w:tr>
      <w:tr w14:paraId="5D2F0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4" w:type="dxa"/>
          </w:tcPr>
          <w:p w14:paraId="55BC506E">
            <w:pPr>
              <w:jc w:val="center"/>
            </w:pPr>
          </w:p>
          <w:p w14:paraId="43E09EA4">
            <w:pPr>
              <w:jc w:val="center"/>
            </w:pPr>
          </w:p>
          <w:p w14:paraId="1CCE08D5">
            <w:pPr>
              <w:jc w:val="center"/>
            </w:pPr>
            <w:r>
              <w:rPr>
                <w:rFonts w:hint="eastAsia"/>
              </w:rPr>
              <w:t>授权人身份证复印件</w:t>
            </w:r>
          </w:p>
          <w:p w14:paraId="355D9187">
            <w:pPr>
              <w:jc w:val="center"/>
            </w:pPr>
            <w:r>
              <w:rPr>
                <w:rFonts w:hint="eastAsia"/>
              </w:rPr>
              <w:t>正面</w:t>
            </w:r>
          </w:p>
          <w:p w14:paraId="24959A2E">
            <w:pPr>
              <w:jc w:val="center"/>
            </w:pPr>
          </w:p>
        </w:tc>
        <w:tc>
          <w:tcPr>
            <w:tcW w:w="4205" w:type="dxa"/>
          </w:tcPr>
          <w:p w14:paraId="4ADC3951">
            <w:pPr>
              <w:jc w:val="center"/>
            </w:pPr>
          </w:p>
          <w:p w14:paraId="20A82990">
            <w:pPr>
              <w:jc w:val="center"/>
            </w:pPr>
          </w:p>
          <w:p w14:paraId="23FEE4DE">
            <w:pPr>
              <w:jc w:val="center"/>
            </w:pPr>
            <w:r>
              <w:rPr>
                <w:rFonts w:hint="eastAsia"/>
              </w:rPr>
              <w:t>授权人身份证复印件</w:t>
            </w:r>
          </w:p>
          <w:p w14:paraId="18C7154F">
            <w:pPr>
              <w:jc w:val="center"/>
            </w:pPr>
            <w:r>
              <w:rPr>
                <w:rFonts w:hint="eastAsia"/>
              </w:rPr>
              <w:t>反面</w:t>
            </w:r>
          </w:p>
          <w:p w14:paraId="1271ACD5">
            <w:pPr>
              <w:jc w:val="center"/>
            </w:pPr>
          </w:p>
        </w:tc>
      </w:tr>
    </w:tbl>
    <w:p w14:paraId="4EB047C2">
      <w:r>
        <w:rPr>
          <w:rFonts w:hint="eastAsia"/>
        </w:rPr>
        <w:t>投标单位</w:t>
      </w:r>
      <w:r>
        <w:t>：</w:t>
      </w:r>
      <w:r>
        <w:rPr>
          <w:u w:val="single"/>
        </w:rPr>
        <w:t xml:space="preserve">                              </w:t>
      </w:r>
      <w:r>
        <w:t>（盖单位章）</w:t>
      </w:r>
    </w:p>
    <w:p w14:paraId="5DD9689F">
      <w:r>
        <w:t>法定代表人：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1EE7CDE7">
      <w:pPr>
        <w:snapToGrid w:val="0"/>
        <w:rPr>
          <w:rFonts w:cs="宋体"/>
        </w:rPr>
      </w:pPr>
      <w:r>
        <w:rPr>
          <w:rFonts w:hint="eastAsia" w:cs="宋体"/>
        </w:rPr>
        <w:t>身份证号码：</w:t>
      </w:r>
      <w:r>
        <w:rPr>
          <w:rFonts w:hint="eastAsia" w:cs="宋体"/>
          <w:u w:val="single"/>
        </w:rPr>
        <w:t xml:space="preserve">                                 </w:t>
      </w:r>
      <w:r>
        <w:rPr>
          <w:rFonts w:cs="宋体"/>
          <w:u w:val="single"/>
        </w:rPr>
        <w:t xml:space="preserve">   </w:t>
      </w:r>
      <w:r>
        <w:rPr>
          <w:rFonts w:hint="eastAsia" w:cs="宋体"/>
          <w:u w:val="single"/>
        </w:rPr>
        <w:t xml:space="preserve">    </w:t>
      </w:r>
    </w:p>
    <w:p w14:paraId="3F67D076">
      <w:pPr>
        <w:snapToGrid w:val="0"/>
        <w:rPr>
          <w:rFonts w:cs="宋体"/>
        </w:rPr>
      </w:pPr>
      <w:r>
        <w:rPr>
          <w:rFonts w:hint="eastAsia" w:cs="宋体"/>
        </w:rPr>
        <w:t>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2FB54382">
      <w:pPr>
        <w:snapToGrid w:val="0"/>
        <w:rPr>
          <w:rFonts w:cs="宋体"/>
        </w:rPr>
      </w:pPr>
      <w:r>
        <w:rPr>
          <w:rFonts w:hint="eastAsia" w:cs="宋体"/>
        </w:rPr>
        <w:t>身份证号码：</w:t>
      </w:r>
      <w:r>
        <w:rPr>
          <w:rFonts w:hint="eastAsia" w:cs="宋体"/>
          <w:u w:val="single"/>
        </w:rPr>
        <w:t xml:space="preserve">                             </w:t>
      </w:r>
      <w:r>
        <w:rPr>
          <w:rFonts w:cs="宋体"/>
          <w:u w:val="single"/>
        </w:rPr>
        <w:t xml:space="preserve">  </w:t>
      </w:r>
      <w:r>
        <w:rPr>
          <w:rFonts w:hint="eastAsia" w:cs="宋体"/>
          <w:u w:val="single"/>
        </w:rPr>
        <w:t xml:space="preserve">         </w:t>
      </w:r>
    </w:p>
    <w:p w14:paraId="078036D4">
      <w:pPr>
        <w:snapToGrid w:val="0"/>
        <w:rPr>
          <w:rFonts w:cs="宋体"/>
        </w:rPr>
      </w:pPr>
      <w:r>
        <w:rPr>
          <w:rFonts w:hint="eastAsia"/>
        </w:rPr>
        <w:t>日期：</w:t>
      </w:r>
      <w:r>
        <w:rPr>
          <w:u w:val="single"/>
        </w:rPr>
        <w:t xml:space="preserve">                                              </w:t>
      </w:r>
    </w:p>
    <w:p w14:paraId="6DCDD090">
      <w:pPr>
        <w:snapToGrid w:val="0"/>
        <w:rPr>
          <w:rFonts w:cs="宋体"/>
          <w:b/>
        </w:rPr>
      </w:pPr>
    </w:p>
    <w:p w14:paraId="4BB4617B">
      <w:pPr>
        <w:rPr>
          <w:rFonts w:hint="eastAsia"/>
        </w:rPr>
      </w:pPr>
      <w:bookmarkStart w:id="1027" w:name="_Toc71552349"/>
      <w:bookmarkStart w:id="1028" w:name="_Toc51162467"/>
      <w:bookmarkStart w:id="1029" w:name="_Toc17029"/>
      <w:bookmarkStart w:id="1030" w:name="_Toc13008"/>
      <w:bookmarkStart w:id="1031" w:name="_Toc59101833"/>
      <w:bookmarkStart w:id="1032" w:name="_Toc71552383"/>
      <w:bookmarkStart w:id="1033" w:name="_Toc26574"/>
      <w:bookmarkStart w:id="1034" w:name="_Toc17823"/>
      <w:r>
        <w:rPr>
          <w:rFonts w:hint="eastAsia"/>
        </w:rPr>
        <w:br w:type="page"/>
      </w:r>
    </w:p>
    <w:p w14:paraId="1E5B4638">
      <w:pPr>
        <w:pStyle w:val="4"/>
        <w:rPr>
          <w:rFonts w:hint="eastAsia" w:eastAsia="宋体"/>
          <w:lang w:eastAsia="zh-CN"/>
        </w:rPr>
      </w:pPr>
      <w:bookmarkStart w:id="1035" w:name="_Toc25202"/>
      <w:r>
        <w:rPr>
          <w:rFonts w:hint="eastAsia"/>
        </w:rPr>
        <w:t>四、投标保证金</w:t>
      </w:r>
      <w:bookmarkEnd w:id="1027"/>
      <w:bookmarkEnd w:id="1028"/>
      <w:bookmarkEnd w:id="1029"/>
      <w:bookmarkEnd w:id="1030"/>
      <w:bookmarkEnd w:id="1031"/>
      <w:bookmarkEnd w:id="1032"/>
      <w:bookmarkEnd w:id="1033"/>
      <w:bookmarkEnd w:id="1034"/>
      <w:r>
        <w:rPr>
          <w:rFonts w:hint="eastAsia"/>
          <w:lang w:eastAsia="zh-CN"/>
        </w:rPr>
        <w:t>（</w:t>
      </w:r>
      <w:r>
        <w:rPr>
          <w:rFonts w:hint="eastAsia" w:ascii="宋体" w:hAnsi="宋体"/>
          <w:szCs w:val="21"/>
        </w:rPr>
        <w:t>非保函形式</w:t>
      </w:r>
      <w:r>
        <w:rPr>
          <w:rFonts w:hint="eastAsia"/>
          <w:lang w:eastAsia="zh-CN"/>
        </w:rPr>
        <w:t>）</w:t>
      </w:r>
      <w:bookmarkEnd w:id="1035"/>
    </w:p>
    <w:p w14:paraId="60CD321B"/>
    <w:p w14:paraId="628A1167">
      <w:pPr>
        <w:snapToGrid w:val="0"/>
        <w:rPr>
          <w:rFonts w:cs="宋体"/>
        </w:rPr>
      </w:pPr>
      <w:r>
        <w:rPr>
          <w:rFonts w:hint="eastAsia" w:cs="宋体"/>
        </w:rPr>
        <w:t>致：</w:t>
      </w:r>
      <w:r>
        <w:rPr>
          <w:rFonts w:hint="eastAsia" w:cs="宋体"/>
          <w:u w:val="single"/>
        </w:rPr>
        <w:t xml:space="preserve">     （招标人名称） </w:t>
      </w:r>
      <w:r>
        <w:rPr>
          <w:rFonts w:cs="宋体"/>
          <w:u w:val="single"/>
        </w:rPr>
        <w:t xml:space="preserve"> </w:t>
      </w:r>
      <w:r>
        <w:rPr>
          <w:rFonts w:hint="eastAsia" w:cs="宋体"/>
          <w:u w:val="single"/>
        </w:rPr>
        <w:t xml:space="preserve">  </w:t>
      </w:r>
    </w:p>
    <w:p w14:paraId="6D830DA2">
      <w:pPr>
        <w:snapToGrid w:val="0"/>
        <w:rPr>
          <w:rFonts w:cs="宋体"/>
        </w:rPr>
      </w:pPr>
    </w:p>
    <w:p w14:paraId="018C7997">
      <w:pPr>
        <w:snapToGrid w:val="0"/>
        <w:rPr>
          <w:rFonts w:cs="宋体"/>
        </w:rPr>
      </w:pPr>
      <w:r>
        <w:rPr>
          <w:rFonts w:hint="eastAsia" w:cs="宋体"/>
          <w:u w:val="single"/>
        </w:rPr>
        <w:t xml:space="preserve">（投标人名称）    </w:t>
      </w:r>
      <w:r>
        <w:rPr>
          <w:rFonts w:hint="eastAsia" w:cs="宋体"/>
        </w:rPr>
        <w:t>（下列称“投标人”）于</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日递交了</w:t>
      </w:r>
      <w:r>
        <w:rPr>
          <w:rFonts w:hint="eastAsia" w:cs="宋体"/>
          <w:u w:val="single"/>
        </w:rPr>
        <w:t xml:space="preserve">    {招标人名称} </w:t>
      </w:r>
      <w:r>
        <w:rPr>
          <w:rFonts w:hint="eastAsia" w:cs="宋体"/>
        </w:rPr>
        <w:t>的</w:t>
      </w:r>
      <w:r>
        <w:rPr>
          <w:rFonts w:hint="eastAsia" w:cs="宋体"/>
          <w:u w:val="single"/>
        </w:rPr>
        <w:t xml:space="preserve">  {招标工程项目名称}   </w:t>
      </w:r>
      <w:r>
        <w:rPr>
          <w:rFonts w:hint="eastAsia" w:cs="宋体"/>
        </w:rPr>
        <w:t>的投标文件，并附人民币</w:t>
      </w:r>
      <w:r>
        <w:rPr>
          <w:rFonts w:hint="eastAsia" w:cs="宋体"/>
          <w:u w:val="single"/>
        </w:rPr>
        <w:t xml:space="preserve">            </w:t>
      </w:r>
      <w:r>
        <w:rPr>
          <w:rFonts w:hint="eastAsia" w:cs="宋体"/>
        </w:rPr>
        <w:t>万元做为投标保证金。</w:t>
      </w:r>
    </w:p>
    <w:p w14:paraId="69DCC999">
      <w:pPr>
        <w:snapToGrid w:val="0"/>
        <w:ind w:firstLine="480" w:firstLineChars="200"/>
        <w:rPr>
          <w:rFonts w:cs="宋体"/>
        </w:rPr>
      </w:pPr>
      <w:r>
        <w:rPr>
          <w:rFonts w:hint="eastAsia" w:cs="宋体"/>
        </w:rPr>
        <w:t>如果我方在投标有效期内收到你方的中标通知后，不能或拒绝按投标须知的要求签署合同协议书；你方有权没收我方的投标保证金。</w:t>
      </w:r>
    </w:p>
    <w:p w14:paraId="33BCCAF8">
      <w:pPr>
        <w:snapToGrid w:val="0"/>
        <w:ind w:firstLine="480" w:firstLineChars="200"/>
        <w:rPr>
          <w:rFonts w:cs="宋体"/>
        </w:rPr>
      </w:pPr>
      <w:r>
        <w:rPr>
          <w:rFonts w:hint="eastAsia" w:cs="宋体"/>
        </w:rPr>
        <w:t>我方同意招标文件有关投标保证金规定，并对我方有约束力。</w:t>
      </w:r>
    </w:p>
    <w:p w14:paraId="4761B9F3">
      <w:pPr>
        <w:snapToGrid w:val="0"/>
        <w:ind w:firstLine="482" w:firstLineChars="200"/>
        <w:rPr>
          <w:rFonts w:cs="宋体"/>
        </w:rPr>
      </w:pPr>
      <w:r>
        <w:rPr>
          <w:rFonts w:hint="eastAsia" w:cs="宋体"/>
          <w:b/>
        </w:rPr>
        <w:t>附件：（银行进帐单（回单）复印件）</w:t>
      </w:r>
    </w:p>
    <w:tbl>
      <w:tblPr>
        <w:tblStyle w:val="3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514A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05F18DB8">
            <w:pPr>
              <w:snapToGrid w:val="0"/>
              <w:jc w:val="center"/>
              <w:rPr>
                <w:rFonts w:cs="宋体"/>
              </w:rPr>
            </w:pPr>
          </w:p>
          <w:p w14:paraId="4EF5BBBF">
            <w:pPr>
              <w:snapToGrid w:val="0"/>
              <w:jc w:val="center"/>
              <w:rPr>
                <w:rFonts w:cs="宋体"/>
              </w:rPr>
            </w:pPr>
          </w:p>
          <w:p w14:paraId="69FBC2A9">
            <w:pPr>
              <w:snapToGrid w:val="0"/>
              <w:jc w:val="center"/>
              <w:rPr>
                <w:rFonts w:cs="宋体"/>
              </w:rPr>
            </w:pPr>
          </w:p>
          <w:p w14:paraId="30CE15C4">
            <w:pPr>
              <w:snapToGrid w:val="0"/>
              <w:jc w:val="center"/>
              <w:rPr>
                <w:rFonts w:cs="宋体"/>
              </w:rPr>
            </w:pPr>
          </w:p>
          <w:p w14:paraId="344A0BBA">
            <w:pPr>
              <w:snapToGrid w:val="0"/>
              <w:jc w:val="center"/>
              <w:rPr>
                <w:rFonts w:cs="宋体"/>
              </w:rPr>
            </w:pPr>
            <w:r>
              <w:rPr>
                <w:rFonts w:hint="eastAsia" w:cs="宋体"/>
              </w:rPr>
              <w:t>银行进帐单（回单）复印件粘贴处</w:t>
            </w:r>
          </w:p>
          <w:p w14:paraId="73780699">
            <w:pPr>
              <w:snapToGrid w:val="0"/>
              <w:jc w:val="center"/>
              <w:rPr>
                <w:rFonts w:cs="宋体"/>
              </w:rPr>
            </w:pPr>
          </w:p>
          <w:p w14:paraId="3C949B65">
            <w:pPr>
              <w:snapToGrid w:val="0"/>
              <w:jc w:val="center"/>
              <w:rPr>
                <w:rFonts w:cs="宋体"/>
              </w:rPr>
            </w:pPr>
          </w:p>
          <w:p w14:paraId="08CA4C20">
            <w:pPr>
              <w:snapToGrid w:val="0"/>
              <w:jc w:val="center"/>
              <w:rPr>
                <w:rFonts w:cs="宋体"/>
              </w:rPr>
            </w:pPr>
          </w:p>
          <w:p w14:paraId="7B2D7516">
            <w:pPr>
              <w:snapToGrid w:val="0"/>
              <w:jc w:val="center"/>
              <w:rPr>
                <w:rFonts w:cs="宋体"/>
              </w:rPr>
            </w:pPr>
          </w:p>
        </w:tc>
      </w:tr>
    </w:tbl>
    <w:p w14:paraId="5C9E9983"/>
    <w:p w14:paraId="3C94860C">
      <w:r>
        <w:rPr>
          <w:rFonts w:hint="eastAsia"/>
        </w:rPr>
        <w:t>投标单位</w:t>
      </w:r>
      <w:r>
        <w:t>：</w:t>
      </w:r>
      <w:r>
        <w:rPr>
          <w:u w:val="single"/>
        </w:rPr>
        <w:t xml:space="preserve">                              </w:t>
      </w:r>
      <w:r>
        <w:t>（盖单位章）</w:t>
      </w:r>
    </w:p>
    <w:p w14:paraId="7BC46F95">
      <w:r>
        <w:t>法定代表人或其委托代理人：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215C2B4C">
      <w:pPr>
        <w:rPr>
          <w:u w:val="single"/>
        </w:rPr>
      </w:pPr>
      <w:r>
        <w:rPr>
          <w:rFonts w:hint="eastAsia"/>
        </w:rPr>
        <w:t>日期：</w:t>
      </w:r>
      <w:r>
        <w:rPr>
          <w:u w:val="single"/>
        </w:rPr>
        <w:t xml:space="preserve">                                             </w:t>
      </w:r>
    </w:p>
    <w:p w14:paraId="69755C84">
      <w:pPr>
        <w:rPr>
          <w:u w:val="single"/>
        </w:rPr>
      </w:pPr>
      <w:r>
        <w:rPr>
          <w:u w:val="single"/>
        </w:rPr>
        <w:br w:type="page"/>
      </w:r>
    </w:p>
    <w:p w14:paraId="2E5B2E7F">
      <w:pPr>
        <w:pStyle w:val="4"/>
        <w:rPr>
          <w:rFonts w:hint="eastAsia" w:eastAsia="宋体"/>
          <w:lang w:eastAsia="zh-CN"/>
        </w:rPr>
      </w:pPr>
      <w:bookmarkStart w:id="1036" w:name="_Toc9739"/>
      <w:r>
        <w:rPr>
          <w:rFonts w:hint="eastAsia"/>
        </w:rPr>
        <w:t>四、投标保证金</w:t>
      </w:r>
      <w:r>
        <w:rPr>
          <w:rFonts w:hint="eastAsia"/>
          <w:lang w:eastAsia="zh-CN"/>
        </w:rPr>
        <w:t>（</w:t>
      </w:r>
      <w:r>
        <w:rPr>
          <w:rFonts w:hint="eastAsia" w:ascii="宋体" w:hAnsi="宋体"/>
          <w:szCs w:val="21"/>
        </w:rPr>
        <w:t>保函形式</w:t>
      </w:r>
      <w:r>
        <w:rPr>
          <w:rFonts w:hint="eastAsia"/>
          <w:lang w:eastAsia="zh-CN"/>
        </w:rPr>
        <w:t>）</w:t>
      </w:r>
      <w:bookmarkEnd w:id="1036"/>
    </w:p>
    <w:p w14:paraId="3A3ED031">
      <w:pPr>
        <w:jc w:val="center"/>
        <w:rPr>
          <w:rFonts w:hint="eastAsia" w:eastAsia="宋体"/>
          <w:lang w:eastAsia="zh-CN"/>
        </w:rPr>
        <w:sectPr>
          <w:pgSz w:w="11906" w:h="16838"/>
          <w:pgMar w:top="1440" w:right="1800" w:bottom="1440" w:left="1800" w:header="851" w:footer="992" w:gutter="0"/>
          <w:cols w:space="720" w:num="1"/>
          <w:docGrid w:linePitch="312" w:charSpace="0"/>
        </w:sectPr>
      </w:pPr>
      <w:r>
        <w:rPr>
          <w:rFonts w:hint="eastAsia"/>
          <w:lang w:eastAsia="zh-CN"/>
        </w:rPr>
        <w:t>（</w:t>
      </w:r>
      <w:r>
        <w:rPr>
          <w:rFonts w:hint="eastAsia"/>
          <w:lang w:val="en-US" w:eastAsia="zh-CN"/>
        </w:rPr>
        <w:t>投标保函复印件加盖公章</w:t>
      </w:r>
      <w:r>
        <w:rPr>
          <w:rFonts w:hint="eastAsia"/>
          <w:lang w:eastAsia="zh-CN"/>
        </w:rPr>
        <w:t>）</w:t>
      </w:r>
    </w:p>
    <w:p w14:paraId="239B984F">
      <w:pPr>
        <w:pStyle w:val="4"/>
      </w:pPr>
      <w:bookmarkStart w:id="1037" w:name="_Toc71552350"/>
      <w:bookmarkStart w:id="1038" w:name="_Toc16853"/>
      <w:bookmarkStart w:id="1039" w:name="_Toc71552384"/>
      <w:bookmarkStart w:id="1040" w:name="_Toc43721445"/>
      <w:r>
        <w:rPr>
          <w:rFonts w:hint="eastAsia"/>
        </w:rPr>
        <w:t>五、已标价工程量清单</w:t>
      </w:r>
      <w:bookmarkEnd w:id="1037"/>
      <w:bookmarkEnd w:id="1038"/>
      <w:bookmarkEnd w:id="1039"/>
      <w:bookmarkEnd w:id="1040"/>
    </w:p>
    <w:p w14:paraId="5E6D18C7">
      <w:pPr>
        <w:jc w:val="center"/>
      </w:pPr>
      <w:r>
        <w:rPr>
          <w:rFonts w:hint="eastAsia"/>
        </w:rPr>
        <w:t>（详见工程量清单计价格式）</w:t>
      </w:r>
    </w:p>
    <w:p w14:paraId="392B9B81"/>
    <w:p w14:paraId="080AE325">
      <w:pPr>
        <w:sectPr>
          <w:pgSz w:w="11906" w:h="16838"/>
          <w:pgMar w:top="1440" w:right="1800" w:bottom="1440" w:left="1800" w:header="851" w:footer="992" w:gutter="0"/>
          <w:cols w:space="720" w:num="1"/>
          <w:docGrid w:linePitch="312" w:charSpace="0"/>
        </w:sectPr>
      </w:pPr>
    </w:p>
    <w:p w14:paraId="65306AD2">
      <w:pPr>
        <w:pStyle w:val="4"/>
      </w:pPr>
      <w:bookmarkStart w:id="1041" w:name="_Toc28840"/>
      <w:bookmarkStart w:id="1042" w:name="_Toc43721446"/>
      <w:bookmarkStart w:id="1043" w:name="_Toc71552351"/>
      <w:bookmarkStart w:id="1044" w:name="_Toc71552385"/>
      <w:r>
        <w:rPr>
          <w:rFonts w:hint="eastAsia"/>
        </w:rPr>
        <w:t>六、施工组织设计</w:t>
      </w:r>
      <w:bookmarkEnd w:id="1041"/>
      <w:bookmarkEnd w:id="1042"/>
      <w:bookmarkEnd w:id="1043"/>
      <w:bookmarkEnd w:id="1044"/>
    </w:p>
    <w:p w14:paraId="10EC30F9">
      <w:r>
        <w:rPr>
          <w:rFonts w:hint="eastAsia"/>
        </w:rPr>
        <w:t xml:space="preserve"> 1．响应单位应根据竞争性磋商文件和对现场的勘察情况，采用文字并结合图表形式，参考以下要点编制本工程的施工组织设计：</w:t>
      </w:r>
    </w:p>
    <w:p w14:paraId="132BB62D">
      <w:r>
        <w:rPr>
          <w:rFonts w:hint="eastAsia"/>
        </w:rPr>
        <w:t xml:space="preserve">    (1)施工方案及技术措施；</w:t>
      </w:r>
    </w:p>
    <w:p w14:paraId="2A9CD0CB">
      <w:r>
        <w:rPr>
          <w:rFonts w:hint="eastAsia"/>
        </w:rPr>
        <w:t xml:space="preserve">    (2)质量保证措施和创优计划；</w:t>
      </w:r>
    </w:p>
    <w:p w14:paraId="053BE12F">
      <w:r>
        <w:rPr>
          <w:rFonts w:hint="eastAsia"/>
        </w:rPr>
        <w:t xml:space="preserve">    (3)施工总进度计划及保证措施（包括以横道图或标明关键线路的网络进度计划、保障进度计划需要的主要施工机械设备、劳动力需求计划及保证措施、材料设备进场计划及其他保证措施等）；</w:t>
      </w:r>
    </w:p>
    <w:p w14:paraId="78FB61C2">
      <w:r>
        <w:rPr>
          <w:rFonts w:hint="eastAsia"/>
        </w:rPr>
        <w:t xml:space="preserve">    (4)施工安全措施计划；</w:t>
      </w:r>
    </w:p>
    <w:p w14:paraId="66AEB345">
      <w:r>
        <w:rPr>
          <w:rFonts w:hint="eastAsia"/>
        </w:rPr>
        <w:t xml:space="preserve">    (5)文明施工措施计划；</w:t>
      </w:r>
    </w:p>
    <w:p w14:paraId="48275E95">
      <w:r>
        <w:rPr>
          <w:rFonts w:hint="eastAsia"/>
        </w:rPr>
        <w:t xml:space="preserve">    (6)施工场地治安保卫管理计划；</w:t>
      </w:r>
    </w:p>
    <w:p w14:paraId="72ED6BD5">
      <w:r>
        <w:rPr>
          <w:rFonts w:hint="eastAsia"/>
        </w:rPr>
        <w:t xml:space="preserve">    (7)施工环保措施计划；</w:t>
      </w:r>
    </w:p>
    <w:p w14:paraId="62826BB8">
      <w:r>
        <w:rPr>
          <w:rFonts w:hint="eastAsia"/>
        </w:rPr>
        <w:t xml:space="preserve">    (8)雨季施工方案；</w:t>
      </w:r>
    </w:p>
    <w:p w14:paraId="2388AF5B">
      <w:r>
        <w:rPr>
          <w:rFonts w:hint="eastAsia"/>
        </w:rPr>
        <w:t xml:space="preserve">    (9)施工现场总平面布置（响应单位应递交一份施工总平面图，绘出现场临时没施布置图表并附文字说明，说明临时设施、加工车间、现场办公、设备及仓储、供电、供水、卫生、生活、道路、消防等设施的情况和布置）；</w:t>
      </w:r>
    </w:p>
    <w:p w14:paraId="15596CD3">
      <w:r>
        <w:rPr>
          <w:rFonts w:hint="eastAsia"/>
        </w:rPr>
        <w:t xml:space="preserve">    (10)项目组织管理机构；</w:t>
      </w:r>
    </w:p>
    <w:p w14:paraId="788EEEEE">
      <w:r>
        <w:rPr>
          <w:rFonts w:hint="eastAsia"/>
        </w:rPr>
        <w:t xml:space="preserve">    (11)承包人白行施工范围内拟分包的非主体和非关键性工作（按第二章“响应单位须知”第1．11款的规定）、材料计划和劳动力计划；</w:t>
      </w:r>
    </w:p>
    <w:p w14:paraId="6F7ED243">
      <w:r>
        <w:rPr>
          <w:rFonts w:hint="eastAsia"/>
        </w:rPr>
        <w:t xml:space="preserve">    (12)成品保护和工程保修工作的管理措施和承诺：</w:t>
      </w:r>
    </w:p>
    <w:p w14:paraId="3C72A999">
      <w:r>
        <w:rPr>
          <w:rFonts w:hint="eastAsia"/>
        </w:rPr>
        <w:t xml:space="preserve">    (13)任何可能的紧急情况的处理措施、预案以及抵抗风险（包括工程施工过程中可能遇到的各种风险）的措施；</w:t>
      </w:r>
    </w:p>
    <w:p w14:paraId="6B912CD3">
      <w:r>
        <w:rPr>
          <w:rFonts w:hint="eastAsia"/>
        </w:rPr>
        <w:t xml:space="preserve">    (14)对总包管理的认识以及对专业分包工程的配合、协调、管理、服务方案；</w:t>
      </w:r>
    </w:p>
    <w:p w14:paraId="23E36005">
      <w:r>
        <w:rPr>
          <w:rFonts w:hint="eastAsia"/>
        </w:rPr>
        <w:t xml:space="preserve">    (15)与发包人、监理及设计人的配合；</w:t>
      </w:r>
    </w:p>
    <w:p w14:paraId="0A14A1FD">
      <w:r>
        <w:rPr>
          <w:rFonts w:hint="eastAsia"/>
        </w:rPr>
        <w:t xml:space="preserve">    (16)竞争性磋商文件规定的其他内容。</w:t>
      </w:r>
    </w:p>
    <w:p w14:paraId="2B4CDA0E">
      <w:r>
        <w:rPr>
          <w:rFonts w:hint="eastAsia"/>
        </w:rPr>
        <w:t xml:space="preserve">  </w:t>
      </w:r>
      <w:r>
        <w:rPr>
          <w:rFonts w:hint="eastAsia"/>
          <w:lang w:val="en-US" w:eastAsia="zh-CN"/>
        </w:rPr>
        <w:t>2</w:t>
      </w:r>
      <w:r>
        <w:rPr>
          <w:rFonts w:hint="eastAsia"/>
        </w:rPr>
        <w:t>．施工组织设计除采用文字表述外可附下列图表，图表及格式要求附后。</w:t>
      </w:r>
    </w:p>
    <w:p w14:paraId="6DFF0CC4">
      <w:r>
        <w:t>附表一  拟投入的主要施工设备表</w:t>
      </w:r>
    </w:p>
    <w:p w14:paraId="61E69566">
      <w:r>
        <w:t>附表</w:t>
      </w:r>
      <w:r>
        <w:rPr>
          <w:rFonts w:hint="eastAsia"/>
        </w:rPr>
        <w:t>二</w:t>
      </w:r>
      <w:r>
        <w:t xml:space="preserve">  </w:t>
      </w:r>
      <w:r>
        <w:rPr>
          <w:rFonts w:hint="eastAsia"/>
        </w:rPr>
        <w:t>拟配备本工程的试验和检测仪器设备表</w:t>
      </w:r>
    </w:p>
    <w:p w14:paraId="4747E9B4">
      <w:r>
        <w:t>附表</w:t>
      </w:r>
      <w:r>
        <w:rPr>
          <w:rFonts w:hint="eastAsia"/>
        </w:rPr>
        <w:t xml:space="preserve">三  </w:t>
      </w:r>
      <w:r>
        <w:t>劳动力计划表</w:t>
      </w:r>
    </w:p>
    <w:p w14:paraId="6072D9F1">
      <w:r>
        <w:t>附表</w:t>
      </w:r>
      <w:r>
        <w:rPr>
          <w:rFonts w:hint="eastAsia"/>
        </w:rPr>
        <w:t>四  计划开、竣工日期和施工进度网路图</w:t>
      </w:r>
    </w:p>
    <w:p w14:paraId="57256DF4">
      <w:r>
        <w:rPr>
          <w:rFonts w:hint="eastAsia"/>
        </w:rPr>
        <w:t xml:space="preserve">附件五  </w:t>
      </w:r>
      <w:r>
        <w:t>施工总平面图</w:t>
      </w:r>
    </w:p>
    <w:p w14:paraId="504A357D">
      <w:r>
        <w:rPr>
          <w:rFonts w:hint="eastAsia"/>
        </w:rPr>
        <w:t>附件六  临时用地表</w:t>
      </w:r>
    </w:p>
    <w:p w14:paraId="24F2D7BA"/>
    <w:p w14:paraId="036F288D">
      <w:pPr>
        <w:pStyle w:val="5"/>
      </w:pPr>
      <w:bookmarkStart w:id="1045" w:name="_Toc246997108"/>
      <w:bookmarkStart w:id="1046" w:name="_Toc179632817"/>
      <w:bookmarkStart w:id="1047" w:name="_Toc31691"/>
      <w:bookmarkStart w:id="1048" w:name="_Toc246996365"/>
      <w:bookmarkStart w:id="1049" w:name="_Toc71552352"/>
      <w:bookmarkStart w:id="1050" w:name="_Toc152045797"/>
      <w:bookmarkStart w:id="1051" w:name="_Toc43721447"/>
      <w:bookmarkStart w:id="1052" w:name="_Toc71552386"/>
      <w:bookmarkStart w:id="1053" w:name="_Toc144974865"/>
      <w:bookmarkStart w:id="1054" w:name="_Toc247085883"/>
      <w:bookmarkStart w:id="1055" w:name="_Toc152042586"/>
      <w:bookmarkStart w:id="1056" w:name="_Toc296602610"/>
      <w:r>
        <w:t>附表一：拟投入本</w:t>
      </w:r>
      <w:r>
        <w:rPr>
          <w:rFonts w:hint="eastAsia"/>
        </w:rPr>
        <w:t>项目</w:t>
      </w:r>
      <w:r>
        <w:t>的主要施工设备表</w:t>
      </w:r>
      <w:bookmarkEnd w:id="1045"/>
      <w:bookmarkEnd w:id="1046"/>
      <w:bookmarkEnd w:id="1047"/>
      <w:bookmarkEnd w:id="1048"/>
      <w:bookmarkEnd w:id="1049"/>
      <w:bookmarkEnd w:id="1050"/>
      <w:bookmarkEnd w:id="1051"/>
      <w:bookmarkEnd w:id="1052"/>
      <w:bookmarkEnd w:id="1053"/>
      <w:bookmarkEnd w:id="1054"/>
      <w:bookmarkEnd w:id="1055"/>
      <w:bookmarkEnd w:id="1056"/>
    </w:p>
    <w:tbl>
      <w:tblPr>
        <w:tblStyle w:val="38"/>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1086"/>
        <w:gridCol w:w="761"/>
        <w:gridCol w:w="990"/>
        <w:gridCol w:w="672"/>
        <w:gridCol w:w="738"/>
        <w:gridCol w:w="1212"/>
        <w:gridCol w:w="874"/>
        <w:gridCol w:w="1055"/>
        <w:gridCol w:w="691"/>
      </w:tblGrid>
      <w:tr w14:paraId="4326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37CB47F0">
            <w:r>
              <w:t>序号</w:t>
            </w:r>
          </w:p>
        </w:tc>
        <w:tc>
          <w:tcPr>
            <w:tcW w:w="1086" w:type="dxa"/>
            <w:vAlign w:val="center"/>
          </w:tcPr>
          <w:p w14:paraId="27B1AE4E">
            <w:r>
              <w:t>设备名称</w:t>
            </w:r>
          </w:p>
        </w:tc>
        <w:tc>
          <w:tcPr>
            <w:tcW w:w="761" w:type="dxa"/>
            <w:vAlign w:val="center"/>
          </w:tcPr>
          <w:p w14:paraId="50DD33CC">
            <w:r>
              <w:t>型号</w:t>
            </w:r>
          </w:p>
          <w:p w14:paraId="3AC6DCC9">
            <w:r>
              <w:t>规格</w:t>
            </w:r>
          </w:p>
        </w:tc>
        <w:tc>
          <w:tcPr>
            <w:tcW w:w="990" w:type="dxa"/>
            <w:vAlign w:val="center"/>
          </w:tcPr>
          <w:p w14:paraId="34223481">
            <w:r>
              <w:t>数量</w:t>
            </w:r>
          </w:p>
        </w:tc>
        <w:tc>
          <w:tcPr>
            <w:tcW w:w="672" w:type="dxa"/>
            <w:vAlign w:val="center"/>
          </w:tcPr>
          <w:p w14:paraId="05CBC301">
            <w:r>
              <w:t>国别</w:t>
            </w:r>
          </w:p>
          <w:p w14:paraId="5FF557B3">
            <w:r>
              <w:t>产地</w:t>
            </w:r>
          </w:p>
        </w:tc>
        <w:tc>
          <w:tcPr>
            <w:tcW w:w="738" w:type="dxa"/>
            <w:vAlign w:val="center"/>
          </w:tcPr>
          <w:p w14:paraId="0B6BFF35">
            <w:r>
              <w:t>制造</w:t>
            </w:r>
          </w:p>
          <w:p w14:paraId="6C5DE58F">
            <w:r>
              <w:t>年份</w:t>
            </w:r>
          </w:p>
        </w:tc>
        <w:tc>
          <w:tcPr>
            <w:tcW w:w="1212" w:type="dxa"/>
            <w:vAlign w:val="center"/>
          </w:tcPr>
          <w:p w14:paraId="24A3D4C7">
            <w:r>
              <w:t>额定功率（</w:t>
            </w:r>
            <w:r>
              <w:rPr>
                <w:rFonts w:hint="eastAsia"/>
              </w:rPr>
              <w:t>k</w:t>
            </w:r>
            <w:r>
              <w:t>W）</w:t>
            </w:r>
          </w:p>
        </w:tc>
        <w:tc>
          <w:tcPr>
            <w:tcW w:w="874" w:type="dxa"/>
            <w:vAlign w:val="center"/>
          </w:tcPr>
          <w:p w14:paraId="1FAC9F21">
            <w:r>
              <w:t>生产</w:t>
            </w:r>
          </w:p>
          <w:p w14:paraId="4D4B74DB">
            <w:r>
              <w:t>能力</w:t>
            </w:r>
          </w:p>
        </w:tc>
        <w:tc>
          <w:tcPr>
            <w:tcW w:w="1055" w:type="dxa"/>
            <w:vAlign w:val="center"/>
          </w:tcPr>
          <w:p w14:paraId="4F64EDA2">
            <w:r>
              <w:t>用于施工部位</w:t>
            </w:r>
          </w:p>
        </w:tc>
        <w:tc>
          <w:tcPr>
            <w:tcW w:w="691" w:type="dxa"/>
            <w:vAlign w:val="center"/>
          </w:tcPr>
          <w:p w14:paraId="258F12BC">
            <w:r>
              <w:t>备注</w:t>
            </w:r>
          </w:p>
        </w:tc>
      </w:tr>
      <w:tr w14:paraId="7107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11AF3147"/>
        </w:tc>
        <w:tc>
          <w:tcPr>
            <w:tcW w:w="1086" w:type="dxa"/>
            <w:vAlign w:val="center"/>
          </w:tcPr>
          <w:p w14:paraId="3B52D830"/>
        </w:tc>
        <w:tc>
          <w:tcPr>
            <w:tcW w:w="761" w:type="dxa"/>
            <w:vAlign w:val="center"/>
          </w:tcPr>
          <w:p w14:paraId="5454B62A"/>
        </w:tc>
        <w:tc>
          <w:tcPr>
            <w:tcW w:w="990" w:type="dxa"/>
            <w:vAlign w:val="center"/>
          </w:tcPr>
          <w:p w14:paraId="4624186E"/>
        </w:tc>
        <w:tc>
          <w:tcPr>
            <w:tcW w:w="672" w:type="dxa"/>
            <w:vAlign w:val="center"/>
          </w:tcPr>
          <w:p w14:paraId="0CBEB9C5"/>
        </w:tc>
        <w:tc>
          <w:tcPr>
            <w:tcW w:w="738" w:type="dxa"/>
            <w:vAlign w:val="center"/>
          </w:tcPr>
          <w:p w14:paraId="482ED2CA"/>
        </w:tc>
        <w:tc>
          <w:tcPr>
            <w:tcW w:w="1212" w:type="dxa"/>
            <w:vAlign w:val="center"/>
          </w:tcPr>
          <w:p w14:paraId="16D23E78"/>
        </w:tc>
        <w:tc>
          <w:tcPr>
            <w:tcW w:w="874" w:type="dxa"/>
            <w:vAlign w:val="center"/>
          </w:tcPr>
          <w:p w14:paraId="1EC38A79"/>
        </w:tc>
        <w:tc>
          <w:tcPr>
            <w:tcW w:w="1055" w:type="dxa"/>
            <w:vAlign w:val="center"/>
          </w:tcPr>
          <w:p w14:paraId="69EC70DC"/>
        </w:tc>
        <w:tc>
          <w:tcPr>
            <w:tcW w:w="691" w:type="dxa"/>
            <w:vAlign w:val="center"/>
          </w:tcPr>
          <w:p w14:paraId="29680EC9"/>
        </w:tc>
      </w:tr>
      <w:tr w14:paraId="3796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vAlign w:val="center"/>
          </w:tcPr>
          <w:p w14:paraId="2544EC9E"/>
        </w:tc>
        <w:tc>
          <w:tcPr>
            <w:tcW w:w="1086" w:type="dxa"/>
            <w:vAlign w:val="center"/>
          </w:tcPr>
          <w:p w14:paraId="0B6BD0C3"/>
        </w:tc>
        <w:tc>
          <w:tcPr>
            <w:tcW w:w="761" w:type="dxa"/>
            <w:vAlign w:val="center"/>
          </w:tcPr>
          <w:p w14:paraId="69418A5F"/>
        </w:tc>
        <w:tc>
          <w:tcPr>
            <w:tcW w:w="990" w:type="dxa"/>
            <w:vAlign w:val="center"/>
          </w:tcPr>
          <w:p w14:paraId="597003E1"/>
        </w:tc>
        <w:tc>
          <w:tcPr>
            <w:tcW w:w="672" w:type="dxa"/>
            <w:vAlign w:val="center"/>
          </w:tcPr>
          <w:p w14:paraId="052FAADE"/>
        </w:tc>
        <w:tc>
          <w:tcPr>
            <w:tcW w:w="738" w:type="dxa"/>
            <w:vAlign w:val="center"/>
          </w:tcPr>
          <w:p w14:paraId="30814AEF"/>
        </w:tc>
        <w:tc>
          <w:tcPr>
            <w:tcW w:w="1212" w:type="dxa"/>
            <w:vAlign w:val="center"/>
          </w:tcPr>
          <w:p w14:paraId="1CD64A27"/>
        </w:tc>
        <w:tc>
          <w:tcPr>
            <w:tcW w:w="874" w:type="dxa"/>
            <w:vAlign w:val="center"/>
          </w:tcPr>
          <w:p w14:paraId="31439DCA"/>
        </w:tc>
        <w:tc>
          <w:tcPr>
            <w:tcW w:w="1055" w:type="dxa"/>
            <w:vAlign w:val="center"/>
          </w:tcPr>
          <w:p w14:paraId="5734C2AD"/>
        </w:tc>
        <w:tc>
          <w:tcPr>
            <w:tcW w:w="691" w:type="dxa"/>
            <w:vAlign w:val="center"/>
          </w:tcPr>
          <w:p w14:paraId="2D5CF170"/>
        </w:tc>
      </w:tr>
      <w:tr w14:paraId="3D496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6D1A0F7"/>
        </w:tc>
        <w:tc>
          <w:tcPr>
            <w:tcW w:w="1086" w:type="dxa"/>
          </w:tcPr>
          <w:p w14:paraId="298235E7"/>
        </w:tc>
        <w:tc>
          <w:tcPr>
            <w:tcW w:w="761" w:type="dxa"/>
          </w:tcPr>
          <w:p w14:paraId="54BF1A21"/>
        </w:tc>
        <w:tc>
          <w:tcPr>
            <w:tcW w:w="990" w:type="dxa"/>
          </w:tcPr>
          <w:p w14:paraId="774C5544"/>
        </w:tc>
        <w:tc>
          <w:tcPr>
            <w:tcW w:w="672" w:type="dxa"/>
          </w:tcPr>
          <w:p w14:paraId="6C113C11"/>
        </w:tc>
        <w:tc>
          <w:tcPr>
            <w:tcW w:w="738" w:type="dxa"/>
          </w:tcPr>
          <w:p w14:paraId="7D852829"/>
        </w:tc>
        <w:tc>
          <w:tcPr>
            <w:tcW w:w="1212" w:type="dxa"/>
          </w:tcPr>
          <w:p w14:paraId="779363C1"/>
        </w:tc>
        <w:tc>
          <w:tcPr>
            <w:tcW w:w="874" w:type="dxa"/>
          </w:tcPr>
          <w:p w14:paraId="2DA16B31"/>
        </w:tc>
        <w:tc>
          <w:tcPr>
            <w:tcW w:w="1055" w:type="dxa"/>
          </w:tcPr>
          <w:p w14:paraId="31D8B00C"/>
        </w:tc>
        <w:tc>
          <w:tcPr>
            <w:tcW w:w="691" w:type="dxa"/>
          </w:tcPr>
          <w:p w14:paraId="187BD630"/>
        </w:tc>
      </w:tr>
      <w:tr w14:paraId="1F8F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1AB1C6CF"/>
        </w:tc>
        <w:tc>
          <w:tcPr>
            <w:tcW w:w="1086" w:type="dxa"/>
          </w:tcPr>
          <w:p w14:paraId="1E721739"/>
        </w:tc>
        <w:tc>
          <w:tcPr>
            <w:tcW w:w="761" w:type="dxa"/>
          </w:tcPr>
          <w:p w14:paraId="24954351"/>
        </w:tc>
        <w:tc>
          <w:tcPr>
            <w:tcW w:w="990" w:type="dxa"/>
          </w:tcPr>
          <w:p w14:paraId="33DEDAD5"/>
        </w:tc>
        <w:tc>
          <w:tcPr>
            <w:tcW w:w="672" w:type="dxa"/>
          </w:tcPr>
          <w:p w14:paraId="0288B264"/>
        </w:tc>
        <w:tc>
          <w:tcPr>
            <w:tcW w:w="738" w:type="dxa"/>
          </w:tcPr>
          <w:p w14:paraId="3FA62549"/>
        </w:tc>
        <w:tc>
          <w:tcPr>
            <w:tcW w:w="1212" w:type="dxa"/>
          </w:tcPr>
          <w:p w14:paraId="0A70D496"/>
        </w:tc>
        <w:tc>
          <w:tcPr>
            <w:tcW w:w="874" w:type="dxa"/>
          </w:tcPr>
          <w:p w14:paraId="454728B5"/>
        </w:tc>
        <w:tc>
          <w:tcPr>
            <w:tcW w:w="1055" w:type="dxa"/>
          </w:tcPr>
          <w:p w14:paraId="7A659CB7"/>
        </w:tc>
        <w:tc>
          <w:tcPr>
            <w:tcW w:w="691" w:type="dxa"/>
          </w:tcPr>
          <w:p w14:paraId="7EB3603C"/>
        </w:tc>
      </w:tr>
      <w:tr w14:paraId="3614B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3C4FC4FC"/>
        </w:tc>
        <w:tc>
          <w:tcPr>
            <w:tcW w:w="1086" w:type="dxa"/>
          </w:tcPr>
          <w:p w14:paraId="11B9948A"/>
        </w:tc>
        <w:tc>
          <w:tcPr>
            <w:tcW w:w="761" w:type="dxa"/>
          </w:tcPr>
          <w:p w14:paraId="028AA1DE"/>
        </w:tc>
        <w:tc>
          <w:tcPr>
            <w:tcW w:w="990" w:type="dxa"/>
          </w:tcPr>
          <w:p w14:paraId="59C8D842"/>
        </w:tc>
        <w:tc>
          <w:tcPr>
            <w:tcW w:w="672" w:type="dxa"/>
          </w:tcPr>
          <w:p w14:paraId="60B16FE2"/>
        </w:tc>
        <w:tc>
          <w:tcPr>
            <w:tcW w:w="738" w:type="dxa"/>
          </w:tcPr>
          <w:p w14:paraId="422BFEF0"/>
        </w:tc>
        <w:tc>
          <w:tcPr>
            <w:tcW w:w="1212" w:type="dxa"/>
          </w:tcPr>
          <w:p w14:paraId="092DADDB"/>
        </w:tc>
        <w:tc>
          <w:tcPr>
            <w:tcW w:w="874" w:type="dxa"/>
          </w:tcPr>
          <w:p w14:paraId="7B1EBBCF"/>
        </w:tc>
        <w:tc>
          <w:tcPr>
            <w:tcW w:w="1055" w:type="dxa"/>
          </w:tcPr>
          <w:p w14:paraId="3222E2A1"/>
        </w:tc>
        <w:tc>
          <w:tcPr>
            <w:tcW w:w="691" w:type="dxa"/>
          </w:tcPr>
          <w:p w14:paraId="021D1E53"/>
        </w:tc>
      </w:tr>
      <w:tr w14:paraId="71504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4C8AB20"/>
        </w:tc>
        <w:tc>
          <w:tcPr>
            <w:tcW w:w="1086" w:type="dxa"/>
          </w:tcPr>
          <w:p w14:paraId="0055BC6B"/>
        </w:tc>
        <w:tc>
          <w:tcPr>
            <w:tcW w:w="761" w:type="dxa"/>
          </w:tcPr>
          <w:p w14:paraId="4915C871"/>
        </w:tc>
        <w:tc>
          <w:tcPr>
            <w:tcW w:w="990" w:type="dxa"/>
          </w:tcPr>
          <w:p w14:paraId="607E3E97"/>
        </w:tc>
        <w:tc>
          <w:tcPr>
            <w:tcW w:w="672" w:type="dxa"/>
          </w:tcPr>
          <w:p w14:paraId="111BEC69"/>
        </w:tc>
        <w:tc>
          <w:tcPr>
            <w:tcW w:w="738" w:type="dxa"/>
          </w:tcPr>
          <w:p w14:paraId="38228DDA"/>
        </w:tc>
        <w:tc>
          <w:tcPr>
            <w:tcW w:w="1212" w:type="dxa"/>
          </w:tcPr>
          <w:p w14:paraId="6E64D096"/>
        </w:tc>
        <w:tc>
          <w:tcPr>
            <w:tcW w:w="874" w:type="dxa"/>
          </w:tcPr>
          <w:p w14:paraId="581225B1"/>
        </w:tc>
        <w:tc>
          <w:tcPr>
            <w:tcW w:w="1055" w:type="dxa"/>
          </w:tcPr>
          <w:p w14:paraId="173AA322"/>
        </w:tc>
        <w:tc>
          <w:tcPr>
            <w:tcW w:w="691" w:type="dxa"/>
          </w:tcPr>
          <w:p w14:paraId="0A3C9EE8"/>
        </w:tc>
      </w:tr>
      <w:tr w14:paraId="5261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0CBC26B"/>
        </w:tc>
        <w:tc>
          <w:tcPr>
            <w:tcW w:w="1086" w:type="dxa"/>
          </w:tcPr>
          <w:p w14:paraId="30065F95"/>
        </w:tc>
        <w:tc>
          <w:tcPr>
            <w:tcW w:w="761" w:type="dxa"/>
          </w:tcPr>
          <w:p w14:paraId="5F63CE3E"/>
        </w:tc>
        <w:tc>
          <w:tcPr>
            <w:tcW w:w="990" w:type="dxa"/>
          </w:tcPr>
          <w:p w14:paraId="58F734A0"/>
        </w:tc>
        <w:tc>
          <w:tcPr>
            <w:tcW w:w="672" w:type="dxa"/>
          </w:tcPr>
          <w:p w14:paraId="61B94D31"/>
        </w:tc>
        <w:tc>
          <w:tcPr>
            <w:tcW w:w="738" w:type="dxa"/>
          </w:tcPr>
          <w:p w14:paraId="5CF43D3B"/>
        </w:tc>
        <w:tc>
          <w:tcPr>
            <w:tcW w:w="1212" w:type="dxa"/>
          </w:tcPr>
          <w:p w14:paraId="0D6FCB4F"/>
        </w:tc>
        <w:tc>
          <w:tcPr>
            <w:tcW w:w="874" w:type="dxa"/>
          </w:tcPr>
          <w:p w14:paraId="644D68DB"/>
        </w:tc>
        <w:tc>
          <w:tcPr>
            <w:tcW w:w="1055" w:type="dxa"/>
          </w:tcPr>
          <w:p w14:paraId="08E2AEAA"/>
        </w:tc>
        <w:tc>
          <w:tcPr>
            <w:tcW w:w="691" w:type="dxa"/>
          </w:tcPr>
          <w:p w14:paraId="0D2F8077"/>
        </w:tc>
      </w:tr>
      <w:tr w14:paraId="3C6B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72AA5586"/>
        </w:tc>
        <w:tc>
          <w:tcPr>
            <w:tcW w:w="1086" w:type="dxa"/>
          </w:tcPr>
          <w:p w14:paraId="47EC19D5"/>
        </w:tc>
        <w:tc>
          <w:tcPr>
            <w:tcW w:w="761" w:type="dxa"/>
          </w:tcPr>
          <w:p w14:paraId="4054A059"/>
        </w:tc>
        <w:tc>
          <w:tcPr>
            <w:tcW w:w="990" w:type="dxa"/>
          </w:tcPr>
          <w:p w14:paraId="693412AC"/>
        </w:tc>
        <w:tc>
          <w:tcPr>
            <w:tcW w:w="672" w:type="dxa"/>
          </w:tcPr>
          <w:p w14:paraId="717AE113"/>
        </w:tc>
        <w:tc>
          <w:tcPr>
            <w:tcW w:w="738" w:type="dxa"/>
          </w:tcPr>
          <w:p w14:paraId="534E95CC"/>
        </w:tc>
        <w:tc>
          <w:tcPr>
            <w:tcW w:w="1212" w:type="dxa"/>
          </w:tcPr>
          <w:p w14:paraId="2A763D58"/>
        </w:tc>
        <w:tc>
          <w:tcPr>
            <w:tcW w:w="874" w:type="dxa"/>
          </w:tcPr>
          <w:p w14:paraId="5D5C45EA"/>
        </w:tc>
        <w:tc>
          <w:tcPr>
            <w:tcW w:w="1055" w:type="dxa"/>
          </w:tcPr>
          <w:p w14:paraId="206FF3B7"/>
        </w:tc>
        <w:tc>
          <w:tcPr>
            <w:tcW w:w="691" w:type="dxa"/>
          </w:tcPr>
          <w:p w14:paraId="258EAE3A"/>
        </w:tc>
      </w:tr>
      <w:tr w14:paraId="4377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06185610"/>
        </w:tc>
        <w:tc>
          <w:tcPr>
            <w:tcW w:w="1086" w:type="dxa"/>
          </w:tcPr>
          <w:p w14:paraId="4DCDCF06"/>
        </w:tc>
        <w:tc>
          <w:tcPr>
            <w:tcW w:w="761" w:type="dxa"/>
          </w:tcPr>
          <w:p w14:paraId="03224DB2"/>
        </w:tc>
        <w:tc>
          <w:tcPr>
            <w:tcW w:w="990" w:type="dxa"/>
          </w:tcPr>
          <w:p w14:paraId="403F5A9A"/>
        </w:tc>
        <w:tc>
          <w:tcPr>
            <w:tcW w:w="672" w:type="dxa"/>
          </w:tcPr>
          <w:p w14:paraId="121273E2"/>
        </w:tc>
        <w:tc>
          <w:tcPr>
            <w:tcW w:w="738" w:type="dxa"/>
          </w:tcPr>
          <w:p w14:paraId="78FED121"/>
        </w:tc>
        <w:tc>
          <w:tcPr>
            <w:tcW w:w="1212" w:type="dxa"/>
          </w:tcPr>
          <w:p w14:paraId="1D3B6600"/>
        </w:tc>
        <w:tc>
          <w:tcPr>
            <w:tcW w:w="874" w:type="dxa"/>
          </w:tcPr>
          <w:p w14:paraId="2964D902"/>
        </w:tc>
        <w:tc>
          <w:tcPr>
            <w:tcW w:w="1055" w:type="dxa"/>
          </w:tcPr>
          <w:p w14:paraId="1339E4B4"/>
        </w:tc>
        <w:tc>
          <w:tcPr>
            <w:tcW w:w="691" w:type="dxa"/>
          </w:tcPr>
          <w:p w14:paraId="7FB246AC"/>
        </w:tc>
      </w:tr>
      <w:tr w14:paraId="0F885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35B0E6F8"/>
        </w:tc>
        <w:tc>
          <w:tcPr>
            <w:tcW w:w="1086" w:type="dxa"/>
          </w:tcPr>
          <w:p w14:paraId="0E47D05A"/>
        </w:tc>
        <w:tc>
          <w:tcPr>
            <w:tcW w:w="761" w:type="dxa"/>
          </w:tcPr>
          <w:p w14:paraId="05B8F85A"/>
        </w:tc>
        <w:tc>
          <w:tcPr>
            <w:tcW w:w="990" w:type="dxa"/>
          </w:tcPr>
          <w:p w14:paraId="132E6513"/>
        </w:tc>
        <w:tc>
          <w:tcPr>
            <w:tcW w:w="672" w:type="dxa"/>
          </w:tcPr>
          <w:p w14:paraId="48A645D2"/>
        </w:tc>
        <w:tc>
          <w:tcPr>
            <w:tcW w:w="738" w:type="dxa"/>
          </w:tcPr>
          <w:p w14:paraId="782F4ACF"/>
        </w:tc>
        <w:tc>
          <w:tcPr>
            <w:tcW w:w="1212" w:type="dxa"/>
          </w:tcPr>
          <w:p w14:paraId="70761DB9"/>
        </w:tc>
        <w:tc>
          <w:tcPr>
            <w:tcW w:w="874" w:type="dxa"/>
          </w:tcPr>
          <w:p w14:paraId="5136696B"/>
        </w:tc>
        <w:tc>
          <w:tcPr>
            <w:tcW w:w="1055" w:type="dxa"/>
          </w:tcPr>
          <w:p w14:paraId="70B91BDA"/>
        </w:tc>
        <w:tc>
          <w:tcPr>
            <w:tcW w:w="691" w:type="dxa"/>
          </w:tcPr>
          <w:p w14:paraId="16E3BD8C"/>
        </w:tc>
      </w:tr>
      <w:tr w14:paraId="3722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5" w:type="dxa"/>
          </w:tcPr>
          <w:p w14:paraId="459986F9"/>
        </w:tc>
        <w:tc>
          <w:tcPr>
            <w:tcW w:w="1086" w:type="dxa"/>
          </w:tcPr>
          <w:p w14:paraId="463259C1"/>
        </w:tc>
        <w:tc>
          <w:tcPr>
            <w:tcW w:w="761" w:type="dxa"/>
          </w:tcPr>
          <w:p w14:paraId="4ECE8598"/>
        </w:tc>
        <w:tc>
          <w:tcPr>
            <w:tcW w:w="990" w:type="dxa"/>
          </w:tcPr>
          <w:p w14:paraId="592412BF"/>
        </w:tc>
        <w:tc>
          <w:tcPr>
            <w:tcW w:w="672" w:type="dxa"/>
          </w:tcPr>
          <w:p w14:paraId="3F4F8342"/>
        </w:tc>
        <w:tc>
          <w:tcPr>
            <w:tcW w:w="738" w:type="dxa"/>
          </w:tcPr>
          <w:p w14:paraId="64DC5922"/>
        </w:tc>
        <w:tc>
          <w:tcPr>
            <w:tcW w:w="1212" w:type="dxa"/>
          </w:tcPr>
          <w:p w14:paraId="527C284D"/>
        </w:tc>
        <w:tc>
          <w:tcPr>
            <w:tcW w:w="874" w:type="dxa"/>
          </w:tcPr>
          <w:p w14:paraId="737B494C"/>
        </w:tc>
        <w:tc>
          <w:tcPr>
            <w:tcW w:w="1055" w:type="dxa"/>
          </w:tcPr>
          <w:p w14:paraId="7C3A5604"/>
        </w:tc>
        <w:tc>
          <w:tcPr>
            <w:tcW w:w="691" w:type="dxa"/>
          </w:tcPr>
          <w:p w14:paraId="33A03142"/>
        </w:tc>
      </w:tr>
    </w:tbl>
    <w:p w14:paraId="0F3CC329">
      <w:bookmarkStart w:id="1057" w:name="_Toc144974867"/>
      <w:bookmarkStart w:id="1058" w:name="_Toc152042588"/>
      <w:bookmarkStart w:id="1059" w:name="_Toc247085884"/>
      <w:bookmarkStart w:id="1060" w:name="_Toc296602611"/>
      <w:bookmarkStart w:id="1061" w:name="_Toc152045799"/>
      <w:bookmarkStart w:id="1062" w:name="_Toc179632819"/>
      <w:bookmarkStart w:id="1063" w:name="_Toc246997109"/>
      <w:bookmarkStart w:id="1064" w:name="_Toc246996366"/>
    </w:p>
    <w:p w14:paraId="50E62404">
      <w:bookmarkStart w:id="1065" w:name="_Toc71552353"/>
      <w:bookmarkStart w:id="1066" w:name="_Toc30978"/>
      <w:bookmarkStart w:id="1067" w:name="_Toc43721448"/>
      <w:bookmarkStart w:id="1068" w:name="_Toc71552387"/>
      <w:r>
        <w:br w:type="page"/>
      </w:r>
    </w:p>
    <w:p w14:paraId="44BFD281">
      <w:pPr>
        <w:pStyle w:val="5"/>
      </w:pPr>
      <w:r>
        <w:t>附表</w:t>
      </w:r>
      <w:r>
        <w:rPr>
          <w:rFonts w:hint="eastAsia"/>
        </w:rPr>
        <w:t>二</w:t>
      </w:r>
      <w:r>
        <w:t>：劳动力计划表</w:t>
      </w:r>
      <w:bookmarkEnd w:id="1057"/>
      <w:bookmarkEnd w:id="1058"/>
      <w:bookmarkEnd w:id="1059"/>
      <w:bookmarkEnd w:id="1060"/>
      <w:bookmarkEnd w:id="1061"/>
      <w:bookmarkEnd w:id="1062"/>
      <w:bookmarkEnd w:id="1063"/>
      <w:bookmarkEnd w:id="1064"/>
      <w:bookmarkEnd w:id="1065"/>
      <w:bookmarkEnd w:id="1066"/>
      <w:bookmarkEnd w:id="1067"/>
      <w:bookmarkEnd w:id="1068"/>
    </w:p>
    <w:p w14:paraId="7E9AA9AD">
      <w:r>
        <w:t>单位：人</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830"/>
      </w:tblGrid>
      <w:tr w14:paraId="1D4B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11ABFF75">
            <w:r>
              <w:t>工种</w:t>
            </w:r>
          </w:p>
        </w:tc>
        <w:tc>
          <w:tcPr>
            <w:tcW w:w="8459" w:type="dxa"/>
            <w:gridSpan w:val="7"/>
            <w:vAlign w:val="center"/>
          </w:tcPr>
          <w:p w14:paraId="33111567">
            <w:r>
              <w:t>按工程施工阶段投入劳动力情况</w:t>
            </w:r>
          </w:p>
        </w:tc>
      </w:tr>
      <w:tr w14:paraId="1A627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0E5D426C"/>
        </w:tc>
        <w:tc>
          <w:tcPr>
            <w:tcW w:w="1304" w:type="dxa"/>
            <w:vAlign w:val="center"/>
          </w:tcPr>
          <w:p w14:paraId="05BBF8DD"/>
        </w:tc>
        <w:tc>
          <w:tcPr>
            <w:tcW w:w="1065" w:type="dxa"/>
            <w:vAlign w:val="center"/>
          </w:tcPr>
          <w:p w14:paraId="256B57A9"/>
        </w:tc>
        <w:tc>
          <w:tcPr>
            <w:tcW w:w="1065" w:type="dxa"/>
            <w:vAlign w:val="center"/>
          </w:tcPr>
          <w:p w14:paraId="6F7BED60"/>
        </w:tc>
        <w:tc>
          <w:tcPr>
            <w:tcW w:w="1065" w:type="dxa"/>
            <w:vAlign w:val="center"/>
          </w:tcPr>
          <w:p w14:paraId="7240EDE2"/>
        </w:tc>
        <w:tc>
          <w:tcPr>
            <w:tcW w:w="1065" w:type="dxa"/>
            <w:vAlign w:val="center"/>
          </w:tcPr>
          <w:p w14:paraId="4158ED1C"/>
        </w:tc>
        <w:tc>
          <w:tcPr>
            <w:tcW w:w="1065" w:type="dxa"/>
            <w:vAlign w:val="center"/>
          </w:tcPr>
          <w:p w14:paraId="720049C0"/>
        </w:tc>
        <w:tc>
          <w:tcPr>
            <w:tcW w:w="1830" w:type="dxa"/>
            <w:vAlign w:val="center"/>
          </w:tcPr>
          <w:p w14:paraId="28E442FE"/>
        </w:tc>
      </w:tr>
      <w:tr w14:paraId="4516B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vAlign w:val="center"/>
          </w:tcPr>
          <w:p w14:paraId="77129B5E"/>
        </w:tc>
        <w:tc>
          <w:tcPr>
            <w:tcW w:w="1304" w:type="dxa"/>
            <w:vAlign w:val="center"/>
          </w:tcPr>
          <w:p w14:paraId="2A4C7D05"/>
        </w:tc>
        <w:tc>
          <w:tcPr>
            <w:tcW w:w="1065" w:type="dxa"/>
            <w:vAlign w:val="center"/>
          </w:tcPr>
          <w:p w14:paraId="59B0F64C"/>
        </w:tc>
        <w:tc>
          <w:tcPr>
            <w:tcW w:w="1065" w:type="dxa"/>
            <w:vAlign w:val="center"/>
          </w:tcPr>
          <w:p w14:paraId="18B12A7B"/>
        </w:tc>
        <w:tc>
          <w:tcPr>
            <w:tcW w:w="1065" w:type="dxa"/>
            <w:vAlign w:val="center"/>
          </w:tcPr>
          <w:p w14:paraId="290BCA8B"/>
        </w:tc>
        <w:tc>
          <w:tcPr>
            <w:tcW w:w="1065" w:type="dxa"/>
            <w:vAlign w:val="center"/>
          </w:tcPr>
          <w:p w14:paraId="2F62686A"/>
        </w:tc>
        <w:tc>
          <w:tcPr>
            <w:tcW w:w="1065" w:type="dxa"/>
            <w:vAlign w:val="center"/>
          </w:tcPr>
          <w:p w14:paraId="3F75D008"/>
        </w:tc>
        <w:tc>
          <w:tcPr>
            <w:tcW w:w="1830" w:type="dxa"/>
            <w:vAlign w:val="center"/>
          </w:tcPr>
          <w:p w14:paraId="501FD8B1"/>
        </w:tc>
      </w:tr>
      <w:tr w14:paraId="6C7C6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1C75C14C"/>
        </w:tc>
        <w:tc>
          <w:tcPr>
            <w:tcW w:w="1304" w:type="dxa"/>
          </w:tcPr>
          <w:p w14:paraId="0054C41B"/>
        </w:tc>
        <w:tc>
          <w:tcPr>
            <w:tcW w:w="1065" w:type="dxa"/>
          </w:tcPr>
          <w:p w14:paraId="153B38E5"/>
        </w:tc>
        <w:tc>
          <w:tcPr>
            <w:tcW w:w="1065" w:type="dxa"/>
          </w:tcPr>
          <w:p w14:paraId="6C0D5F5D"/>
        </w:tc>
        <w:tc>
          <w:tcPr>
            <w:tcW w:w="1065" w:type="dxa"/>
          </w:tcPr>
          <w:p w14:paraId="6930E422"/>
        </w:tc>
        <w:tc>
          <w:tcPr>
            <w:tcW w:w="1065" w:type="dxa"/>
          </w:tcPr>
          <w:p w14:paraId="6D6A6583"/>
        </w:tc>
        <w:tc>
          <w:tcPr>
            <w:tcW w:w="1065" w:type="dxa"/>
          </w:tcPr>
          <w:p w14:paraId="0EA1E24B"/>
        </w:tc>
        <w:tc>
          <w:tcPr>
            <w:tcW w:w="1830" w:type="dxa"/>
          </w:tcPr>
          <w:p w14:paraId="5A1118F4"/>
        </w:tc>
      </w:tr>
      <w:tr w14:paraId="6989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1EB3BBC"/>
        </w:tc>
        <w:tc>
          <w:tcPr>
            <w:tcW w:w="1304" w:type="dxa"/>
          </w:tcPr>
          <w:p w14:paraId="5CBA0629"/>
        </w:tc>
        <w:tc>
          <w:tcPr>
            <w:tcW w:w="1065" w:type="dxa"/>
          </w:tcPr>
          <w:p w14:paraId="0384E94E"/>
        </w:tc>
        <w:tc>
          <w:tcPr>
            <w:tcW w:w="1065" w:type="dxa"/>
          </w:tcPr>
          <w:p w14:paraId="1C14D74E"/>
        </w:tc>
        <w:tc>
          <w:tcPr>
            <w:tcW w:w="1065" w:type="dxa"/>
          </w:tcPr>
          <w:p w14:paraId="30C8DFFE"/>
        </w:tc>
        <w:tc>
          <w:tcPr>
            <w:tcW w:w="1065" w:type="dxa"/>
          </w:tcPr>
          <w:p w14:paraId="5BE14CB0"/>
        </w:tc>
        <w:tc>
          <w:tcPr>
            <w:tcW w:w="1065" w:type="dxa"/>
          </w:tcPr>
          <w:p w14:paraId="030182D2"/>
        </w:tc>
        <w:tc>
          <w:tcPr>
            <w:tcW w:w="1830" w:type="dxa"/>
          </w:tcPr>
          <w:p w14:paraId="230FA099"/>
        </w:tc>
      </w:tr>
      <w:tr w14:paraId="1B86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2432560"/>
        </w:tc>
        <w:tc>
          <w:tcPr>
            <w:tcW w:w="1304" w:type="dxa"/>
          </w:tcPr>
          <w:p w14:paraId="215C6DD4"/>
        </w:tc>
        <w:tc>
          <w:tcPr>
            <w:tcW w:w="1065" w:type="dxa"/>
          </w:tcPr>
          <w:p w14:paraId="6D57865C"/>
        </w:tc>
        <w:tc>
          <w:tcPr>
            <w:tcW w:w="1065" w:type="dxa"/>
          </w:tcPr>
          <w:p w14:paraId="5B608EBC"/>
        </w:tc>
        <w:tc>
          <w:tcPr>
            <w:tcW w:w="1065" w:type="dxa"/>
          </w:tcPr>
          <w:p w14:paraId="6C435652"/>
        </w:tc>
        <w:tc>
          <w:tcPr>
            <w:tcW w:w="1065" w:type="dxa"/>
          </w:tcPr>
          <w:p w14:paraId="3DC54150"/>
        </w:tc>
        <w:tc>
          <w:tcPr>
            <w:tcW w:w="1065" w:type="dxa"/>
          </w:tcPr>
          <w:p w14:paraId="46697D03"/>
        </w:tc>
        <w:tc>
          <w:tcPr>
            <w:tcW w:w="1830" w:type="dxa"/>
          </w:tcPr>
          <w:p w14:paraId="77400F9C"/>
        </w:tc>
      </w:tr>
      <w:tr w14:paraId="3C57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4D67C1CF"/>
        </w:tc>
        <w:tc>
          <w:tcPr>
            <w:tcW w:w="1304" w:type="dxa"/>
          </w:tcPr>
          <w:p w14:paraId="20F8C548"/>
        </w:tc>
        <w:tc>
          <w:tcPr>
            <w:tcW w:w="1065" w:type="dxa"/>
          </w:tcPr>
          <w:p w14:paraId="3AA1C38D"/>
        </w:tc>
        <w:tc>
          <w:tcPr>
            <w:tcW w:w="1065" w:type="dxa"/>
          </w:tcPr>
          <w:p w14:paraId="2AA0FC76"/>
        </w:tc>
        <w:tc>
          <w:tcPr>
            <w:tcW w:w="1065" w:type="dxa"/>
          </w:tcPr>
          <w:p w14:paraId="1FEA0B77"/>
        </w:tc>
        <w:tc>
          <w:tcPr>
            <w:tcW w:w="1065" w:type="dxa"/>
          </w:tcPr>
          <w:p w14:paraId="65ACBC79"/>
        </w:tc>
        <w:tc>
          <w:tcPr>
            <w:tcW w:w="1065" w:type="dxa"/>
          </w:tcPr>
          <w:p w14:paraId="6DE75355"/>
        </w:tc>
        <w:tc>
          <w:tcPr>
            <w:tcW w:w="1830" w:type="dxa"/>
          </w:tcPr>
          <w:p w14:paraId="3173D3AF"/>
        </w:tc>
      </w:tr>
      <w:tr w14:paraId="4C98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779D73E6"/>
        </w:tc>
        <w:tc>
          <w:tcPr>
            <w:tcW w:w="1304" w:type="dxa"/>
          </w:tcPr>
          <w:p w14:paraId="500D8B1E"/>
        </w:tc>
        <w:tc>
          <w:tcPr>
            <w:tcW w:w="1065" w:type="dxa"/>
          </w:tcPr>
          <w:p w14:paraId="58109479"/>
        </w:tc>
        <w:tc>
          <w:tcPr>
            <w:tcW w:w="1065" w:type="dxa"/>
          </w:tcPr>
          <w:p w14:paraId="651D7106"/>
        </w:tc>
        <w:tc>
          <w:tcPr>
            <w:tcW w:w="1065" w:type="dxa"/>
          </w:tcPr>
          <w:p w14:paraId="0CD69422"/>
        </w:tc>
        <w:tc>
          <w:tcPr>
            <w:tcW w:w="1065" w:type="dxa"/>
          </w:tcPr>
          <w:p w14:paraId="311DB5B7"/>
        </w:tc>
        <w:tc>
          <w:tcPr>
            <w:tcW w:w="1065" w:type="dxa"/>
          </w:tcPr>
          <w:p w14:paraId="7420E9AE"/>
        </w:tc>
        <w:tc>
          <w:tcPr>
            <w:tcW w:w="1830" w:type="dxa"/>
          </w:tcPr>
          <w:p w14:paraId="4B602544"/>
        </w:tc>
      </w:tr>
      <w:tr w14:paraId="1416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518BED62"/>
        </w:tc>
        <w:tc>
          <w:tcPr>
            <w:tcW w:w="1304" w:type="dxa"/>
          </w:tcPr>
          <w:p w14:paraId="1E5C8BE6"/>
        </w:tc>
        <w:tc>
          <w:tcPr>
            <w:tcW w:w="1065" w:type="dxa"/>
          </w:tcPr>
          <w:p w14:paraId="4ECD7E31"/>
        </w:tc>
        <w:tc>
          <w:tcPr>
            <w:tcW w:w="1065" w:type="dxa"/>
          </w:tcPr>
          <w:p w14:paraId="6FC40F07"/>
        </w:tc>
        <w:tc>
          <w:tcPr>
            <w:tcW w:w="1065" w:type="dxa"/>
          </w:tcPr>
          <w:p w14:paraId="7322DE99"/>
        </w:tc>
        <w:tc>
          <w:tcPr>
            <w:tcW w:w="1065" w:type="dxa"/>
          </w:tcPr>
          <w:p w14:paraId="6AF1E224"/>
        </w:tc>
        <w:tc>
          <w:tcPr>
            <w:tcW w:w="1065" w:type="dxa"/>
          </w:tcPr>
          <w:p w14:paraId="2F1506EA"/>
        </w:tc>
        <w:tc>
          <w:tcPr>
            <w:tcW w:w="1830" w:type="dxa"/>
          </w:tcPr>
          <w:p w14:paraId="3EE57E35"/>
        </w:tc>
      </w:tr>
      <w:tr w14:paraId="0886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Pr>
          <w:p w14:paraId="0D3D40A6"/>
        </w:tc>
        <w:tc>
          <w:tcPr>
            <w:tcW w:w="1304" w:type="dxa"/>
          </w:tcPr>
          <w:p w14:paraId="0EB6576D"/>
        </w:tc>
        <w:tc>
          <w:tcPr>
            <w:tcW w:w="1065" w:type="dxa"/>
          </w:tcPr>
          <w:p w14:paraId="2CD29DFC"/>
        </w:tc>
        <w:tc>
          <w:tcPr>
            <w:tcW w:w="1065" w:type="dxa"/>
          </w:tcPr>
          <w:p w14:paraId="0D682B0A"/>
        </w:tc>
        <w:tc>
          <w:tcPr>
            <w:tcW w:w="1065" w:type="dxa"/>
          </w:tcPr>
          <w:p w14:paraId="61B509DD"/>
        </w:tc>
        <w:tc>
          <w:tcPr>
            <w:tcW w:w="1065" w:type="dxa"/>
          </w:tcPr>
          <w:p w14:paraId="12DFCD58"/>
        </w:tc>
        <w:tc>
          <w:tcPr>
            <w:tcW w:w="1065" w:type="dxa"/>
          </w:tcPr>
          <w:p w14:paraId="282A2BBC"/>
        </w:tc>
        <w:tc>
          <w:tcPr>
            <w:tcW w:w="1830" w:type="dxa"/>
          </w:tcPr>
          <w:p w14:paraId="3711F57A"/>
        </w:tc>
      </w:tr>
    </w:tbl>
    <w:p w14:paraId="2AE26B2A">
      <w:bookmarkStart w:id="1069" w:name="_Toc71552388"/>
      <w:bookmarkStart w:id="1070" w:name="_Toc71552354"/>
      <w:bookmarkStart w:id="1071" w:name="_Toc43721449"/>
      <w:bookmarkStart w:id="1072" w:name="_Toc246996367"/>
      <w:bookmarkStart w:id="1073" w:name="_Toc179632820"/>
      <w:bookmarkStart w:id="1074" w:name="_Toc152045800"/>
      <w:bookmarkStart w:id="1075" w:name="_Toc246997110"/>
      <w:bookmarkStart w:id="1076" w:name="_Toc144974868"/>
      <w:bookmarkStart w:id="1077" w:name="_Toc152042589"/>
    </w:p>
    <w:p w14:paraId="2E636086"/>
    <w:p w14:paraId="7C43DC19">
      <w:pPr>
        <w:pStyle w:val="5"/>
      </w:pPr>
      <w:bookmarkStart w:id="1078" w:name="_Toc13611"/>
      <w:r>
        <w:t>附表</w:t>
      </w:r>
      <w:r>
        <w:rPr>
          <w:rFonts w:hint="eastAsia"/>
        </w:rPr>
        <w:t>三</w:t>
      </w:r>
      <w:r>
        <w:t>：</w:t>
      </w:r>
      <w:r>
        <w:rPr>
          <w:rFonts w:hint="eastAsia"/>
        </w:rPr>
        <w:t>拟配备本工程的试验和检测仪器设备表</w:t>
      </w:r>
      <w:bookmarkEnd w:id="1069"/>
      <w:bookmarkEnd w:id="1070"/>
      <w:bookmarkEnd w:id="1071"/>
      <w:bookmarkEnd w:id="1078"/>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656"/>
        <w:gridCol w:w="1224"/>
        <w:gridCol w:w="881"/>
        <w:gridCol w:w="816"/>
        <w:gridCol w:w="816"/>
        <w:gridCol w:w="1327"/>
        <w:gridCol w:w="1294"/>
        <w:gridCol w:w="812"/>
      </w:tblGrid>
      <w:tr w14:paraId="789A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vAlign w:val="center"/>
          </w:tcPr>
          <w:p w14:paraId="7C4BB120">
            <w:pPr>
              <w:pStyle w:val="19"/>
            </w:pPr>
            <w:r>
              <w:rPr>
                <w:rFonts w:hint="eastAsia"/>
              </w:rPr>
              <w:t>序号</w:t>
            </w:r>
          </w:p>
        </w:tc>
        <w:tc>
          <w:tcPr>
            <w:tcW w:w="1656" w:type="dxa"/>
            <w:vAlign w:val="center"/>
          </w:tcPr>
          <w:p w14:paraId="6EED556E">
            <w:pPr>
              <w:pStyle w:val="19"/>
            </w:pPr>
            <w:r>
              <w:rPr>
                <w:rFonts w:hint="eastAsia"/>
              </w:rPr>
              <w:t>仪器设备名称</w:t>
            </w:r>
          </w:p>
        </w:tc>
        <w:tc>
          <w:tcPr>
            <w:tcW w:w="1224" w:type="dxa"/>
            <w:vAlign w:val="center"/>
          </w:tcPr>
          <w:p w14:paraId="62259580">
            <w:pPr>
              <w:pStyle w:val="19"/>
            </w:pPr>
            <w:r>
              <w:rPr>
                <w:rFonts w:hint="eastAsia"/>
              </w:rPr>
              <w:t>型号规格</w:t>
            </w:r>
          </w:p>
        </w:tc>
        <w:tc>
          <w:tcPr>
            <w:tcW w:w="881" w:type="dxa"/>
            <w:vAlign w:val="center"/>
          </w:tcPr>
          <w:p w14:paraId="335E426F">
            <w:pPr>
              <w:pStyle w:val="19"/>
            </w:pPr>
            <w:r>
              <w:rPr>
                <w:rFonts w:hint="eastAsia"/>
              </w:rPr>
              <w:t>数量</w:t>
            </w:r>
          </w:p>
        </w:tc>
        <w:tc>
          <w:tcPr>
            <w:tcW w:w="816" w:type="dxa"/>
            <w:vAlign w:val="center"/>
          </w:tcPr>
          <w:p w14:paraId="20A9D832">
            <w:pPr>
              <w:pStyle w:val="19"/>
            </w:pPr>
            <w:r>
              <w:rPr>
                <w:rFonts w:hint="eastAsia"/>
              </w:rPr>
              <w:t>国别</w:t>
            </w:r>
          </w:p>
          <w:p w14:paraId="5D57E1A6">
            <w:pPr>
              <w:pStyle w:val="19"/>
            </w:pPr>
            <w:r>
              <w:rPr>
                <w:rFonts w:hint="eastAsia"/>
              </w:rPr>
              <w:t>产地</w:t>
            </w:r>
          </w:p>
        </w:tc>
        <w:tc>
          <w:tcPr>
            <w:tcW w:w="816" w:type="dxa"/>
            <w:vAlign w:val="center"/>
          </w:tcPr>
          <w:p w14:paraId="190773CA">
            <w:pPr>
              <w:pStyle w:val="19"/>
            </w:pPr>
            <w:r>
              <w:rPr>
                <w:rFonts w:hint="eastAsia"/>
              </w:rPr>
              <w:t>制造</w:t>
            </w:r>
          </w:p>
          <w:p w14:paraId="4635D980">
            <w:pPr>
              <w:pStyle w:val="19"/>
            </w:pPr>
            <w:r>
              <w:rPr>
                <w:rFonts w:hint="eastAsia"/>
              </w:rPr>
              <w:t>年份</w:t>
            </w:r>
          </w:p>
        </w:tc>
        <w:tc>
          <w:tcPr>
            <w:tcW w:w="1327" w:type="dxa"/>
            <w:vAlign w:val="center"/>
          </w:tcPr>
          <w:p w14:paraId="6758D31D">
            <w:pPr>
              <w:pStyle w:val="19"/>
            </w:pPr>
            <w:r>
              <w:rPr>
                <w:rFonts w:hint="eastAsia"/>
              </w:rPr>
              <w:t>已使用台时数</w:t>
            </w:r>
          </w:p>
        </w:tc>
        <w:tc>
          <w:tcPr>
            <w:tcW w:w="1294" w:type="dxa"/>
            <w:vAlign w:val="center"/>
          </w:tcPr>
          <w:p w14:paraId="24CF7031">
            <w:pPr>
              <w:pStyle w:val="19"/>
            </w:pPr>
            <w:r>
              <w:rPr>
                <w:rFonts w:hint="eastAsia"/>
              </w:rPr>
              <w:t>用途</w:t>
            </w:r>
          </w:p>
        </w:tc>
        <w:tc>
          <w:tcPr>
            <w:tcW w:w="812" w:type="dxa"/>
            <w:vAlign w:val="center"/>
          </w:tcPr>
          <w:p w14:paraId="503C0E35">
            <w:pPr>
              <w:pStyle w:val="19"/>
            </w:pPr>
            <w:r>
              <w:rPr>
                <w:rFonts w:hint="eastAsia"/>
              </w:rPr>
              <w:t>备注</w:t>
            </w:r>
          </w:p>
        </w:tc>
      </w:tr>
      <w:tr w14:paraId="77F8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7845A525">
            <w:pPr>
              <w:pStyle w:val="19"/>
            </w:pPr>
          </w:p>
        </w:tc>
        <w:tc>
          <w:tcPr>
            <w:tcW w:w="1656" w:type="dxa"/>
          </w:tcPr>
          <w:p w14:paraId="291D5692">
            <w:pPr>
              <w:pStyle w:val="19"/>
            </w:pPr>
          </w:p>
        </w:tc>
        <w:tc>
          <w:tcPr>
            <w:tcW w:w="1224" w:type="dxa"/>
          </w:tcPr>
          <w:p w14:paraId="4352B43F">
            <w:pPr>
              <w:pStyle w:val="19"/>
            </w:pPr>
          </w:p>
        </w:tc>
        <w:tc>
          <w:tcPr>
            <w:tcW w:w="881" w:type="dxa"/>
          </w:tcPr>
          <w:p w14:paraId="6F5D5045">
            <w:pPr>
              <w:pStyle w:val="19"/>
            </w:pPr>
          </w:p>
        </w:tc>
        <w:tc>
          <w:tcPr>
            <w:tcW w:w="816" w:type="dxa"/>
          </w:tcPr>
          <w:p w14:paraId="63473436">
            <w:pPr>
              <w:pStyle w:val="19"/>
            </w:pPr>
          </w:p>
        </w:tc>
        <w:tc>
          <w:tcPr>
            <w:tcW w:w="816" w:type="dxa"/>
          </w:tcPr>
          <w:p w14:paraId="12A25520">
            <w:pPr>
              <w:pStyle w:val="19"/>
            </w:pPr>
          </w:p>
        </w:tc>
        <w:tc>
          <w:tcPr>
            <w:tcW w:w="1327" w:type="dxa"/>
          </w:tcPr>
          <w:p w14:paraId="4DC7A57F">
            <w:pPr>
              <w:pStyle w:val="19"/>
            </w:pPr>
          </w:p>
        </w:tc>
        <w:tc>
          <w:tcPr>
            <w:tcW w:w="1294" w:type="dxa"/>
          </w:tcPr>
          <w:p w14:paraId="36E687EE">
            <w:pPr>
              <w:pStyle w:val="19"/>
            </w:pPr>
          </w:p>
        </w:tc>
        <w:tc>
          <w:tcPr>
            <w:tcW w:w="812" w:type="dxa"/>
          </w:tcPr>
          <w:p w14:paraId="4B8A43A1">
            <w:pPr>
              <w:pStyle w:val="19"/>
            </w:pPr>
          </w:p>
        </w:tc>
      </w:tr>
      <w:tr w14:paraId="5A55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1463349B">
            <w:pPr>
              <w:pStyle w:val="19"/>
            </w:pPr>
          </w:p>
        </w:tc>
        <w:tc>
          <w:tcPr>
            <w:tcW w:w="1656" w:type="dxa"/>
          </w:tcPr>
          <w:p w14:paraId="371413D8">
            <w:pPr>
              <w:pStyle w:val="19"/>
            </w:pPr>
          </w:p>
        </w:tc>
        <w:tc>
          <w:tcPr>
            <w:tcW w:w="1224" w:type="dxa"/>
          </w:tcPr>
          <w:p w14:paraId="4AA82E74">
            <w:pPr>
              <w:pStyle w:val="19"/>
            </w:pPr>
          </w:p>
        </w:tc>
        <w:tc>
          <w:tcPr>
            <w:tcW w:w="881" w:type="dxa"/>
          </w:tcPr>
          <w:p w14:paraId="1E39C3D4">
            <w:pPr>
              <w:pStyle w:val="19"/>
            </w:pPr>
          </w:p>
        </w:tc>
        <w:tc>
          <w:tcPr>
            <w:tcW w:w="816" w:type="dxa"/>
          </w:tcPr>
          <w:p w14:paraId="153BB016">
            <w:pPr>
              <w:pStyle w:val="19"/>
            </w:pPr>
          </w:p>
        </w:tc>
        <w:tc>
          <w:tcPr>
            <w:tcW w:w="816" w:type="dxa"/>
          </w:tcPr>
          <w:p w14:paraId="0D00F753">
            <w:pPr>
              <w:pStyle w:val="19"/>
            </w:pPr>
          </w:p>
        </w:tc>
        <w:tc>
          <w:tcPr>
            <w:tcW w:w="1327" w:type="dxa"/>
          </w:tcPr>
          <w:p w14:paraId="3C75E820">
            <w:pPr>
              <w:pStyle w:val="19"/>
            </w:pPr>
          </w:p>
        </w:tc>
        <w:tc>
          <w:tcPr>
            <w:tcW w:w="1294" w:type="dxa"/>
          </w:tcPr>
          <w:p w14:paraId="25AD75FE">
            <w:pPr>
              <w:pStyle w:val="19"/>
            </w:pPr>
          </w:p>
        </w:tc>
        <w:tc>
          <w:tcPr>
            <w:tcW w:w="812" w:type="dxa"/>
          </w:tcPr>
          <w:p w14:paraId="73963A33">
            <w:pPr>
              <w:pStyle w:val="19"/>
            </w:pPr>
          </w:p>
        </w:tc>
      </w:tr>
      <w:tr w14:paraId="1D809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1C821807">
            <w:pPr>
              <w:pStyle w:val="19"/>
            </w:pPr>
          </w:p>
        </w:tc>
        <w:tc>
          <w:tcPr>
            <w:tcW w:w="1656" w:type="dxa"/>
          </w:tcPr>
          <w:p w14:paraId="5D062F47">
            <w:pPr>
              <w:pStyle w:val="19"/>
            </w:pPr>
          </w:p>
        </w:tc>
        <w:tc>
          <w:tcPr>
            <w:tcW w:w="1224" w:type="dxa"/>
          </w:tcPr>
          <w:p w14:paraId="7001DA2B">
            <w:pPr>
              <w:pStyle w:val="19"/>
            </w:pPr>
          </w:p>
        </w:tc>
        <w:tc>
          <w:tcPr>
            <w:tcW w:w="881" w:type="dxa"/>
          </w:tcPr>
          <w:p w14:paraId="4BFE4A45">
            <w:pPr>
              <w:pStyle w:val="19"/>
            </w:pPr>
          </w:p>
        </w:tc>
        <w:tc>
          <w:tcPr>
            <w:tcW w:w="816" w:type="dxa"/>
          </w:tcPr>
          <w:p w14:paraId="053F648A">
            <w:pPr>
              <w:pStyle w:val="19"/>
            </w:pPr>
          </w:p>
        </w:tc>
        <w:tc>
          <w:tcPr>
            <w:tcW w:w="816" w:type="dxa"/>
          </w:tcPr>
          <w:p w14:paraId="3D73DBAA">
            <w:pPr>
              <w:pStyle w:val="19"/>
            </w:pPr>
          </w:p>
        </w:tc>
        <w:tc>
          <w:tcPr>
            <w:tcW w:w="1327" w:type="dxa"/>
          </w:tcPr>
          <w:p w14:paraId="0EF89D48">
            <w:pPr>
              <w:pStyle w:val="19"/>
            </w:pPr>
          </w:p>
        </w:tc>
        <w:tc>
          <w:tcPr>
            <w:tcW w:w="1294" w:type="dxa"/>
          </w:tcPr>
          <w:p w14:paraId="36DA5865">
            <w:pPr>
              <w:pStyle w:val="19"/>
            </w:pPr>
          </w:p>
        </w:tc>
        <w:tc>
          <w:tcPr>
            <w:tcW w:w="812" w:type="dxa"/>
          </w:tcPr>
          <w:p w14:paraId="22E8EB43">
            <w:pPr>
              <w:pStyle w:val="19"/>
            </w:pPr>
          </w:p>
        </w:tc>
      </w:tr>
      <w:tr w14:paraId="1EDC6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1E8D3A87">
            <w:pPr>
              <w:pStyle w:val="19"/>
            </w:pPr>
          </w:p>
        </w:tc>
        <w:tc>
          <w:tcPr>
            <w:tcW w:w="1656" w:type="dxa"/>
          </w:tcPr>
          <w:p w14:paraId="2CE02E9C">
            <w:pPr>
              <w:pStyle w:val="19"/>
            </w:pPr>
          </w:p>
        </w:tc>
        <w:tc>
          <w:tcPr>
            <w:tcW w:w="1224" w:type="dxa"/>
          </w:tcPr>
          <w:p w14:paraId="60957FDD">
            <w:pPr>
              <w:pStyle w:val="19"/>
            </w:pPr>
          </w:p>
        </w:tc>
        <w:tc>
          <w:tcPr>
            <w:tcW w:w="881" w:type="dxa"/>
          </w:tcPr>
          <w:p w14:paraId="6FD6AAC2">
            <w:pPr>
              <w:pStyle w:val="19"/>
            </w:pPr>
          </w:p>
        </w:tc>
        <w:tc>
          <w:tcPr>
            <w:tcW w:w="816" w:type="dxa"/>
          </w:tcPr>
          <w:p w14:paraId="61FCB26C">
            <w:pPr>
              <w:pStyle w:val="19"/>
            </w:pPr>
          </w:p>
        </w:tc>
        <w:tc>
          <w:tcPr>
            <w:tcW w:w="816" w:type="dxa"/>
          </w:tcPr>
          <w:p w14:paraId="10A4EE74">
            <w:pPr>
              <w:pStyle w:val="19"/>
            </w:pPr>
          </w:p>
        </w:tc>
        <w:tc>
          <w:tcPr>
            <w:tcW w:w="1327" w:type="dxa"/>
          </w:tcPr>
          <w:p w14:paraId="12B78943">
            <w:pPr>
              <w:pStyle w:val="19"/>
            </w:pPr>
          </w:p>
        </w:tc>
        <w:tc>
          <w:tcPr>
            <w:tcW w:w="1294" w:type="dxa"/>
          </w:tcPr>
          <w:p w14:paraId="0731F611">
            <w:pPr>
              <w:pStyle w:val="19"/>
            </w:pPr>
          </w:p>
        </w:tc>
        <w:tc>
          <w:tcPr>
            <w:tcW w:w="812" w:type="dxa"/>
          </w:tcPr>
          <w:p w14:paraId="7AAA8609">
            <w:pPr>
              <w:pStyle w:val="19"/>
            </w:pPr>
          </w:p>
        </w:tc>
      </w:tr>
      <w:tr w14:paraId="2B5B3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4D43C252">
            <w:pPr>
              <w:pStyle w:val="19"/>
            </w:pPr>
          </w:p>
        </w:tc>
        <w:tc>
          <w:tcPr>
            <w:tcW w:w="1656" w:type="dxa"/>
          </w:tcPr>
          <w:p w14:paraId="5960188E">
            <w:pPr>
              <w:pStyle w:val="19"/>
            </w:pPr>
          </w:p>
        </w:tc>
        <w:tc>
          <w:tcPr>
            <w:tcW w:w="1224" w:type="dxa"/>
          </w:tcPr>
          <w:p w14:paraId="4ED8A79C">
            <w:pPr>
              <w:pStyle w:val="19"/>
            </w:pPr>
          </w:p>
        </w:tc>
        <w:tc>
          <w:tcPr>
            <w:tcW w:w="881" w:type="dxa"/>
          </w:tcPr>
          <w:p w14:paraId="69452D69">
            <w:pPr>
              <w:pStyle w:val="19"/>
            </w:pPr>
          </w:p>
        </w:tc>
        <w:tc>
          <w:tcPr>
            <w:tcW w:w="816" w:type="dxa"/>
          </w:tcPr>
          <w:p w14:paraId="2B5CB860">
            <w:pPr>
              <w:pStyle w:val="19"/>
            </w:pPr>
          </w:p>
        </w:tc>
        <w:tc>
          <w:tcPr>
            <w:tcW w:w="816" w:type="dxa"/>
          </w:tcPr>
          <w:p w14:paraId="5FB4BDB1">
            <w:pPr>
              <w:pStyle w:val="19"/>
            </w:pPr>
          </w:p>
        </w:tc>
        <w:tc>
          <w:tcPr>
            <w:tcW w:w="1327" w:type="dxa"/>
          </w:tcPr>
          <w:p w14:paraId="74834AB2">
            <w:pPr>
              <w:pStyle w:val="19"/>
            </w:pPr>
          </w:p>
        </w:tc>
        <w:tc>
          <w:tcPr>
            <w:tcW w:w="1294" w:type="dxa"/>
          </w:tcPr>
          <w:p w14:paraId="424FB545">
            <w:pPr>
              <w:pStyle w:val="19"/>
            </w:pPr>
          </w:p>
        </w:tc>
        <w:tc>
          <w:tcPr>
            <w:tcW w:w="812" w:type="dxa"/>
          </w:tcPr>
          <w:p w14:paraId="33655065">
            <w:pPr>
              <w:pStyle w:val="19"/>
            </w:pPr>
          </w:p>
        </w:tc>
      </w:tr>
      <w:tr w14:paraId="5481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14BA5493">
            <w:pPr>
              <w:pStyle w:val="19"/>
            </w:pPr>
          </w:p>
        </w:tc>
        <w:tc>
          <w:tcPr>
            <w:tcW w:w="1656" w:type="dxa"/>
          </w:tcPr>
          <w:p w14:paraId="473CFE51">
            <w:pPr>
              <w:pStyle w:val="19"/>
            </w:pPr>
          </w:p>
        </w:tc>
        <w:tc>
          <w:tcPr>
            <w:tcW w:w="1224" w:type="dxa"/>
          </w:tcPr>
          <w:p w14:paraId="655C4988">
            <w:pPr>
              <w:pStyle w:val="19"/>
            </w:pPr>
          </w:p>
        </w:tc>
        <w:tc>
          <w:tcPr>
            <w:tcW w:w="881" w:type="dxa"/>
          </w:tcPr>
          <w:p w14:paraId="66F9CA91">
            <w:pPr>
              <w:pStyle w:val="19"/>
            </w:pPr>
          </w:p>
        </w:tc>
        <w:tc>
          <w:tcPr>
            <w:tcW w:w="816" w:type="dxa"/>
          </w:tcPr>
          <w:p w14:paraId="31D339DA">
            <w:pPr>
              <w:pStyle w:val="19"/>
            </w:pPr>
          </w:p>
        </w:tc>
        <w:tc>
          <w:tcPr>
            <w:tcW w:w="816" w:type="dxa"/>
          </w:tcPr>
          <w:p w14:paraId="10CA5408">
            <w:pPr>
              <w:pStyle w:val="19"/>
            </w:pPr>
          </w:p>
        </w:tc>
        <w:tc>
          <w:tcPr>
            <w:tcW w:w="1327" w:type="dxa"/>
          </w:tcPr>
          <w:p w14:paraId="70AA7FD2">
            <w:pPr>
              <w:pStyle w:val="19"/>
            </w:pPr>
          </w:p>
        </w:tc>
        <w:tc>
          <w:tcPr>
            <w:tcW w:w="1294" w:type="dxa"/>
          </w:tcPr>
          <w:p w14:paraId="2C3138E4">
            <w:pPr>
              <w:pStyle w:val="19"/>
            </w:pPr>
          </w:p>
        </w:tc>
        <w:tc>
          <w:tcPr>
            <w:tcW w:w="812" w:type="dxa"/>
          </w:tcPr>
          <w:p w14:paraId="27B3AC45">
            <w:pPr>
              <w:pStyle w:val="19"/>
            </w:pPr>
          </w:p>
        </w:tc>
      </w:tr>
      <w:tr w14:paraId="2B814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6F913A57">
            <w:pPr>
              <w:pStyle w:val="19"/>
            </w:pPr>
          </w:p>
        </w:tc>
        <w:tc>
          <w:tcPr>
            <w:tcW w:w="1656" w:type="dxa"/>
          </w:tcPr>
          <w:p w14:paraId="2D047BCB">
            <w:pPr>
              <w:pStyle w:val="19"/>
            </w:pPr>
          </w:p>
        </w:tc>
        <w:tc>
          <w:tcPr>
            <w:tcW w:w="1224" w:type="dxa"/>
          </w:tcPr>
          <w:p w14:paraId="12E1A60C">
            <w:pPr>
              <w:pStyle w:val="19"/>
            </w:pPr>
          </w:p>
        </w:tc>
        <w:tc>
          <w:tcPr>
            <w:tcW w:w="881" w:type="dxa"/>
          </w:tcPr>
          <w:p w14:paraId="72C038B5">
            <w:pPr>
              <w:pStyle w:val="19"/>
            </w:pPr>
          </w:p>
        </w:tc>
        <w:tc>
          <w:tcPr>
            <w:tcW w:w="816" w:type="dxa"/>
          </w:tcPr>
          <w:p w14:paraId="7CCE8A2E">
            <w:pPr>
              <w:pStyle w:val="19"/>
            </w:pPr>
          </w:p>
        </w:tc>
        <w:tc>
          <w:tcPr>
            <w:tcW w:w="816" w:type="dxa"/>
          </w:tcPr>
          <w:p w14:paraId="74B46284">
            <w:pPr>
              <w:pStyle w:val="19"/>
            </w:pPr>
          </w:p>
        </w:tc>
        <w:tc>
          <w:tcPr>
            <w:tcW w:w="1327" w:type="dxa"/>
          </w:tcPr>
          <w:p w14:paraId="668899F5">
            <w:pPr>
              <w:pStyle w:val="19"/>
            </w:pPr>
          </w:p>
        </w:tc>
        <w:tc>
          <w:tcPr>
            <w:tcW w:w="1294" w:type="dxa"/>
          </w:tcPr>
          <w:p w14:paraId="1992C48B">
            <w:pPr>
              <w:pStyle w:val="19"/>
            </w:pPr>
          </w:p>
        </w:tc>
        <w:tc>
          <w:tcPr>
            <w:tcW w:w="812" w:type="dxa"/>
          </w:tcPr>
          <w:p w14:paraId="005F5F1C">
            <w:pPr>
              <w:pStyle w:val="19"/>
            </w:pPr>
          </w:p>
        </w:tc>
      </w:tr>
      <w:tr w14:paraId="730D9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0A7D6ED5">
            <w:pPr>
              <w:pStyle w:val="19"/>
            </w:pPr>
          </w:p>
        </w:tc>
        <w:tc>
          <w:tcPr>
            <w:tcW w:w="1656" w:type="dxa"/>
          </w:tcPr>
          <w:p w14:paraId="76C5224F">
            <w:pPr>
              <w:pStyle w:val="19"/>
            </w:pPr>
          </w:p>
        </w:tc>
        <w:tc>
          <w:tcPr>
            <w:tcW w:w="1224" w:type="dxa"/>
          </w:tcPr>
          <w:p w14:paraId="112FE735">
            <w:pPr>
              <w:pStyle w:val="19"/>
            </w:pPr>
          </w:p>
        </w:tc>
        <w:tc>
          <w:tcPr>
            <w:tcW w:w="881" w:type="dxa"/>
          </w:tcPr>
          <w:p w14:paraId="2540FF99">
            <w:pPr>
              <w:pStyle w:val="19"/>
            </w:pPr>
          </w:p>
        </w:tc>
        <w:tc>
          <w:tcPr>
            <w:tcW w:w="816" w:type="dxa"/>
          </w:tcPr>
          <w:p w14:paraId="267FC6B8">
            <w:pPr>
              <w:pStyle w:val="19"/>
            </w:pPr>
          </w:p>
        </w:tc>
        <w:tc>
          <w:tcPr>
            <w:tcW w:w="816" w:type="dxa"/>
          </w:tcPr>
          <w:p w14:paraId="72E85271">
            <w:pPr>
              <w:pStyle w:val="19"/>
            </w:pPr>
          </w:p>
        </w:tc>
        <w:tc>
          <w:tcPr>
            <w:tcW w:w="1327" w:type="dxa"/>
          </w:tcPr>
          <w:p w14:paraId="37EECA40">
            <w:pPr>
              <w:pStyle w:val="19"/>
            </w:pPr>
          </w:p>
        </w:tc>
        <w:tc>
          <w:tcPr>
            <w:tcW w:w="1294" w:type="dxa"/>
          </w:tcPr>
          <w:p w14:paraId="6AE39897">
            <w:pPr>
              <w:pStyle w:val="19"/>
            </w:pPr>
          </w:p>
        </w:tc>
        <w:tc>
          <w:tcPr>
            <w:tcW w:w="812" w:type="dxa"/>
          </w:tcPr>
          <w:p w14:paraId="28747A6B">
            <w:pPr>
              <w:pStyle w:val="19"/>
            </w:pPr>
          </w:p>
        </w:tc>
      </w:tr>
      <w:tr w14:paraId="0DA60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48" w:type="dxa"/>
          </w:tcPr>
          <w:p w14:paraId="5AB051E8">
            <w:pPr>
              <w:pStyle w:val="19"/>
            </w:pPr>
          </w:p>
        </w:tc>
        <w:tc>
          <w:tcPr>
            <w:tcW w:w="1656" w:type="dxa"/>
          </w:tcPr>
          <w:p w14:paraId="6D329C53">
            <w:pPr>
              <w:pStyle w:val="19"/>
            </w:pPr>
          </w:p>
        </w:tc>
        <w:tc>
          <w:tcPr>
            <w:tcW w:w="1224" w:type="dxa"/>
          </w:tcPr>
          <w:p w14:paraId="4A5DF4F0">
            <w:pPr>
              <w:pStyle w:val="19"/>
            </w:pPr>
          </w:p>
        </w:tc>
        <w:tc>
          <w:tcPr>
            <w:tcW w:w="881" w:type="dxa"/>
          </w:tcPr>
          <w:p w14:paraId="303DE7E7">
            <w:pPr>
              <w:pStyle w:val="19"/>
            </w:pPr>
          </w:p>
        </w:tc>
        <w:tc>
          <w:tcPr>
            <w:tcW w:w="816" w:type="dxa"/>
          </w:tcPr>
          <w:p w14:paraId="2E3BC10E">
            <w:pPr>
              <w:pStyle w:val="19"/>
            </w:pPr>
          </w:p>
        </w:tc>
        <w:tc>
          <w:tcPr>
            <w:tcW w:w="816" w:type="dxa"/>
          </w:tcPr>
          <w:p w14:paraId="418CCA84">
            <w:pPr>
              <w:pStyle w:val="19"/>
            </w:pPr>
          </w:p>
        </w:tc>
        <w:tc>
          <w:tcPr>
            <w:tcW w:w="1327" w:type="dxa"/>
          </w:tcPr>
          <w:p w14:paraId="52062460">
            <w:pPr>
              <w:pStyle w:val="19"/>
            </w:pPr>
          </w:p>
        </w:tc>
        <w:tc>
          <w:tcPr>
            <w:tcW w:w="1294" w:type="dxa"/>
          </w:tcPr>
          <w:p w14:paraId="66578760">
            <w:pPr>
              <w:pStyle w:val="19"/>
            </w:pPr>
          </w:p>
        </w:tc>
        <w:tc>
          <w:tcPr>
            <w:tcW w:w="812" w:type="dxa"/>
          </w:tcPr>
          <w:p w14:paraId="69A19DA0">
            <w:pPr>
              <w:pStyle w:val="19"/>
            </w:pPr>
          </w:p>
        </w:tc>
      </w:tr>
    </w:tbl>
    <w:p w14:paraId="0C705BE4">
      <w:pPr>
        <w:pStyle w:val="19"/>
      </w:pPr>
    </w:p>
    <w:p w14:paraId="3935DF00">
      <w:pPr>
        <w:pStyle w:val="19"/>
      </w:pPr>
    </w:p>
    <w:p w14:paraId="7B0EE7E1">
      <w:pPr>
        <w:pStyle w:val="5"/>
      </w:pPr>
      <w:bookmarkStart w:id="1079" w:name="_Toc296602612"/>
      <w:bookmarkStart w:id="1080" w:name="_Toc247085885"/>
      <w:bookmarkStart w:id="1081" w:name="_Toc71552355"/>
      <w:bookmarkStart w:id="1082" w:name="_Toc30257"/>
      <w:bookmarkStart w:id="1083" w:name="_Toc71552389"/>
      <w:r>
        <w:t>附表</w:t>
      </w:r>
      <w:r>
        <w:rPr>
          <w:rFonts w:hint="eastAsia"/>
        </w:rPr>
        <w:t>四</w:t>
      </w:r>
      <w:r>
        <w:t>：</w:t>
      </w:r>
      <w:bookmarkEnd w:id="1072"/>
      <w:bookmarkEnd w:id="1073"/>
      <w:bookmarkEnd w:id="1074"/>
      <w:bookmarkEnd w:id="1075"/>
      <w:bookmarkEnd w:id="1076"/>
      <w:bookmarkEnd w:id="1077"/>
      <w:bookmarkEnd w:id="1079"/>
      <w:bookmarkEnd w:id="1080"/>
      <w:bookmarkStart w:id="1084" w:name="_Toc43721450"/>
      <w:r>
        <w:rPr>
          <w:rFonts w:hint="eastAsia"/>
        </w:rPr>
        <w:t>计划开、竣工日期和施工网络图</w:t>
      </w:r>
      <w:bookmarkEnd w:id="1081"/>
      <w:bookmarkEnd w:id="1082"/>
      <w:bookmarkEnd w:id="1083"/>
      <w:bookmarkEnd w:id="1084"/>
    </w:p>
    <w:p w14:paraId="20C83E05"/>
    <w:p w14:paraId="4B3B930E">
      <w:r>
        <w:t>1. 响应单位应递交施工进度网络图或施工进度表，说明按竞争性磋商文件要求的计划工期进行施工的各个关键日期。</w:t>
      </w:r>
    </w:p>
    <w:p w14:paraId="19F06DEC">
      <w:r>
        <w:t>2. 施</w:t>
      </w:r>
      <w:r>
        <w:rPr>
          <w:rFonts w:hint="eastAsia"/>
        </w:rPr>
        <w:t>工</w:t>
      </w:r>
      <w:r>
        <w:t>进度表可采用网络图或横道图表示。</w:t>
      </w:r>
    </w:p>
    <w:p w14:paraId="56192E77"/>
    <w:p w14:paraId="458EECB5"/>
    <w:p w14:paraId="223FBBCC">
      <w:pPr>
        <w:pStyle w:val="5"/>
      </w:pPr>
      <w:bookmarkStart w:id="1085" w:name="_Toc296602613"/>
      <w:bookmarkStart w:id="1086" w:name="_Toc152042590"/>
      <w:bookmarkStart w:id="1087" w:name="_Toc71552356"/>
      <w:bookmarkStart w:id="1088" w:name="_Toc71552390"/>
      <w:bookmarkStart w:id="1089" w:name="_Toc43721451"/>
      <w:bookmarkStart w:id="1090" w:name="_Toc246997111"/>
      <w:bookmarkStart w:id="1091" w:name="_Toc152045801"/>
      <w:bookmarkStart w:id="1092" w:name="_Toc24525"/>
      <w:bookmarkStart w:id="1093" w:name="_Toc246996368"/>
      <w:bookmarkStart w:id="1094" w:name="_Toc179632821"/>
      <w:bookmarkStart w:id="1095" w:name="_Toc144974869"/>
      <w:bookmarkStart w:id="1096" w:name="_Toc247085886"/>
      <w:r>
        <w:t>附表</w:t>
      </w:r>
      <w:r>
        <w:rPr>
          <w:rFonts w:hint="eastAsia"/>
        </w:rPr>
        <w:t>五</w:t>
      </w:r>
      <w:r>
        <w:t>：施工总平面图</w:t>
      </w:r>
      <w:bookmarkEnd w:id="1085"/>
      <w:bookmarkEnd w:id="1086"/>
      <w:bookmarkEnd w:id="1087"/>
      <w:bookmarkEnd w:id="1088"/>
      <w:bookmarkEnd w:id="1089"/>
      <w:bookmarkEnd w:id="1090"/>
      <w:bookmarkEnd w:id="1091"/>
      <w:bookmarkEnd w:id="1092"/>
      <w:bookmarkEnd w:id="1093"/>
      <w:bookmarkEnd w:id="1094"/>
      <w:bookmarkEnd w:id="1095"/>
      <w:bookmarkEnd w:id="1096"/>
    </w:p>
    <w:p w14:paraId="65F33B3D">
      <w:r>
        <w:tab/>
      </w:r>
    </w:p>
    <w:p w14:paraId="667D9931"/>
    <w:p w14:paraId="65D58EF4">
      <w:r>
        <w:t>响应单位应递交一份施工总平面图，绘出现场临时设施布置图表，</w:t>
      </w:r>
      <w:r>
        <w:rPr>
          <w:rFonts w:hint="eastAsia"/>
        </w:rPr>
        <w:t>并注</w:t>
      </w:r>
      <w:r>
        <w:t>明临时设施、加工车间、现场办公、设备及仓储、供电、供水、卫生、生活、道路、消防等设施的情况和布置。</w:t>
      </w:r>
    </w:p>
    <w:p w14:paraId="280661CD"/>
    <w:p w14:paraId="51D355A6"/>
    <w:p w14:paraId="0445B43F">
      <w:pPr>
        <w:pStyle w:val="5"/>
      </w:pPr>
      <w:bookmarkStart w:id="1097" w:name="_Toc71552391"/>
      <w:bookmarkStart w:id="1098" w:name="_Toc71552357"/>
      <w:bookmarkStart w:id="1099" w:name="_Toc13670"/>
      <w:bookmarkStart w:id="1100" w:name="_Toc152045803"/>
      <w:bookmarkStart w:id="1101" w:name="_Toc179632823"/>
      <w:bookmarkStart w:id="1102" w:name="_Toc144974871"/>
      <w:bookmarkStart w:id="1103" w:name="_Toc152042592"/>
      <w:r>
        <w:t>附表</w:t>
      </w:r>
      <w:r>
        <w:rPr>
          <w:rFonts w:hint="eastAsia"/>
        </w:rPr>
        <w:t>六</w:t>
      </w:r>
      <w:r>
        <w:t>：</w:t>
      </w:r>
      <w:r>
        <w:rPr>
          <w:rFonts w:hint="eastAsia"/>
        </w:rPr>
        <w:t>临时用地表</w:t>
      </w:r>
      <w:bookmarkEnd w:id="1097"/>
      <w:bookmarkEnd w:id="1098"/>
      <w:bookmarkEnd w:id="1099"/>
    </w:p>
    <w:p w14:paraId="3DC01A71"/>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8"/>
        <w:gridCol w:w="2368"/>
        <w:gridCol w:w="2369"/>
        <w:gridCol w:w="2369"/>
      </w:tblGrid>
      <w:tr w14:paraId="6FF4D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368" w:type="dxa"/>
            <w:vAlign w:val="center"/>
          </w:tcPr>
          <w:p w14:paraId="7E5EE1E5">
            <w:r>
              <w:rPr>
                <w:rFonts w:hint="eastAsia"/>
              </w:rPr>
              <w:t>用途</w:t>
            </w:r>
          </w:p>
        </w:tc>
        <w:tc>
          <w:tcPr>
            <w:tcW w:w="2368" w:type="dxa"/>
            <w:vAlign w:val="center"/>
          </w:tcPr>
          <w:p w14:paraId="61568745">
            <w:r>
              <w:rPr>
                <w:rFonts w:hint="eastAsia"/>
              </w:rPr>
              <w:t>面积（平方米）</w:t>
            </w:r>
          </w:p>
        </w:tc>
        <w:tc>
          <w:tcPr>
            <w:tcW w:w="2369" w:type="dxa"/>
            <w:vAlign w:val="center"/>
          </w:tcPr>
          <w:p w14:paraId="30527C67">
            <w:r>
              <w:rPr>
                <w:rFonts w:hint="eastAsia"/>
              </w:rPr>
              <w:t>位置</w:t>
            </w:r>
          </w:p>
        </w:tc>
        <w:tc>
          <w:tcPr>
            <w:tcW w:w="2369" w:type="dxa"/>
            <w:vAlign w:val="center"/>
          </w:tcPr>
          <w:p w14:paraId="0E106160">
            <w:r>
              <w:rPr>
                <w:rFonts w:hint="eastAsia"/>
              </w:rPr>
              <w:t>需要时间</w:t>
            </w:r>
          </w:p>
        </w:tc>
      </w:tr>
      <w:tr w14:paraId="146F3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368" w:type="dxa"/>
          </w:tcPr>
          <w:p w14:paraId="2A8262D6"/>
        </w:tc>
        <w:tc>
          <w:tcPr>
            <w:tcW w:w="2368" w:type="dxa"/>
          </w:tcPr>
          <w:p w14:paraId="3728D4B0"/>
        </w:tc>
        <w:tc>
          <w:tcPr>
            <w:tcW w:w="2369" w:type="dxa"/>
          </w:tcPr>
          <w:p w14:paraId="243B26B8"/>
        </w:tc>
        <w:tc>
          <w:tcPr>
            <w:tcW w:w="2369" w:type="dxa"/>
          </w:tcPr>
          <w:p w14:paraId="1FB16AC1"/>
        </w:tc>
      </w:tr>
      <w:tr w14:paraId="7E41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368" w:type="dxa"/>
          </w:tcPr>
          <w:p w14:paraId="2D3D120B"/>
        </w:tc>
        <w:tc>
          <w:tcPr>
            <w:tcW w:w="2368" w:type="dxa"/>
          </w:tcPr>
          <w:p w14:paraId="5A14C281"/>
        </w:tc>
        <w:tc>
          <w:tcPr>
            <w:tcW w:w="2369" w:type="dxa"/>
          </w:tcPr>
          <w:p w14:paraId="66E52907"/>
        </w:tc>
        <w:tc>
          <w:tcPr>
            <w:tcW w:w="2369" w:type="dxa"/>
          </w:tcPr>
          <w:p w14:paraId="29BEC39A"/>
        </w:tc>
      </w:tr>
      <w:tr w14:paraId="52ECA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368" w:type="dxa"/>
          </w:tcPr>
          <w:p w14:paraId="6C4C707C"/>
        </w:tc>
        <w:tc>
          <w:tcPr>
            <w:tcW w:w="2368" w:type="dxa"/>
          </w:tcPr>
          <w:p w14:paraId="5EBB0FBC"/>
        </w:tc>
        <w:tc>
          <w:tcPr>
            <w:tcW w:w="2369" w:type="dxa"/>
          </w:tcPr>
          <w:p w14:paraId="3D682FC8"/>
        </w:tc>
        <w:tc>
          <w:tcPr>
            <w:tcW w:w="2369" w:type="dxa"/>
          </w:tcPr>
          <w:p w14:paraId="29BCE0AA"/>
        </w:tc>
      </w:tr>
      <w:tr w14:paraId="7E60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2368" w:type="dxa"/>
          </w:tcPr>
          <w:p w14:paraId="66C81F21"/>
        </w:tc>
        <w:tc>
          <w:tcPr>
            <w:tcW w:w="2368" w:type="dxa"/>
          </w:tcPr>
          <w:p w14:paraId="3DB6487D"/>
        </w:tc>
        <w:tc>
          <w:tcPr>
            <w:tcW w:w="2369" w:type="dxa"/>
          </w:tcPr>
          <w:p w14:paraId="56617D6E"/>
        </w:tc>
        <w:tc>
          <w:tcPr>
            <w:tcW w:w="2369" w:type="dxa"/>
          </w:tcPr>
          <w:p w14:paraId="145D2644"/>
        </w:tc>
      </w:tr>
    </w:tbl>
    <w:p w14:paraId="7779CEED"/>
    <w:p w14:paraId="0F8906E7"/>
    <w:bookmarkEnd w:id="1100"/>
    <w:bookmarkEnd w:id="1101"/>
    <w:bookmarkEnd w:id="1102"/>
    <w:bookmarkEnd w:id="1103"/>
    <w:p w14:paraId="42F37F53">
      <w:pPr>
        <w:pStyle w:val="4"/>
      </w:pPr>
      <w:bookmarkStart w:id="1104" w:name="_Toc71552392"/>
      <w:bookmarkStart w:id="1105" w:name="_Toc29695"/>
      <w:bookmarkStart w:id="1106" w:name="_Toc43721452"/>
      <w:bookmarkStart w:id="1107" w:name="_Toc71552358"/>
      <w:bookmarkStart w:id="1108" w:name="_Toc152042593"/>
      <w:bookmarkStart w:id="1109" w:name="_Toc152045804"/>
      <w:bookmarkStart w:id="1110" w:name="_Toc179632824"/>
      <w:bookmarkStart w:id="1111" w:name="_Toc246997113"/>
      <w:bookmarkStart w:id="1112" w:name="_Toc246996370"/>
      <w:bookmarkStart w:id="1113" w:name="_Toc296602615"/>
      <w:bookmarkStart w:id="1114" w:name="_Toc247085888"/>
      <w:bookmarkStart w:id="1115" w:name="_Toc144974872"/>
      <w:r>
        <w:rPr>
          <w:rFonts w:hint="eastAsia"/>
        </w:rPr>
        <w:t>七、项目管理机构</w:t>
      </w:r>
      <w:bookmarkEnd w:id="1104"/>
      <w:bookmarkEnd w:id="1105"/>
      <w:bookmarkEnd w:id="1106"/>
      <w:bookmarkEnd w:id="1107"/>
    </w:p>
    <w:p w14:paraId="1E759582">
      <w:pPr>
        <w:pStyle w:val="5"/>
      </w:pPr>
      <w:bookmarkStart w:id="1116" w:name="_Toc71552359"/>
      <w:bookmarkStart w:id="1117" w:name="_Toc22002"/>
      <w:bookmarkStart w:id="1118" w:name="_Toc43721453"/>
      <w:bookmarkStart w:id="1119" w:name="_Toc71552393"/>
      <w:r>
        <w:t>（一）项目管理机构组成表</w:t>
      </w:r>
      <w:bookmarkEnd w:id="1108"/>
      <w:bookmarkEnd w:id="1109"/>
      <w:bookmarkEnd w:id="1110"/>
      <w:bookmarkEnd w:id="1111"/>
      <w:bookmarkEnd w:id="1112"/>
      <w:bookmarkEnd w:id="1113"/>
      <w:bookmarkEnd w:id="1114"/>
      <w:bookmarkEnd w:id="1115"/>
      <w:bookmarkEnd w:id="1116"/>
      <w:bookmarkEnd w:id="1117"/>
      <w:bookmarkEnd w:id="1118"/>
      <w:bookmarkEnd w:id="1119"/>
    </w:p>
    <w:tbl>
      <w:tblPr>
        <w:tblStyle w:val="38"/>
        <w:tblW w:w="9215"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
        <w:gridCol w:w="721"/>
        <w:gridCol w:w="719"/>
        <w:gridCol w:w="1310"/>
        <w:gridCol w:w="993"/>
        <w:gridCol w:w="1275"/>
        <w:gridCol w:w="1134"/>
        <w:gridCol w:w="1418"/>
        <w:gridCol w:w="709"/>
      </w:tblGrid>
      <w:tr w14:paraId="3269E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6" w:type="dxa"/>
            <w:vMerge w:val="restart"/>
            <w:vAlign w:val="center"/>
          </w:tcPr>
          <w:p w14:paraId="3517367D">
            <w:r>
              <w:t>职务</w:t>
            </w:r>
          </w:p>
        </w:tc>
        <w:tc>
          <w:tcPr>
            <w:tcW w:w="721" w:type="dxa"/>
            <w:vMerge w:val="restart"/>
            <w:vAlign w:val="center"/>
          </w:tcPr>
          <w:p w14:paraId="42F58C23">
            <w:r>
              <w:t>姓名</w:t>
            </w:r>
          </w:p>
        </w:tc>
        <w:tc>
          <w:tcPr>
            <w:tcW w:w="719" w:type="dxa"/>
            <w:vMerge w:val="restart"/>
            <w:vAlign w:val="center"/>
          </w:tcPr>
          <w:p w14:paraId="6A82A09D">
            <w:r>
              <w:t>职称</w:t>
            </w:r>
          </w:p>
        </w:tc>
        <w:tc>
          <w:tcPr>
            <w:tcW w:w="6130" w:type="dxa"/>
            <w:gridSpan w:val="5"/>
            <w:vAlign w:val="center"/>
          </w:tcPr>
          <w:p w14:paraId="5E6D2DEB">
            <w:r>
              <w:t>执业或职业资格证明</w:t>
            </w:r>
          </w:p>
        </w:tc>
        <w:tc>
          <w:tcPr>
            <w:tcW w:w="709" w:type="dxa"/>
            <w:vAlign w:val="center"/>
          </w:tcPr>
          <w:p w14:paraId="42EE76DD">
            <w:r>
              <w:t>备注</w:t>
            </w:r>
          </w:p>
        </w:tc>
      </w:tr>
      <w:tr w14:paraId="7D00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36" w:type="dxa"/>
            <w:vMerge w:val="continue"/>
            <w:vAlign w:val="center"/>
          </w:tcPr>
          <w:p w14:paraId="10C6857B"/>
        </w:tc>
        <w:tc>
          <w:tcPr>
            <w:tcW w:w="721" w:type="dxa"/>
            <w:vMerge w:val="continue"/>
            <w:vAlign w:val="center"/>
          </w:tcPr>
          <w:p w14:paraId="7090BFE8"/>
        </w:tc>
        <w:tc>
          <w:tcPr>
            <w:tcW w:w="719" w:type="dxa"/>
            <w:vMerge w:val="continue"/>
            <w:vAlign w:val="center"/>
          </w:tcPr>
          <w:p w14:paraId="1ECC57EC"/>
        </w:tc>
        <w:tc>
          <w:tcPr>
            <w:tcW w:w="1310" w:type="dxa"/>
            <w:vAlign w:val="center"/>
          </w:tcPr>
          <w:p w14:paraId="5D9FE379">
            <w:r>
              <w:t>证书名称</w:t>
            </w:r>
          </w:p>
        </w:tc>
        <w:tc>
          <w:tcPr>
            <w:tcW w:w="993" w:type="dxa"/>
            <w:vAlign w:val="center"/>
          </w:tcPr>
          <w:p w14:paraId="4B87E895">
            <w:r>
              <w:t>级别</w:t>
            </w:r>
          </w:p>
        </w:tc>
        <w:tc>
          <w:tcPr>
            <w:tcW w:w="1275" w:type="dxa"/>
            <w:vAlign w:val="center"/>
          </w:tcPr>
          <w:p w14:paraId="58DBAA37">
            <w:r>
              <w:t>证号</w:t>
            </w:r>
          </w:p>
        </w:tc>
        <w:tc>
          <w:tcPr>
            <w:tcW w:w="1134" w:type="dxa"/>
            <w:vAlign w:val="center"/>
          </w:tcPr>
          <w:p w14:paraId="199D87E0">
            <w:r>
              <w:t>专业</w:t>
            </w:r>
          </w:p>
        </w:tc>
        <w:tc>
          <w:tcPr>
            <w:tcW w:w="1418" w:type="dxa"/>
            <w:vAlign w:val="center"/>
          </w:tcPr>
          <w:p w14:paraId="6A5AA9C0">
            <w:r>
              <w:t>养老保险</w:t>
            </w:r>
          </w:p>
        </w:tc>
        <w:tc>
          <w:tcPr>
            <w:tcW w:w="709" w:type="dxa"/>
            <w:vAlign w:val="center"/>
          </w:tcPr>
          <w:p w14:paraId="57447C4B"/>
        </w:tc>
      </w:tr>
      <w:tr w14:paraId="49C9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vAlign w:val="center"/>
          </w:tcPr>
          <w:p w14:paraId="77AB3A4E"/>
        </w:tc>
        <w:tc>
          <w:tcPr>
            <w:tcW w:w="721" w:type="dxa"/>
            <w:vAlign w:val="center"/>
          </w:tcPr>
          <w:p w14:paraId="6147556F"/>
        </w:tc>
        <w:tc>
          <w:tcPr>
            <w:tcW w:w="719" w:type="dxa"/>
            <w:vAlign w:val="center"/>
          </w:tcPr>
          <w:p w14:paraId="7C7C749A"/>
        </w:tc>
        <w:tc>
          <w:tcPr>
            <w:tcW w:w="1310" w:type="dxa"/>
            <w:vAlign w:val="center"/>
          </w:tcPr>
          <w:p w14:paraId="65A1DAFD"/>
        </w:tc>
        <w:tc>
          <w:tcPr>
            <w:tcW w:w="993" w:type="dxa"/>
            <w:vAlign w:val="center"/>
          </w:tcPr>
          <w:p w14:paraId="636D19E2"/>
        </w:tc>
        <w:tc>
          <w:tcPr>
            <w:tcW w:w="1275" w:type="dxa"/>
            <w:vAlign w:val="center"/>
          </w:tcPr>
          <w:p w14:paraId="3CD0C3C1"/>
        </w:tc>
        <w:tc>
          <w:tcPr>
            <w:tcW w:w="1134" w:type="dxa"/>
            <w:vAlign w:val="center"/>
          </w:tcPr>
          <w:p w14:paraId="3C0C8D7A"/>
        </w:tc>
        <w:tc>
          <w:tcPr>
            <w:tcW w:w="1418" w:type="dxa"/>
            <w:vAlign w:val="center"/>
          </w:tcPr>
          <w:p w14:paraId="4DCE06B8"/>
        </w:tc>
        <w:tc>
          <w:tcPr>
            <w:tcW w:w="709" w:type="dxa"/>
            <w:vAlign w:val="center"/>
          </w:tcPr>
          <w:p w14:paraId="5B291CF8"/>
        </w:tc>
      </w:tr>
      <w:tr w14:paraId="7BD47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0E495079"/>
        </w:tc>
        <w:tc>
          <w:tcPr>
            <w:tcW w:w="721" w:type="dxa"/>
          </w:tcPr>
          <w:p w14:paraId="4877DDC5"/>
        </w:tc>
        <w:tc>
          <w:tcPr>
            <w:tcW w:w="719" w:type="dxa"/>
          </w:tcPr>
          <w:p w14:paraId="681A047C"/>
        </w:tc>
        <w:tc>
          <w:tcPr>
            <w:tcW w:w="1310" w:type="dxa"/>
          </w:tcPr>
          <w:p w14:paraId="76AD6CA4"/>
        </w:tc>
        <w:tc>
          <w:tcPr>
            <w:tcW w:w="993" w:type="dxa"/>
          </w:tcPr>
          <w:p w14:paraId="59F4235F"/>
        </w:tc>
        <w:tc>
          <w:tcPr>
            <w:tcW w:w="1275" w:type="dxa"/>
          </w:tcPr>
          <w:p w14:paraId="3C03E1FE"/>
        </w:tc>
        <w:tc>
          <w:tcPr>
            <w:tcW w:w="1134" w:type="dxa"/>
          </w:tcPr>
          <w:p w14:paraId="127501AC"/>
        </w:tc>
        <w:tc>
          <w:tcPr>
            <w:tcW w:w="1418" w:type="dxa"/>
          </w:tcPr>
          <w:p w14:paraId="706EE1EA"/>
        </w:tc>
        <w:tc>
          <w:tcPr>
            <w:tcW w:w="709" w:type="dxa"/>
          </w:tcPr>
          <w:p w14:paraId="4BF6D5F7"/>
        </w:tc>
      </w:tr>
      <w:tr w14:paraId="35D5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5B105220"/>
        </w:tc>
        <w:tc>
          <w:tcPr>
            <w:tcW w:w="721" w:type="dxa"/>
          </w:tcPr>
          <w:p w14:paraId="6B052710"/>
        </w:tc>
        <w:tc>
          <w:tcPr>
            <w:tcW w:w="719" w:type="dxa"/>
          </w:tcPr>
          <w:p w14:paraId="7A3C00F5"/>
        </w:tc>
        <w:tc>
          <w:tcPr>
            <w:tcW w:w="1310" w:type="dxa"/>
          </w:tcPr>
          <w:p w14:paraId="24A29786"/>
        </w:tc>
        <w:tc>
          <w:tcPr>
            <w:tcW w:w="993" w:type="dxa"/>
          </w:tcPr>
          <w:p w14:paraId="7393C333"/>
        </w:tc>
        <w:tc>
          <w:tcPr>
            <w:tcW w:w="1275" w:type="dxa"/>
          </w:tcPr>
          <w:p w14:paraId="629417EA"/>
        </w:tc>
        <w:tc>
          <w:tcPr>
            <w:tcW w:w="1134" w:type="dxa"/>
          </w:tcPr>
          <w:p w14:paraId="600377EE"/>
        </w:tc>
        <w:tc>
          <w:tcPr>
            <w:tcW w:w="1418" w:type="dxa"/>
          </w:tcPr>
          <w:p w14:paraId="0212ADEC"/>
        </w:tc>
        <w:tc>
          <w:tcPr>
            <w:tcW w:w="709" w:type="dxa"/>
          </w:tcPr>
          <w:p w14:paraId="210FC928"/>
        </w:tc>
      </w:tr>
      <w:tr w14:paraId="321C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1DF3A7EC"/>
        </w:tc>
        <w:tc>
          <w:tcPr>
            <w:tcW w:w="721" w:type="dxa"/>
          </w:tcPr>
          <w:p w14:paraId="420B5B19"/>
        </w:tc>
        <w:tc>
          <w:tcPr>
            <w:tcW w:w="719" w:type="dxa"/>
          </w:tcPr>
          <w:p w14:paraId="40B36880"/>
        </w:tc>
        <w:tc>
          <w:tcPr>
            <w:tcW w:w="1310" w:type="dxa"/>
          </w:tcPr>
          <w:p w14:paraId="1E2CCC15"/>
        </w:tc>
        <w:tc>
          <w:tcPr>
            <w:tcW w:w="993" w:type="dxa"/>
          </w:tcPr>
          <w:p w14:paraId="05F878D1"/>
        </w:tc>
        <w:tc>
          <w:tcPr>
            <w:tcW w:w="1275" w:type="dxa"/>
          </w:tcPr>
          <w:p w14:paraId="15C748E5"/>
        </w:tc>
        <w:tc>
          <w:tcPr>
            <w:tcW w:w="1134" w:type="dxa"/>
          </w:tcPr>
          <w:p w14:paraId="3EA2DB2C"/>
        </w:tc>
        <w:tc>
          <w:tcPr>
            <w:tcW w:w="1418" w:type="dxa"/>
          </w:tcPr>
          <w:p w14:paraId="67AC7C20"/>
        </w:tc>
        <w:tc>
          <w:tcPr>
            <w:tcW w:w="709" w:type="dxa"/>
          </w:tcPr>
          <w:p w14:paraId="293F84DE"/>
        </w:tc>
      </w:tr>
      <w:tr w14:paraId="21861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355D1AD3"/>
        </w:tc>
        <w:tc>
          <w:tcPr>
            <w:tcW w:w="721" w:type="dxa"/>
          </w:tcPr>
          <w:p w14:paraId="03E7412C"/>
        </w:tc>
        <w:tc>
          <w:tcPr>
            <w:tcW w:w="719" w:type="dxa"/>
          </w:tcPr>
          <w:p w14:paraId="6C143D6D"/>
        </w:tc>
        <w:tc>
          <w:tcPr>
            <w:tcW w:w="1310" w:type="dxa"/>
          </w:tcPr>
          <w:p w14:paraId="14F85C44"/>
        </w:tc>
        <w:tc>
          <w:tcPr>
            <w:tcW w:w="993" w:type="dxa"/>
          </w:tcPr>
          <w:p w14:paraId="205111CB"/>
        </w:tc>
        <w:tc>
          <w:tcPr>
            <w:tcW w:w="1275" w:type="dxa"/>
          </w:tcPr>
          <w:p w14:paraId="086D5F19"/>
        </w:tc>
        <w:tc>
          <w:tcPr>
            <w:tcW w:w="1134" w:type="dxa"/>
          </w:tcPr>
          <w:p w14:paraId="3CE6537E"/>
        </w:tc>
        <w:tc>
          <w:tcPr>
            <w:tcW w:w="1418" w:type="dxa"/>
          </w:tcPr>
          <w:p w14:paraId="50D293F3"/>
        </w:tc>
        <w:tc>
          <w:tcPr>
            <w:tcW w:w="709" w:type="dxa"/>
          </w:tcPr>
          <w:p w14:paraId="5B01EBC6"/>
        </w:tc>
      </w:tr>
      <w:tr w14:paraId="27DE4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82D7A33"/>
        </w:tc>
        <w:tc>
          <w:tcPr>
            <w:tcW w:w="721" w:type="dxa"/>
          </w:tcPr>
          <w:p w14:paraId="0DCC4E3A"/>
        </w:tc>
        <w:tc>
          <w:tcPr>
            <w:tcW w:w="719" w:type="dxa"/>
          </w:tcPr>
          <w:p w14:paraId="5099F1A8"/>
        </w:tc>
        <w:tc>
          <w:tcPr>
            <w:tcW w:w="1310" w:type="dxa"/>
          </w:tcPr>
          <w:p w14:paraId="6E662478"/>
        </w:tc>
        <w:tc>
          <w:tcPr>
            <w:tcW w:w="993" w:type="dxa"/>
          </w:tcPr>
          <w:p w14:paraId="6742DCC7"/>
        </w:tc>
        <w:tc>
          <w:tcPr>
            <w:tcW w:w="1275" w:type="dxa"/>
          </w:tcPr>
          <w:p w14:paraId="40F07088"/>
        </w:tc>
        <w:tc>
          <w:tcPr>
            <w:tcW w:w="1134" w:type="dxa"/>
          </w:tcPr>
          <w:p w14:paraId="60B782C8"/>
        </w:tc>
        <w:tc>
          <w:tcPr>
            <w:tcW w:w="1418" w:type="dxa"/>
          </w:tcPr>
          <w:p w14:paraId="36F0EEC8"/>
        </w:tc>
        <w:tc>
          <w:tcPr>
            <w:tcW w:w="709" w:type="dxa"/>
          </w:tcPr>
          <w:p w14:paraId="4638C5A3"/>
        </w:tc>
      </w:tr>
      <w:tr w14:paraId="4B858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776E483B"/>
        </w:tc>
        <w:tc>
          <w:tcPr>
            <w:tcW w:w="721" w:type="dxa"/>
          </w:tcPr>
          <w:p w14:paraId="58F65458"/>
        </w:tc>
        <w:tc>
          <w:tcPr>
            <w:tcW w:w="719" w:type="dxa"/>
          </w:tcPr>
          <w:p w14:paraId="5BAD343A"/>
        </w:tc>
        <w:tc>
          <w:tcPr>
            <w:tcW w:w="1310" w:type="dxa"/>
          </w:tcPr>
          <w:p w14:paraId="361C1A6C"/>
        </w:tc>
        <w:tc>
          <w:tcPr>
            <w:tcW w:w="993" w:type="dxa"/>
          </w:tcPr>
          <w:p w14:paraId="537E408F"/>
        </w:tc>
        <w:tc>
          <w:tcPr>
            <w:tcW w:w="1275" w:type="dxa"/>
          </w:tcPr>
          <w:p w14:paraId="2C4A3C19"/>
        </w:tc>
        <w:tc>
          <w:tcPr>
            <w:tcW w:w="1134" w:type="dxa"/>
          </w:tcPr>
          <w:p w14:paraId="05500B1A"/>
        </w:tc>
        <w:tc>
          <w:tcPr>
            <w:tcW w:w="1418" w:type="dxa"/>
          </w:tcPr>
          <w:p w14:paraId="17881B0D"/>
        </w:tc>
        <w:tc>
          <w:tcPr>
            <w:tcW w:w="709" w:type="dxa"/>
          </w:tcPr>
          <w:p w14:paraId="511235DB"/>
        </w:tc>
      </w:tr>
      <w:tr w14:paraId="5179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220B3701"/>
        </w:tc>
        <w:tc>
          <w:tcPr>
            <w:tcW w:w="721" w:type="dxa"/>
          </w:tcPr>
          <w:p w14:paraId="6E02D987"/>
        </w:tc>
        <w:tc>
          <w:tcPr>
            <w:tcW w:w="719" w:type="dxa"/>
          </w:tcPr>
          <w:p w14:paraId="0049DC84"/>
        </w:tc>
        <w:tc>
          <w:tcPr>
            <w:tcW w:w="1310" w:type="dxa"/>
          </w:tcPr>
          <w:p w14:paraId="38CACFA4"/>
        </w:tc>
        <w:tc>
          <w:tcPr>
            <w:tcW w:w="993" w:type="dxa"/>
          </w:tcPr>
          <w:p w14:paraId="74DB4D46"/>
        </w:tc>
        <w:tc>
          <w:tcPr>
            <w:tcW w:w="1275" w:type="dxa"/>
          </w:tcPr>
          <w:p w14:paraId="4EB5DA01"/>
        </w:tc>
        <w:tc>
          <w:tcPr>
            <w:tcW w:w="1134" w:type="dxa"/>
          </w:tcPr>
          <w:p w14:paraId="039A078E"/>
        </w:tc>
        <w:tc>
          <w:tcPr>
            <w:tcW w:w="1418" w:type="dxa"/>
          </w:tcPr>
          <w:p w14:paraId="6F8FB5DE"/>
        </w:tc>
        <w:tc>
          <w:tcPr>
            <w:tcW w:w="709" w:type="dxa"/>
          </w:tcPr>
          <w:p w14:paraId="41BEBA18"/>
        </w:tc>
      </w:tr>
      <w:tr w14:paraId="4DDB6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Pr>
          <w:p w14:paraId="567FE65E"/>
        </w:tc>
        <w:tc>
          <w:tcPr>
            <w:tcW w:w="721" w:type="dxa"/>
          </w:tcPr>
          <w:p w14:paraId="475A654C"/>
        </w:tc>
        <w:tc>
          <w:tcPr>
            <w:tcW w:w="719" w:type="dxa"/>
          </w:tcPr>
          <w:p w14:paraId="5C0DF8BA"/>
        </w:tc>
        <w:tc>
          <w:tcPr>
            <w:tcW w:w="1310" w:type="dxa"/>
          </w:tcPr>
          <w:p w14:paraId="30624C2D"/>
        </w:tc>
        <w:tc>
          <w:tcPr>
            <w:tcW w:w="993" w:type="dxa"/>
          </w:tcPr>
          <w:p w14:paraId="386BB187"/>
        </w:tc>
        <w:tc>
          <w:tcPr>
            <w:tcW w:w="1275" w:type="dxa"/>
          </w:tcPr>
          <w:p w14:paraId="3E6D1D79"/>
        </w:tc>
        <w:tc>
          <w:tcPr>
            <w:tcW w:w="1134" w:type="dxa"/>
          </w:tcPr>
          <w:p w14:paraId="35B2A3CC"/>
        </w:tc>
        <w:tc>
          <w:tcPr>
            <w:tcW w:w="1418" w:type="dxa"/>
          </w:tcPr>
          <w:p w14:paraId="44650895"/>
        </w:tc>
        <w:tc>
          <w:tcPr>
            <w:tcW w:w="709" w:type="dxa"/>
          </w:tcPr>
          <w:p w14:paraId="1B771BF6"/>
        </w:tc>
      </w:tr>
      <w:tr w14:paraId="2E03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4C8B6F65"/>
        </w:tc>
        <w:tc>
          <w:tcPr>
            <w:tcW w:w="721" w:type="dxa"/>
            <w:tcBorders>
              <w:top w:val="single" w:color="auto" w:sz="4" w:space="0"/>
              <w:left w:val="single" w:color="auto" w:sz="4" w:space="0"/>
              <w:bottom w:val="single" w:color="auto" w:sz="4" w:space="0"/>
              <w:right w:val="single" w:color="auto" w:sz="4" w:space="0"/>
            </w:tcBorders>
          </w:tcPr>
          <w:p w14:paraId="1D27CBD4"/>
        </w:tc>
        <w:tc>
          <w:tcPr>
            <w:tcW w:w="719" w:type="dxa"/>
            <w:tcBorders>
              <w:top w:val="single" w:color="auto" w:sz="4" w:space="0"/>
              <w:left w:val="single" w:color="auto" w:sz="4" w:space="0"/>
              <w:bottom w:val="single" w:color="auto" w:sz="4" w:space="0"/>
              <w:right w:val="single" w:color="auto" w:sz="4" w:space="0"/>
            </w:tcBorders>
          </w:tcPr>
          <w:p w14:paraId="63FE5FCB"/>
        </w:tc>
        <w:tc>
          <w:tcPr>
            <w:tcW w:w="1310" w:type="dxa"/>
            <w:tcBorders>
              <w:top w:val="single" w:color="auto" w:sz="4" w:space="0"/>
              <w:left w:val="single" w:color="auto" w:sz="4" w:space="0"/>
              <w:bottom w:val="single" w:color="auto" w:sz="4" w:space="0"/>
              <w:right w:val="single" w:color="auto" w:sz="4" w:space="0"/>
            </w:tcBorders>
          </w:tcPr>
          <w:p w14:paraId="6BB2F140"/>
        </w:tc>
        <w:tc>
          <w:tcPr>
            <w:tcW w:w="993" w:type="dxa"/>
            <w:tcBorders>
              <w:top w:val="single" w:color="auto" w:sz="4" w:space="0"/>
              <w:left w:val="single" w:color="auto" w:sz="4" w:space="0"/>
              <w:bottom w:val="single" w:color="auto" w:sz="4" w:space="0"/>
              <w:right w:val="single" w:color="auto" w:sz="4" w:space="0"/>
            </w:tcBorders>
          </w:tcPr>
          <w:p w14:paraId="2EECE17A"/>
        </w:tc>
        <w:tc>
          <w:tcPr>
            <w:tcW w:w="1275" w:type="dxa"/>
            <w:tcBorders>
              <w:top w:val="single" w:color="auto" w:sz="4" w:space="0"/>
              <w:left w:val="single" w:color="auto" w:sz="4" w:space="0"/>
              <w:bottom w:val="single" w:color="auto" w:sz="4" w:space="0"/>
              <w:right w:val="single" w:color="auto" w:sz="4" w:space="0"/>
            </w:tcBorders>
          </w:tcPr>
          <w:p w14:paraId="24FC6395"/>
        </w:tc>
        <w:tc>
          <w:tcPr>
            <w:tcW w:w="1134" w:type="dxa"/>
            <w:tcBorders>
              <w:top w:val="single" w:color="auto" w:sz="4" w:space="0"/>
              <w:left w:val="single" w:color="auto" w:sz="4" w:space="0"/>
              <w:bottom w:val="single" w:color="auto" w:sz="4" w:space="0"/>
              <w:right w:val="single" w:color="auto" w:sz="4" w:space="0"/>
            </w:tcBorders>
          </w:tcPr>
          <w:p w14:paraId="2542197E"/>
        </w:tc>
        <w:tc>
          <w:tcPr>
            <w:tcW w:w="1418" w:type="dxa"/>
            <w:tcBorders>
              <w:top w:val="single" w:color="auto" w:sz="4" w:space="0"/>
              <w:left w:val="single" w:color="auto" w:sz="4" w:space="0"/>
              <w:bottom w:val="single" w:color="auto" w:sz="4" w:space="0"/>
              <w:right w:val="single" w:color="auto" w:sz="4" w:space="0"/>
            </w:tcBorders>
          </w:tcPr>
          <w:p w14:paraId="3DFD00C1"/>
        </w:tc>
        <w:tc>
          <w:tcPr>
            <w:tcW w:w="709" w:type="dxa"/>
            <w:tcBorders>
              <w:top w:val="single" w:color="auto" w:sz="4" w:space="0"/>
              <w:left w:val="single" w:color="auto" w:sz="4" w:space="0"/>
              <w:bottom w:val="single" w:color="auto" w:sz="4" w:space="0"/>
              <w:right w:val="single" w:color="auto" w:sz="4" w:space="0"/>
            </w:tcBorders>
          </w:tcPr>
          <w:p w14:paraId="5129AC61"/>
        </w:tc>
      </w:tr>
      <w:tr w14:paraId="7B1E6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24D2BE03"/>
        </w:tc>
        <w:tc>
          <w:tcPr>
            <w:tcW w:w="721" w:type="dxa"/>
            <w:tcBorders>
              <w:top w:val="single" w:color="auto" w:sz="4" w:space="0"/>
              <w:left w:val="single" w:color="auto" w:sz="4" w:space="0"/>
              <w:bottom w:val="single" w:color="auto" w:sz="4" w:space="0"/>
              <w:right w:val="single" w:color="auto" w:sz="4" w:space="0"/>
            </w:tcBorders>
          </w:tcPr>
          <w:p w14:paraId="09B2E4C7"/>
        </w:tc>
        <w:tc>
          <w:tcPr>
            <w:tcW w:w="719" w:type="dxa"/>
            <w:tcBorders>
              <w:top w:val="single" w:color="auto" w:sz="4" w:space="0"/>
              <w:left w:val="single" w:color="auto" w:sz="4" w:space="0"/>
              <w:bottom w:val="single" w:color="auto" w:sz="4" w:space="0"/>
              <w:right w:val="single" w:color="auto" w:sz="4" w:space="0"/>
            </w:tcBorders>
          </w:tcPr>
          <w:p w14:paraId="75B79A4D"/>
        </w:tc>
        <w:tc>
          <w:tcPr>
            <w:tcW w:w="1310" w:type="dxa"/>
            <w:tcBorders>
              <w:top w:val="single" w:color="auto" w:sz="4" w:space="0"/>
              <w:left w:val="single" w:color="auto" w:sz="4" w:space="0"/>
              <w:bottom w:val="single" w:color="auto" w:sz="4" w:space="0"/>
              <w:right w:val="single" w:color="auto" w:sz="4" w:space="0"/>
            </w:tcBorders>
          </w:tcPr>
          <w:p w14:paraId="2D4CD2C4"/>
        </w:tc>
        <w:tc>
          <w:tcPr>
            <w:tcW w:w="993" w:type="dxa"/>
            <w:tcBorders>
              <w:top w:val="single" w:color="auto" w:sz="4" w:space="0"/>
              <w:left w:val="single" w:color="auto" w:sz="4" w:space="0"/>
              <w:bottom w:val="single" w:color="auto" w:sz="4" w:space="0"/>
              <w:right w:val="single" w:color="auto" w:sz="4" w:space="0"/>
            </w:tcBorders>
          </w:tcPr>
          <w:p w14:paraId="09D8A82D"/>
        </w:tc>
        <w:tc>
          <w:tcPr>
            <w:tcW w:w="1275" w:type="dxa"/>
            <w:tcBorders>
              <w:top w:val="single" w:color="auto" w:sz="4" w:space="0"/>
              <w:left w:val="single" w:color="auto" w:sz="4" w:space="0"/>
              <w:bottom w:val="single" w:color="auto" w:sz="4" w:space="0"/>
              <w:right w:val="single" w:color="auto" w:sz="4" w:space="0"/>
            </w:tcBorders>
          </w:tcPr>
          <w:p w14:paraId="72F1FC0D"/>
        </w:tc>
        <w:tc>
          <w:tcPr>
            <w:tcW w:w="1134" w:type="dxa"/>
            <w:tcBorders>
              <w:top w:val="single" w:color="auto" w:sz="4" w:space="0"/>
              <w:left w:val="single" w:color="auto" w:sz="4" w:space="0"/>
              <w:bottom w:val="single" w:color="auto" w:sz="4" w:space="0"/>
              <w:right w:val="single" w:color="auto" w:sz="4" w:space="0"/>
            </w:tcBorders>
          </w:tcPr>
          <w:p w14:paraId="63EAAE96"/>
        </w:tc>
        <w:tc>
          <w:tcPr>
            <w:tcW w:w="1418" w:type="dxa"/>
            <w:tcBorders>
              <w:top w:val="single" w:color="auto" w:sz="4" w:space="0"/>
              <w:left w:val="single" w:color="auto" w:sz="4" w:space="0"/>
              <w:bottom w:val="single" w:color="auto" w:sz="4" w:space="0"/>
              <w:right w:val="single" w:color="auto" w:sz="4" w:space="0"/>
            </w:tcBorders>
          </w:tcPr>
          <w:p w14:paraId="1DB5436D"/>
        </w:tc>
        <w:tc>
          <w:tcPr>
            <w:tcW w:w="709" w:type="dxa"/>
            <w:tcBorders>
              <w:top w:val="single" w:color="auto" w:sz="4" w:space="0"/>
              <w:left w:val="single" w:color="auto" w:sz="4" w:space="0"/>
              <w:bottom w:val="single" w:color="auto" w:sz="4" w:space="0"/>
              <w:right w:val="single" w:color="auto" w:sz="4" w:space="0"/>
            </w:tcBorders>
          </w:tcPr>
          <w:p w14:paraId="687B08EA"/>
        </w:tc>
      </w:tr>
      <w:tr w14:paraId="37EBE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C4521AD"/>
        </w:tc>
        <w:tc>
          <w:tcPr>
            <w:tcW w:w="721" w:type="dxa"/>
            <w:tcBorders>
              <w:top w:val="single" w:color="auto" w:sz="4" w:space="0"/>
              <w:left w:val="single" w:color="auto" w:sz="4" w:space="0"/>
              <w:bottom w:val="single" w:color="auto" w:sz="4" w:space="0"/>
              <w:right w:val="single" w:color="auto" w:sz="4" w:space="0"/>
            </w:tcBorders>
          </w:tcPr>
          <w:p w14:paraId="608CEFF4"/>
        </w:tc>
        <w:tc>
          <w:tcPr>
            <w:tcW w:w="719" w:type="dxa"/>
            <w:tcBorders>
              <w:top w:val="single" w:color="auto" w:sz="4" w:space="0"/>
              <w:left w:val="single" w:color="auto" w:sz="4" w:space="0"/>
              <w:bottom w:val="single" w:color="auto" w:sz="4" w:space="0"/>
              <w:right w:val="single" w:color="auto" w:sz="4" w:space="0"/>
            </w:tcBorders>
          </w:tcPr>
          <w:p w14:paraId="4EBCAD81"/>
        </w:tc>
        <w:tc>
          <w:tcPr>
            <w:tcW w:w="1310" w:type="dxa"/>
            <w:tcBorders>
              <w:top w:val="single" w:color="auto" w:sz="4" w:space="0"/>
              <w:left w:val="single" w:color="auto" w:sz="4" w:space="0"/>
              <w:bottom w:val="single" w:color="auto" w:sz="4" w:space="0"/>
              <w:right w:val="single" w:color="auto" w:sz="4" w:space="0"/>
            </w:tcBorders>
          </w:tcPr>
          <w:p w14:paraId="6B38C19C"/>
        </w:tc>
        <w:tc>
          <w:tcPr>
            <w:tcW w:w="993" w:type="dxa"/>
            <w:tcBorders>
              <w:top w:val="single" w:color="auto" w:sz="4" w:space="0"/>
              <w:left w:val="single" w:color="auto" w:sz="4" w:space="0"/>
              <w:bottom w:val="single" w:color="auto" w:sz="4" w:space="0"/>
              <w:right w:val="single" w:color="auto" w:sz="4" w:space="0"/>
            </w:tcBorders>
          </w:tcPr>
          <w:p w14:paraId="4E35D7F2"/>
        </w:tc>
        <w:tc>
          <w:tcPr>
            <w:tcW w:w="1275" w:type="dxa"/>
            <w:tcBorders>
              <w:top w:val="single" w:color="auto" w:sz="4" w:space="0"/>
              <w:left w:val="single" w:color="auto" w:sz="4" w:space="0"/>
              <w:bottom w:val="single" w:color="auto" w:sz="4" w:space="0"/>
              <w:right w:val="single" w:color="auto" w:sz="4" w:space="0"/>
            </w:tcBorders>
          </w:tcPr>
          <w:p w14:paraId="61CCB975"/>
        </w:tc>
        <w:tc>
          <w:tcPr>
            <w:tcW w:w="1134" w:type="dxa"/>
            <w:tcBorders>
              <w:top w:val="single" w:color="auto" w:sz="4" w:space="0"/>
              <w:left w:val="single" w:color="auto" w:sz="4" w:space="0"/>
              <w:bottom w:val="single" w:color="auto" w:sz="4" w:space="0"/>
              <w:right w:val="single" w:color="auto" w:sz="4" w:space="0"/>
            </w:tcBorders>
          </w:tcPr>
          <w:p w14:paraId="451D3E23"/>
        </w:tc>
        <w:tc>
          <w:tcPr>
            <w:tcW w:w="1418" w:type="dxa"/>
            <w:tcBorders>
              <w:top w:val="single" w:color="auto" w:sz="4" w:space="0"/>
              <w:left w:val="single" w:color="auto" w:sz="4" w:space="0"/>
              <w:bottom w:val="single" w:color="auto" w:sz="4" w:space="0"/>
              <w:right w:val="single" w:color="auto" w:sz="4" w:space="0"/>
            </w:tcBorders>
          </w:tcPr>
          <w:p w14:paraId="4F065189"/>
        </w:tc>
        <w:tc>
          <w:tcPr>
            <w:tcW w:w="709" w:type="dxa"/>
            <w:tcBorders>
              <w:top w:val="single" w:color="auto" w:sz="4" w:space="0"/>
              <w:left w:val="single" w:color="auto" w:sz="4" w:space="0"/>
              <w:bottom w:val="single" w:color="auto" w:sz="4" w:space="0"/>
              <w:right w:val="single" w:color="auto" w:sz="4" w:space="0"/>
            </w:tcBorders>
          </w:tcPr>
          <w:p w14:paraId="2447432B"/>
        </w:tc>
      </w:tr>
      <w:tr w14:paraId="341D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742650D3"/>
        </w:tc>
        <w:tc>
          <w:tcPr>
            <w:tcW w:w="721" w:type="dxa"/>
            <w:tcBorders>
              <w:top w:val="single" w:color="auto" w:sz="4" w:space="0"/>
              <w:left w:val="single" w:color="auto" w:sz="4" w:space="0"/>
              <w:bottom w:val="single" w:color="auto" w:sz="4" w:space="0"/>
              <w:right w:val="single" w:color="auto" w:sz="4" w:space="0"/>
            </w:tcBorders>
          </w:tcPr>
          <w:p w14:paraId="63A73D71"/>
        </w:tc>
        <w:tc>
          <w:tcPr>
            <w:tcW w:w="719" w:type="dxa"/>
            <w:tcBorders>
              <w:top w:val="single" w:color="auto" w:sz="4" w:space="0"/>
              <w:left w:val="single" w:color="auto" w:sz="4" w:space="0"/>
              <w:bottom w:val="single" w:color="auto" w:sz="4" w:space="0"/>
              <w:right w:val="single" w:color="auto" w:sz="4" w:space="0"/>
            </w:tcBorders>
          </w:tcPr>
          <w:p w14:paraId="6650041D"/>
        </w:tc>
        <w:tc>
          <w:tcPr>
            <w:tcW w:w="1310" w:type="dxa"/>
            <w:tcBorders>
              <w:top w:val="single" w:color="auto" w:sz="4" w:space="0"/>
              <w:left w:val="single" w:color="auto" w:sz="4" w:space="0"/>
              <w:bottom w:val="single" w:color="auto" w:sz="4" w:space="0"/>
              <w:right w:val="single" w:color="auto" w:sz="4" w:space="0"/>
            </w:tcBorders>
          </w:tcPr>
          <w:p w14:paraId="33C16E33"/>
        </w:tc>
        <w:tc>
          <w:tcPr>
            <w:tcW w:w="993" w:type="dxa"/>
            <w:tcBorders>
              <w:top w:val="single" w:color="auto" w:sz="4" w:space="0"/>
              <w:left w:val="single" w:color="auto" w:sz="4" w:space="0"/>
              <w:bottom w:val="single" w:color="auto" w:sz="4" w:space="0"/>
              <w:right w:val="single" w:color="auto" w:sz="4" w:space="0"/>
            </w:tcBorders>
          </w:tcPr>
          <w:p w14:paraId="31350AE2"/>
        </w:tc>
        <w:tc>
          <w:tcPr>
            <w:tcW w:w="1275" w:type="dxa"/>
            <w:tcBorders>
              <w:top w:val="single" w:color="auto" w:sz="4" w:space="0"/>
              <w:left w:val="single" w:color="auto" w:sz="4" w:space="0"/>
              <w:bottom w:val="single" w:color="auto" w:sz="4" w:space="0"/>
              <w:right w:val="single" w:color="auto" w:sz="4" w:space="0"/>
            </w:tcBorders>
          </w:tcPr>
          <w:p w14:paraId="365E08F4"/>
        </w:tc>
        <w:tc>
          <w:tcPr>
            <w:tcW w:w="1134" w:type="dxa"/>
            <w:tcBorders>
              <w:top w:val="single" w:color="auto" w:sz="4" w:space="0"/>
              <w:left w:val="single" w:color="auto" w:sz="4" w:space="0"/>
              <w:bottom w:val="single" w:color="auto" w:sz="4" w:space="0"/>
              <w:right w:val="single" w:color="auto" w:sz="4" w:space="0"/>
            </w:tcBorders>
          </w:tcPr>
          <w:p w14:paraId="3A6D5B77"/>
        </w:tc>
        <w:tc>
          <w:tcPr>
            <w:tcW w:w="1418" w:type="dxa"/>
            <w:tcBorders>
              <w:top w:val="single" w:color="auto" w:sz="4" w:space="0"/>
              <w:left w:val="single" w:color="auto" w:sz="4" w:space="0"/>
              <w:bottom w:val="single" w:color="auto" w:sz="4" w:space="0"/>
              <w:right w:val="single" w:color="auto" w:sz="4" w:space="0"/>
            </w:tcBorders>
          </w:tcPr>
          <w:p w14:paraId="131A935D"/>
        </w:tc>
        <w:tc>
          <w:tcPr>
            <w:tcW w:w="709" w:type="dxa"/>
            <w:tcBorders>
              <w:top w:val="single" w:color="auto" w:sz="4" w:space="0"/>
              <w:left w:val="single" w:color="auto" w:sz="4" w:space="0"/>
              <w:bottom w:val="single" w:color="auto" w:sz="4" w:space="0"/>
              <w:right w:val="single" w:color="auto" w:sz="4" w:space="0"/>
            </w:tcBorders>
          </w:tcPr>
          <w:p w14:paraId="71228DF9"/>
        </w:tc>
      </w:tr>
      <w:tr w14:paraId="6C975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1BB5E499"/>
        </w:tc>
        <w:tc>
          <w:tcPr>
            <w:tcW w:w="721" w:type="dxa"/>
            <w:tcBorders>
              <w:top w:val="single" w:color="auto" w:sz="4" w:space="0"/>
              <w:left w:val="single" w:color="auto" w:sz="4" w:space="0"/>
              <w:bottom w:val="single" w:color="auto" w:sz="4" w:space="0"/>
              <w:right w:val="single" w:color="auto" w:sz="4" w:space="0"/>
            </w:tcBorders>
          </w:tcPr>
          <w:p w14:paraId="741E59F6"/>
        </w:tc>
        <w:tc>
          <w:tcPr>
            <w:tcW w:w="719" w:type="dxa"/>
            <w:tcBorders>
              <w:top w:val="single" w:color="auto" w:sz="4" w:space="0"/>
              <w:left w:val="single" w:color="auto" w:sz="4" w:space="0"/>
              <w:bottom w:val="single" w:color="auto" w:sz="4" w:space="0"/>
              <w:right w:val="single" w:color="auto" w:sz="4" w:space="0"/>
            </w:tcBorders>
          </w:tcPr>
          <w:p w14:paraId="2C3656F4"/>
        </w:tc>
        <w:tc>
          <w:tcPr>
            <w:tcW w:w="1310" w:type="dxa"/>
            <w:tcBorders>
              <w:top w:val="single" w:color="auto" w:sz="4" w:space="0"/>
              <w:left w:val="single" w:color="auto" w:sz="4" w:space="0"/>
              <w:bottom w:val="single" w:color="auto" w:sz="4" w:space="0"/>
              <w:right w:val="single" w:color="auto" w:sz="4" w:space="0"/>
            </w:tcBorders>
          </w:tcPr>
          <w:p w14:paraId="72C3D5C7"/>
        </w:tc>
        <w:tc>
          <w:tcPr>
            <w:tcW w:w="993" w:type="dxa"/>
            <w:tcBorders>
              <w:top w:val="single" w:color="auto" w:sz="4" w:space="0"/>
              <w:left w:val="single" w:color="auto" w:sz="4" w:space="0"/>
              <w:bottom w:val="single" w:color="auto" w:sz="4" w:space="0"/>
              <w:right w:val="single" w:color="auto" w:sz="4" w:space="0"/>
            </w:tcBorders>
          </w:tcPr>
          <w:p w14:paraId="7E196563"/>
        </w:tc>
        <w:tc>
          <w:tcPr>
            <w:tcW w:w="1275" w:type="dxa"/>
            <w:tcBorders>
              <w:top w:val="single" w:color="auto" w:sz="4" w:space="0"/>
              <w:left w:val="single" w:color="auto" w:sz="4" w:space="0"/>
              <w:bottom w:val="single" w:color="auto" w:sz="4" w:space="0"/>
              <w:right w:val="single" w:color="auto" w:sz="4" w:space="0"/>
            </w:tcBorders>
          </w:tcPr>
          <w:p w14:paraId="60BE8917"/>
        </w:tc>
        <w:tc>
          <w:tcPr>
            <w:tcW w:w="1134" w:type="dxa"/>
            <w:tcBorders>
              <w:top w:val="single" w:color="auto" w:sz="4" w:space="0"/>
              <w:left w:val="single" w:color="auto" w:sz="4" w:space="0"/>
              <w:bottom w:val="single" w:color="auto" w:sz="4" w:space="0"/>
              <w:right w:val="single" w:color="auto" w:sz="4" w:space="0"/>
            </w:tcBorders>
          </w:tcPr>
          <w:p w14:paraId="02C6E3E2"/>
        </w:tc>
        <w:tc>
          <w:tcPr>
            <w:tcW w:w="1418" w:type="dxa"/>
            <w:tcBorders>
              <w:top w:val="single" w:color="auto" w:sz="4" w:space="0"/>
              <w:left w:val="single" w:color="auto" w:sz="4" w:space="0"/>
              <w:bottom w:val="single" w:color="auto" w:sz="4" w:space="0"/>
              <w:right w:val="single" w:color="auto" w:sz="4" w:space="0"/>
            </w:tcBorders>
          </w:tcPr>
          <w:p w14:paraId="1EEBA200"/>
        </w:tc>
        <w:tc>
          <w:tcPr>
            <w:tcW w:w="709" w:type="dxa"/>
            <w:tcBorders>
              <w:top w:val="single" w:color="auto" w:sz="4" w:space="0"/>
              <w:left w:val="single" w:color="auto" w:sz="4" w:space="0"/>
              <w:bottom w:val="single" w:color="auto" w:sz="4" w:space="0"/>
              <w:right w:val="single" w:color="auto" w:sz="4" w:space="0"/>
            </w:tcBorders>
          </w:tcPr>
          <w:p w14:paraId="7619CEFE"/>
        </w:tc>
      </w:tr>
      <w:tr w14:paraId="256A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00B5EAE9"/>
        </w:tc>
        <w:tc>
          <w:tcPr>
            <w:tcW w:w="721" w:type="dxa"/>
            <w:tcBorders>
              <w:top w:val="single" w:color="auto" w:sz="4" w:space="0"/>
              <w:left w:val="single" w:color="auto" w:sz="4" w:space="0"/>
              <w:bottom w:val="single" w:color="auto" w:sz="4" w:space="0"/>
              <w:right w:val="single" w:color="auto" w:sz="4" w:space="0"/>
            </w:tcBorders>
          </w:tcPr>
          <w:p w14:paraId="5AFD7D2E"/>
        </w:tc>
        <w:tc>
          <w:tcPr>
            <w:tcW w:w="719" w:type="dxa"/>
            <w:tcBorders>
              <w:top w:val="single" w:color="auto" w:sz="4" w:space="0"/>
              <w:left w:val="single" w:color="auto" w:sz="4" w:space="0"/>
              <w:bottom w:val="single" w:color="auto" w:sz="4" w:space="0"/>
              <w:right w:val="single" w:color="auto" w:sz="4" w:space="0"/>
            </w:tcBorders>
          </w:tcPr>
          <w:p w14:paraId="2C4783A7"/>
        </w:tc>
        <w:tc>
          <w:tcPr>
            <w:tcW w:w="1310" w:type="dxa"/>
            <w:tcBorders>
              <w:top w:val="single" w:color="auto" w:sz="4" w:space="0"/>
              <w:left w:val="single" w:color="auto" w:sz="4" w:space="0"/>
              <w:bottom w:val="single" w:color="auto" w:sz="4" w:space="0"/>
              <w:right w:val="single" w:color="auto" w:sz="4" w:space="0"/>
            </w:tcBorders>
          </w:tcPr>
          <w:p w14:paraId="137760DD"/>
        </w:tc>
        <w:tc>
          <w:tcPr>
            <w:tcW w:w="993" w:type="dxa"/>
            <w:tcBorders>
              <w:top w:val="single" w:color="auto" w:sz="4" w:space="0"/>
              <w:left w:val="single" w:color="auto" w:sz="4" w:space="0"/>
              <w:bottom w:val="single" w:color="auto" w:sz="4" w:space="0"/>
              <w:right w:val="single" w:color="auto" w:sz="4" w:space="0"/>
            </w:tcBorders>
          </w:tcPr>
          <w:p w14:paraId="4DC15955"/>
        </w:tc>
        <w:tc>
          <w:tcPr>
            <w:tcW w:w="1275" w:type="dxa"/>
            <w:tcBorders>
              <w:top w:val="single" w:color="auto" w:sz="4" w:space="0"/>
              <w:left w:val="single" w:color="auto" w:sz="4" w:space="0"/>
              <w:bottom w:val="single" w:color="auto" w:sz="4" w:space="0"/>
              <w:right w:val="single" w:color="auto" w:sz="4" w:space="0"/>
            </w:tcBorders>
          </w:tcPr>
          <w:p w14:paraId="1302FA96"/>
        </w:tc>
        <w:tc>
          <w:tcPr>
            <w:tcW w:w="1134" w:type="dxa"/>
            <w:tcBorders>
              <w:top w:val="single" w:color="auto" w:sz="4" w:space="0"/>
              <w:left w:val="single" w:color="auto" w:sz="4" w:space="0"/>
              <w:bottom w:val="single" w:color="auto" w:sz="4" w:space="0"/>
              <w:right w:val="single" w:color="auto" w:sz="4" w:space="0"/>
            </w:tcBorders>
          </w:tcPr>
          <w:p w14:paraId="1A65AAB8"/>
        </w:tc>
        <w:tc>
          <w:tcPr>
            <w:tcW w:w="1418" w:type="dxa"/>
            <w:tcBorders>
              <w:top w:val="single" w:color="auto" w:sz="4" w:space="0"/>
              <w:left w:val="single" w:color="auto" w:sz="4" w:space="0"/>
              <w:bottom w:val="single" w:color="auto" w:sz="4" w:space="0"/>
              <w:right w:val="single" w:color="auto" w:sz="4" w:space="0"/>
            </w:tcBorders>
          </w:tcPr>
          <w:p w14:paraId="7FF68452"/>
        </w:tc>
        <w:tc>
          <w:tcPr>
            <w:tcW w:w="709" w:type="dxa"/>
            <w:tcBorders>
              <w:top w:val="single" w:color="auto" w:sz="4" w:space="0"/>
              <w:left w:val="single" w:color="auto" w:sz="4" w:space="0"/>
              <w:bottom w:val="single" w:color="auto" w:sz="4" w:space="0"/>
              <w:right w:val="single" w:color="auto" w:sz="4" w:space="0"/>
            </w:tcBorders>
          </w:tcPr>
          <w:p w14:paraId="4755FD47"/>
        </w:tc>
      </w:tr>
      <w:tr w14:paraId="510F8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30EC1B5F"/>
        </w:tc>
        <w:tc>
          <w:tcPr>
            <w:tcW w:w="721" w:type="dxa"/>
            <w:tcBorders>
              <w:top w:val="single" w:color="auto" w:sz="4" w:space="0"/>
              <w:left w:val="single" w:color="auto" w:sz="4" w:space="0"/>
              <w:bottom w:val="single" w:color="auto" w:sz="4" w:space="0"/>
              <w:right w:val="single" w:color="auto" w:sz="4" w:space="0"/>
            </w:tcBorders>
          </w:tcPr>
          <w:p w14:paraId="5D399B59"/>
        </w:tc>
        <w:tc>
          <w:tcPr>
            <w:tcW w:w="719" w:type="dxa"/>
            <w:tcBorders>
              <w:top w:val="single" w:color="auto" w:sz="4" w:space="0"/>
              <w:left w:val="single" w:color="auto" w:sz="4" w:space="0"/>
              <w:bottom w:val="single" w:color="auto" w:sz="4" w:space="0"/>
              <w:right w:val="single" w:color="auto" w:sz="4" w:space="0"/>
            </w:tcBorders>
          </w:tcPr>
          <w:p w14:paraId="2676B2D3"/>
        </w:tc>
        <w:tc>
          <w:tcPr>
            <w:tcW w:w="1310" w:type="dxa"/>
            <w:tcBorders>
              <w:top w:val="single" w:color="auto" w:sz="4" w:space="0"/>
              <w:left w:val="single" w:color="auto" w:sz="4" w:space="0"/>
              <w:bottom w:val="single" w:color="auto" w:sz="4" w:space="0"/>
              <w:right w:val="single" w:color="auto" w:sz="4" w:space="0"/>
            </w:tcBorders>
          </w:tcPr>
          <w:p w14:paraId="51EA1C92"/>
        </w:tc>
        <w:tc>
          <w:tcPr>
            <w:tcW w:w="993" w:type="dxa"/>
            <w:tcBorders>
              <w:top w:val="single" w:color="auto" w:sz="4" w:space="0"/>
              <w:left w:val="single" w:color="auto" w:sz="4" w:space="0"/>
              <w:bottom w:val="single" w:color="auto" w:sz="4" w:space="0"/>
              <w:right w:val="single" w:color="auto" w:sz="4" w:space="0"/>
            </w:tcBorders>
          </w:tcPr>
          <w:p w14:paraId="78844123"/>
        </w:tc>
        <w:tc>
          <w:tcPr>
            <w:tcW w:w="1275" w:type="dxa"/>
            <w:tcBorders>
              <w:top w:val="single" w:color="auto" w:sz="4" w:space="0"/>
              <w:left w:val="single" w:color="auto" w:sz="4" w:space="0"/>
              <w:bottom w:val="single" w:color="auto" w:sz="4" w:space="0"/>
              <w:right w:val="single" w:color="auto" w:sz="4" w:space="0"/>
            </w:tcBorders>
          </w:tcPr>
          <w:p w14:paraId="63B8E220"/>
        </w:tc>
        <w:tc>
          <w:tcPr>
            <w:tcW w:w="1134" w:type="dxa"/>
            <w:tcBorders>
              <w:top w:val="single" w:color="auto" w:sz="4" w:space="0"/>
              <w:left w:val="single" w:color="auto" w:sz="4" w:space="0"/>
              <w:bottom w:val="single" w:color="auto" w:sz="4" w:space="0"/>
              <w:right w:val="single" w:color="auto" w:sz="4" w:space="0"/>
            </w:tcBorders>
          </w:tcPr>
          <w:p w14:paraId="054FB7AA"/>
        </w:tc>
        <w:tc>
          <w:tcPr>
            <w:tcW w:w="1418" w:type="dxa"/>
            <w:tcBorders>
              <w:top w:val="single" w:color="auto" w:sz="4" w:space="0"/>
              <w:left w:val="single" w:color="auto" w:sz="4" w:space="0"/>
              <w:bottom w:val="single" w:color="auto" w:sz="4" w:space="0"/>
              <w:right w:val="single" w:color="auto" w:sz="4" w:space="0"/>
            </w:tcBorders>
          </w:tcPr>
          <w:p w14:paraId="3C48C389"/>
        </w:tc>
        <w:tc>
          <w:tcPr>
            <w:tcW w:w="709" w:type="dxa"/>
            <w:tcBorders>
              <w:top w:val="single" w:color="auto" w:sz="4" w:space="0"/>
              <w:left w:val="single" w:color="auto" w:sz="4" w:space="0"/>
              <w:bottom w:val="single" w:color="auto" w:sz="4" w:space="0"/>
              <w:right w:val="single" w:color="auto" w:sz="4" w:space="0"/>
            </w:tcBorders>
          </w:tcPr>
          <w:p w14:paraId="1F83B394"/>
        </w:tc>
      </w:tr>
      <w:tr w14:paraId="414C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460B672"/>
        </w:tc>
        <w:tc>
          <w:tcPr>
            <w:tcW w:w="721" w:type="dxa"/>
            <w:tcBorders>
              <w:top w:val="single" w:color="auto" w:sz="4" w:space="0"/>
              <w:left w:val="single" w:color="auto" w:sz="4" w:space="0"/>
              <w:bottom w:val="single" w:color="auto" w:sz="4" w:space="0"/>
              <w:right w:val="single" w:color="auto" w:sz="4" w:space="0"/>
            </w:tcBorders>
          </w:tcPr>
          <w:p w14:paraId="7049CA5B"/>
        </w:tc>
        <w:tc>
          <w:tcPr>
            <w:tcW w:w="719" w:type="dxa"/>
            <w:tcBorders>
              <w:top w:val="single" w:color="auto" w:sz="4" w:space="0"/>
              <w:left w:val="single" w:color="auto" w:sz="4" w:space="0"/>
              <w:bottom w:val="single" w:color="auto" w:sz="4" w:space="0"/>
              <w:right w:val="single" w:color="auto" w:sz="4" w:space="0"/>
            </w:tcBorders>
          </w:tcPr>
          <w:p w14:paraId="0969CBCD"/>
        </w:tc>
        <w:tc>
          <w:tcPr>
            <w:tcW w:w="1310" w:type="dxa"/>
            <w:tcBorders>
              <w:top w:val="single" w:color="auto" w:sz="4" w:space="0"/>
              <w:left w:val="single" w:color="auto" w:sz="4" w:space="0"/>
              <w:bottom w:val="single" w:color="auto" w:sz="4" w:space="0"/>
              <w:right w:val="single" w:color="auto" w:sz="4" w:space="0"/>
            </w:tcBorders>
          </w:tcPr>
          <w:p w14:paraId="3378C5FE"/>
        </w:tc>
        <w:tc>
          <w:tcPr>
            <w:tcW w:w="993" w:type="dxa"/>
            <w:tcBorders>
              <w:top w:val="single" w:color="auto" w:sz="4" w:space="0"/>
              <w:left w:val="single" w:color="auto" w:sz="4" w:space="0"/>
              <w:bottom w:val="single" w:color="auto" w:sz="4" w:space="0"/>
              <w:right w:val="single" w:color="auto" w:sz="4" w:space="0"/>
            </w:tcBorders>
          </w:tcPr>
          <w:p w14:paraId="350258FD"/>
        </w:tc>
        <w:tc>
          <w:tcPr>
            <w:tcW w:w="1275" w:type="dxa"/>
            <w:tcBorders>
              <w:top w:val="single" w:color="auto" w:sz="4" w:space="0"/>
              <w:left w:val="single" w:color="auto" w:sz="4" w:space="0"/>
              <w:bottom w:val="single" w:color="auto" w:sz="4" w:space="0"/>
              <w:right w:val="single" w:color="auto" w:sz="4" w:space="0"/>
            </w:tcBorders>
          </w:tcPr>
          <w:p w14:paraId="73924C53"/>
        </w:tc>
        <w:tc>
          <w:tcPr>
            <w:tcW w:w="1134" w:type="dxa"/>
            <w:tcBorders>
              <w:top w:val="single" w:color="auto" w:sz="4" w:space="0"/>
              <w:left w:val="single" w:color="auto" w:sz="4" w:space="0"/>
              <w:bottom w:val="single" w:color="auto" w:sz="4" w:space="0"/>
              <w:right w:val="single" w:color="auto" w:sz="4" w:space="0"/>
            </w:tcBorders>
          </w:tcPr>
          <w:p w14:paraId="4E2B518B"/>
        </w:tc>
        <w:tc>
          <w:tcPr>
            <w:tcW w:w="1418" w:type="dxa"/>
            <w:tcBorders>
              <w:top w:val="single" w:color="auto" w:sz="4" w:space="0"/>
              <w:left w:val="single" w:color="auto" w:sz="4" w:space="0"/>
              <w:bottom w:val="single" w:color="auto" w:sz="4" w:space="0"/>
              <w:right w:val="single" w:color="auto" w:sz="4" w:space="0"/>
            </w:tcBorders>
          </w:tcPr>
          <w:p w14:paraId="285B4091"/>
        </w:tc>
        <w:tc>
          <w:tcPr>
            <w:tcW w:w="709" w:type="dxa"/>
            <w:tcBorders>
              <w:top w:val="single" w:color="auto" w:sz="4" w:space="0"/>
              <w:left w:val="single" w:color="auto" w:sz="4" w:space="0"/>
              <w:bottom w:val="single" w:color="auto" w:sz="4" w:space="0"/>
              <w:right w:val="single" w:color="auto" w:sz="4" w:space="0"/>
            </w:tcBorders>
          </w:tcPr>
          <w:p w14:paraId="3A3065E9"/>
        </w:tc>
      </w:tr>
      <w:tr w14:paraId="3A2E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55248A40"/>
        </w:tc>
        <w:tc>
          <w:tcPr>
            <w:tcW w:w="721" w:type="dxa"/>
            <w:tcBorders>
              <w:top w:val="single" w:color="auto" w:sz="4" w:space="0"/>
              <w:left w:val="single" w:color="auto" w:sz="4" w:space="0"/>
              <w:bottom w:val="single" w:color="auto" w:sz="4" w:space="0"/>
              <w:right w:val="single" w:color="auto" w:sz="4" w:space="0"/>
            </w:tcBorders>
          </w:tcPr>
          <w:p w14:paraId="647AD7B7"/>
        </w:tc>
        <w:tc>
          <w:tcPr>
            <w:tcW w:w="719" w:type="dxa"/>
            <w:tcBorders>
              <w:top w:val="single" w:color="auto" w:sz="4" w:space="0"/>
              <w:left w:val="single" w:color="auto" w:sz="4" w:space="0"/>
              <w:bottom w:val="single" w:color="auto" w:sz="4" w:space="0"/>
              <w:right w:val="single" w:color="auto" w:sz="4" w:space="0"/>
            </w:tcBorders>
          </w:tcPr>
          <w:p w14:paraId="05CA8E54"/>
        </w:tc>
        <w:tc>
          <w:tcPr>
            <w:tcW w:w="1310" w:type="dxa"/>
            <w:tcBorders>
              <w:top w:val="single" w:color="auto" w:sz="4" w:space="0"/>
              <w:left w:val="single" w:color="auto" w:sz="4" w:space="0"/>
              <w:bottom w:val="single" w:color="auto" w:sz="4" w:space="0"/>
              <w:right w:val="single" w:color="auto" w:sz="4" w:space="0"/>
            </w:tcBorders>
          </w:tcPr>
          <w:p w14:paraId="1D4A5CB4"/>
        </w:tc>
        <w:tc>
          <w:tcPr>
            <w:tcW w:w="993" w:type="dxa"/>
            <w:tcBorders>
              <w:top w:val="single" w:color="auto" w:sz="4" w:space="0"/>
              <w:left w:val="single" w:color="auto" w:sz="4" w:space="0"/>
              <w:bottom w:val="single" w:color="auto" w:sz="4" w:space="0"/>
              <w:right w:val="single" w:color="auto" w:sz="4" w:space="0"/>
            </w:tcBorders>
          </w:tcPr>
          <w:p w14:paraId="4994DC4B"/>
        </w:tc>
        <w:tc>
          <w:tcPr>
            <w:tcW w:w="1275" w:type="dxa"/>
            <w:tcBorders>
              <w:top w:val="single" w:color="auto" w:sz="4" w:space="0"/>
              <w:left w:val="single" w:color="auto" w:sz="4" w:space="0"/>
              <w:bottom w:val="single" w:color="auto" w:sz="4" w:space="0"/>
              <w:right w:val="single" w:color="auto" w:sz="4" w:space="0"/>
            </w:tcBorders>
          </w:tcPr>
          <w:p w14:paraId="1887BBA4"/>
        </w:tc>
        <w:tc>
          <w:tcPr>
            <w:tcW w:w="1134" w:type="dxa"/>
            <w:tcBorders>
              <w:top w:val="single" w:color="auto" w:sz="4" w:space="0"/>
              <w:left w:val="single" w:color="auto" w:sz="4" w:space="0"/>
              <w:bottom w:val="single" w:color="auto" w:sz="4" w:space="0"/>
              <w:right w:val="single" w:color="auto" w:sz="4" w:space="0"/>
            </w:tcBorders>
          </w:tcPr>
          <w:p w14:paraId="2E530452"/>
        </w:tc>
        <w:tc>
          <w:tcPr>
            <w:tcW w:w="1418" w:type="dxa"/>
            <w:tcBorders>
              <w:top w:val="single" w:color="auto" w:sz="4" w:space="0"/>
              <w:left w:val="single" w:color="auto" w:sz="4" w:space="0"/>
              <w:bottom w:val="single" w:color="auto" w:sz="4" w:space="0"/>
              <w:right w:val="single" w:color="auto" w:sz="4" w:space="0"/>
            </w:tcBorders>
          </w:tcPr>
          <w:p w14:paraId="65306C52"/>
        </w:tc>
        <w:tc>
          <w:tcPr>
            <w:tcW w:w="709" w:type="dxa"/>
            <w:tcBorders>
              <w:top w:val="single" w:color="auto" w:sz="4" w:space="0"/>
              <w:left w:val="single" w:color="auto" w:sz="4" w:space="0"/>
              <w:bottom w:val="single" w:color="auto" w:sz="4" w:space="0"/>
              <w:right w:val="single" w:color="auto" w:sz="4" w:space="0"/>
            </w:tcBorders>
          </w:tcPr>
          <w:p w14:paraId="1935E94A"/>
        </w:tc>
      </w:tr>
      <w:tr w14:paraId="74A4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6" w:type="dxa"/>
            <w:tcBorders>
              <w:top w:val="single" w:color="auto" w:sz="4" w:space="0"/>
              <w:left w:val="single" w:color="auto" w:sz="4" w:space="0"/>
              <w:bottom w:val="single" w:color="auto" w:sz="4" w:space="0"/>
              <w:right w:val="single" w:color="auto" w:sz="4" w:space="0"/>
            </w:tcBorders>
          </w:tcPr>
          <w:p w14:paraId="12589ED6"/>
        </w:tc>
        <w:tc>
          <w:tcPr>
            <w:tcW w:w="721" w:type="dxa"/>
            <w:tcBorders>
              <w:top w:val="single" w:color="auto" w:sz="4" w:space="0"/>
              <w:left w:val="single" w:color="auto" w:sz="4" w:space="0"/>
              <w:bottom w:val="single" w:color="auto" w:sz="4" w:space="0"/>
              <w:right w:val="single" w:color="auto" w:sz="4" w:space="0"/>
            </w:tcBorders>
          </w:tcPr>
          <w:p w14:paraId="5225FC96"/>
        </w:tc>
        <w:tc>
          <w:tcPr>
            <w:tcW w:w="719" w:type="dxa"/>
            <w:tcBorders>
              <w:top w:val="single" w:color="auto" w:sz="4" w:space="0"/>
              <w:left w:val="single" w:color="auto" w:sz="4" w:space="0"/>
              <w:bottom w:val="single" w:color="auto" w:sz="4" w:space="0"/>
              <w:right w:val="single" w:color="auto" w:sz="4" w:space="0"/>
            </w:tcBorders>
          </w:tcPr>
          <w:p w14:paraId="46B46775"/>
        </w:tc>
        <w:tc>
          <w:tcPr>
            <w:tcW w:w="1310" w:type="dxa"/>
            <w:tcBorders>
              <w:top w:val="single" w:color="auto" w:sz="4" w:space="0"/>
              <w:left w:val="single" w:color="auto" w:sz="4" w:space="0"/>
              <w:bottom w:val="single" w:color="auto" w:sz="4" w:space="0"/>
              <w:right w:val="single" w:color="auto" w:sz="4" w:space="0"/>
            </w:tcBorders>
          </w:tcPr>
          <w:p w14:paraId="5761EF95"/>
        </w:tc>
        <w:tc>
          <w:tcPr>
            <w:tcW w:w="993" w:type="dxa"/>
            <w:tcBorders>
              <w:top w:val="single" w:color="auto" w:sz="4" w:space="0"/>
              <w:left w:val="single" w:color="auto" w:sz="4" w:space="0"/>
              <w:bottom w:val="single" w:color="auto" w:sz="4" w:space="0"/>
              <w:right w:val="single" w:color="auto" w:sz="4" w:space="0"/>
            </w:tcBorders>
          </w:tcPr>
          <w:p w14:paraId="560CF277"/>
        </w:tc>
        <w:tc>
          <w:tcPr>
            <w:tcW w:w="1275" w:type="dxa"/>
            <w:tcBorders>
              <w:top w:val="single" w:color="auto" w:sz="4" w:space="0"/>
              <w:left w:val="single" w:color="auto" w:sz="4" w:space="0"/>
              <w:bottom w:val="single" w:color="auto" w:sz="4" w:space="0"/>
              <w:right w:val="single" w:color="auto" w:sz="4" w:space="0"/>
            </w:tcBorders>
          </w:tcPr>
          <w:p w14:paraId="4379763B"/>
        </w:tc>
        <w:tc>
          <w:tcPr>
            <w:tcW w:w="1134" w:type="dxa"/>
            <w:tcBorders>
              <w:top w:val="single" w:color="auto" w:sz="4" w:space="0"/>
              <w:left w:val="single" w:color="auto" w:sz="4" w:space="0"/>
              <w:bottom w:val="single" w:color="auto" w:sz="4" w:space="0"/>
              <w:right w:val="single" w:color="auto" w:sz="4" w:space="0"/>
            </w:tcBorders>
          </w:tcPr>
          <w:p w14:paraId="2622997E"/>
        </w:tc>
        <w:tc>
          <w:tcPr>
            <w:tcW w:w="1418" w:type="dxa"/>
            <w:tcBorders>
              <w:top w:val="single" w:color="auto" w:sz="4" w:space="0"/>
              <w:left w:val="single" w:color="auto" w:sz="4" w:space="0"/>
              <w:bottom w:val="single" w:color="auto" w:sz="4" w:space="0"/>
              <w:right w:val="single" w:color="auto" w:sz="4" w:space="0"/>
            </w:tcBorders>
          </w:tcPr>
          <w:p w14:paraId="372FC0C5"/>
        </w:tc>
        <w:tc>
          <w:tcPr>
            <w:tcW w:w="709" w:type="dxa"/>
            <w:tcBorders>
              <w:top w:val="single" w:color="auto" w:sz="4" w:space="0"/>
              <w:left w:val="single" w:color="auto" w:sz="4" w:space="0"/>
              <w:bottom w:val="single" w:color="auto" w:sz="4" w:space="0"/>
              <w:right w:val="single" w:color="auto" w:sz="4" w:space="0"/>
            </w:tcBorders>
          </w:tcPr>
          <w:p w14:paraId="7BBDD989"/>
        </w:tc>
      </w:tr>
    </w:tbl>
    <w:p w14:paraId="26324237"/>
    <w:p w14:paraId="08876956">
      <w:pPr>
        <w:pStyle w:val="5"/>
      </w:pPr>
      <w:r>
        <w:rPr>
          <w:sz w:val="20"/>
        </w:rPr>
        <w:br w:type="page"/>
      </w:r>
      <w:bookmarkStart w:id="1120" w:name="_Toc71552394"/>
      <w:bookmarkStart w:id="1121" w:name="_Toc43721454"/>
      <w:bookmarkStart w:id="1122" w:name="_Toc786"/>
      <w:bookmarkStart w:id="1123" w:name="_Toc71552360"/>
      <w:r>
        <w:rPr>
          <w:rFonts w:hint="eastAsia"/>
        </w:rPr>
        <w:t>（二）主要人员简历表</w:t>
      </w:r>
      <w:bookmarkEnd w:id="1120"/>
      <w:bookmarkEnd w:id="1121"/>
      <w:bookmarkEnd w:id="1122"/>
      <w:bookmarkEnd w:id="1123"/>
    </w:p>
    <w:p w14:paraId="0965687E">
      <w:r>
        <w:rPr>
          <w:rFonts w:hint="eastAsia"/>
        </w:rPr>
        <w:t>附:1：主要项目管理人员简历表</w:t>
      </w:r>
    </w:p>
    <w:p w14:paraId="61A0E2DA">
      <w:r>
        <w:rPr>
          <w:rFonts w:hint="eastAsia"/>
        </w:rPr>
        <w:t>“主要人员简历表”中的项目经理应附</w:t>
      </w:r>
      <w:bookmarkStart w:id="1124" w:name="_Hlk137768372"/>
      <w:r>
        <w:rPr>
          <w:rFonts w:hint="eastAsia"/>
        </w:rPr>
        <w:t>建造师</w:t>
      </w:r>
      <w:r>
        <w:rPr>
          <w:rFonts w:hint="eastAsia"/>
          <w:lang w:val="en-US" w:eastAsia="zh-CN"/>
        </w:rPr>
        <w:t>注册</w:t>
      </w:r>
      <w:r>
        <w:rPr>
          <w:rFonts w:hint="eastAsia"/>
        </w:rPr>
        <w:t>证书</w:t>
      </w:r>
      <w:bookmarkEnd w:id="1124"/>
      <w:r>
        <w:rPr>
          <w:rFonts w:hint="eastAsia"/>
        </w:rPr>
        <w:t>、安全生产考核合格证书、身份证、职称证、学历证、养老保险证明材料、管理过的项目业绩</w:t>
      </w:r>
      <w:r>
        <w:rPr>
          <w:rFonts w:hint="eastAsia"/>
          <w:lang w:val="en-US" w:eastAsia="zh-CN"/>
        </w:rPr>
        <w:t>中标</w:t>
      </w:r>
      <w:r>
        <w:rPr>
          <w:rFonts w:hint="eastAsia"/>
        </w:rPr>
        <w:t>通知书或合同协议书或工程竣工验收证书；技术负责人应附身份证、职称证、学历证、养老保险证明材料、管理过的项目业绩</w:t>
      </w:r>
      <w:r>
        <w:rPr>
          <w:rFonts w:hint="eastAsia"/>
          <w:lang w:val="en-US" w:eastAsia="zh-CN"/>
        </w:rPr>
        <w:t>中标</w:t>
      </w:r>
      <w:r>
        <w:rPr>
          <w:rFonts w:hint="eastAsia"/>
        </w:rPr>
        <w:t>通知书或合同协议书或工程竣工验收证书；其它主要人员应附职称证（执业证或上岗证书）、养老保险证明材料。</w:t>
      </w:r>
    </w:p>
    <w:tbl>
      <w:tblPr>
        <w:tblStyle w:val="38"/>
        <w:tblpPr w:leftFromText="180" w:rightFromText="180" w:vertAnchor="text" w:horzAnchor="margin" w:tblpXSpec="center" w:tblpY="3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14:paraId="29C8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14:paraId="0345B61E">
            <w:r>
              <w:t>姓  名</w:t>
            </w:r>
          </w:p>
        </w:tc>
        <w:tc>
          <w:tcPr>
            <w:tcW w:w="1079" w:type="dxa"/>
            <w:gridSpan w:val="2"/>
            <w:vAlign w:val="center"/>
          </w:tcPr>
          <w:p w14:paraId="38769E30"/>
        </w:tc>
        <w:tc>
          <w:tcPr>
            <w:tcW w:w="927" w:type="dxa"/>
            <w:vAlign w:val="center"/>
          </w:tcPr>
          <w:p w14:paraId="4F7FB538">
            <w:r>
              <w:t>年 龄</w:t>
            </w:r>
          </w:p>
        </w:tc>
        <w:tc>
          <w:tcPr>
            <w:tcW w:w="1065" w:type="dxa"/>
            <w:vAlign w:val="center"/>
          </w:tcPr>
          <w:p w14:paraId="2263F849"/>
        </w:tc>
        <w:tc>
          <w:tcPr>
            <w:tcW w:w="2130" w:type="dxa"/>
            <w:gridSpan w:val="3"/>
            <w:vAlign w:val="center"/>
          </w:tcPr>
          <w:p w14:paraId="74573FBD">
            <w:r>
              <w:t>学历</w:t>
            </w:r>
          </w:p>
        </w:tc>
        <w:tc>
          <w:tcPr>
            <w:tcW w:w="2135" w:type="dxa"/>
            <w:vAlign w:val="center"/>
          </w:tcPr>
          <w:p w14:paraId="565662ED"/>
        </w:tc>
      </w:tr>
      <w:tr w14:paraId="5A7E0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14:paraId="03367884">
            <w:r>
              <w:t>职  称</w:t>
            </w:r>
          </w:p>
        </w:tc>
        <w:tc>
          <w:tcPr>
            <w:tcW w:w="1079" w:type="dxa"/>
            <w:gridSpan w:val="2"/>
            <w:vAlign w:val="center"/>
          </w:tcPr>
          <w:p w14:paraId="6B6C14BE"/>
        </w:tc>
        <w:tc>
          <w:tcPr>
            <w:tcW w:w="927" w:type="dxa"/>
            <w:vAlign w:val="center"/>
          </w:tcPr>
          <w:p w14:paraId="0458AF56">
            <w:r>
              <w:t>职 务</w:t>
            </w:r>
          </w:p>
        </w:tc>
        <w:tc>
          <w:tcPr>
            <w:tcW w:w="1065" w:type="dxa"/>
            <w:vAlign w:val="center"/>
          </w:tcPr>
          <w:p w14:paraId="6F7B6791"/>
        </w:tc>
        <w:tc>
          <w:tcPr>
            <w:tcW w:w="2130" w:type="dxa"/>
            <w:gridSpan w:val="3"/>
            <w:vAlign w:val="center"/>
          </w:tcPr>
          <w:p w14:paraId="5F97B243">
            <w:r>
              <w:t>拟在本合同任职</w:t>
            </w:r>
          </w:p>
        </w:tc>
        <w:tc>
          <w:tcPr>
            <w:tcW w:w="2135" w:type="dxa"/>
            <w:vAlign w:val="center"/>
          </w:tcPr>
          <w:p w14:paraId="2681C1DE"/>
        </w:tc>
      </w:tr>
      <w:tr w14:paraId="7A60D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6" w:type="dxa"/>
            <w:vAlign w:val="center"/>
          </w:tcPr>
          <w:p w14:paraId="0BB47940">
            <w:r>
              <w:t>毕业学校</w:t>
            </w:r>
          </w:p>
        </w:tc>
        <w:tc>
          <w:tcPr>
            <w:tcW w:w="7336" w:type="dxa"/>
            <w:gridSpan w:val="8"/>
          </w:tcPr>
          <w:p w14:paraId="11CBD352">
            <w:r>
              <w:t xml:space="preserve">      年毕业于            学校        专业</w:t>
            </w:r>
          </w:p>
        </w:tc>
      </w:tr>
      <w:tr w14:paraId="3087E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9"/>
            <w:vAlign w:val="center"/>
          </w:tcPr>
          <w:p w14:paraId="5EF9F508">
            <w:r>
              <w:t>主要工作经历</w:t>
            </w:r>
          </w:p>
        </w:tc>
      </w:tr>
      <w:tr w14:paraId="0B24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45" w:type="dxa"/>
            <w:gridSpan w:val="2"/>
            <w:vAlign w:val="center"/>
          </w:tcPr>
          <w:p w14:paraId="1AF6AE4B">
            <w:r>
              <w:t>时  间</w:t>
            </w:r>
          </w:p>
        </w:tc>
        <w:tc>
          <w:tcPr>
            <w:tcW w:w="3420" w:type="dxa"/>
            <w:gridSpan w:val="4"/>
            <w:vAlign w:val="center"/>
          </w:tcPr>
          <w:p w14:paraId="2C205A74">
            <w:r>
              <w:t>参加过的类似项目</w:t>
            </w:r>
          </w:p>
        </w:tc>
        <w:tc>
          <w:tcPr>
            <w:tcW w:w="1261" w:type="dxa"/>
            <w:vAlign w:val="center"/>
          </w:tcPr>
          <w:p w14:paraId="726E3E96">
            <w:r>
              <w:t>担任职务</w:t>
            </w:r>
          </w:p>
        </w:tc>
        <w:tc>
          <w:tcPr>
            <w:tcW w:w="2296" w:type="dxa"/>
            <w:gridSpan w:val="2"/>
            <w:vAlign w:val="center"/>
          </w:tcPr>
          <w:p w14:paraId="0568C6AB">
            <w:r>
              <w:t>发包人及联系电话</w:t>
            </w:r>
          </w:p>
        </w:tc>
      </w:tr>
      <w:tr w14:paraId="52C4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79B5DE29"/>
        </w:tc>
        <w:tc>
          <w:tcPr>
            <w:tcW w:w="3420" w:type="dxa"/>
            <w:gridSpan w:val="4"/>
          </w:tcPr>
          <w:p w14:paraId="00ABBC38"/>
        </w:tc>
        <w:tc>
          <w:tcPr>
            <w:tcW w:w="1261" w:type="dxa"/>
          </w:tcPr>
          <w:p w14:paraId="4686B6AF"/>
        </w:tc>
        <w:tc>
          <w:tcPr>
            <w:tcW w:w="2296" w:type="dxa"/>
            <w:gridSpan w:val="2"/>
          </w:tcPr>
          <w:p w14:paraId="6FC1B70D"/>
        </w:tc>
      </w:tr>
      <w:tr w14:paraId="469A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61CBA889"/>
        </w:tc>
        <w:tc>
          <w:tcPr>
            <w:tcW w:w="3420" w:type="dxa"/>
            <w:gridSpan w:val="4"/>
          </w:tcPr>
          <w:p w14:paraId="11854270"/>
        </w:tc>
        <w:tc>
          <w:tcPr>
            <w:tcW w:w="1261" w:type="dxa"/>
          </w:tcPr>
          <w:p w14:paraId="24752E38"/>
        </w:tc>
        <w:tc>
          <w:tcPr>
            <w:tcW w:w="2296" w:type="dxa"/>
            <w:gridSpan w:val="2"/>
          </w:tcPr>
          <w:p w14:paraId="1D656CC8"/>
        </w:tc>
      </w:tr>
      <w:tr w14:paraId="10F0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50D9BCC7"/>
        </w:tc>
        <w:tc>
          <w:tcPr>
            <w:tcW w:w="3420" w:type="dxa"/>
            <w:gridSpan w:val="4"/>
          </w:tcPr>
          <w:p w14:paraId="7D673F45"/>
        </w:tc>
        <w:tc>
          <w:tcPr>
            <w:tcW w:w="1261" w:type="dxa"/>
          </w:tcPr>
          <w:p w14:paraId="706F5E4F"/>
        </w:tc>
        <w:tc>
          <w:tcPr>
            <w:tcW w:w="2296" w:type="dxa"/>
            <w:gridSpan w:val="2"/>
          </w:tcPr>
          <w:p w14:paraId="19E99CFD"/>
        </w:tc>
      </w:tr>
      <w:tr w14:paraId="2BC6B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708825B3"/>
        </w:tc>
        <w:tc>
          <w:tcPr>
            <w:tcW w:w="3420" w:type="dxa"/>
            <w:gridSpan w:val="4"/>
          </w:tcPr>
          <w:p w14:paraId="60583F56"/>
        </w:tc>
        <w:tc>
          <w:tcPr>
            <w:tcW w:w="1261" w:type="dxa"/>
          </w:tcPr>
          <w:p w14:paraId="7FF2502E"/>
        </w:tc>
        <w:tc>
          <w:tcPr>
            <w:tcW w:w="2296" w:type="dxa"/>
            <w:gridSpan w:val="2"/>
          </w:tcPr>
          <w:p w14:paraId="60FC6103"/>
        </w:tc>
      </w:tr>
      <w:tr w14:paraId="1552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052DA130"/>
        </w:tc>
        <w:tc>
          <w:tcPr>
            <w:tcW w:w="3420" w:type="dxa"/>
            <w:gridSpan w:val="4"/>
          </w:tcPr>
          <w:p w14:paraId="38C5EDC5"/>
        </w:tc>
        <w:tc>
          <w:tcPr>
            <w:tcW w:w="1261" w:type="dxa"/>
          </w:tcPr>
          <w:p w14:paraId="7DAFFC8D"/>
        </w:tc>
        <w:tc>
          <w:tcPr>
            <w:tcW w:w="2296" w:type="dxa"/>
            <w:gridSpan w:val="2"/>
          </w:tcPr>
          <w:p w14:paraId="085ECBB5"/>
        </w:tc>
      </w:tr>
      <w:tr w14:paraId="61224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2B841DF6"/>
        </w:tc>
        <w:tc>
          <w:tcPr>
            <w:tcW w:w="3420" w:type="dxa"/>
            <w:gridSpan w:val="4"/>
          </w:tcPr>
          <w:p w14:paraId="0FBE9095"/>
        </w:tc>
        <w:tc>
          <w:tcPr>
            <w:tcW w:w="1261" w:type="dxa"/>
          </w:tcPr>
          <w:p w14:paraId="73BAEB8A"/>
        </w:tc>
        <w:tc>
          <w:tcPr>
            <w:tcW w:w="2296" w:type="dxa"/>
            <w:gridSpan w:val="2"/>
          </w:tcPr>
          <w:p w14:paraId="12D525CB"/>
        </w:tc>
      </w:tr>
      <w:tr w14:paraId="494B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545" w:type="dxa"/>
            <w:gridSpan w:val="2"/>
          </w:tcPr>
          <w:p w14:paraId="09831C23"/>
        </w:tc>
        <w:tc>
          <w:tcPr>
            <w:tcW w:w="3420" w:type="dxa"/>
            <w:gridSpan w:val="4"/>
          </w:tcPr>
          <w:p w14:paraId="245E6501"/>
        </w:tc>
        <w:tc>
          <w:tcPr>
            <w:tcW w:w="1261" w:type="dxa"/>
          </w:tcPr>
          <w:p w14:paraId="6CF2E52C"/>
        </w:tc>
        <w:tc>
          <w:tcPr>
            <w:tcW w:w="2296" w:type="dxa"/>
            <w:gridSpan w:val="2"/>
          </w:tcPr>
          <w:p w14:paraId="3E71FBB8"/>
        </w:tc>
      </w:tr>
    </w:tbl>
    <w:p w14:paraId="1809BD55">
      <w:pPr>
        <w:pStyle w:val="4"/>
        <w:sectPr>
          <w:pgSz w:w="11906" w:h="16838"/>
          <w:pgMar w:top="1440" w:right="1800" w:bottom="1440" w:left="1800" w:header="851" w:footer="992" w:gutter="0"/>
          <w:cols w:space="720" w:num="1"/>
          <w:docGrid w:linePitch="312" w:charSpace="0"/>
        </w:sectPr>
      </w:pPr>
      <w:bookmarkStart w:id="1125" w:name="_Toc246996373"/>
      <w:bookmarkStart w:id="1126" w:name="_Toc247085891"/>
      <w:bookmarkStart w:id="1127" w:name="_Toc296602618"/>
      <w:bookmarkStart w:id="1128" w:name="_Toc246997116"/>
      <w:bookmarkStart w:id="1129" w:name="_Toc152042597"/>
      <w:bookmarkStart w:id="1130" w:name="_Toc179632828"/>
      <w:bookmarkStart w:id="1131" w:name="_Toc152045808"/>
      <w:bookmarkStart w:id="1132" w:name="_Toc144974876"/>
    </w:p>
    <w:p w14:paraId="1E9CB368">
      <w:pPr>
        <w:widowControl/>
        <w:spacing w:line="240" w:lineRule="auto"/>
        <w:jc w:val="left"/>
      </w:pPr>
      <w:r>
        <w:br w:type="page"/>
      </w:r>
    </w:p>
    <w:p w14:paraId="7CD74FB8">
      <w:r>
        <w:rPr>
          <w:rFonts w:hint="eastAsia"/>
        </w:rPr>
        <w:t>附表 1</w:t>
      </w:r>
    </w:p>
    <w:p w14:paraId="560651BE">
      <w:pPr>
        <w:jc w:val="center"/>
      </w:pPr>
      <w:r>
        <w:rPr>
          <w:rFonts w:hint="eastAsia"/>
        </w:rPr>
        <w:t>承诺书</w:t>
      </w:r>
    </w:p>
    <w:p w14:paraId="2D76A43D">
      <w:r>
        <w:rPr>
          <w:rFonts w:hint="eastAsia" w:cs="宋体"/>
          <w:sz w:val="32"/>
          <w:szCs w:val="32"/>
          <w:u w:val="single"/>
        </w:rPr>
        <w:t xml:space="preserve">      </w:t>
      </w:r>
      <w:r>
        <w:rPr>
          <w:rFonts w:hint="eastAsia"/>
        </w:rPr>
        <w:t>（采购单位名称）：</w:t>
      </w:r>
    </w:p>
    <w:p w14:paraId="21BD901C"/>
    <w:p w14:paraId="0DBD92E4">
      <w:r>
        <w:rPr>
          <w:rFonts w:hint="eastAsia"/>
        </w:rPr>
        <w:t>我方在此声明，我方拟派往</w:t>
      </w:r>
      <w:r>
        <w:rPr>
          <w:rFonts w:hint="eastAsia" w:cs="宋体"/>
        </w:rPr>
        <w:t xml:space="preserve"> </w:t>
      </w:r>
      <w:r>
        <w:rPr>
          <w:rFonts w:hint="eastAsia" w:cs="宋体"/>
          <w:u w:val="single"/>
        </w:rPr>
        <w:t xml:space="preserve">       </w:t>
      </w:r>
      <w:r>
        <w:rPr>
          <w:rFonts w:hint="eastAsia"/>
        </w:rPr>
        <w:t xml:space="preserve"> （项目名称） 标段（以下简称“本工程”）的项目经理 </w:t>
      </w:r>
      <w:r>
        <w:rPr>
          <w:rFonts w:hint="eastAsia"/>
          <w:u w:val="single"/>
        </w:rPr>
        <w:t xml:space="preserve">      </w:t>
      </w:r>
      <w:r>
        <w:rPr>
          <w:rFonts w:hint="eastAsia"/>
        </w:rPr>
        <w:t>（项目经理姓名）现阶段没有担任任何在施建设工程项目的项目经理。</w:t>
      </w:r>
    </w:p>
    <w:p w14:paraId="2261A33F">
      <w:r>
        <w:rPr>
          <w:rFonts w:hint="eastAsia"/>
        </w:rPr>
        <w:t>我方保证上述信息的真实和准确，并愿意承担因我方就此弄虚作假所引起的一切法律后果。</w:t>
      </w:r>
    </w:p>
    <w:p w14:paraId="06FAF111"/>
    <w:p w14:paraId="45D61E3D"/>
    <w:p w14:paraId="778BF9B5">
      <w:r>
        <w:rPr>
          <w:rFonts w:hint="eastAsia"/>
        </w:rPr>
        <w:t>特此承诺！</w:t>
      </w:r>
    </w:p>
    <w:p w14:paraId="17A5F2B8"/>
    <w:p w14:paraId="2E391F46"/>
    <w:p w14:paraId="0F49EABA">
      <w:r>
        <w:rPr>
          <w:rFonts w:hint="eastAsia"/>
        </w:rPr>
        <w:t>投标单位</w:t>
      </w:r>
      <w:r>
        <w:t>：</w:t>
      </w:r>
      <w:r>
        <w:rPr>
          <w:u w:val="single"/>
        </w:rPr>
        <w:t xml:space="preserve">                              </w:t>
      </w:r>
      <w:r>
        <w:t>（盖单位章）</w:t>
      </w:r>
    </w:p>
    <w:p w14:paraId="6F788209">
      <w:r>
        <w:t>法定代表人或其委托代理人：</w:t>
      </w:r>
      <w:r>
        <w:rPr>
          <w:u w:val="single"/>
        </w:rPr>
        <w:t xml:space="preserve">      </w:t>
      </w:r>
      <w:r>
        <w:rPr>
          <w:rFonts w:hint="eastAsia"/>
          <w:u w:val="single"/>
        </w:rPr>
        <w:t xml:space="preserve"> </w:t>
      </w:r>
      <w:r>
        <w:rPr>
          <w:u w:val="single"/>
        </w:rPr>
        <w:t xml:space="preserve">     </w:t>
      </w:r>
      <w:r>
        <w:t>（签字</w:t>
      </w:r>
      <w:r>
        <w:rPr>
          <w:rFonts w:hint="eastAsia"/>
        </w:rPr>
        <w:t>或盖章</w:t>
      </w:r>
      <w:r>
        <w:t>）</w:t>
      </w:r>
    </w:p>
    <w:p w14:paraId="7A2B71F4">
      <w:r>
        <w:rPr>
          <w:rFonts w:hint="eastAsia"/>
        </w:rPr>
        <w:t>日期：</w:t>
      </w:r>
      <w:r>
        <w:rPr>
          <w:u w:val="single"/>
        </w:rPr>
        <w:t xml:space="preserve">                                             </w:t>
      </w:r>
    </w:p>
    <w:p w14:paraId="52ECC8D7">
      <w:pPr>
        <w:sectPr>
          <w:type w:val="continuous"/>
          <w:pgSz w:w="11906" w:h="16838"/>
          <w:pgMar w:top="1440" w:right="1800" w:bottom="1440" w:left="1800" w:header="851" w:footer="992" w:gutter="0"/>
          <w:cols w:space="720" w:num="1"/>
          <w:docGrid w:linePitch="312" w:charSpace="0"/>
        </w:sectPr>
      </w:pPr>
      <w:r>
        <w:br w:type="page"/>
      </w:r>
    </w:p>
    <w:p w14:paraId="784A5DC1">
      <w:pPr>
        <w:pStyle w:val="4"/>
      </w:pPr>
      <w:bookmarkStart w:id="1133" w:name="_Toc15930"/>
      <w:bookmarkStart w:id="1134" w:name="_Toc43721455"/>
      <w:bookmarkStart w:id="1135" w:name="_Toc71552395"/>
      <w:bookmarkStart w:id="1136" w:name="_Toc71552361"/>
      <w:r>
        <w:rPr>
          <w:rFonts w:hint="eastAsia"/>
        </w:rPr>
        <w:t>八、资格审查资料</w:t>
      </w:r>
      <w:bookmarkEnd w:id="1133"/>
      <w:bookmarkEnd w:id="1134"/>
      <w:bookmarkEnd w:id="1135"/>
      <w:bookmarkEnd w:id="1136"/>
    </w:p>
    <w:p w14:paraId="408EE4FE">
      <w:pPr>
        <w:pStyle w:val="5"/>
      </w:pPr>
      <w:bookmarkStart w:id="1137" w:name="_Toc71552396"/>
      <w:bookmarkStart w:id="1138" w:name="_Toc43721456"/>
      <w:bookmarkStart w:id="1139" w:name="_Toc71552362"/>
      <w:bookmarkStart w:id="1140" w:name="_Toc21210"/>
      <w:r>
        <w:t>（一）响应单位基本情况表</w:t>
      </w:r>
      <w:bookmarkEnd w:id="1125"/>
      <w:bookmarkEnd w:id="1126"/>
      <w:bookmarkEnd w:id="1127"/>
      <w:bookmarkEnd w:id="1128"/>
      <w:bookmarkEnd w:id="1129"/>
      <w:bookmarkEnd w:id="1130"/>
      <w:bookmarkEnd w:id="1131"/>
      <w:bookmarkEnd w:id="1132"/>
      <w:bookmarkEnd w:id="1137"/>
      <w:bookmarkEnd w:id="1138"/>
      <w:bookmarkEnd w:id="1139"/>
      <w:bookmarkEnd w:id="1140"/>
    </w:p>
    <w:tbl>
      <w:tblPr>
        <w:tblStyle w:val="38"/>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8"/>
        <w:gridCol w:w="1074"/>
        <w:gridCol w:w="775"/>
        <w:gridCol w:w="840"/>
        <w:gridCol w:w="420"/>
        <w:gridCol w:w="311"/>
        <w:gridCol w:w="1340"/>
        <w:gridCol w:w="28"/>
        <w:gridCol w:w="709"/>
        <w:gridCol w:w="1701"/>
      </w:tblGrid>
      <w:tr w14:paraId="2A1E8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C21DC60">
            <w:r>
              <w:t>响应单位名称</w:t>
            </w:r>
          </w:p>
        </w:tc>
        <w:tc>
          <w:tcPr>
            <w:tcW w:w="7198" w:type="dxa"/>
            <w:gridSpan w:val="9"/>
            <w:tcBorders>
              <w:top w:val="single" w:color="auto" w:sz="4" w:space="0"/>
              <w:left w:val="single" w:color="auto" w:sz="4" w:space="0"/>
              <w:bottom w:val="single" w:color="auto" w:sz="4" w:space="0"/>
              <w:right w:val="single" w:color="auto" w:sz="4" w:space="0"/>
            </w:tcBorders>
            <w:vAlign w:val="center"/>
          </w:tcPr>
          <w:p w14:paraId="3193C5FE"/>
        </w:tc>
      </w:tr>
      <w:tr w14:paraId="42A49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0D23874">
            <w:r>
              <w:t>注册地址</w:t>
            </w:r>
          </w:p>
        </w:tc>
        <w:tc>
          <w:tcPr>
            <w:tcW w:w="3420" w:type="dxa"/>
            <w:gridSpan w:val="5"/>
            <w:tcBorders>
              <w:top w:val="single" w:color="auto" w:sz="4" w:space="0"/>
              <w:left w:val="single" w:color="auto" w:sz="4" w:space="0"/>
              <w:bottom w:val="single" w:color="auto" w:sz="4" w:space="0"/>
              <w:right w:val="single" w:color="auto" w:sz="4" w:space="0"/>
            </w:tcBorders>
            <w:vAlign w:val="center"/>
          </w:tcPr>
          <w:p w14:paraId="54C9B26E"/>
        </w:tc>
        <w:tc>
          <w:tcPr>
            <w:tcW w:w="1340" w:type="dxa"/>
            <w:tcBorders>
              <w:top w:val="single" w:color="auto" w:sz="4" w:space="0"/>
              <w:left w:val="single" w:color="auto" w:sz="4" w:space="0"/>
              <w:bottom w:val="single" w:color="auto" w:sz="4" w:space="0"/>
              <w:right w:val="single" w:color="auto" w:sz="4" w:space="0"/>
            </w:tcBorders>
            <w:vAlign w:val="center"/>
          </w:tcPr>
          <w:p w14:paraId="455ABB5A">
            <w:r>
              <w:t>邮政编码</w:t>
            </w:r>
          </w:p>
        </w:tc>
        <w:tc>
          <w:tcPr>
            <w:tcW w:w="2438" w:type="dxa"/>
            <w:gridSpan w:val="3"/>
            <w:tcBorders>
              <w:top w:val="single" w:color="auto" w:sz="4" w:space="0"/>
              <w:left w:val="single" w:color="auto" w:sz="4" w:space="0"/>
              <w:bottom w:val="single" w:color="auto" w:sz="4" w:space="0"/>
              <w:right w:val="single" w:color="auto" w:sz="4" w:space="0"/>
            </w:tcBorders>
            <w:vAlign w:val="center"/>
          </w:tcPr>
          <w:p w14:paraId="7C83F322"/>
        </w:tc>
      </w:tr>
      <w:tr w14:paraId="3C015F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jc w:val="center"/>
        </w:trPr>
        <w:tc>
          <w:tcPr>
            <w:tcW w:w="1728" w:type="dxa"/>
            <w:vMerge w:val="restart"/>
            <w:tcBorders>
              <w:top w:val="single" w:color="auto" w:sz="4" w:space="0"/>
              <w:left w:val="single" w:color="auto" w:sz="4" w:space="0"/>
              <w:bottom w:val="single" w:color="auto" w:sz="4" w:space="0"/>
              <w:right w:val="single" w:color="auto" w:sz="4" w:space="0"/>
            </w:tcBorders>
            <w:vAlign w:val="center"/>
          </w:tcPr>
          <w:p w14:paraId="6B0F3753">
            <w:r>
              <w:t>联系方式</w:t>
            </w:r>
          </w:p>
        </w:tc>
        <w:tc>
          <w:tcPr>
            <w:tcW w:w="1074" w:type="dxa"/>
            <w:tcBorders>
              <w:top w:val="single" w:color="auto" w:sz="4" w:space="0"/>
              <w:left w:val="single" w:color="auto" w:sz="4" w:space="0"/>
              <w:bottom w:val="single" w:color="auto" w:sz="4" w:space="0"/>
              <w:right w:val="single" w:color="auto" w:sz="4" w:space="0"/>
            </w:tcBorders>
            <w:vAlign w:val="center"/>
          </w:tcPr>
          <w:p w14:paraId="533785C3">
            <w:r>
              <w:t>联系人</w:t>
            </w:r>
          </w:p>
        </w:tc>
        <w:tc>
          <w:tcPr>
            <w:tcW w:w="2346" w:type="dxa"/>
            <w:gridSpan w:val="4"/>
            <w:tcBorders>
              <w:top w:val="single" w:color="auto" w:sz="4" w:space="0"/>
              <w:left w:val="single" w:color="auto" w:sz="4" w:space="0"/>
              <w:bottom w:val="single" w:color="auto" w:sz="4" w:space="0"/>
              <w:right w:val="single" w:color="auto" w:sz="4" w:space="0"/>
            </w:tcBorders>
            <w:vAlign w:val="center"/>
          </w:tcPr>
          <w:p w14:paraId="20D0FEF9"/>
        </w:tc>
        <w:tc>
          <w:tcPr>
            <w:tcW w:w="1340" w:type="dxa"/>
            <w:tcBorders>
              <w:top w:val="single" w:color="auto" w:sz="4" w:space="0"/>
              <w:left w:val="single" w:color="auto" w:sz="4" w:space="0"/>
              <w:bottom w:val="single" w:color="auto" w:sz="4" w:space="0"/>
              <w:right w:val="single" w:color="auto" w:sz="4" w:space="0"/>
            </w:tcBorders>
            <w:vAlign w:val="center"/>
          </w:tcPr>
          <w:p w14:paraId="7BB3A35C">
            <w:r>
              <w:t>电 话</w:t>
            </w:r>
          </w:p>
        </w:tc>
        <w:tc>
          <w:tcPr>
            <w:tcW w:w="2438" w:type="dxa"/>
            <w:gridSpan w:val="3"/>
            <w:tcBorders>
              <w:top w:val="single" w:color="auto" w:sz="4" w:space="0"/>
              <w:left w:val="single" w:color="auto" w:sz="4" w:space="0"/>
              <w:bottom w:val="single" w:color="auto" w:sz="4" w:space="0"/>
              <w:right w:val="single" w:color="auto" w:sz="4" w:space="0"/>
            </w:tcBorders>
            <w:vAlign w:val="center"/>
          </w:tcPr>
          <w:p w14:paraId="1E357975"/>
        </w:tc>
      </w:tr>
      <w:tr w14:paraId="609A83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jc w:val="center"/>
        </w:trPr>
        <w:tc>
          <w:tcPr>
            <w:tcW w:w="1728" w:type="dxa"/>
            <w:vMerge w:val="continue"/>
            <w:tcBorders>
              <w:top w:val="single" w:color="auto" w:sz="4" w:space="0"/>
              <w:left w:val="single" w:color="auto" w:sz="4" w:space="0"/>
              <w:bottom w:val="single" w:color="auto" w:sz="4" w:space="0"/>
              <w:right w:val="single" w:color="auto" w:sz="4" w:space="0"/>
            </w:tcBorders>
            <w:vAlign w:val="center"/>
          </w:tcPr>
          <w:p w14:paraId="69C337CA"/>
        </w:tc>
        <w:tc>
          <w:tcPr>
            <w:tcW w:w="1074" w:type="dxa"/>
            <w:tcBorders>
              <w:top w:val="single" w:color="auto" w:sz="4" w:space="0"/>
              <w:left w:val="single" w:color="auto" w:sz="4" w:space="0"/>
              <w:bottom w:val="single" w:color="auto" w:sz="4" w:space="0"/>
              <w:right w:val="single" w:color="auto" w:sz="4" w:space="0"/>
            </w:tcBorders>
            <w:vAlign w:val="center"/>
          </w:tcPr>
          <w:p w14:paraId="3B6A2D3E">
            <w:r>
              <w:t>传  真</w:t>
            </w:r>
          </w:p>
        </w:tc>
        <w:tc>
          <w:tcPr>
            <w:tcW w:w="2346" w:type="dxa"/>
            <w:gridSpan w:val="4"/>
            <w:tcBorders>
              <w:top w:val="single" w:color="auto" w:sz="4" w:space="0"/>
              <w:left w:val="single" w:color="auto" w:sz="4" w:space="0"/>
              <w:bottom w:val="single" w:color="auto" w:sz="4" w:space="0"/>
              <w:right w:val="single" w:color="auto" w:sz="4" w:space="0"/>
            </w:tcBorders>
            <w:vAlign w:val="center"/>
          </w:tcPr>
          <w:p w14:paraId="4D8F91EA"/>
        </w:tc>
        <w:tc>
          <w:tcPr>
            <w:tcW w:w="1340" w:type="dxa"/>
            <w:tcBorders>
              <w:top w:val="single" w:color="auto" w:sz="4" w:space="0"/>
              <w:left w:val="single" w:color="auto" w:sz="4" w:space="0"/>
              <w:bottom w:val="single" w:color="auto" w:sz="4" w:space="0"/>
              <w:right w:val="single" w:color="auto" w:sz="4" w:space="0"/>
            </w:tcBorders>
            <w:vAlign w:val="center"/>
          </w:tcPr>
          <w:p w14:paraId="099C93BD">
            <w:r>
              <w:t>网 址</w:t>
            </w:r>
          </w:p>
        </w:tc>
        <w:tc>
          <w:tcPr>
            <w:tcW w:w="2438" w:type="dxa"/>
            <w:gridSpan w:val="3"/>
            <w:tcBorders>
              <w:top w:val="single" w:color="auto" w:sz="4" w:space="0"/>
              <w:left w:val="single" w:color="auto" w:sz="4" w:space="0"/>
              <w:bottom w:val="single" w:color="auto" w:sz="4" w:space="0"/>
              <w:right w:val="single" w:color="auto" w:sz="4" w:space="0"/>
            </w:tcBorders>
            <w:vAlign w:val="center"/>
          </w:tcPr>
          <w:p w14:paraId="24B0E145"/>
        </w:tc>
      </w:tr>
      <w:tr w14:paraId="5E9968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C8DFF02">
            <w:r>
              <w:t>组织结构</w:t>
            </w:r>
          </w:p>
        </w:tc>
        <w:tc>
          <w:tcPr>
            <w:tcW w:w="7198" w:type="dxa"/>
            <w:gridSpan w:val="9"/>
            <w:tcBorders>
              <w:top w:val="single" w:color="auto" w:sz="4" w:space="0"/>
              <w:left w:val="single" w:color="auto" w:sz="4" w:space="0"/>
              <w:bottom w:val="single" w:color="auto" w:sz="4" w:space="0"/>
              <w:right w:val="single" w:color="auto" w:sz="4" w:space="0"/>
            </w:tcBorders>
            <w:vAlign w:val="center"/>
          </w:tcPr>
          <w:p w14:paraId="3CBAD2C5"/>
        </w:tc>
      </w:tr>
      <w:tr w14:paraId="412C23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0F7A32EC">
            <w:r>
              <w:t>法定代表人</w:t>
            </w:r>
          </w:p>
        </w:tc>
        <w:tc>
          <w:tcPr>
            <w:tcW w:w="1074" w:type="dxa"/>
            <w:tcBorders>
              <w:top w:val="single" w:color="auto" w:sz="4" w:space="0"/>
              <w:left w:val="single" w:color="auto" w:sz="4" w:space="0"/>
              <w:bottom w:val="single" w:color="auto" w:sz="4" w:space="0"/>
              <w:right w:val="single" w:color="auto" w:sz="4" w:space="0"/>
            </w:tcBorders>
            <w:vAlign w:val="center"/>
          </w:tcPr>
          <w:p w14:paraId="04825E86">
            <w:r>
              <w:t>姓名</w:t>
            </w:r>
          </w:p>
        </w:tc>
        <w:tc>
          <w:tcPr>
            <w:tcW w:w="775" w:type="dxa"/>
            <w:tcBorders>
              <w:top w:val="single" w:color="auto" w:sz="4" w:space="0"/>
              <w:left w:val="single" w:color="auto" w:sz="4" w:space="0"/>
              <w:bottom w:val="single" w:color="auto" w:sz="4" w:space="0"/>
              <w:right w:val="single" w:color="auto" w:sz="4" w:space="0"/>
            </w:tcBorders>
            <w:vAlign w:val="center"/>
          </w:tcPr>
          <w:p w14:paraId="686C9958"/>
        </w:tc>
        <w:tc>
          <w:tcPr>
            <w:tcW w:w="1260" w:type="dxa"/>
            <w:gridSpan w:val="2"/>
            <w:tcBorders>
              <w:top w:val="single" w:color="auto" w:sz="4" w:space="0"/>
              <w:left w:val="single" w:color="auto" w:sz="4" w:space="0"/>
              <w:bottom w:val="single" w:color="auto" w:sz="4" w:space="0"/>
              <w:right w:val="single" w:color="auto" w:sz="4" w:space="0"/>
            </w:tcBorders>
            <w:vAlign w:val="center"/>
          </w:tcPr>
          <w:p w14:paraId="476143EB">
            <w:r>
              <w:t>技术职称</w:t>
            </w:r>
          </w:p>
        </w:tc>
        <w:tc>
          <w:tcPr>
            <w:tcW w:w="1679" w:type="dxa"/>
            <w:gridSpan w:val="3"/>
            <w:tcBorders>
              <w:top w:val="single" w:color="auto" w:sz="4" w:space="0"/>
              <w:left w:val="single" w:color="auto" w:sz="4" w:space="0"/>
              <w:bottom w:val="single" w:color="auto" w:sz="4" w:space="0"/>
              <w:right w:val="single" w:color="auto" w:sz="4" w:space="0"/>
            </w:tcBorders>
            <w:vAlign w:val="center"/>
          </w:tcPr>
          <w:p w14:paraId="5DCC12D0"/>
        </w:tc>
        <w:tc>
          <w:tcPr>
            <w:tcW w:w="709" w:type="dxa"/>
            <w:tcBorders>
              <w:top w:val="single" w:color="auto" w:sz="4" w:space="0"/>
              <w:left w:val="single" w:color="auto" w:sz="4" w:space="0"/>
              <w:bottom w:val="single" w:color="auto" w:sz="4" w:space="0"/>
              <w:right w:val="single" w:color="auto" w:sz="4" w:space="0"/>
            </w:tcBorders>
            <w:vAlign w:val="center"/>
          </w:tcPr>
          <w:p w14:paraId="2A6C5A1F">
            <w:r>
              <w:t>电话</w:t>
            </w:r>
          </w:p>
        </w:tc>
        <w:tc>
          <w:tcPr>
            <w:tcW w:w="1701" w:type="dxa"/>
            <w:tcBorders>
              <w:top w:val="single" w:color="auto" w:sz="4" w:space="0"/>
              <w:left w:val="single" w:color="auto" w:sz="4" w:space="0"/>
              <w:bottom w:val="single" w:color="auto" w:sz="4" w:space="0"/>
              <w:right w:val="single" w:color="auto" w:sz="4" w:space="0"/>
            </w:tcBorders>
            <w:vAlign w:val="center"/>
          </w:tcPr>
          <w:p w14:paraId="131A3625"/>
        </w:tc>
      </w:tr>
      <w:tr w14:paraId="1F66A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695009C">
            <w:r>
              <w:t>技术负责人</w:t>
            </w:r>
          </w:p>
        </w:tc>
        <w:tc>
          <w:tcPr>
            <w:tcW w:w="1074" w:type="dxa"/>
            <w:tcBorders>
              <w:top w:val="single" w:color="auto" w:sz="4" w:space="0"/>
              <w:left w:val="single" w:color="auto" w:sz="4" w:space="0"/>
              <w:bottom w:val="single" w:color="auto" w:sz="4" w:space="0"/>
              <w:right w:val="single" w:color="auto" w:sz="4" w:space="0"/>
            </w:tcBorders>
            <w:vAlign w:val="center"/>
          </w:tcPr>
          <w:p w14:paraId="2B8E6D7B">
            <w:r>
              <w:t>姓名</w:t>
            </w:r>
          </w:p>
        </w:tc>
        <w:tc>
          <w:tcPr>
            <w:tcW w:w="775" w:type="dxa"/>
            <w:tcBorders>
              <w:top w:val="single" w:color="auto" w:sz="4" w:space="0"/>
              <w:left w:val="single" w:color="auto" w:sz="4" w:space="0"/>
              <w:bottom w:val="single" w:color="auto" w:sz="4" w:space="0"/>
              <w:right w:val="single" w:color="auto" w:sz="4" w:space="0"/>
            </w:tcBorders>
            <w:vAlign w:val="center"/>
          </w:tcPr>
          <w:p w14:paraId="03437812"/>
        </w:tc>
        <w:tc>
          <w:tcPr>
            <w:tcW w:w="1260" w:type="dxa"/>
            <w:gridSpan w:val="2"/>
            <w:tcBorders>
              <w:top w:val="single" w:color="auto" w:sz="4" w:space="0"/>
              <w:left w:val="single" w:color="auto" w:sz="4" w:space="0"/>
              <w:bottom w:val="single" w:color="auto" w:sz="4" w:space="0"/>
              <w:right w:val="single" w:color="auto" w:sz="4" w:space="0"/>
            </w:tcBorders>
            <w:vAlign w:val="center"/>
          </w:tcPr>
          <w:p w14:paraId="1BA54D96">
            <w:r>
              <w:t>技术职称</w:t>
            </w:r>
          </w:p>
        </w:tc>
        <w:tc>
          <w:tcPr>
            <w:tcW w:w="1679" w:type="dxa"/>
            <w:gridSpan w:val="3"/>
            <w:tcBorders>
              <w:top w:val="single" w:color="auto" w:sz="4" w:space="0"/>
              <w:left w:val="single" w:color="auto" w:sz="4" w:space="0"/>
              <w:bottom w:val="single" w:color="auto" w:sz="4" w:space="0"/>
              <w:right w:val="single" w:color="auto" w:sz="4" w:space="0"/>
            </w:tcBorders>
            <w:vAlign w:val="center"/>
          </w:tcPr>
          <w:p w14:paraId="49C2B3E9"/>
        </w:tc>
        <w:tc>
          <w:tcPr>
            <w:tcW w:w="709" w:type="dxa"/>
            <w:tcBorders>
              <w:top w:val="single" w:color="auto" w:sz="4" w:space="0"/>
              <w:left w:val="single" w:color="auto" w:sz="4" w:space="0"/>
              <w:bottom w:val="single" w:color="auto" w:sz="4" w:space="0"/>
              <w:right w:val="single" w:color="auto" w:sz="4" w:space="0"/>
            </w:tcBorders>
            <w:vAlign w:val="center"/>
          </w:tcPr>
          <w:p w14:paraId="6E52FC3C">
            <w:r>
              <w:t>电话</w:t>
            </w:r>
          </w:p>
        </w:tc>
        <w:tc>
          <w:tcPr>
            <w:tcW w:w="1701" w:type="dxa"/>
            <w:tcBorders>
              <w:top w:val="single" w:color="auto" w:sz="4" w:space="0"/>
              <w:left w:val="single" w:color="auto" w:sz="4" w:space="0"/>
              <w:bottom w:val="single" w:color="auto" w:sz="4" w:space="0"/>
              <w:right w:val="single" w:color="auto" w:sz="4" w:space="0"/>
            </w:tcBorders>
            <w:vAlign w:val="center"/>
          </w:tcPr>
          <w:p w14:paraId="144DC3E5"/>
        </w:tc>
      </w:tr>
      <w:tr w14:paraId="18380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73A7081">
            <w:r>
              <w:t>成立时间</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BFD9D33"/>
        </w:tc>
        <w:tc>
          <w:tcPr>
            <w:tcW w:w="5349" w:type="dxa"/>
            <w:gridSpan w:val="7"/>
            <w:tcBorders>
              <w:top w:val="single" w:color="auto" w:sz="4" w:space="0"/>
              <w:left w:val="single" w:color="auto" w:sz="4" w:space="0"/>
              <w:bottom w:val="single" w:color="auto" w:sz="4" w:space="0"/>
              <w:right w:val="single" w:color="auto" w:sz="4" w:space="0"/>
            </w:tcBorders>
            <w:vAlign w:val="center"/>
          </w:tcPr>
          <w:p w14:paraId="22537614">
            <w:r>
              <w:t>员工总人数：</w:t>
            </w:r>
          </w:p>
        </w:tc>
      </w:tr>
      <w:tr w14:paraId="185519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3593EC3C">
            <w:r>
              <w:t>企业资质等级</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EF194DF"/>
        </w:tc>
        <w:tc>
          <w:tcPr>
            <w:tcW w:w="840" w:type="dxa"/>
            <w:vMerge w:val="restart"/>
            <w:tcBorders>
              <w:top w:val="single" w:color="auto" w:sz="4" w:space="0"/>
              <w:left w:val="single" w:color="auto" w:sz="4" w:space="0"/>
              <w:bottom w:val="single" w:color="auto" w:sz="4" w:space="0"/>
              <w:right w:val="single" w:color="auto" w:sz="4" w:space="0"/>
            </w:tcBorders>
            <w:vAlign w:val="center"/>
          </w:tcPr>
          <w:p w14:paraId="667BF4F5">
            <w:r>
              <w:t>其中</w:t>
            </w:r>
          </w:p>
        </w:tc>
        <w:tc>
          <w:tcPr>
            <w:tcW w:w="2099" w:type="dxa"/>
            <w:gridSpan w:val="4"/>
            <w:tcBorders>
              <w:top w:val="single" w:color="auto" w:sz="4" w:space="0"/>
              <w:left w:val="single" w:color="auto" w:sz="4" w:space="0"/>
              <w:bottom w:val="single" w:color="auto" w:sz="4" w:space="0"/>
              <w:right w:val="single" w:color="auto" w:sz="4" w:space="0"/>
            </w:tcBorders>
            <w:vAlign w:val="center"/>
          </w:tcPr>
          <w:p w14:paraId="5AB40284">
            <w:r>
              <w:t>项目经理</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48E37998"/>
        </w:tc>
      </w:tr>
      <w:tr w14:paraId="23D84A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0"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2C11CE28">
            <w:r>
              <w:t>营业执照号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091BF5AF"/>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7D1D277"/>
        </w:tc>
        <w:tc>
          <w:tcPr>
            <w:tcW w:w="2099" w:type="dxa"/>
            <w:gridSpan w:val="4"/>
            <w:tcBorders>
              <w:top w:val="single" w:color="auto" w:sz="4" w:space="0"/>
              <w:left w:val="single" w:color="auto" w:sz="4" w:space="0"/>
              <w:bottom w:val="single" w:color="auto" w:sz="4" w:space="0"/>
              <w:right w:val="single" w:color="auto" w:sz="4" w:space="0"/>
            </w:tcBorders>
            <w:vAlign w:val="center"/>
          </w:tcPr>
          <w:p w14:paraId="69DC3ADA">
            <w:r>
              <w:t>高级职称人员</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24CCD832"/>
        </w:tc>
      </w:tr>
      <w:tr w14:paraId="2AF128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48681D3">
            <w:r>
              <w:t>注册资金</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71CD020B"/>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5BFB92F8"/>
        </w:tc>
        <w:tc>
          <w:tcPr>
            <w:tcW w:w="2099" w:type="dxa"/>
            <w:gridSpan w:val="4"/>
            <w:tcBorders>
              <w:top w:val="single" w:color="auto" w:sz="4" w:space="0"/>
              <w:left w:val="single" w:color="auto" w:sz="4" w:space="0"/>
              <w:bottom w:val="single" w:color="auto" w:sz="4" w:space="0"/>
              <w:right w:val="single" w:color="auto" w:sz="4" w:space="0"/>
            </w:tcBorders>
            <w:vAlign w:val="center"/>
          </w:tcPr>
          <w:p w14:paraId="77E7D17E">
            <w:r>
              <w:t>中级职称人员</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6A92327D"/>
        </w:tc>
      </w:tr>
      <w:tr w14:paraId="56592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711D7A88">
            <w:r>
              <w:t>开户银行</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47F251F7"/>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271D1CFC"/>
        </w:tc>
        <w:tc>
          <w:tcPr>
            <w:tcW w:w="2099" w:type="dxa"/>
            <w:gridSpan w:val="4"/>
            <w:tcBorders>
              <w:top w:val="single" w:color="auto" w:sz="4" w:space="0"/>
              <w:left w:val="single" w:color="auto" w:sz="4" w:space="0"/>
              <w:bottom w:val="single" w:color="auto" w:sz="4" w:space="0"/>
              <w:right w:val="single" w:color="auto" w:sz="4" w:space="0"/>
            </w:tcBorders>
            <w:vAlign w:val="center"/>
          </w:tcPr>
          <w:p w14:paraId="74151D84">
            <w:r>
              <w:t>初级职称人员</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0B58F3BE"/>
        </w:tc>
      </w:tr>
      <w:tr w14:paraId="1C5FF7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1954C2A2">
            <w:r>
              <w:t>账号</w:t>
            </w:r>
          </w:p>
        </w:tc>
        <w:tc>
          <w:tcPr>
            <w:tcW w:w="1849" w:type="dxa"/>
            <w:gridSpan w:val="2"/>
            <w:tcBorders>
              <w:top w:val="single" w:color="auto" w:sz="4" w:space="0"/>
              <w:left w:val="single" w:color="auto" w:sz="4" w:space="0"/>
              <w:bottom w:val="single" w:color="auto" w:sz="4" w:space="0"/>
              <w:right w:val="single" w:color="auto" w:sz="4" w:space="0"/>
            </w:tcBorders>
            <w:vAlign w:val="center"/>
          </w:tcPr>
          <w:p w14:paraId="189BBB25"/>
        </w:tc>
        <w:tc>
          <w:tcPr>
            <w:tcW w:w="840" w:type="dxa"/>
            <w:vMerge w:val="continue"/>
            <w:tcBorders>
              <w:top w:val="single" w:color="auto" w:sz="4" w:space="0"/>
              <w:left w:val="single" w:color="auto" w:sz="4" w:space="0"/>
              <w:bottom w:val="single" w:color="auto" w:sz="4" w:space="0"/>
              <w:right w:val="single" w:color="auto" w:sz="4" w:space="0"/>
            </w:tcBorders>
            <w:vAlign w:val="center"/>
          </w:tcPr>
          <w:p w14:paraId="4E16AC8C"/>
        </w:tc>
        <w:tc>
          <w:tcPr>
            <w:tcW w:w="2099" w:type="dxa"/>
            <w:gridSpan w:val="4"/>
            <w:tcBorders>
              <w:top w:val="single" w:color="auto" w:sz="4" w:space="0"/>
              <w:left w:val="single" w:color="auto" w:sz="4" w:space="0"/>
              <w:bottom w:val="single" w:color="auto" w:sz="4" w:space="0"/>
              <w:right w:val="single" w:color="auto" w:sz="4" w:space="0"/>
            </w:tcBorders>
            <w:vAlign w:val="center"/>
          </w:tcPr>
          <w:p w14:paraId="58799D63">
            <w:r>
              <w:t>技</w:t>
            </w:r>
            <w:r>
              <w:rPr>
                <w:rFonts w:hint="eastAsia"/>
              </w:rPr>
              <w:t xml:space="preserve">  </w:t>
            </w:r>
            <w:r>
              <w:t>工</w:t>
            </w:r>
          </w:p>
        </w:tc>
        <w:tc>
          <w:tcPr>
            <w:tcW w:w="2410" w:type="dxa"/>
            <w:gridSpan w:val="2"/>
            <w:tcBorders>
              <w:top w:val="single" w:color="auto" w:sz="4" w:space="0"/>
              <w:left w:val="single" w:color="auto" w:sz="4" w:space="0"/>
              <w:bottom w:val="single" w:color="auto" w:sz="4" w:space="0"/>
              <w:right w:val="single" w:color="auto" w:sz="4" w:space="0"/>
            </w:tcBorders>
            <w:vAlign w:val="center"/>
          </w:tcPr>
          <w:p w14:paraId="7E53A224"/>
        </w:tc>
      </w:tr>
      <w:tr w14:paraId="6DF833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0" w:hRule="atLeast"/>
          <w:jc w:val="center"/>
        </w:trPr>
        <w:tc>
          <w:tcPr>
            <w:tcW w:w="1728" w:type="dxa"/>
            <w:tcBorders>
              <w:top w:val="single" w:color="auto" w:sz="4" w:space="0"/>
              <w:left w:val="single" w:color="auto" w:sz="4" w:space="0"/>
              <w:right w:val="single" w:color="auto" w:sz="4" w:space="0"/>
            </w:tcBorders>
            <w:vAlign w:val="center"/>
          </w:tcPr>
          <w:p w14:paraId="10505750">
            <w:r>
              <w:t>经营范围</w:t>
            </w:r>
          </w:p>
        </w:tc>
        <w:tc>
          <w:tcPr>
            <w:tcW w:w="7198" w:type="dxa"/>
            <w:gridSpan w:val="9"/>
            <w:tcBorders>
              <w:top w:val="single" w:color="auto" w:sz="4" w:space="0"/>
              <w:left w:val="single" w:color="auto" w:sz="4" w:space="0"/>
              <w:right w:val="single" w:color="auto" w:sz="4" w:space="0"/>
            </w:tcBorders>
            <w:vAlign w:val="center"/>
          </w:tcPr>
          <w:p w14:paraId="63A5A278"/>
          <w:p w14:paraId="242B68C0"/>
          <w:p w14:paraId="5D96B0EC"/>
          <w:p w14:paraId="0C2E3B12"/>
        </w:tc>
      </w:tr>
      <w:tr w14:paraId="1C8418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728" w:type="dxa"/>
            <w:tcBorders>
              <w:top w:val="single" w:color="auto" w:sz="4" w:space="0"/>
              <w:left w:val="single" w:color="auto" w:sz="4" w:space="0"/>
              <w:bottom w:val="single" w:color="auto" w:sz="4" w:space="0"/>
              <w:right w:val="single" w:color="auto" w:sz="4" w:space="0"/>
            </w:tcBorders>
            <w:vAlign w:val="center"/>
          </w:tcPr>
          <w:p w14:paraId="54712BB2">
            <w:r>
              <w:t>备注</w:t>
            </w:r>
          </w:p>
        </w:tc>
        <w:tc>
          <w:tcPr>
            <w:tcW w:w="7198" w:type="dxa"/>
            <w:gridSpan w:val="9"/>
            <w:tcBorders>
              <w:top w:val="single" w:color="auto" w:sz="4" w:space="0"/>
              <w:left w:val="single" w:color="auto" w:sz="4" w:space="0"/>
              <w:bottom w:val="single" w:color="auto" w:sz="4" w:space="0"/>
              <w:right w:val="single" w:color="auto" w:sz="4" w:space="0"/>
            </w:tcBorders>
            <w:vAlign w:val="center"/>
          </w:tcPr>
          <w:p w14:paraId="168F9C24"/>
        </w:tc>
      </w:tr>
    </w:tbl>
    <w:p w14:paraId="3E30F80A">
      <w:r>
        <w:rPr>
          <w:rFonts w:hint="eastAsia"/>
        </w:rPr>
        <w:t>备注：本表后应附企业法人营业执照</w:t>
      </w:r>
      <w:r>
        <w:rPr>
          <w:rFonts w:hint="eastAsia"/>
          <w:lang w:val="en-US" w:eastAsia="zh-CN"/>
        </w:rPr>
        <w:t>副本</w:t>
      </w:r>
      <w:r>
        <w:rPr>
          <w:rFonts w:hint="eastAsia"/>
        </w:rPr>
        <w:t>及其年检合格的证明材料、企业资质证书副本、安全生产许可证、开户许可证或开户证明等材料复印件。</w:t>
      </w:r>
      <w:bookmarkStart w:id="1141" w:name="_Toc144974881"/>
      <w:bookmarkStart w:id="1142" w:name="_Toc152042602"/>
      <w:bookmarkStart w:id="1143" w:name="_Toc179632833"/>
      <w:bookmarkStart w:id="1144" w:name="_Toc152045813"/>
    </w:p>
    <w:p w14:paraId="64E0A92C">
      <w:pPr>
        <w:pStyle w:val="5"/>
      </w:pPr>
      <w:bookmarkStart w:id="1145" w:name="_Toc296602619"/>
      <w:bookmarkStart w:id="1146" w:name="_Toc144974877"/>
      <w:bookmarkStart w:id="1147" w:name="_Toc71552397"/>
      <w:bookmarkStart w:id="1148" w:name="_Toc152045809"/>
      <w:bookmarkStart w:id="1149" w:name="_Toc43721457"/>
      <w:bookmarkStart w:id="1150" w:name="_Toc247514301"/>
      <w:bookmarkStart w:id="1151" w:name="_Toc247527849"/>
      <w:bookmarkStart w:id="1152" w:name="_Toc152042598"/>
      <w:bookmarkStart w:id="1153" w:name="_Toc71552363"/>
      <w:bookmarkStart w:id="1154" w:name="_Toc22943"/>
      <w:bookmarkStart w:id="1155" w:name="_Toc265953295"/>
      <w:r>
        <w:t>（二）近年财务状况表</w:t>
      </w:r>
      <w:bookmarkEnd w:id="1145"/>
      <w:bookmarkEnd w:id="1146"/>
      <w:bookmarkEnd w:id="1147"/>
      <w:bookmarkEnd w:id="1148"/>
      <w:bookmarkEnd w:id="1149"/>
      <w:bookmarkEnd w:id="1150"/>
      <w:bookmarkEnd w:id="1151"/>
      <w:bookmarkEnd w:id="1152"/>
      <w:bookmarkEnd w:id="1153"/>
      <w:bookmarkEnd w:id="1154"/>
      <w:bookmarkEnd w:id="1155"/>
    </w:p>
    <w:p w14:paraId="454A7AE6">
      <w:r>
        <w:rPr>
          <w:rFonts w:hint="eastAsia"/>
        </w:rPr>
        <w:t>备注：要求见第二章“响应单位须知”的规定。</w:t>
      </w:r>
    </w:p>
    <w:p w14:paraId="08D1850B"/>
    <w:p w14:paraId="308C948C">
      <w:pPr>
        <w:sectPr>
          <w:type w:val="continuous"/>
          <w:pgSz w:w="11906" w:h="16838"/>
          <w:pgMar w:top="1440" w:right="1800" w:bottom="1440" w:left="1800" w:header="851" w:footer="992" w:gutter="0"/>
          <w:cols w:space="720" w:num="1"/>
          <w:docGrid w:linePitch="312" w:charSpace="0"/>
        </w:sectPr>
      </w:pPr>
    </w:p>
    <w:p w14:paraId="58B0710F">
      <w:pPr>
        <w:pStyle w:val="5"/>
      </w:pPr>
      <w:bookmarkStart w:id="1156" w:name="_Toc144974878"/>
      <w:bookmarkStart w:id="1157" w:name="_Toc247514302"/>
      <w:bookmarkStart w:id="1158" w:name="_Toc296602620"/>
      <w:bookmarkStart w:id="1159" w:name="_Toc71552398"/>
      <w:bookmarkStart w:id="1160" w:name="_Toc43721458"/>
      <w:bookmarkStart w:id="1161" w:name="_Toc265953296"/>
      <w:bookmarkStart w:id="1162" w:name="_Toc152045810"/>
      <w:bookmarkStart w:id="1163" w:name="_Toc247527850"/>
      <w:bookmarkStart w:id="1164" w:name="_Toc71552364"/>
      <w:bookmarkStart w:id="1165" w:name="_Toc152042599"/>
      <w:bookmarkStart w:id="1166" w:name="_Toc29328"/>
      <w:r>
        <w:t>（三）近年完成的类似项目情况表</w:t>
      </w:r>
      <w:bookmarkEnd w:id="1156"/>
      <w:bookmarkEnd w:id="1157"/>
      <w:bookmarkEnd w:id="1158"/>
      <w:bookmarkEnd w:id="1159"/>
      <w:bookmarkEnd w:id="1160"/>
      <w:bookmarkEnd w:id="1161"/>
      <w:bookmarkEnd w:id="1162"/>
      <w:bookmarkEnd w:id="1163"/>
      <w:bookmarkEnd w:id="1164"/>
      <w:bookmarkEnd w:id="1165"/>
      <w:bookmarkEnd w:id="1166"/>
    </w:p>
    <w:tbl>
      <w:tblPr>
        <w:tblStyle w:val="3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090"/>
      </w:tblGrid>
      <w:tr w14:paraId="36E05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269" w:type="dxa"/>
            <w:vAlign w:val="center"/>
          </w:tcPr>
          <w:p w14:paraId="73560499">
            <w:r>
              <w:t>项目名称</w:t>
            </w:r>
          </w:p>
        </w:tc>
        <w:tc>
          <w:tcPr>
            <w:tcW w:w="6090" w:type="dxa"/>
          </w:tcPr>
          <w:p w14:paraId="22EDB668"/>
        </w:tc>
      </w:tr>
      <w:tr w14:paraId="3047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269" w:type="dxa"/>
            <w:vAlign w:val="center"/>
          </w:tcPr>
          <w:p w14:paraId="443C7839">
            <w:r>
              <w:t>项目所在地</w:t>
            </w:r>
          </w:p>
        </w:tc>
        <w:tc>
          <w:tcPr>
            <w:tcW w:w="6090" w:type="dxa"/>
          </w:tcPr>
          <w:p w14:paraId="479524AA"/>
        </w:tc>
      </w:tr>
      <w:tr w14:paraId="7110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269" w:type="dxa"/>
            <w:vAlign w:val="center"/>
          </w:tcPr>
          <w:p w14:paraId="0ECEED3F">
            <w:r>
              <w:t>发包人名称</w:t>
            </w:r>
          </w:p>
        </w:tc>
        <w:tc>
          <w:tcPr>
            <w:tcW w:w="6090" w:type="dxa"/>
          </w:tcPr>
          <w:p w14:paraId="51DFBCF8"/>
        </w:tc>
      </w:tr>
      <w:tr w14:paraId="46513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269" w:type="dxa"/>
            <w:vAlign w:val="center"/>
          </w:tcPr>
          <w:p w14:paraId="3780A8D6">
            <w:r>
              <w:t>发包人地址</w:t>
            </w:r>
          </w:p>
        </w:tc>
        <w:tc>
          <w:tcPr>
            <w:tcW w:w="6090" w:type="dxa"/>
          </w:tcPr>
          <w:p w14:paraId="3D907CD0"/>
        </w:tc>
      </w:tr>
      <w:tr w14:paraId="1C81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269" w:type="dxa"/>
            <w:vAlign w:val="center"/>
          </w:tcPr>
          <w:p w14:paraId="789B7A15">
            <w:r>
              <w:t>发包人电话</w:t>
            </w:r>
          </w:p>
        </w:tc>
        <w:tc>
          <w:tcPr>
            <w:tcW w:w="6090" w:type="dxa"/>
          </w:tcPr>
          <w:p w14:paraId="2752EAF4"/>
        </w:tc>
      </w:tr>
      <w:tr w14:paraId="1A4B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269" w:type="dxa"/>
            <w:vAlign w:val="center"/>
          </w:tcPr>
          <w:p w14:paraId="09F3B27C">
            <w:r>
              <w:t>合同价格</w:t>
            </w:r>
          </w:p>
        </w:tc>
        <w:tc>
          <w:tcPr>
            <w:tcW w:w="6090" w:type="dxa"/>
          </w:tcPr>
          <w:p w14:paraId="1FE06779"/>
        </w:tc>
      </w:tr>
      <w:tr w14:paraId="6B6A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7486D89D">
            <w:r>
              <w:t>开工日期</w:t>
            </w:r>
          </w:p>
        </w:tc>
        <w:tc>
          <w:tcPr>
            <w:tcW w:w="6090" w:type="dxa"/>
          </w:tcPr>
          <w:p w14:paraId="25B7835F"/>
        </w:tc>
      </w:tr>
      <w:tr w14:paraId="64F9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269" w:type="dxa"/>
            <w:vAlign w:val="center"/>
          </w:tcPr>
          <w:p w14:paraId="3D053F15">
            <w:r>
              <w:rPr>
                <w:rFonts w:hint="eastAsia"/>
              </w:rPr>
              <w:t>竣工</w:t>
            </w:r>
            <w:r>
              <w:t>日期</w:t>
            </w:r>
          </w:p>
        </w:tc>
        <w:tc>
          <w:tcPr>
            <w:tcW w:w="6090" w:type="dxa"/>
          </w:tcPr>
          <w:p w14:paraId="37050167"/>
        </w:tc>
      </w:tr>
      <w:tr w14:paraId="0402B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69" w:type="dxa"/>
            <w:vAlign w:val="center"/>
          </w:tcPr>
          <w:p w14:paraId="504EF599">
            <w:r>
              <w:t>承担的工作</w:t>
            </w:r>
          </w:p>
        </w:tc>
        <w:tc>
          <w:tcPr>
            <w:tcW w:w="6090" w:type="dxa"/>
          </w:tcPr>
          <w:p w14:paraId="3A7ADF5F"/>
        </w:tc>
      </w:tr>
      <w:tr w14:paraId="2B825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269" w:type="dxa"/>
            <w:vAlign w:val="center"/>
          </w:tcPr>
          <w:p w14:paraId="61B84222">
            <w:r>
              <w:t>工程质量</w:t>
            </w:r>
          </w:p>
        </w:tc>
        <w:tc>
          <w:tcPr>
            <w:tcW w:w="6090" w:type="dxa"/>
          </w:tcPr>
          <w:p w14:paraId="53E02022"/>
        </w:tc>
      </w:tr>
      <w:tr w14:paraId="20CA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269" w:type="dxa"/>
            <w:vAlign w:val="center"/>
          </w:tcPr>
          <w:p w14:paraId="19720982">
            <w:r>
              <w:t>项目经理</w:t>
            </w:r>
          </w:p>
        </w:tc>
        <w:tc>
          <w:tcPr>
            <w:tcW w:w="6090" w:type="dxa"/>
          </w:tcPr>
          <w:p w14:paraId="27EC087A"/>
        </w:tc>
      </w:tr>
      <w:tr w14:paraId="29EE4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269" w:type="dxa"/>
            <w:vAlign w:val="center"/>
          </w:tcPr>
          <w:p w14:paraId="2F7A90F4">
            <w:r>
              <w:t>技术负责人</w:t>
            </w:r>
          </w:p>
        </w:tc>
        <w:tc>
          <w:tcPr>
            <w:tcW w:w="6090" w:type="dxa"/>
          </w:tcPr>
          <w:p w14:paraId="4721F1AB"/>
        </w:tc>
      </w:tr>
      <w:tr w14:paraId="28DE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4C312562">
            <w:r>
              <w:t>项目描述</w:t>
            </w:r>
          </w:p>
        </w:tc>
        <w:tc>
          <w:tcPr>
            <w:tcW w:w="6090" w:type="dxa"/>
          </w:tcPr>
          <w:p w14:paraId="75375184"/>
          <w:p w14:paraId="69CA60C1"/>
          <w:p w14:paraId="66C959B4"/>
          <w:p w14:paraId="3F8F2FE2"/>
          <w:p w14:paraId="74DECD8E"/>
        </w:tc>
      </w:tr>
      <w:tr w14:paraId="322F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269" w:type="dxa"/>
            <w:vAlign w:val="center"/>
          </w:tcPr>
          <w:p w14:paraId="175E6FB1">
            <w:r>
              <w:t>备注</w:t>
            </w:r>
          </w:p>
        </w:tc>
        <w:tc>
          <w:tcPr>
            <w:tcW w:w="6090" w:type="dxa"/>
          </w:tcPr>
          <w:p w14:paraId="070E595D"/>
        </w:tc>
      </w:tr>
    </w:tbl>
    <w:p w14:paraId="5CD177A7"/>
    <w:p w14:paraId="6EEFBF00">
      <w:r>
        <w:rPr>
          <w:rFonts w:hint="eastAsia"/>
        </w:rPr>
        <w:t>备注：本表后附成交通知书或合同协议书或工程竣工验收证书的复印件加盖响应单位公章，具体年份要求见响应单位须知前附表。每张表格只填写一个项目，并标明序号。</w:t>
      </w:r>
    </w:p>
    <w:p w14:paraId="4AEB765C">
      <w:pPr>
        <w:pStyle w:val="5"/>
      </w:pPr>
      <w:bookmarkStart w:id="1167" w:name="_Toc152042600"/>
      <w:bookmarkStart w:id="1168" w:name="_Toc71552399"/>
      <w:bookmarkStart w:id="1169" w:name="_Toc247527851"/>
      <w:bookmarkStart w:id="1170" w:name="_Toc144974879"/>
      <w:bookmarkStart w:id="1171" w:name="_Toc28267"/>
      <w:bookmarkStart w:id="1172" w:name="_Toc152045811"/>
      <w:bookmarkStart w:id="1173" w:name="_Toc265953297"/>
      <w:bookmarkStart w:id="1174" w:name="_Toc71552365"/>
      <w:bookmarkStart w:id="1175" w:name="_Toc247514303"/>
      <w:bookmarkStart w:id="1176" w:name="_Toc43721459"/>
      <w:bookmarkStart w:id="1177" w:name="_Toc296602621"/>
      <w:r>
        <w:t>（四）正在</w:t>
      </w:r>
      <w:r>
        <w:rPr>
          <w:rFonts w:hint="eastAsia"/>
        </w:rPr>
        <w:t>实施</w:t>
      </w:r>
      <w:r>
        <w:t>的和新承接的项目情况表</w:t>
      </w:r>
      <w:bookmarkEnd w:id="1167"/>
      <w:bookmarkEnd w:id="1168"/>
      <w:bookmarkEnd w:id="1169"/>
      <w:bookmarkEnd w:id="1170"/>
      <w:bookmarkEnd w:id="1171"/>
      <w:bookmarkEnd w:id="1172"/>
      <w:bookmarkEnd w:id="1173"/>
      <w:bookmarkEnd w:id="1174"/>
      <w:bookmarkEnd w:id="1175"/>
      <w:bookmarkEnd w:id="1176"/>
      <w:bookmarkEnd w:id="1177"/>
    </w:p>
    <w:tbl>
      <w:tblPr>
        <w:tblStyle w:val="38"/>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9"/>
        <w:gridCol w:w="6240"/>
      </w:tblGrid>
      <w:tr w14:paraId="3C98B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2119" w:type="dxa"/>
            <w:vAlign w:val="center"/>
          </w:tcPr>
          <w:p w14:paraId="6BA71BDD">
            <w:r>
              <w:t>项目名称</w:t>
            </w:r>
          </w:p>
        </w:tc>
        <w:tc>
          <w:tcPr>
            <w:tcW w:w="6240" w:type="dxa"/>
          </w:tcPr>
          <w:p w14:paraId="23B091CB"/>
        </w:tc>
      </w:tr>
      <w:tr w14:paraId="3B53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2119" w:type="dxa"/>
            <w:vAlign w:val="center"/>
          </w:tcPr>
          <w:p w14:paraId="042F34B7">
            <w:r>
              <w:t>项目所在地</w:t>
            </w:r>
          </w:p>
        </w:tc>
        <w:tc>
          <w:tcPr>
            <w:tcW w:w="6240" w:type="dxa"/>
          </w:tcPr>
          <w:p w14:paraId="3E7E9FD1"/>
        </w:tc>
      </w:tr>
      <w:tr w14:paraId="66961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119" w:type="dxa"/>
            <w:vAlign w:val="center"/>
          </w:tcPr>
          <w:p w14:paraId="571DB0FF">
            <w:r>
              <w:t>发包人名称</w:t>
            </w:r>
          </w:p>
        </w:tc>
        <w:tc>
          <w:tcPr>
            <w:tcW w:w="6240" w:type="dxa"/>
          </w:tcPr>
          <w:p w14:paraId="6E72B669"/>
        </w:tc>
      </w:tr>
      <w:tr w14:paraId="516D3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2119" w:type="dxa"/>
            <w:vAlign w:val="center"/>
          </w:tcPr>
          <w:p w14:paraId="338F6FB6">
            <w:r>
              <w:t>发包人地址</w:t>
            </w:r>
          </w:p>
        </w:tc>
        <w:tc>
          <w:tcPr>
            <w:tcW w:w="6240" w:type="dxa"/>
          </w:tcPr>
          <w:p w14:paraId="328B3E44"/>
        </w:tc>
      </w:tr>
      <w:tr w14:paraId="26306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2119" w:type="dxa"/>
            <w:vAlign w:val="center"/>
          </w:tcPr>
          <w:p w14:paraId="7F2A33FF">
            <w:r>
              <w:t>发包人电话</w:t>
            </w:r>
          </w:p>
        </w:tc>
        <w:tc>
          <w:tcPr>
            <w:tcW w:w="6240" w:type="dxa"/>
          </w:tcPr>
          <w:p w14:paraId="21734F05"/>
        </w:tc>
      </w:tr>
      <w:tr w14:paraId="06BCF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2119" w:type="dxa"/>
            <w:vAlign w:val="center"/>
          </w:tcPr>
          <w:p w14:paraId="7921E8D2">
            <w:r>
              <w:t>签约合同价</w:t>
            </w:r>
          </w:p>
        </w:tc>
        <w:tc>
          <w:tcPr>
            <w:tcW w:w="6240" w:type="dxa"/>
          </w:tcPr>
          <w:p w14:paraId="74588182"/>
        </w:tc>
      </w:tr>
      <w:tr w14:paraId="67F3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119" w:type="dxa"/>
            <w:vAlign w:val="center"/>
          </w:tcPr>
          <w:p w14:paraId="6CF3DF8D">
            <w:r>
              <w:t>开工日期</w:t>
            </w:r>
          </w:p>
        </w:tc>
        <w:tc>
          <w:tcPr>
            <w:tcW w:w="6240" w:type="dxa"/>
          </w:tcPr>
          <w:p w14:paraId="249E7466"/>
        </w:tc>
      </w:tr>
      <w:tr w14:paraId="65B10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2119" w:type="dxa"/>
            <w:vAlign w:val="center"/>
          </w:tcPr>
          <w:p w14:paraId="0576F5CA">
            <w:r>
              <w:t>计划</w:t>
            </w:r>
            <w:r>
              <w:rPr>
                <w:rFonts w:hint="eastAsia"/>
              </w:rPr>
              <w:t>竣工</w:t>
            </w:r>
            <w:r>
              <w:t>日期</w:t>
            </w:r>
          </w:p>
        </w:tc>
        <w:tc>
          <w:tcPr>
            <w:tcW w:w="6240" w:type="dxa"/>
          </w:tcPr>
          <w:p w14:paraId="20ACF729"/>
        </w:tc>
      </w:tr>
      <w:tr w14:paraId="48912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119" w:type="dxa"/>
            <w:vAlign w:val="center"/>
          </w:tcPr>
          <w:p w14:paraId="4D8C7E49">
            <w:r>
              <w:t>承担的工作</w:t>
            </w:r>
          </w:p>
        </w:tc>
        <w:tc>
          <w:tcPr>
            <w:tcW w:w="6240" w:type="dxa"/>
          </w:tcPr>
          <w:p w14:paraId="5659D4AD"/>
        </w:tc>
      </w:tr>
      <w:tr w14:paraId="1865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119" w:type="dxa"/>
            <w:vAlign w:val="center"/>
          </w:tcPr>
          <w:p w14:paraId="42E27B9A">
            <w:r>
              <w:t>工程质量</w:t>
            </w:r>
          </w:p>
        </w:tc>
        <w:tc>
          <w:tcPr>
            <w:tcW w:w="6240" w:type="dxa"/>
          </w:tcPr>
          <w:p w14:paraId="12CB5451"/>
        </w:tc>
      </w:tr>
      <w:tr w14:paraId="760A7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2119" w:type="dxa"/>
            <w:vAlign w:val="center"/>
          </w:tcPr>
          <w:p w14:paraId="53F23724">
            <w:r>
              <w:t>项目经理</w:t>
            </w:r>
          </w:p>
        </w:tc>
        <w:tc>
          <w:tcPr>
            <w:tcW w:w="6240" w:type="dxa"/>
          </w:tcPr>
          <w:p w14:paraId="419E50D7"/>
        </w:tc>
      </w:tr>
      <w:tr w14:paraId="2E6D0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119" w:type="dxa"/>
            <w:vAlign w:val="center"/>
          </w:tcPr>
          <w:p w14:paraId="1730596B">
            <w:r>
              <w:t>技术负责人</w:t>
            </w:r>
          </w:p>
        </w:tc>
        <w:tc>
          <w:tcPr>
            <w:tcW w:w="6240" w:type="dxa"/>
          </w:tcPr>
          <w:p w14:paraId="00991DB4"/>
        </w:tc>
      </w:tr>
      <w:tr w14:paraId="1E55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2071184B">
            <w:r>
              <w:t>项目描述</w:t>
            </w:r>
          </w:p>
        </w:tc>
        <w:tc>
          <w:tcPr>
            <w:tcW w:w="6240" w:type="dxa"/>
          </w:tcPr>
          <w:p w14:paraId="3FB21A0B"/>
          <w:p w14:paraId="6E186495"/>
          <w:p w14:paraId="173B7F50"/>
          <w:p w14:paraId="33620DBB"/>
          <w:p w14:paraId="33B9A6A7"/>
          <w:p w14:paraId="28ADB03D"/>
          <w:p w14:paraId="6A47411C"/>
        </w:tc>
      </w:tr>
      <w:tr w14:paraId="139B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2119" w:type="dxa"/>
            <w:vAlign w:val="center"/>
          </w:tcPr>
          <w:p w14:paraId="4E46B3D5">
            <w:r>
              <w:t>备注</w:t>
            </w:r>
          </w:p>
        </w:tc>
        <w:tc>
          <w:tcPr>
            <w:tcW w:w="6240" w:type="dxa"/>
          </w:tcPr>
          <w:p w14:paraId="5E29036E"/>
        </w:tc>
      </w:tr>
    </w:tbl>
    <w:p w14:paraId="62FDC87C">
      <w:pPr>
        <w:sectPr>
          <w:pgSz w:w="11906" w:h="16838"/>
          <w:pgMar w:top="1440" w:right="1800" w:bottom="1440" w:left="1800" w:header="851" w:footer="992" w:gutter="0"/>
          <w:cols w:space="720" w:num="1"/>
          <w:docGrid w:linePitch="312" w:charSpace="0"/>
        </w:sectPr>
      </w:pPr>
    </w:p>
    <w:bookmarkEnd w:id="1141"/>
    <w:bookmarkEnd w:id="1142"/>
    <w:bookmarkEnd w:id="1143"/>
    <w:bookmarkEnd w:id="1144"/>
    <w:p w14:paraId="4B8117F8">
      <w:pPr>
        <w:pStyle w:val="5"/>
      </w:pPr>
      <w:bookmarkStart w:id="1178" w:name="_Toc71552366"/>
      <w:bookmarkStart w:id="1179" w:name="_Toc71552400"/>
      <w:bookmarkStart w:id="1180" w:name="_Toc31620"/>
      <w:r>
        <w:t>（</w:t>
      </w:r>
      <w:r>
        <w:rPr>
          <w:rFonts w:hint="eastAsia"/>
        </w:rPr>
        <w:t>五</w:t>
      </w:r>
      <w:r>
        <w:t>）</w:t>
      </w:r>
      <w:r>
        <w:rPr>
          <w:rFonts w:hint="eastAsia"/>
        </w:rPr>
        <w:t>企业诚信证明</w:t>
      </w:r>
      <w:bookmarkEnd w:id="1178"/>
      <w:bookmarkEnd w:id="1179"/>
      <w:bookmarkEnd w:id="1180"/>
    </w:p>
    <w:p w14:paraId="0B66013E">
      <w:r>
        <w:rPr>
          <w:rFonts w:hint="eastAsia"/>
        </w:rPr>
        <w:t>格式自拟。</w:t>
      </w:r>
    </w:p>
    <w:p w14:paraId="32D3F316"/>
    <w:p w14:paraId="4AC31A9B">
      <w:r>
        <w:br w:type="page"/>
      </w:r>
    </w:p>
    <w:p w14:paraId="66BE006D">
      <w:pPr>
        <w:pStyle w:val="5"/>
        <w:bidi w:val="0"/>
        <w:rPr>
          <w:rFonts w:hint="eastAsia"/>
        </w:rPr>
      </w:pPr>
      <w:bookmarkStart w:id="1181" w:name="_Toc5169"/>
      <w:r>
        <w:rPr>
          <w:rFonts w:hint="eastAsia"/>
          <w:lang w:val="en-US" w:eastAsia="zh-CN"/>
        </w:rPr>
        <w:t>（六）有依法缴纳税收和社会保障资金证明</w:t>
      </w:r>
      <w:bookmarkEnd w:id="1181"/>
    </w:p>
    <w:p w14:paraId="4F75E64E">
      <w:pPr>
        <w:sectPr>
          <w:pgSz w:w="11906" w:h="16838"/>
          <w:pgMar w:top="1440" w:right="1800" w:bottom="1440" w:left="1800" w:header="851" w:footer="992" w:gutter="0"/>
          <w:cols w:space="720" w:num="1"/>
          <w:docGrid w:linePitch="312" w:charSpace="0"/>
        </w:sectPr>
      </w:pPr>
      <w:r>
        <w:rPr>
          <w:rFonts w:hint="eastAsia"/>
          <w:lang w:val="en-US" w:eastAsia="zh-CN"/>
        </w:rPr>
        <w:t>格式自拟</w:t>
      </w:r>
      <w:r>
        <w:rPr>
          <w:rFonts w:hint="eastAsia"/>
        </w:rPr>
        <w:t>。</w:t>
      </w:r>
    </w:p>
    <w:p w14:paraId="5336B2B6">
      <w:pPr>
        <w:pStyle w:val="4"/>
      </w:pPr>
      <w:bookmarkStart w:id="1182" w:name="_Toc1135"/>
      <w:r>
        <w:rPr>
          <w:rFonts w:hint="eastAsia"/>
        </w:rPr>
        <w:t>九、其他资料</w:t>
      </w:r>
      <w:bookmarkEnd w:id="1182"/>
    </w:p>
    <w:p w14:paraId="69724C18">
      <w:pPr>
        <w:pStyle w:val="4"/>
        <w:sectPr>
          <w:pgSz w:w="11906" w:h="16838"/>
          <w:pgMar w:top="1440" w:right="1800" w:bottom="1440" w:left="1800" w:header="851" w:footer="992" w:gutter="0"/>
          <w:cols w:space="720" w:num="1"/>
          <w:docGrid w:linePitch="312" w:charSpace="0"/>
        </w:sectPr>
      </w:pPr>
    </w:p>
    <w:bookmarkEnd w:id="0"/>
    <w:bookmarkEnd w:id="1"/>
    <w:bookmarkEnd w:id="2"/>
    <w:bookmarkEnd w:id="3"/>
    <w:bookmarkEnd w:id="913"/>
    <w:bookmarkEnd w:id="914"/>
    <w:bookmarkEnd w:id="915"/>
    <w:bookmarkEnd w:id="916"/>
    <w:bookmarkEnd w:id="917"/>
    <w:bookmarkEnd w:id="918"/>
    <w:bookmarkEnd w:id="919"/>
    <w:bookmarkEnd w:id="920"/>
    <w:p w14:paraId="674AC281"/>
    <w:p w14:paraId="1D348F22">
      <w:pPr>
        <w:widowControl/>
        <w:spacing w:line="240" w:lineRule="auto"/>
        <w:jc w:val="left"/>
      </w:pPr>
      <w:r>
        <w:br w:type="page"/>
      </w:r>
    </w:p>
    <w:p w14:paraId="1A797912">
      <w:pPr>
        <w:widowControl/>
        <w:jc w:val="left"/>
        <w:rPr>
          <w:rFonts w:cs="宋体"/>
          <w:b/>
          <w:color w:val="000000"/>
          <w:kern w:val="0"/>
          <w:sz w:val="28"/>
          <w:szCs w:val="28"/>
        </w:rPr>
      </w:pPr>
      <w:bookmarkStart w:id="1183" w:name="_Hlk110344728"/>
      <w:r>
        <w:rPr>
          <w:rFonts w:hint="eastAsia" w:cs="宋体"/>
          <w:b/>
          <w:color w:val="000000"/>
          <w:kern w:val="0"/>
          <w:sz w:val="28"/>
          <w:szCs w:val="28"/>
        </w:rPr>
        <w:t>附件一</w:t>
      </w:r>
    </w:p>
    <w:p w14:paraId="265EB51A">
      <w:pPr>
        <w:jc w:val="center"/>
        <w:rPr>
          <w:rFonts w:cs="宋体"/>
          <w:b/>
          <w:bCs/>
        </w:rPr>
      </w:pPr>
      <w:r>
        <w:rPr>
          <w:rFonts w:cs="宋体"/>
          <w:b/>
          <w:bCs/>
        </w:rPr>
        <w:t>中小企业声明函(货物)</w:t>
      </w:r>
    </w:p>
    <w:p w14:paraId="3EB0DFCE">
      <w:pPr>
        <w:jc w:val="left"/>
        <w:rPr>
          <w:rFonts w:hint="eastAsia" w:eastAsia="宋体" w:cs="宋体"/>
          <w:lang w:eastAsia="zh-CN"/>
        </w:rPr>
      </w:pPr>
    </w:p>
    <w:p w14:paraId="173C8A1D">
      <w:pPr>
        <w:jc w:val="left"/>
        <w:rPr>
          <w:rFonts w:hint="eastAsia" w:eastAsia="宋体" w:cs="宋体"/>
          <w:lang w:eastAsia="zh-CN"/>
        </w:rPr>
      </w:pPr>
      <w:r>
        <w:rPr>
          <w:rFonts w:hint="eastAsia" w:cs="宋体"/>
        </w:rPr>
        <w:t xml:space="preserve">   </w:t>
      </w:r>
      <w:r>
        <w:rPr>
          <w:rFonts w:cs="宋体"/>
        </w:rPr>
        <w:t>本公司(联合体)郑重声明，根据《政府采购促进中小企业发展管理办法》(财库</w:t>
      </w:r>
      <w:r>
        <w:rPr>
          <w:rFonts w:hint="eastAsia" w:cs="宋体"/>
        </w:rPr>
        <w:t>[</w:t>
      </w:r>
      <w:r>
        <w:rPr>
          <w:rFonts w:cs="宋体"/>
        </w:rPr>
        <w:t>2020</w:t>
      </w:r>
      <w:r>
        <w:rPr>
          <w:rFonts w:hint="eastAsia" w:cs="宋体"/>
        </w:rPr>
        <w:t>]</w:t>
      </w:r>
      <w:r>
        <w:rPr>
          <w:rFonts w:cs="宋体"/>
        </w:rPr>
        <w:t>46号)的规定，本公司(联合体)参加</w:t>
      </w:r>
      <w:r>
        <w:rPr>
          <w:rFonts w:cs="宋体"/>
          <w:u w:val="single"/>
        </w:rPr>
        <w:t>(单位名称)</w:t>
      </w:r>
      <w:r>
        <w:rPr>
          <w:rFonts w:cs="宋体"/>
        </w:rPr>
        <w:t>的</w:t>
      </w:r>
      <w:r>
        <w:rPr>
          <w:rFonts w:cs="宋体"/>
          <w:u w:val="single"/>
        </w:rPr>
        <w:t>(项目名称)</w:t>
      </w:r>
      <w:r>
        <w:rPr>
          <w:rFonts w:cs="宋体"/>
        </w:rPr>
        <w:t>采购活动，提供的货物全部由符合政策要求的中小企业制造。相关企业(含联合体中的中小企业、签订分包意向协议的中小企业)的具体情况如下:</w:t>
      </w:r>
    </w:p>
    <w:p w14:paraId="0E13C5A6">
      <w:pPr>
        <w:pStyle w:val="6"/>
        <w:rPr>
          <w:rFonts w:hint="eastAsia"/>
          <w:lang w:eastAsia="zh-CN"/>
        </w:rPr>
      </w:pPr>
    </w:p>
    <w:p w14:paraId="68D80087">
      <w:pPr>
        <w:jc w:val="left"/>
        <w:rPr>
          <w:rFonts w:hint="eastAsia" w:eastAsia="宋体" w:cs="宋体"/>
          <w:lang w:eastAsia="zh-CN"/>
        </w:rPr>
      </w:pPr>
      <w:r>
        <w:rPr>
          <w:rFonts w:hint="eastAsia" w:cs="宋体"/>
        </w:rPr>
        <w:t xml:space="preserve">    </w:t>
      </w:r>
      <w:r>
        <w:rPr>
          <w:rFonts w:cs="宋体"/>
        </w:rPr>
        <w:t>1.</w:t>
      </w:r>
      <w:r>
        <w:rPr>
          <w:rFonts w:cs="宋体"/>
          <w:u w:val="single"/>
        </w:rPr>
        <w:t>(标的名称)</w:t>
      </w:r>
      <w:r>
        <w:rPr>
          <w:rFonts w:cs="宋体"/>
        </w:rPr>
        <w:t>，属于</w:t>
      </w:r>
      <w:r>
        <w:rPr>
          <w:rFonts w:cs="宋体"/>
          <w:u w:val="single"/>
        </w:rPr>
        <w:t>(采购文件中明确的所属行业)</w:t>
      </w:r>
      <w:r>
        <w:rPr>
          <w:rFonts w:cs="宋体"/>
        </w:rPr>
        <w:t>行业;制造商为</w:t>
      </w:r>
      <w:r>
        <w:rPr>
          <w:rFonts w:cs="宋体"/>
          <w:u w:val="single"/>
        </w:rPr>
        <w:t>(企业名称)</w:t>
      </w:r>
      <w:r>
        <w:rPr>
          <w:rFonts w:cs="宋体"/>
        </w:rPr>
        <w:t>，从业人员</w:t>
      </w:r>
      <w:r>
        <w:rPr>
          <w:rFonts w:hint="eastAsia" w:cs="宋体"/>
          <w:u w:val="single"/>
        </w:rPr>
        <w:t xml:space="preserve">   </w:t>
      </w:r>
      <w:r>
        <w:rPr>
          <w:rFonts w:cs="宋体"/>
        </w:rPr>
        <w:t>人，营业收入为</w:t>
      </w:r>
      <w:r>
        <w:rPr>
          <w:rFonts w:hint="eastAsia" w:cs="宋体"/>
          <w:u w:val="single"/>
        </w:rPr>
        <w:t xml:space="preserve">   </w:t>
      </w:r>
      <w:r>
        <w:rPr>
          <w:rFonts w:cs="宋体"/>
        </w:rPr>
        <w:t>万元，资产总额为</w:t>
      </w:r>
      <w:r>
        <w:rPr>
          <w:rFonts w:hint="eastAsia" w:cs="宋体"/>
          <w:u w:val="single"/>
        </w:rPr>
        <w:t xml:space="preserve">    </w:t>
      </w:r>
      <w:r>
        <w:rPr>
          <w:rFonts w:cs="宋体"/>
        </w:rPr>
        <w:t>万元</w:t>
      </w:r>
      <w:r>
        <w:rPr>
          <w:rFonts w:hint="eastAsia" w:cs="宋体"/>
          <w:vertAlign w:val="superscript"/>
        </w:rPr>
        <w:t>1</w:t>
      </w:r>
      <w:r>
        <w:rPr>
          <w:rFonts w:cs="宋体"/>
        </w:rPr>
        <w:t>，属于</w:t>
      </w:r>
      <w:r>
        <w:rPr>
          <w:rFonts w:cs="宋体"/>
          <w:u w:val="single"/>
        </w:rPr>
        <w:t>(中型企业、小型企业、微型企业)</w:t>
      </w:r>
      <w:r>
        <w:rPr>
          <w:rFonts w:hint="eastAsia" w:cs="宋体"/>
        </w:rPr>
        <w:t>；</w:t>
      </w:r>
    </w:p>
    <w:p w14:paraId="7127397A">
      <w:pPr>
        <w:pStyle w:val="6"/>
        <w:rPr>
          <w:rFonts w:hint="eastAsia"/>
          <w:lang w:eastAsia="zh-CN"/>
        </w:rPr>
      </w:pPr>
    </w:p>
    <w:p w14:paraId="416B53E9">
      <w:pPr>
        <w:jc w:val="left"/>
        <w:rPr>
          <w:rFonts w:cs="宋体"/>
        </w:rPr>
      </w:pPr>
      <w:r>
        <w:rPr>
          <w:rFonts w:hint="eastAsia" w:cs="宋体"/>
        </w:rPr>
        <w:t xml:space="preserve">   </w:t>
      </w:r>
      <w:r>
        <w:rPr>
          <w:rFonts w:cs="宋体"/>
        </w:rPr>
        <w:t>2. </w:t>
      </w:r>
      <w:r>
        <w:rPr>
          <w:rFonts w:cs="宋体"/>
          <w:u w:val="single"/>
        </w:rPr>
        <w:t>(标的名称)</w:t>
      </w:r>
      <w:r>
        <w:rPr>
          <w:rFonts w:cs="宋体"/>
        </w:rPr>
        <w:t>，属于</w:t>
      </w:r>
      <w:r>
        <w:rPr>
          <w:rFonts w:cs="宋体"/>
          <w:u w:val="single"/>
        </w:rPr>
        <w:t>(采购文件中明确的所属行业)</w:t>
      </w:r>
      <w:r>
        <w:rPr>
          <w:rFonts w:cs="宋体"/>
        </w:rPr>
        <w:t>行业;制造商为</w:t>
      </w:r>
      <w:r>
        <w:rPr>
          <w:rFonts w:cs="宋体"/>
          <w:u w:val="single"/>
        </w:rPr>
        <w:t>(企业名称)</w:t>
      </w:r>
      <w:r>
        <w:rPr>
          <w:rFonts w:cs="宋体"/>
        </w:rPr>
        <w:t>，从业人员</w:t>
      </w:r>
      <w:r>
        <w:rPr>
          <w:rFonts w:hint="eastAsia" w:cs="宋体"/>
          <w:u w:val="single"/>
        </w:rPr>
        <w:t xml:space="preserve">    </w:t>
      </w:r>
      <w:r>
        <w:rPr>
          <w:rFonts w:cs="宋体"/>
        </w:rPr>
        <w:t>人，营业收入为</w:t>
      </w:r>
      <w:r>
        <w:rPr>
          <w:rFonts w:hint="eastAsia" w:cs="宋体"/>
          <w:u w:val="single"/>
        </w:rPr>
        <w:t xml:space="preserve">    </w:t>
      </w:r>
      <w:r>
        <w:rPr>
          <w:rFonts w:cs="宋体"/>
        </w:rPr>
        <w:t>万元，资产总额为</w:t>
      </w:r>
      <w:r>
        <w:rPr>
          <w:rFonts w:hint="eastAsia" w:cs="宋体"/>
          <w:u w:val="single"/>
        </w:rPr>
        <w:t xml:space="preserve">    </w:t>
      </w:r>
      <w:r>
        <w:rPr>
          <w:rFonts w:cs="宋体"/>
        </w:rPr>
        <w:t>万元，属于</w:t>
      </w:r>
      <w:r>
        <w:rPr>
          <w:rFonts w:cs="宋体"/>
          <w:u w:val="single"/>
        </w:rPr>
        <w:t>(中型企业、小型企业、微型企业)</w:t>
      </w:r>
      <w:r>
        <w:rPr>
          <w:rFonts w:cs="宋体"/>
        </w:rPr>
        <w:t> </w:t>
      </w:r>
      <w:r>
        <w:rPr>
          <w:rFonts w:hint="eastAsia" w:cs="宋体"/>
        </w:rPr>
        <w:t>；</w:t>
      </w:r>
    </w:p>
    <w:p w14:paraId="1DE43787">
      <w:pPr>
        <w:jc w:val="left"/>
        <w:rPr>
          <w:rFonts w:cs="宋体"/>
        </w:rPr>
      </w:pPr>
    </w:p>
    <w:p w14:paraId="1FE5296D">
      <w:pPr>
        <w:jc w:val="left"/>
        <w:rPr>
          <w:rFonts w:cs="宋体"/>
        </w:rPr>
      </w:pPr>
      <w:r>
        <w:rPr>
          <w:rFonts w:hint="eastAsia" w:cs="宋体"/>
        </w:rPr>
        <w:t>......</w:t>
      </w:r>
    </w:p>
    <w:p w14:paraId="486D51CE">
      <w:pPr>
        <w:pStyle w:val="47"/>
        <w:spacing w:line="360" w:lineRule="auto"/>
        <w:ind w:left="480" w:hanging="480" w:hangingChars="200"/>
        <w:rPr>
          <w:rFonts w:hint="eastAsia" w:hAnsi="宋体" w:eastAsia="宋体"/>
          <w:lang w:eastAsia="zh-CN"/>
        </w:rPr>
      </w:pPr>
    </w:p>
    <w:p w14:paraId="30A985D7">
      <w:pPr>
        <w:pStyle w:val="47"/>
        <w:spacing w:line="360" w:lineRule="auto"/>
        <w:ind w:left="480" w:hanging="480" w:hangingChars="200"/>
        <w:rPr>
          <w:rFonts w:hAnsi="宋体"/>
        </w:rPr>
      </w:pPr>
      <w:r>
        <w:rPr>
          <w:rFonts w:hAnsi="宋体"/>
        </w:rPr>
        <w:t>以上企业，不属于大企业的分支机构，不存在控股股东为大企业的情形，也不存在</w:t>
      </w:r>
    </w:p>
    <w:p w14:paraId="1842540D">
      <w:pPr>
        <w:pStyle w:val="47"/>
        <w:spacing w:line="360" w:lineRule="auto"/>
        <w:ind w:left="480" w:hanging="480" w:hangingChars="200"/>
        <w:rPr>
          <w:rFonts w:hint="eastAsia" w:hAnsi="宋体" w:eastAsia="宋体"/>
          <w:lang w:eastAsia="zh-CN"/>
        </w:rPr>
      </w:pPr>
      <w:r>
        <w:rPr>
          <w:rFonts w:hAnsi="宋体"/>
        </w:rPr>
        <w:t>与大企业的负责人为同一人的情形。</w:t>
      </w:r>
    </w:p>
    <w:p w14:paraId="4B6E355D">
      <w:pPr>
        <w:pStyle w:val="47"/>
        <w:spacing w:line="360" w:lineRule="auto"/>
        <w:ind w:left="480" w:hanging="480" w:hangingChars="200"/>
        <w:rPr>
          <w:rFonts w:hint="eastAsia" w:hAnsi="宋体" w:eastAsia="宋体"/>
          <w:lang w:eastAsia="zh-CN"/>
        </w:rPr>
      </w:pPr>
      <w:r>
        <w:rPr>
          <w:rFonts w:hAnsi="宋体"/>
        </w:rPr>
        <w:t>本企业对上述声明内容的真实性负责。如有虚假，将依法承担相应责任。</w:t>
      </w:r>
    </w:p>
    <w:p w14:paraId="1A8961A3">
      <w:pPr>
        <w:pStyle w:val="21"/>
        <w:rPr>
          <w:rFonts w:hint="eastAsia"/>
          <w:lang w:eastAsia="zh-CN"/>
        </w:rPr>
      </w:pPr>
    </w:p>
    <w:p w14:paraId="50CD1CC1">
      <w:pPr>
        <w:pStyle w:val="47"/>
        <w:spacing w:line="360" w:lineRule="auto"/>
        <w:ind w:left="480" w:hanging="480" w:hangingChars="200"/>
        <w:rPr>
          <w:rFonts w:hint="eastAsia" w:hAnsi="宋体" w:eastAsia="宋体"/>
          <w:lang w:eastAsia="zh-CN"/>
        </w:rPr>
      </w:pPr>
      <w:r>
        <w:rPr>
          <w:rFonts w:hint="eastAsia" w:hAnsi="宋体"/>
        </w:rPr>
        <w:t xml:space="preserve">                                          </w:t>
      </w:r>
      <w:r>
        <w:rPr>
          <w:rFonts w:hAnsi="宋体"/>
        </w:rPr>
        <w:t>企业名称(盖章) :</w:t>
      </w:r>
    </w:p>
    <w:p w14:paraId="48DB52F5">
      <w:pPr>
        <w:pStyle w:val="21"/>
        <w:rPr>
          <w:rFonts w:hint="eastAsia"/>
          <w:lang w:eastAsia="zh-CN"/>
        </w:rPr>
      </w:pPr>
    </w:p>
    <w:p w14:paraId="0B282313">
      <w:pPr>
        <w:pStyle w:val="47"/>
        <w:spacing w:line="360" w:lineRule="auto"/>
        <w:ind w:left="480" w:hanging="480" w:hangingChars="200"/>
        <w:rPr>
          <w:rFonts w:hint="eastAsia" w:hAnsi="宋体" w:eastAsia="宋体"/>
          <w:lang w:eastAsia="zh-CN"/>
        </w:rPr>
      </w:pPr>
      <w:r>
        <w:rPr>
          <w:rFonts w:hint="eastAsia" w:hAnsi="宋体"/>
        </w:rPr>
        <w:t xml:space="preserve">                                          </w:t>
      </w:r>
      <w:r>
        <w:rPr>
          <w:rFonts w:hAnsi="宋体"/>
        </w:rPr>
        <w:t>日期:</w:t>
      </w:r>
    </w:p>
    <w:p w14:paraId="35092522">
      <w:pPr>
        <w:pStyle w:val="21"/>
        <w:rPr>
          <w:rFonts w:hint="eastAsia"/>
          <w:lang w:eastAsia="zh-CN"/>
        </w:rPr>
      </w:pPr>
    </w:p>
    <w:p w14:paraId="58D71B3C">
      <w:pPr>
        <w:jc w:val="left"/>
      </w:pPr>
      <w:r>
        <w:rPr>
          <w:rFonts w:hint="eastAsia"/>
        </w:rPr>
        <w:t>注：</w:t>
      </w:r>
      <w:r>
        <w:t>从业人员、营业收入、资产总额填报上一年度数据，无上一年度数据的新成立企业可不填报。</w:t>
      </w:r>
    </w:p>
    <w:p w14:paraId="26510F19">
      <w:pPr>
        <w:autoSpaceDE w:val="0"/>
        <w:autoSpaceDN w:val="0"/>
        <w:adjustRightInd w:val="0"/>
      </w:pPr>
      <w:r>
        <w:br w:type="page"/>
      </w:r>
    </w:p>
    <w:p w14:paraId="32B604BC">
      <w:pPr>
        <w:autoSpaceDE w:val="0"/>
        <w:autoSpaceDN w:val="0"/>
        <w:adjustRightInd w:val="0"/>
        <w:jc w:val="center"/>
        <w:rPr>
          <w:rFonts w:cs="宋体"/>
          <w:b/>
          <w:bCs/>
        </w:rPr>
      </w:pPr>
    </w:p>
    <w:p w14:paraId="3B8A7C1F">
      <w:pPr>
        <w:autoSpaceDE w:val="0"/>
        <w:autoSpaceDN w:val="0"/>
        <w:adjustRightInd w:val="0"/>
        <w:jc w:val="center"/>
        <w:rPr>
          <w:rFonts w:cs="宋体"/>
          <w:b/>
          <w:bCs/>
        </w:rPr>
      </w:pPr>
      <w:r>
        <w:rPr>
          <w:rFonts w:hint="eastAsia" w:cs="宋体"/>
          <w:b/>
          <w:bCs/>
        </w:rPr>
        <w:t>中小企业声明函（工程、服务）</w:t>
      </w:r>
    </w:p>
    <w:p w14:paraId="767E2104">
      <w:pPr>
        <w:autoSpaceDE w:val="0"/>
        <w:autoSpaceDN w:val="0"/>
        <w:adjustRightInd w:val="0"/>
        <w:ind w:firstLine="480" w:firstLineChars="200"/>
        <w:jc w:val="left"/>
        <w:rPr>
          <w:rFonts w:cs="仿宋"/>
        </w:rPr>
      </w:pPr>
    </w:p>
    <w:p w14:paraId="260C1020">
      <w:pPr>
        <w:autoSpaceDE w:val="0"/>
        <w:autoSpaceDN w:val="0"/>
        <w:adjustRightInd w:val="0"/>
        <w:ind w:firstLine="480" w:firstLineChars="200"/>
        <w:jc w:val="left"/>
        <w:rPr>
          <w:rFonts w:cs="仿宋"/>
        </w:rPr>
      </w:pPr>
      <w:r>
        <w:rPr>
          <w:rFonts w:hint="eastAsia" w:cs="仿宋"/>
        </w:rPr>
        <w:t>本公司（联合体）郑重声明，根据《政府采购促进中小企业发展管理办法》（财库</w:t>
      </w:r>
      <w:r>
        <w:rPr>
          <w:rFonts w:hint="eastAsia" w:cs="宋体"/>
        </w:rPr>
        <w:t>﹝</w:t>
      </w:r>
      <w:r>
        <w:rPr>
          <w:rFonts w:cs="仿宋"/>
        </w:rPr>
        <w:t>2020</w:t>
      </w:r>
      <w:r>
        <w:rPr>
          <w:rFonts w:hint="eastAsia" w:cs="宋体"/>
        </w:rPr>
        <w:t>﹞</w:t>
      </w:r>
      <w:r>
        <w:rPr>
          <w:rFonts w:cs="仿宋"/>
        </w:rPr>
        <w:t xml:space="preserve">46 </w:t>
      </w:r>
      <w:r>
        <w:rPr>
          <w:rFonts w:hint="eastAsia" w:cs="仿宋"/>
        </w:rPr>
        <w:t>号）的规定，本公司（联合体）参加</w:t>
      </w:r>
      <w:r>
        <w:rPr>
          <w:rFonts w:hint="eastAsia" w:cs="仿宋"/>
          <w:u w:val="single"/>
        </w:rPr>
        <w:t>（单位名称）</w:t>
      </w:r>
      <w:r>
        <w:rPr>
          <w:rFonts w:hint="eastAsia" w:cs="仿宋"/>
        </w:rPr>
        <w:t>的</w:t>
      </w:r>
      <w:r>
        <w:rPr>
          <w:rFonts w:hint="eastAsia" w:cs="仿宋"/>
          <w:u w:val="single"/>
        </w:rPr>
        <w:t>（项目名称）</w:t>
      </w:r>
      <w:r>
        <w:rPr>
          <w:rFonts w:hint="eastAsia" w:cs="仿宋"/>
        </w:rPr>
        <w:t>采购活动，工程的施工单位全部为符合政策要求的中小企业（或者：服务全部由符合政策要求的中小企业承接）。相关企业（含联合体中的中小企业、签订分包意向协议的中小企业）的具体情况如下：</w:t>
      </w:r>
    </w:p>
    <w:p w14:paraId="7E603FBF">
      <w:pPr>
        <w:autoSpaceDE w:val="0"/>
        <w:autoSpaceDN w:val="0"/>
        <w:adjustRightInd w:val="0"/>
        <w:ind w:firstLine="480" w:firstLineChars="200"/>
        <w:jc w:val="left"/>
        <w:rPr>
          <w:rFonts w:cs="仿宋"/>
        </w:rPr>
      </w:pPr>
      <w:r>
        <w:rPr>
          <w:rFonts w:cs="仿宋"/>
        </w:rPr>
        <w:t>1.</w:t>
      </w:r>
      <w:r>
        <w:rPr>
          <w:rFonts w:cs="仿宋"/>
          <w:u w:val="single"/>
        </w:rPr>
        <w:t xml:space="preserve"> </w:t>
      </w:r>
      <w:r>
        <w:rPr>
          <w:rFonts w:hint="eastAsia" w:cs="仿宋"/>
          <w:u w:val="single"/>
        </w:rPr>
        <w:t>（标的名称）</w:t>
      </w:r>
      <w:r>
        <w:rPr>
          <w:rFonts w:cs="仿宋"/>
        </w:rPr>
        <w:t xml:space="preserve"> </w:t>
      </w:r>
      <w:r>
        <w:rPr>
          <w:rFonts w:hint="eastAsia" w:cs="仿宋"/>
        </w:rPr>
        <w:t>，属于</w:t>
      </w:r>
      <w:r>
        <w:rPr>
          <w:rFonts w:hint="eastAsia" w:cs="仿宋"/>
          <w:u w:val="single"/>
        </w:rPr>
        <w:t>（采购文件中明确的所属行业）</w:t>
      </w:r>
      <w:r>
        <w:rPr>
          <w:rFonts w:hint="eastAsia" w:cs="仿宋"/>
        </w:rPr>
        <w:t>；承建（承接）企业为</w:t>
      </w:r>
      <w:r>
        <w:rPr>
          <w:rFonts w:hint="eastAsia" w:cs="仿宋"/>
          <w:u w:val="single"/>
        </w:rPr>
        <w:t>（企业名称）</w:t>
      </w:r>
      <w:r>
        <w:rPr>
          <w:rFonts w:hint="eastAsia" w:cs="仿宋"/>
        </w:rPr>
        <w:t>，从业人员</w:t>
      </w:r>
      <w:r>
        <w:rPr>
          <w:rFonts w:hint="eastAsia" w:cs="仿宋"/>
          <w:u w:val="single"/>
        </w:rPr>
        <w:t xml:space="preserve">    </w:t>
      </w:r>
      <w:r>
        <w:rPr>
          <w:rFonts w:hint="eastAsia" w:cs="仿宋"/>
        </w:rPr>
        <w:t>人，营业收入为</w:t>
      </w:r>
      <w:r>
        <w:rPr>
          <w:rFonts w:hint="eastAsia" w:cs="仿宋"/>
          <w:u w:val="single"/>
        </w:rPr>
        <w:t xml:space="preserve">    </w:t>
      </w:r>
      <w:r>
        <w:rPr>
          <w:rFonts w:hint="eastAsia" w:cs="仿宋"/>
        </w:rPr>
        <w:t>万元，资产总额为</w:t>
      </w:r>
      <w:r>
        <w:rPr>
          <w:rFonts w:hint="eastAsia" w:cs="仿宋"/>
          <w:u w:val="single"/>
        </w:rPr>
        <w:t xml:space="preserve">     </w:t>
      </w:r>
      <w:r>
        <w:rPr>
          <w:rFonts w:hint="eastAsia" w:cs="仿宋"/>
        </w:rPr>
        <w:t>万元，属于（</w:t>
      </w:r>
      <w:r>
        <w:rPr>
          <w:rFonts w:hint="eastAsia" w:cs="仿宋"/>
          <w:u w:val="single"/>
        </w:rPr>
        <w:t>中型企业、小型企业、微型企业</w:t>
      </w:r>
      <w:r>
        <w:rPr>
          <w:rFonts w:hint="eastAsia" w:cs="仿宋"/>
        </w:rPr>
        <w:t>）；</w:t>
      </w:r>
    </w:p>
    <w:p w14:paraId="26A807CF">
      <w:pPr>
        <w:autoSpaceDE w:val="0"/>
        <w:autoSpaceDN w:val="0"/>
        <w:adjustRightInd w:val="0"/>
        <w:ind w:firstLine="480" w:firstLineChars="200"/>
        <w:jc w:val="left"/>
        <w:rPr>
          <w:rFonts w:cs="仿宋"/>
        </w:rPr>
      </w:pPr>
      <w:r>
        <w:rPr>
          <w:rFonts w:cs="仿宋"/>
        </w:rPr>
        <w:t xml:space="preserve">2. </w:t>
      </w:r>
      <w:r>
        <w:rPr>
          <w:rFonts w:hint="eastAsia" w:cs="仿宋"/>
          <w:u w:val="single"/>
        </w:rPr>
        <w:t>（标的名称）</w:t>
      </w:r>
      <w:r>
        <w:rPr>
          <w:rFonts w:cs="仿宋"/>
          <w:u w:val="single"/>
        </w:rPr>
        <w:t xml:space="preserve"> </w:t>
      </w:r>
      <w:r>
        <w:rPr>
          <w:rFonts w:hint="eastAsia" w:cs="仿宋"/>
        </w:rPr>
        <w:t>，属于</w:t>
      </w:r>
      <w:r>
        <w:rPr>
          <w:rFonts w:hint="eastAsia" w:cs="仿宋"/>
          <w:u w:val="single"/>
        </w:rPr>
        <w:t>（采购文件中明确的所属行业）</w:t>
      </w:r>
      <w:r>
        <w:rPr>
          <w:rFonts w:hint="eastAsia" w:cs="仿宋"/>
        </w:rPr>
        <w:t>；承建（承接）企业为</w:t>
      </w:r>
      <w:r>
        <w:rPr>
          <w:rFonts w:hint="eastAsia" w:cs="仿宋"/>
          <w:u w:val="single"/>
        </w:rPr>
        <w:t>（企业名称）</w:t>
      </w:r>
      <w:r>
        <w:rPr>
          <w:rFonts w:hint="eastAsia" w:cs="仿宋"/>
        </w:rPr>
        <w:t>，从业人员</w:t>
      </w:r>
      <w:r>
        <w:rPr>
          <w:rFonts w:hint="eastAsia" w:cs="仿宋"/>
          <w:u w:val="single"/>
        </w:rPr>
        <w:t xml:space="preserve">    </w:t>
      </w:r>
      <w:r>
        <w:rPr>
          <w:rFonts w:hint="eastAsia" w:cs="仿宋"/>
        </w:rPr>
        <w:t>人，营业收入为</w:t>
      </w:r>
      <w:r>
        <w:rPr>
          <w:rFonts w:hint="eastAsia" w:cs="仿宋"/>
          <w:u w:val="single"/>
        </w:rPr>
        <w:t xml:space="preserve">     </w:t>
      </w:r>
      <w:r>
        <w:rPr>
          <w:rFonts w:hint="eastAsia" w:cs="仿宋"/>
        </w:rPr>
        <w:t>万元，资产总额为</w:t>
      </w:r>
      <w:r>
        <w:rPr>
          <w:rFonts w:hint="eastAsia" w:cs="仿宋"/>
          <w:u w:val="single"/>
        </w:rPr>
        <w:t xml:space="preserve">     </w:t>
      </w:r>
      <w:r>
        <w:rPr>
          <w:rFonts w:hint="eastAsia" w:cs="仿宋"/>
        </w:rPr>
        <w:t>万元，属于</w:t>
      </w:r>
      <w:r>
        <w:rPr>
          <w:rFonts w:hint="eastAsia" w:cs="仿宋"/>
          <w:u w:val="single"/>
        </w:rPr>
        <w:t>（中型企业、小型企业、微型企业）</w:t>
      </w:r>
      <w:r>
        <w:rPr>
          <w:rFonts w:hint="eastAsia" w:cs="仿宋"/>
        </w:rPr>
        <w:t>；</w:t>
      </w:r>
    </w:p>
    <w:p w14:paraId="56F515EA">
      <w:pPr>
        <w:autoSpaceDE w:val="0"/>
        <w:autoSpaceDN w:val="0"/>
        <w:adjustRightInd w:val="0"/>
        <w:jc w:val="left"/>
        <w:rPr>
          <w:rFonts w:cs="仿宋"/>
        </w:rPr>
      </w:pPr>
      <w:r>
        <w:rPr>
          <w:rFonts w:hint="eastAsia" w:cs="仿宋"/>
        </w:rPr>
        <w:t>……</w:t>
      </w:r>
    </w:p>
    <w:p w14:paraId="54DD084A">
      <w:pPr>
        <w:autoSpaceDE w:val="0"/>
        <w:autoSpaceDN w:val="0"/>
        <w:adjustRightInd w:val="0"/>
        <w:ind w:firstLine="480" w:firstLineChars="200"/>
        <w:jc w:val="left"/>
        <w:rPr>
          <w:rFonts w:cs="仿宋"/>
        </w:rPr>
      </w:pPr>
      <w:r>
        <w:rPr>
          <w:rFonts w:hint="eastAsia" w:cs="仿宋"/>
        </w:rPr>
        <w:t>以上企业，不属于大企业的分支机构，不存在控股股东为大企业的情形，也不存在与大企业的负责人为同一人的情形。本企业对上述声明内容的真实性负责。如有虚假，将依法承担相应责任。</w:t>
      </w:r>
    </w:p>
    <w:p w14:paraId="65AB4E9F">
      <w:pPr>
        <w:autoSpaceDE w:val="0"/>
        <w:autoSpaceDN w:val="0"/>
        <w:adjustRightInd w:val="0"/>
        <w:jc w:val="left"/>
        <w:rPr>
          <w:rFonts w:cs="仿宋"/>
        </w:rPr>
      </w:pPr>
    </w:p>
    <w:p w14:paraId="1115579F">
      <w:pPr>
        <w:autoSpaceDE w:val="0"/>
        <w:autoSpaceDN w:val="0"/>
        <w:adjustRightInd w:val="0"/>
        <w:jc w:val="left"/>
        <w:rPr>
          <w:rFonts w:cs="仿宋"/>
        </w:rPr>
      </w:pPr>
    </w:p>
    <w:p w14:paraId="65506DC8">
      <w:pPr>
        <w:autoSpaceDE w:val="0"/>
        <w:autoSpaceDN w:val="0"/>
        <w:adjustRightInd w:val="0"/>
        <w:jc w:val="left"/>
        <w:rPr>
          <w:rFonts w:cs="仿宋"/>
        </w:rPr>
      </w:pPr>
    </w:p>
    <w:p w14:paraId="14B19FC4">
      <w:pPr>
        <w:autoSpaceDE w:val="0"/>
        <w:autoSpaceDN w:val="0"/>
        <w:adjustRightInd w:val="0"/>
        <w:jc w:val="left"/>
        <w:rPr>
          <w:rFonts w:cs="仿宋"/>
        </w:rPr>
      </w:pPr>
    </w:p>
    <w:p w14:paraId="3C732C1F">
      <w:pPr>
        <w:autoSpaceDE w:val="0"/>
        <w:autoSpaceDN w:val="0"/>
        <w:adjustRightInd w:val="0"/>
        <w:rPr>
          <w:rFonts w:cs="仿宋"/>
        </w:rPr>
      </w:pPr>
      <w:r>
        <w:rPr>
          <w:rFonts w:hint="eastAsia" w:cs="仿宋"/>
        </w:rPr>
        <w:t xml:space="preserve">                                企业名称（盖章）：</w:t>
      </w:r>
    </w:p>
    <w:p w14:paraId="20F6D2C2">
      <w:pPr>
        <w:ind w:firstLine="5280" w:firstLineChars="2200"/>
        <w:rPr>
          <w:rFonts w:cs="仿宋"/>
        </w:rPr>
      </w:pPr>
      <w:r>
        <w:rPr>
          <w:rFonts w:hint="eastAsia" w:cs="仿宋"/>
        </w:rPr>
        <w:t xml:space="preserve"> </w:t>
      </w:r>
    </w:p>
    <w:p w14:paraId="4614C7E8">
      <w:pPr>
        <w:ind w:firstLine="6480" w:firstLineChars="2700"/>
      </w:pPr>
      <w:r>
        <w:rPr>
          <w:rFonts w:hint="eastAsia" w:cs="仿宋"/>
        </w:rPr>
        <w:t>日  期：</w:t>
      </w:r>
    </w:p>
    <w:p w14:paraId="720C8AE7">
      <w:pPr>
        <w:autoSpaceDE w:val="0"/>
        <w:autoSpaceDN w:val="0"/>
        <w:adjustRightInd w:val="0"/>
        <w:jc w:val="left"/>
        <w:rPr>
          <w:rFonts w:cs="宋?"/>
          <w:color w:val="000000"/>
        </w:rPr>
      </w:pPr>
    </w:p>
    <w:p w14:paraId="727384B9">
      <w:pPr>
        <w:autoSpaceDE w:val="0"/>
        <w:autoSpaceDN w:val="0"/>
        <w:adjustRightInd w:val="0"/>
        <w:jc w:val="left"/>
        <w:rPr>
          <w:rFonts w:cs="宋?"/>
          <w:color w:val="000000"/>
        </w:rPr>
      </w:pPr>
    </w:p>
    <w:p w14:paraId="38BFD78B">
      <w:pPr>
        <w:ind w:firstLine="360" w:firstLineChars="150"/>
        <w:jc w:val="left"/>
      </w:pPr>
      <w:r>
        <w:rPr>
          <w:rFonts w:hint="eastAsia" w:cs="宋?"/>
          <w:color w:val="000000"/>
        </w:rPr>
        <w:t>注：</w:t>
      </w:r>
      <w:r>
        <w:rPr>
          <w:rFonts w:cs="宋?"/>
          <w:color w:val="000000"/>
        </w:rPr>
        <w:t>从业人员、营业收入、资产总额填报上一年度数据，无上一年度数据的新成立企业可不填报。</w:t>
      </w:r>
    </w:p>
    <w:p w14:paraId="3E0B0B75">
      <w:pPr>
        <w:ind w:firstLine="360" w:firstLineChars="150"/>
        <w:jc w:val="left"/>
      </w:pPr>
    </w:p>
    <w:p w14:paraId="77E93EF3">
      <w:pPr>
        <w:rPr>
          <w:b/>
          <w:bCs/>
        </w:rPr>
        <w:sectPr>
          <w:type w:val="continuous"/>
          <w:pgSz w:w="11906" w:h="16838"/>
          <w:pgMar w:top="567" w:right="991" w:bottom="567" w:left="850" w:header="567" w:footer="567" w:gutter="0"/>
          <w:cols w:space="720" w:num="1"/>
          <w:titlePg/>
          <w:docGrid w:type="linesAndChars" w:linePitch="312" w:charSpace="0"/>
        </w:sectPr>
      </w:pPr>
    </w:p>
    <w:p w14:paraId="298E854E">
      <w:pPr>
        <w:widowControl/>
        <w:spacing w:line="240" w:lineRule="auto"/>
        <w:jc w:val="left"/>
        <w:rPr>
          <w:b/>
          <w:bCs/>
        </w:rPr>
      </w:pPr>
      <w:r>
        <w:rPr>
          <w:b/>
          <w:bCs/>
        </w:rPr>
        <w:br w:type="page"/>
      </w:r>
    </w:p>
    <w:p w14:paraId="44CB3F1B">
      <w:pPr>
        <w:ind w:left="-991" w:leftChars="-413" w:right="-1332" w:rightChars="-555" w:firstLine="426" w:firstLineChars="177"/>
        <w:jc w:val="center"/>
      </w:pPr>
      <w:r>
        <w:rPr>
          <w:rFonts w:hint="eastAsia"/>
          <w:b/>
          <w:bCs/>
        </w:rPr>
        <w:t>中小企业划型标准规定</w:t>
      </w:r>
    </w:p>
    <w:p w14:paraId="7FC63024">
      <w:pPr>
        <w:snapToGrid w:val="0"/>
        <w:ind w:left="-991" w:leftChars="-413" w:right="-1332" w:rightChars="-555" w:firstLine="424" w:firstLineChars="177"/>
        <w:jc w:val="left"/>
      </w:pPr>
      <w:r>
        <w:rPr>
          <w:rFonts w:hint="eastAsia"/>
        </w:rPr>
        <w:t>一、根据《中华人民共和国中小企业促进法》和《国务院关于进一步促进中小企业发展的若干意见》(国发〔2009〕36号)，制定本规定。</w:t>
      </w:r>
    </w:p>
    <w:p w14:paraId="663F3FD0">
      <w:pPr>
        <w:snapToGrid w:val="0"/>
        <w:ind w:left="-991" w:leftChars="-413" w:right="-1332" w:rightChars="-555" w:firstLine="424" w:firstLineChars="177"/>
        <w:jc w:val="left"/>
      </w:pPr>
      <w:r>
        <w:rPr>
          <w:rFonts w:hint="eastAsia"/>
        </w:rPr>
        <w:t>二、中小企业划分为中型、小型、微型三种类型，具体标准根据企业从业人员、营业收入、资产总额等指标，结合行业特点制定。</w:t>
      </w:r>
    </w:p>
    <w:p w14:paraId="0447D834">
      <w:pPr>
        <w:snapToGrid w:val="0"/>
        <w:ind w:left="-991" w:leftChars="-413" w:right="-1332" w:rightChars="-555" w:firstLine="424" w:firstLineChars="177"/>
        <w:jc w:val="left"/>
      </w:pPr>
      <w:r>
        <w:rPr>
          <w:rFonts w:hint="eastAsi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BD7AAA1">
      <w:pPr>
        <w:snapToGrid w:val="0"/>
        <w:ind w:left="-991" w:leftChars="-413" w:right="-1332" w:rightChars="-555" w:firstLine="424" w:firstLineChars="177"/>
        <w:jc w:val="left"/>
      </w:pPr>
      <w:r>
        <w:rPr>
          <w:rFonts w:hint="eastAsia"/>
        </w:rPr>
        <w:t>四、各行业划型标准为：</w:t>
      </w:r>
    </w:p>
    <w:p w14:paraId="0ABE075D">
      <w:pPr>
        <w:snapToGrid w:val="0"/>
        <w:ind w:left="-991" w:leftChars="-413" w:right="-1332" w:rightChars="-555" w:firstLine="424" w:firstLineChars="177"/>
        <w:jc w:val="left"/>
      </w:pPr>
      <w:r>
        <w:rPr>
          <w:rFonts w:hint="eastAsia"/>
        </w:rPr>
        <w:t>（一）农、林、牧、渔业。营业收入20000万元以下的为中小微型企业。其中，营业收入500万元及以上的为中型企业，营业收入50万元及以上的为小型企业，营业收入50万元以下的为微型企业。</w:t>
      </w:r>
    </w:p>
    <w:p w14:paraId="3E51FA51">
      <w:pPr>
        <w:snapToGrid w:val="0"/>
        <w:ind w:left="-991" w:leftChars="-413" w:right="-1332" w:rightChars="-555" w:firstLine="424" w:firstLineChars="177"/>
        <w:jc w:val="left"/>
      </w:pPr>
      <w:r>
        <w:rPr>
          <w:rFonts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5063D02">
      <w:pPr>
        <w:snapToGrid w:val="0"/>
        <w:ind w:left="-991" w:leftChars="-413" w:right="-1332" w:rightChars="-555" w:firstLine="424" w:firstLineChars="177"/>
        <w:jc w:val="left"/>
      </w:pPr>
      <w:r>
        <w:rPr>
          <w:rFonts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0188B8">
      <w:pPr>
        <w:snapToGrid w:val="0"/>
        <w:ind w:left="-991" w:leftChars="-413" w:right="-1332" w:rightChars="-555" w:firstLine="424" w:firstLineChars="177"/>
        <w:jc w:val="left"/>
      </w:pPr>
      <w:r>
        <w:rPr>
          <w:rFonts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51E2285">
      <w:pPr>
        <w:snapToGrid w:val="0"/>
        <w:ind w:left="-991" w:leftChars="-413" w:right="-1332" w:rightChars="-555" w:firstLine="424" w:firstLineChars="177"/>
        <w:jc w:val="left"/>
      </w:pPr>
      <w:r>
        <w:rPr>
          <w:rFonts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8CAF31E">
      <w:pPr>
        <w:snapToGrid w:val="0"/>
        <w:ind w:left="-991" w:leftChars="-413" w:right="-1332" w:rightChars="-555" w:firstLine="424" w:firstLineChars="177"/>
        <w:jc w:val="left"/>
      </w:pPr>
      <w:r>
        <w:rPr>
          <w:rFonts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DC93151">
      <w:pPr>
        <w:snapToGrid w:val="0"/>
        <w:ind w:left="-991" w:leftChars="-413" w:right="-1332" w:rightChars="-555" w:firstLine="424" w:firstLineChars="177"/>
        <w:jc w:val="left"/>
      </w:pPr>
      <w:r>
        <w:rPr>
          <w:rFonts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530DBCE">
      <w:pPr>
        <w:snapToGrid w:val="0"/>
        <w:ind w:left="-991" w:leftChars="-413" w:right="-1332" w:rightChars="-555" w:firstLine="424" w:firstLineChars="177"/>
        <w:jc w:val="left"/>
      </w:pPr>
      <w:r>
        <w:rPr>
          <w:rFonts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53441E5">
      <w:pPr>
        <w:snapToGrid w:val="0"/>
        <w:ind w:left="-991" w:leftChars="-413" w:right="-1332" w:rightChars="-555" w:firstLine="424" w:firstLineChars="177"/>
        <w:jc w:val="left"/>
      </w:pPr>
      <w:r>
        <w:rPr>
          <w:rFonts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8137B1">
      <w:pPr>
        <w:snapToGrid w:val="0"/>
        <w:ind w:left="-991" w:leftChars="-413" w:right="-1332" w:rightChars="-555" w:firstLine="424" w:firstLineChars="177"/>
        <w:jc w:val="left"/>
      </w:pPr>
      <w:r>
        <w:rPr>
          <w:rFonts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67BED6">
      <w:pPr>
        <w:snapToGrid w:val="0"/>
        <w:ind w:left="-991" w:leftChars="-413" w:right="-1332" w:rightChars="-555" w:firstLine="424" w:firstLineChars="177"/>
        <w:jc w:val="left"/>
      </w:pPr>
      <w:r>
        <w:rPr>
          <w:rFonts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5C8620F">
      <w:pPr>
        <w:snapToGrid w:val="0"/>
        <w:ind w:left="-991" w:leftChars="-413" w:right="-1332" w:rightChars="-555" w:firstLine="424" w:firstLineChars="177"/>
        <w:jc w:val="left"/>
      </w:pPr>
      <w:r>
        <w:rPr>
          <w:rFonts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DBA8C77">
      <w:pPr>
        <w:snapToGrid w:val="0"/>
        <w:ind w:left="-991" w:leftChars="-413" w:right="-1332" w:rightChars="-555" w:firstLine="424" w:firstLineChars="177"/>
        <w:jc w:val="left"/>
      </w:pPr>
      <w:r>
        <w:rPr>
          <w:rFonts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A148815">
      <w:pPr>
        <w:snapToGrid w:val="0"/>
        <w:ind w:left="-991" w:leftChars="-413" w:right="-1332" w:rightChars="-555" w:firstLine="424" w:firstLineChars="177"/>
        <w:jc w:val="left"/>
      </w:pPr>
      <w:r>
        <w:rPr>
          <w:rFonts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E3B200A">
      <w:pPr>
        <w:snapToGrid w:val="0"/>
        <w:ind w:left="-991" w:leftChars="-413" w:right="-1332" w:rightChars="-555" w:firstLine="424" w:firstLineChars="177"/>
        <w:jc w:val="left"/>
      </w:pPr>
      <w:r>
        <w:rPr>
          <w:rFonts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3FB8012">
      <w:pPr>
        <w:snapToGrid w:val="0"/>
        <w:ind w:left="-991" w:leftChars="-413" w:right="-1332" w:rightChars="-555" w:firstLine="424" w:firstLineChars="177"/>
        <w:jc w:val="left"/>
      </w:pPr>
      <w:r>
        <w:rPr>
          <w:rFonts w:hint="eastAsia"/>
        </w:rPr>
        <w:t>（十六）其他未列明行业。从业人员300人以下的为中小微型企业。其中，从业人员100人及以上的为中型企业；从业人员10人及以上的为小型企业；从业人员10人以下的为微型企业。</w:t>
      </w:r>
    </w:p>
    <w:p w14:paraId="1F27BF20">
      <w:pPr>
        <w:snapToGrid w:val="0"/>
        <w:ind w:left="-991" w:leftChars="-413" w:right="-1332" w:rightChars="-555" w:firstLine="424" w:firstLineChars="177"/>
        <w:jc w:val="left"/>
      </w:pPr>
      <w:r>
        <w:rPr>
          <w:rFonts w:hint="eastAsia"/>
        </w:rPr>
        <w:t>五、企业类型的划分以统计部门的统计数据为依据。</w:t>
      </w:r>
    </w:p>
    <w:p w14:paraId="3275F737">
      <w:pPr>
        <w:snapToGrid w:val="0"/>
        <w:ind w:left="-991" w:leftChars="-413" w:right="-1332" w:rightChars="-555" w:firstLine="424" w:firstLineChars="177"/>
        <w:jc w:val="left"/>
      </w:pPr>
      <w:r>
        <w:rPr>
          <w:rFonts w:hint="eastAsia"/>
        </w:rPr>
        <w:t>六、本规定适用于在中华人民共和国境内依法设立的各类所有制和各种组织形式的企业。个体工商户和本规定以外的行业，参照本规定进行划型。</w:t>
      </w:r>
    </w:p>
    <w:p w14:paraId="5754AB72">
      <w:pPr>
        <w:snapToGrid w:val="0"/>
        <w:ind w:left="-991" w:leftChars="-413" w:right="-1332" w:rightChars="-555" w:firstLine="424" w:firstLineChars="177"/>
        <w:jc w:val="left"/>
      </w:pPr>
      <w:r>
        <w:rPr>
          <w:rFonts w:hint="eastAsia"/>
        </w:rPr>
        <w:t>七、本规定的中型企业标准上限即为大型企业标准的下限，国家统计部门据此制定大中小微型企业的统计分类。国务院有关部门据此进行相关数据分析，不得制定与本规定不一致的企业划型标准。</w:t>
      </w:r>
    </w:p>
    <w:p w14:paraId="5A92DAE2">
      <w:pPr>
        <w:snapToGrid w:val="0"/>
        <w:ind w:left="-991" w:leftChars="-413" w:right="-1332" w:rightChars="-555" w:firstLine="424" w:firstLineChars="177"/>
        <w:jc w:val="left"/>
      </w:pPr>
      <w:r>
        <w:rPr>
          <w:rFonts w:hint="eastAsia"/>
        </w:rPr>
        <w:t>八、本规定由工业和信息化部、国家统计局会同有关部门根据《国民经济行业分类》修订情况和企业发展变化情况适时修订。</w:t>
      </w:r>
    </w:p>
    <w:p w14:paraId="2449A2ED">
      <w:pPr>
        <w:snapToGrid w:val="0"/>
        <w:ind w:left="-991" w:leftChars="-413" w:right="-1332" w:rightChars="-555" w:firstLine="424" w:firstLineChars="177"/>
        <w:jc w:val="left"/>
      </w:pPr>
      <w:r>
        <w:rPr>
          <w:rFonts w:hint="eastAsia"/>
        </w:rPr>
        <w:t>九、本规定由工业和信息化部、国家统计局会同有关部门负责解释。</w:t>
      </w:r>
    </w:p>
    <w:p w14:paraId="4A9C80EE">
      <w:pPr>
        <w:snapToGrid w:val="0"/>
        <w:ind w:left="-991" w:leftChars="-413" w:right="-1332" w:rightChars="-555" w:firstLine="424" w:firstLineChars="177"/>
        <w:jc w:val="left"/>
      </w:pPr>
      <w:r>
        <w:rPr>
          <w:rFonts w:hint="eastAsia"/>
        </w:rPr>
        <w:t>十、本规定自发布之日起执行，原国家经贸委、原国家计委、财政部和国家统计局2003年颁布的《中小企业标准暂行规定》同时废止。</w:t>
      </w:r>
    </w:p>
    <w:bookmarkEnd w:id="1183"/>
    <w:p w14:paraId="04A380F0">
      <w:pPr>
        <w:widowControl/>
        <w:spacing w:line="240" w:lineRule="auto"/>
        <w:ind w:right="-766" w:rightChars="-319"/>
        <w:jc w:val="left"/>
      </w:pPr>
    </w:p>
    <w:sectPr>
      <w:type w:val="continuous"/>
      <w:pgSz w:w="11906" w:h="16838"/>
      <w:pgMar w:top="1440" w:right="1800" w:bottom="1440" w:left="1800"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roman"/>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宋?">
    <w:altName w:val="宋体"/>
    <w:panose1 w:val="00000000000000000000"/>
    <w:charset w:val="00"/>
    <w:family w:val="auto"/>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8258A">
    <w:pPr>
      <w:pStyle w:val="24"/>
      <w:ind w:firstLine="480"/>
      <w:jc w:val="center"/>
    </w:pPr>
    <w:r>
      <w:fldChar w:fldCharType="begin"/>
    </w:r>
    <w:r>
      <w:instrText xml:space="preserve">PAGE   \* MERGEFORMAT</w:instrText>
    </w:r>
    <w:r>
      <w:fldChar w:fldCharType="separate"/>
    </w:r>
    <w:r>
      <w:rPr>
        <w:lang w:val="zh-CN"/>
      </w:rPr>
      <w:t>5</w:t>
    </w:r>
    <w:r>
      <w:fldChar w:fldCharType="end"/>
    </w:r>
  </w:p>
  <w:p w14:paraId="3E3F3579">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AA4FD">
    <w:pPr>
      <w:pStyle w:val="24"/>
      <w:ind w:firstLine="480"/>
      <w:jc w:val="center"/>
    </w:pPr>
  </w:p>
  <w:p w14:paraId="6B47A4A8">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F981B">
    <w:pPr>
      <w:pStyle w:val="24"/>
      <w:ind w:firstLine="480"/>
      <w:jc w:val="center"/>
      <w:rPr>
        <w:szCs w:val="21"/>
      </w:rPr>
    </w:pPr>
    <w:r>
      <w:fldChar w:fldCharType="begin"/>
    </w:r>
    <w:r>
      <w:instrText xml:space="preserve">PAGE   \* MERGEFORMAT</w:instrText>
    </w:r>
    <w:r>
      <w:fldChar w:fldCharType="separate"/>
    </w:r>
    <w:r>
      <w:rPr>
        <w:lang w:val="zh-CN"/>
      </w:rPr>
      <w:t>39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4C208">
    <w:pPr>
      <w:pStyle w:val="24"/>
      <w:ind w:firstLine="480"/>
      <w:jc w:val="center"/>
    </w:pPr>
    <w:r>
      <w:fldChar w:fldCharType="begin"/>
    </w:r>
    <w:r>
      <w:instrText xml:space="preserve">PAGE   \* MERGEFORMAT</w:instrText>
    </w:r>
    <w:r>
      <w:fldChar w:fldCharType="separate"/>
    </w:r>
    <w:r>
      <w:rPr>
        <w:lang w:val="zh-CN"/>
      </w:rPr>
      <w:t>41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22D0C">
    <w:pPr>
      <w:pStyle w:val="25"/>
      <w:jc w:val="both"/>
    </w:pPr>
    <w:r>
      <w:rPr>
        <w:rFonts w:hint="eastAsia" w:eastAsia="宋体"/>
        <w:b/>
        <w:bCs/>
        <w:color w:val="000000" w:themeColor="text1"/>
        <w:sz w:val="28"/>
        <w:szCs w:val="21"/>
        <w:lang w:eastAsia="zh-CN"/>
        <w14:textFill>
          <w14:solidFill>
            <w14:schemeClr w14:val="tx1"/>
          </w14:solidFill>
        </w14:textFill>
      </w:rPr>
      <w:drawing>
        <wp:inline distT="0" distB="0" distL="114300" distR="114300">
          <wp:extent cx="692150" cy="294640"/>
          <wp:effectExtent l="0" t="0" r="12700" b="10160"/>
          <wp:docPr id="3"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
                  <pic:cNvPicPr>
                    <a:picLocks noChangeAspect="1"/>
                  </pic:cNvPicPr>
                </pic:nvPicPr>
                <pic:blipFill>
                  <a:blip r:embed="rId1"/>
                  <a:srcRect l="8937" t="32729" r="4662" b="30531"/>
                  <a:stretch>
                    <a:fillRect/>
                  </a:stretch>
                </pic:blipFill>
                <pic:spPr>
                  <a:xfrm>
                    <a:off x="0" y="0"/>
                    <a:ext cx="692150" cy="294640"/>
                  </a:xfrm>
                  <a:prstGeom prst="rect">
                    <a:avLst/>
                  </a:prstGeom>
                </pic:spPr>
              </pic:pic>
            </a:graphicData>
          </a:graphic>
        </wp:inline>
      </w:drawing>
    </w:r>
    <w:r>
      <w:rPr>
        <w:rFonts w:hint="eastAsia"/>
        <w:b/>
        <w:sz w:val="21"/>
        <w:szCs w:val="21"/>
        <w:lang w:eastAsia="zh-CN"/>
      </w:rPr>
      <w:t>乾景项目管理（吉林）有限公司</w:t>
    </w:r>
    <w:r>
      <w:rPr>
        <w:rFonts w:ascii="楷体_GB2312" w:eastAsia="楷体_GB2312"/>
      </w:rPr>
      <w:t xml:space="preserve">                           </w:t>
    </w:r>
    <w:r>
      <w:rPr>
        <w:rFonts w:hint="eastAsia"/>
        <w:b/>
        <w:bCs/>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7B14D">
    <w:pPr>
      <w:pStyle w:val="25"/>
      <w:ind w:firstLine="281" w:firstLineChars="100"/>
      <w:jc w:val="both"/>
    </w:pPr>
    <w:r>
      <w:rPr>
        <w:rFonts w:hint="eastAsia" w:eastAsia="宋体"/>
        <w:b/>
        <w:bCs/>
        <w:color w:val="000000" w:themeColor="text1"/>
        <w:sz w:val="28"/>
        <w:szCs w:val="21"/>
        <w:lang w:eastAsia="zh-CN"/>
        <w14:textFill>
          <w14:solidFill>
            <w14:schemeClr w14:val="tx1"/>
          </w14:solidFill>
        </w14:textFill>
      </w:rPr>
      <w:drawing>
        <wp:inline distT="0" distB="0" distL="114300" distR="114300">
          <wp:extent cx="586740" cy="249555"/>
          <wp:effectExtent l="0" t="0" r="3810" b="17145"/>
          <wp:docPr id="2" name="图片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pic:cNvPicPr>
                    <a:picLocks noChangeAspect="1"/>
                  </pic:cNvPicPr>
                </pic:nvPicPr>
                <pic:blipFill>
                  <a:blip r:embed="rId1"/>
                  <a:srcRect l="8937" t="32729" r="4662" b="30531"/>
                  <a:stretch>
                    <a:fillRect/>
                  </a:stretch>
                </pic:blipFill>
                <pic:spPr>
                  <a:xfrm>
                    <a:off x="0" y="0"/>
                    <a:ext cx="586740" cy="249555"/>
                  </a:xfrm>
                  <a:prstGeom prst="rect">
                    <a:avLst/>
                  </a:prstGeom>
                </pic:spPr>
              </pic:pic>
            </a:graphicData>
          </a:graphic>
        </wp:inline>
      </w:drawing>
    </w:r>
    <w:r>
      <w:rPr>
        <w:rFonts w:hint="eastAsia"/>
        <w:b/>
        <w:sz w:val="21"/>
        <w:szCs w:val="21"/>
        <w:lang w:eastAsia="zh-CN"/>
      </w:rPr>
      <w:t>乾景项目管理（吉林）有限公司</w:t>
    </w:r>
    <w:r>
      <w:rPr>
        <w:rFonts w:ascii="楷体_GB2312" w:eastAsia="楷体_GB2312"/>
      </w:rPr>
      <w:t xml:space="preserve">                         </w:t>
    </w:r>
    <w:r>
      <w:rPr>
        <w:rFonts w:hint="eastAsia"/>
        <w:b/>
        <w:bCs/>
        <w:sz w:val="21"/>
        <w:szCs w:val="21"/>
      </w:rPr>
      <w:t>竞争性磋商文件</w:t>
    </w:r>
  </w:p>
  <w:p w14:paraId="6A074B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M3ZjVkMTRlNWYyOTMyZWNmNTczYTZhM2I2NmI5ZDEifQ=="/>
  </w:docVars>
  <w:rsids>
    <w:rsidRoot w:val="00172A27"/>
    <w:rsid w:val="00000E0A"/>
    <w:rsid w:val="00004BA0"/>
    <w:rsid w:val="000255CA"/>
    <w:rsid w:val="000445F7"/>
    <w:rsid w:val="00051F35"/>
    <w:rsid w:val="000674D1"/>
    <w:rsid w:val="00077270"/>
    <w:rsid w:val="00082D06"/>
    <w:rsid w:val="0009653C"/>
    <w:rsid w:val="000A48C6"/>
    <w:rsid w:val="000A5CED"/>
    <w:rsid w:val="00135FD6"/>
    <w:rsid w:val="00150E6E"/>
    <w:rsid w:val="001619C8"/>
    <w:rsid w:val="001A4B92"/>
    <w:rsid w:val="001D5CD3"/>
    <w:rsid w:val="001E1FB2"/>
    <w:rsid w:val="002008F9"/>
    <w:rsid w:val="002212F5"/>
    <w:rsid w:val="00224207"/>
    <w:rsid w:val="00253B0D"/>
    <w:rsid w:val="002610E1"/>
    <w:rsid w:val="00264A7D"/>
    <w:rsid w:val="0028629B"/>
    <w:rsid w:val="002B2103"/>
    <w:rsid w:val="002D3E57"/>
    <w:rsid w:val="002D473B"/>
    <w:rsid w:val="0032077B"/>
    <w:rsid w:val="00320ECB"/>
    <w:rsid w:val="00322F1D"/>
    <w:rsid w:val="00325223"/>
    <w:rsid w:val="00325C4B"/>
    <w:rsid w:val="003368BE"/>
    <w:rsid w:val="00372F5C"/>
    <w:rsid w:val="00374C33"/>
    <w:rsid w:val="003B1B9F"/>
    <w:rsid w:val="003B6599"/>
    <w:rsid w:val="003D29E9"/>
    <w:rsid w:val="003E201D"/>
    <w:rsid w:val="00413930"/>
    <w:rsid w:val="00421A6A"/>
    <w:rsid w:val="004455BA"/>
    <w:rsid w:val="00461759"/>
    <w:rsid w:val="00462971"/>
    <w:rsid w:val="004901E9"/>
    <w:rsid w:val="0049591A"/>
    <w:rsid w:val="004C068B"/>
    <w:rsid w:val="004C0F4D"/>
    <w:rsid w:val="004D087E"/>
    <w:rsid w:val="004E1226"/>
    <w:rsid w:val="004E6932"/>
    <w:rsid w:val="004F11CA"/>
    <w:rsid w:val="0050273B"/>
    <w:rsid w:val="00504D6B"/>
    <w:rsid w:val="00560FEB"/>
    <w:rsid w:val="00573F97"/>
    <w:rsid w:val="005C2673"/>
    <w:rsid w:val="005D78B9"/>
    <w:rsid w:val="005F1466"/>
    <w:rsid w:val="005F47E7"/>
    <w:rsid w:val="005F4F9B"/>
    <w:rsid w:val="005F535A"/>
    <w:rsid w:val="00600991"/>
    <w:rsid w:val="00602BF3"/>
    <w:rsid w:val="0061406B"/>
    <w:rsid w:val="00622A44"/>
    <w:rsid w:val="006344C8"/>
    <w:rsid w:val="0066418A"/>
    <w:rsid w:val="00686117"/>
    <w:rsid w:val="006D1D8A"/>
    <w:rsid w:val="006E5DF9"/>
    <w:rsid w:val="006F7F55"/>
    <w:rsid w:val="007257CD"/>
    <w:rsid w:val="00766F22"/>
    <w:rsid w:val="00767BC0"/>
    <w:rsid w:val="00773A45"/>
    <w:rsid w:val="00782C9E"/>
    <w:rsid w:val="007A5EA1"/>
    <w:rsid w:val="007C0D5F"/>
    <w:rsid w:val="008009C9"/>
    <w:rsid w:val="008009CB"/>
    <w:rsid w:val="008023E6"/>
    <w:rsid w:val="008035D2"/>
    <w:rsid w:val="008036D3"/>
    <w:rsid w:val="0080723B"/>
    <w:rsid w:val="00811874"/>
    <w:rsid w:val="00813C0A"/>
    <w:rsid w:val="0081493D"/>
    <w:rsid w:val="00840693"/>
    <w:rsid w:val="00884573"/>
    <w:rsid w:val="008C07B6"/>
    <w:rsid w:val="00913945"/>
    <w:rsid w:val="00923FDF"/>
    <w:rsid w:val="009329A3"/>
    <w:rsid w:val="009934EE"/>
    <w:rsid w:val="009A5641"/>
    <w:rsid w:val="009B318D"/>
    <w:rsid w:val="009D1FF5"/>
    <w:rsid w:val="009D6B08"/>
    <w:rsid w:val="00A02382"/>
    <w:rsid w:val="00A179E5"/>
    <w:rsid w:val="00A463C9"/>
    <w:rsid w:val="00A656ED"/>
    <w:rsid w:val="00A702E2"/>
    <w:rsid w:val="00A719A0"/>
    <w:rsid w:val="00A93638"/>
    <w:rsid w:val="00AA7F6F"/>
    <w:rsid w:val="00AC47CC"/>
    <w:rsid w:val="00B213D6"/>
    <w:rsid w:val="00B252EF"/>
    <w:rsid w:val="00B3386A"/>
    <w:rsid w:val="00B33AB0"/>
    <w:rsid w:val="00B403EB"/>
    <w:rsid w:val="00B55708"/>
    <w:rsid w:val="00B63C1C"/>
    <w:rsid w:val="00B65D2A"/>
    <w:rsid w:val="00B9070B"/>
    <w:rsid w:val="00B954C6"/>
    <w:rsid w:val="00BA373D"/>
    <w:rsid w:val="00BC066B"/>
    <w:rsid w:val="00BC1883"/>
    <w:rsid w:val="00BD3B02"/>
    <w:rsid w:val="00C120B1"/>
    <w:rsid w:val="00C13971"/>
    <w:rsid w:val="00C21D03"/>
    <w:rsid w:val="00C6359F"/>
    <w:rsid w:val="00C86569"/>
    <w:rsid w:val="00CA37B9"/>
    <w:rsid w:val="00CA528E"/>
    <w:rsid w:val="00CD0177"/>
    <w:rsid w:val="00CF5F2F"/>
    <w:rsid w:val="00D03A5A"/>
    <w:rsid w:val="00D345BC"/>
    <w:rsid w:val="00D3678C"/>
    <w:rsid w:val="00D40D1B"/>
    <w:rsid w:val="00D47F57"/>
    <w:rsid w:val="00D57C51"/>
    <w:rsid w:val="00D7191E"/>
    <w:rsid w:val="00DC5805"/>
    <w:rsid w:val="00E04873"/>
    <w:rsid w:val="00E20299"/>
    <w:rsid w:val="00E80C6E"/>
    <w:rsid w:val="00EA3455"/>
    <w:rsid w:val="00ED4E9A"/>
    <w:rsid w:val="00ED75EB"/>
    <w:rsid w:val="00F31359"/>
    <w:rsid w:val="00F330CA"/>
    <w:rsid w:val="00F44377"/>
    <w:rsid w:val="00F473A2"/>
    <w:rsid w:val="00F94D2A"/>
    <w:rsid w:val="00FB6D9A"/>
    <w:rsid w:val="00FD481F"/>
    <w:rsid w:val="00FD4ABD"/>
    <w:rsid w:val="00FF1871"/>
    <w:rsid w:val="00FF4151"/>
    <w:rsid w:val="00FF4FF4"/>
    <w:rsid w:val="01E1738A"/>
    <w:rsid w:val="03374F99"/>
    <w:rsid w:val="048B25F4"/>
    <w:rsid w:val="08E33C00"/>
    <w:rsid w:val="0CDC429C"/>
    <w:rsid w:val="131616C3"/>
    <w:rsid w:val="13594D5E"/>
    <w:rsid w:val="14774819"/>
    <w:rsid w:val="153D4761"/>
    <w:rsid w:val="1D17619A"/>
    <w:rsid w:val="21592989"/>
    <w:rsid w:val="227533FB"/>
    <w:rsid w:val="2CB943AD"/>
    <w:rsid w:val="303F1622"/>
    <w:rsid w:val="39A71434"/>
    <w:rsid w:val="3EEA5D4E"/>
    <w:rsid w:val="401A439B"/>
    <w:rsid w:val="49E62041"/>
    <w:rsid w:val="522E4C8A"/>
    <w:rsid w:val="55D855EE"/>
    <w:rsid w:val="58290FBB"/>
    <w:rsid w:val="5BDB3E84"/>
    <w:rsid w:val="60BB406D"/>
    <w:rsid w:val="63B321C7"/>
    <w:rsid w:val="6FE30B73"/>
    <w:rsid w:val="707F274A"/>
    <w:rsid w:val="7B8E526E"/>
    <w:rsid w:val="7D947867"/>
    <w:rsid w:val="7DBC1F73"/>
    <w:rsid w:val="7F9D3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imes New Roman"/>
      <w:kern w:val="2"/>
      <w:sz w:val="24"/>
      <w:szCs w:val="24"/>
      <w:lang w:val="en-US" w:eastAsia="zh-CN" w:bidi="ar-SA"/>
    </w:rPr>
  </w:style>
  <w:style w:type="paragraph" w:styleId="3">
    <w:name w:val="heading 1"/>
    <w:basedOn w:val="1"/>
    <w:next w:val="1"/>
    <w:link w:val="50"/>
    <w:qFormat/>
    <w:uiPriority w:val="0"/>
    <w:pPr>
      <w:keepNext/>
      <w:keepLines/>
      <w:spacing w:before="340" w:after="330" w:line="240" w:lineRule="auto"/>
      <w:jc w:val="center"/>
      <w:outlineLvl w:val="0"/>
    </w:pPr>
    <w:rPr>
      <w:b/>
      <w:bCs/>
      <w:kern w:val="44"/>
      <w:sz w:val="44"/>
      <w:szCs w:val="44"/>
    </w:rPr>
  </w:style>
  <w:style w:type="paragraph" w:styleId="4">
    <w:name w:val="heading 2"/>
    <w:basedOn w:val="1"/>
    <w:next w:val="1"/>
    <w:link w:val="51"/>
    <w:qFormat/>
    <w:uiPriority w:val="0"/>
    <w:pPr>
      <w:keepNext/>
      <w:keepLines/>
      <w:spacing w:before="260" w:after="260" w:line="240" w:lineRule="auto"/>
      <w:jc w:val="center"/>
      <w:outlineLvl w:val="1"/>
    </w:pPr>
    <w:rPr>
      <w:b/>
      <w:bCs/>
      <w:sz w:val="32"/>
      <w:szCs w:val="32"/>
    </w:rPr>
  </w:style>
  <w:style w:type="paragraph" w:styleId="5">
    <w:name w:val="heading 3"/>
    <w:basedOn w:val="1"/>
    <w:next w:val="1"/>
    <w:link w:val="52"/>
    <w:qFormat/>
    <w:uiPriority w:val="0"/>
    <w:pPr>
      <w:keepNext/>
      <w:keepLines/>
      <w:spacing w:before="260" w:after="260" w:line="240" w:lineRule="auto"/>
      <w:jc w:val="center"/>
      <w:outlineLvl w:val="2"/>
    </w:pPr>
    <w:rPr>
      <w:b/>
      <w:bCs/>
      <w:sz w:val="32"/>
      <w:szCs w:val="32"/>
    </w:rPr>
  </w:style>
  <w:style w:type="paragraph" w:styleId="6">
    <w:name w:val="heading 4"/>
    <w:basedOn w:val="1"/>
    <w:next w:val="1"/>
    <w:link w:val="53"/>
    <w:qFormat/>
    <w:uiPriority w:val="0"/>
    <w:pPr>
      <w:keepNext/>
      <w:keepLines/>
      <w:spacing w:before="280" w:after="290" w:line="374" w:lineRule="auto"/>
      <w:outlineLvl w:val="3"/>
    </w:pPr>
    <w:rPr>
      <w:rFonts w:ascii="Arial" w:hAnsi="Arial" w:eastAsia="黑体"/>
      <w:b/>
      <w:bCs/>
      <w:sz w:val="28"/>
      <w:szCs w:val="28"/>
    </w:rPr>
  </w:style>
  <w:style w:type="paragraph" w:styleId="7">
    <w:name w:val="heading 6"/>
    <w:basedOn w:val="1"/>
    <w:next w:val="1"/>
    <w:link w:val="54"/>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rPr>
  </w:style>
  <w:style w:type="paragraph" w:styleId="8">
    <w:name w:val="heading 7"/>
    <w:basedOn w:val="1"/>
    <w:next w:val="1"/>
    <w:link w:val="55"/>
    <w:qFormat/>
    <w:uiPriority w:val="0"/>
    <w:pPr>
      <w:keepNext/>
      <w:keepLines/>
      <w:widowControl/>
      <w:tabs>
        <w:tab w:val="left" w:pos="2520"/>
      </w:tabs>
      <w:spacing w:before="240" w:after="64" w:line="319" w:lineRule="auto"/>
      <w:ind w:left="1296" w:hanging="1296"/>
      <w:jc w:val="left"/>
      <w:outlineLvl w:val="6"/>
    </w:pPr>
    <w:rPr>
      <w:b/>
      <w:bCs/>
      <w:kern w:val="0"/>
    </w:rPr>
  </w:style>
  <w:style w:type="paragraph" w:styleId="9">
    <w:name w:val="heading 8"/>
    <w:basedOn w:val="1"/>
    <w:next w:val="1"/>
    <w:link w:val="56"/>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rPr>
  </w:style>
  <w:style w:type="paragraph" w:styleId="10">
    <w:name w:val="heading 9"/>
    <w:basedOn w:val="1"/>
    <w:next w:val="1"/>
    <w:link w:val="57"/>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0"/>
    <w:pPr>
      <w:spacing w:after="120"/>
    </w:pPr>
  </w:style>
  <w:style w:type="paragraph" w:styleId="11">
    <w:name w:val="toc 7"/>
    <w:basedOn w:val="1"/>
    <w:next w:val="1"/>
    <w:qFormat/>
    <w:uiPriority w:val="0"/>
    <w:pPr>
      <w:ind w:left="1260"/>
      <w:jc w:val="left"/>
    </w:pPr>
    <w:rPr>
      <w:sz w:val="18"/>
      <w:szCs w:val="18"/>
    </w:rPr>
  </w:style>
  <w:style w:type="paragraph" w:styleId="12">
    <w:name w:val="Normal Indent"/>
    <w:basedOn w:val="1"/>
    <w:qFormat/>
    <w:uiPriority w:val="0"/>
    <w:pPr>
      <w:ind w:firstLine="420" w:firstLineChars="200"/>
    </w:pPr>
  </w:style>
  <w:style w:type="paragraph" w:styleId="13">
    <w:name w:val="Document Map"/>
    <w:basedOn w:val="1"/>
    <w:link w:val="59"/>
    <w:qFormat/>
    <w:uiPriority w:val="0"/>
    <w:pPr>
      <w:shd w:val="clear" w:color="auto" w:fill="000080"/>
    </w:pPr>
  </w:style>
  <w:style w:type="paragraph" w:styleId="14">
    <w:name w:val="annotation text"/>
    <w:basedOn w:val="1"/>
    <w:link w:val="60"/>
    <w:qFormat/>
    <w:uiPriority w:val="0"/>
    <w:pPr>
      <w:jc w:val="left"/>
    </w:pPr>
  </w:style>
  <w:style w:type="paragraph" w:styleId="15">
    <w:name w:val="Body Text 3"/>
    <w:basedOn w:val="1"/>
    <w:link w:val="61"/>
    <w:qFormat/>
    <w:uiPriority w:val="0"/>
    <w:rPr>
      <w:szCs w:val="20"/>
    </w:rPr>
  </w:style>
  <w:style w:type="paragraph" w:styleId="16">
    <w:name w:val="Body Text Indent"/>
    <w:basedOn w:val="1"/>
    <w:link w:val="63"/>
    <w:qFormat/>
    <w:uiPriority w:val="0"/>
    <w:pPr>
      <w:spacing w:after="120"/>
      <w:ind w:left="420" w:leftChars="200"/>
    </w:pPr>
  </w:style>
  <w:style w:type="paragraph" w:styleId="17">
    <w:name w:val="toc 5"/>
    <w:basedOn w:val="1"/>
    <w:next w:val="1"/>
    <w:qFormat/>
    <w:uiPriority w:val="0"/>
    <w:pPr>
      <w:ind w:left="840"/>
      <w:jc w:val="left"/>
    </w:pPr>
    <w:rPr>
      <w:sz w:val="18"/>
      <w:szCs w:val="18"/>
    </w:rPr>
  </w:style>
  <w:style w:type="paragraph" w:styleId="18">
    <w:name w:val="toc 3"/>
    <w:basedOn w:val="1"/>
    <w:next w:val="1"/>
    <w:qFormat/>
    <w:uiPriority w:val="39"/>
    <w:pPr>
      <w:spacing w:line="240" w:lineRule="auto"/>
      <w:ind w:left="420"/>
      <w:jc w:val="left"/>
    </w:pPr>
    <w:rPr>
      <w:iCs/>
      <w:sz w:val="20"/>
      <w:szCs w:val="20"/>
    </w:rPr>
  </w:style>
  <w:style w:type="paragraph" w:styleId="19">
    <w:name w:val="Plain Text"/>
    <w:basedOn w:val="1"/>
    <w:link w:val="64"/>
    <w:qFormat/>
    <w:uiPriority w:val="0"/>
    <w:rPr>
      <w:rFonts w:ascii="Courier New" w:hAnsi="Courier New"/>
      <w:szCs w:val="20"/>
    </w:rPr>
  </w:style>
  <w:style w:type="paragraph" w:styleId="20">
    <w:name w:val="toc 8"/>
    <w:basedOn w:val="1"/>
    <w:next w:val="1"/>
    <w:qFormat/>
    <w:uiPriority w:val="0"/>
    <w:pPr>
      <w:ind w:left="1470"/>
      <w:jc w:val="left"/>
    </w:pPr>
    <w:rPr>
      <w:sz w:val="18"/>
      <w:szCs w:val="18"/>
    </w:rPr>
  </w:style>
  <w:style w:type="paragraph" w:styleId="21">
    <w:name w:val="Date"/>
    <w:basedOn w:val="1"/>
    <w:next w:val="1"/>
    <w:link w:val="58"/>
    <w:qFormat/>
    <w:uiPriority w:val="0"/>
    <w:rPr>
      <w:szCs w:val="20"/>
    </w:rPr>
  </w:style>
  <w:style w:type="paragraph" w:styleId="22">
    <w:name w:val="Body Text Indent 2"/>
    <w:basedOn w:val="1"/>
    <w:link w:val="65"/>
    <w:qFormat/>
    <w:uiPriority w:val="0"/>
    <w:pPr>
      <w:spacing w:after="120" w:line="480" w:lineRule="auto"/>
      <w:ind w:left="420" w:leftChars="200"/>
    </w:pPr>
  </w:style>
  <w:style w:type="paragraph" w:styleId="23">
    <w:name w:val="Balloon Text"/>
    <w:basedOn w:val="1"/>
    <w:link w:val="66"/>
    <w:qFormat/>
    <w:uiPriority w:val="0"/>
    <w:rPr>
      <w:sz w:val="18"/>
      <w:szCs w:val="18"/>
    </w:rPr>
  </w:style>
  <w:style w:type="paragraph" w:styleId="24">
    <w:name w:val="footer"/>
    <w:basedOn w:val="1"/>
    <w:link w:val="49"/>
    <w:unhideWhenUsed/>
    <w:qFormat/>
    <w:uiPriority w:val="99"/>
    <w:pPr>
      <w:tabs>
        <w:tab w:val="center" w:pos="4153"/>
        <w:tab w:val="right" w:pos="8306"/>
      </w:tabs>
      <w:snapToGrid w:val="0"/>
      <w:jc w:val="left"/>
    </w:pPr>
    <w:rPr>
      <w:sz w:val="18"/>
      <w:szCs w:val="18"/>
    </w:rPr>
  </w:style>
  <w:style w:type="paragraph" w:styleId="25">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line="240" w:lineRule="auto"/>
      <w:jc w:val="left"/>
    </w:pPr>
    <w:rPr>
      <w:b/>
      <w:bCs/>
      <w:caps/>
      <w:sz w:val="20"/>
      <w:szCs w:val="20"/>
    </w:rPr>
  </w:style>
  <w:style w:type="paragraph" w:styleId="27">
    <w:name w:val="toc 4"/>
    <w:basedOn w:val="1"/>
    <w:next w:val="1"/>
    <w:qFormat/>
    <w:uiPriority w:val="0"/>
    <w:pPr>
      <w:ind w:left="630"/>
      <w:jc w:val="left"/>
    </w:pPr>
    <w:rPr>
      <w:sz w:val="18"/>
      <w:szCs w:val="18"/>
    </w:rPr>
  </w:style>
  <w:style w:type="paragraph" w:styleId="28">
    <w:name w:val="footnote text"/>
    <w:basedOn w:val="1"/>
    <w:link w:val="67"/>
    <w:qFormat/>
    <w:uiPriority w:val="0"/>
    <w:rPr>
      <w:sz w:val="20"/>
      <w:szCs w:val="20"/>
    </w:rPr>
  </w:style>
  <w:style w:type="paragraph" w:styleId="29">
    <w:name w:val="toc 6"/>
    <w:basedOn w:val="1"/>
    <w:next w:val="1"/>
    <w:qFormat/>
    <w:uiPriority w:val="0"/>
    <w:pPr>
      <w:ind w:left="1050"/>
      <w:jc w:val="left"/>
    </w:pPr>
    <w:rPr>
      <w:sz w:val="18"/>
      <w:szCs w:val="18"/>
    </w:rPr>
  </w:style>
  <w:style w:type="paragraph" w:styleId="30">
    <w:name w:val="Body Text Indent 3"/>
    <w:basedOn w:val="1"/>
    <w:link w:val="68"/>
    <w:qFormat/>
    <w:uiPriority w:val="0"/>
    <w:pPr>
      <w:spacing w:after="120"/>
      <w:ind w:left="420" w:leftChars="200"/>
    </w:pPr>
    <w:rPr>
      <w:sz w:val="16"/>
      <w:szCs w:val="16"/>
    </w:rPr>
  </w:style>
  <w:style w:type="paragraph" w:styleId="31">
    <w:name w:val="table of figures"/>
    <w:basedOn w:val="1"/>
    <w:next w:val="1"/>
    <w:qFormat/>
    <w:uiPriority w:val="0"/>
    <w:pPr>
      <w:ind w:left="200" w:leftChars="200" w:hanging="200" w:hangingChars="200"/>
    </w:pPr>
  </w:style>
  <w:style w:type="paragraph" w:styleId="32">
    <w:name w:val="toc 2"/>
    <w:basedOn w:val="1"/>
    <w:next w:val="1"/>
    <w:qFormat/>
    <w:uiPriority w:val="39"/>
    <w:pPr>
      <w:spacing w:line="240" w:lineRule="auto"/>
      <w:ind w:left="210"/>
      <w:jc w:val="left"/>
    </w:pPr>
    <w:rPr>
      <w:smallCaps/>
      <w:sz w:val="20"/>
      <w:szCs w:val="20"/>
    </w:rPr>
  </w:style>
  <w:style w:type="paragraph" w:styleId="33">
    <w:name w:val="toc 9"/>
    <w:basedOn w:val="1"/>
    <w:next w:val="1"/>
    <w:qFormat/>
    <w:uiPriority w:val="0"/>
    <w:pPr>
      <w:ind w:left="1680"/>
      <w:jc w:val="left"/>
    </w:pPr>
    <w:rPr>
      <w:sz w:val="18"/>
      <w:szCs w:val="18"/>
    </w:rPr>
  </w:style>
  <w:style w:type="paragraph" w:styleId="34">
    <w:name w:val="Normal (Web)"/>
    <w:basedOn w:val="1"/>
    <w:qFormat/>
    <w:uiPriority w:val="0"/>
    <w:pPr>
      <w:spacing w:before="100" w:beforeAutospacing="1" w:after="100" w:afterAutospacing="1"/>
      <w:jc w:val="left"/>
    </w:pPr>
    <w:rPr>
      <w:kern w:val="0"/>
    </w:rPr>
  </w:style>
  <w:style w:type="paragraph" w:styleId="35">
    <w:name w:val="Title"/>
    <w:basedOn w:val="1"/>
    <w:link w:val="6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36">
    <w:name w:val="annotation subject"/>
    <w:basedOn w:val="14"/>
    <w:next w:val="14"/>
    <w:link w:val="70"/>
    <w:qFormat/>
    <w:uiPriority w:val="0"/>
    <w:rPr>
      <w:b/>
      <w:bCs/>
    </w:rPr>
  </w:style>
  <w:style w:type="paragraph" w:styleId="37">
    <w:name w:val="Body Text First Indent 2"/>
    <w:basedOn w:val="16"/>
    <w:link w:val="95"/>
    <w:semiHidden/>
    <w:unhideWhenUsed/>
    <w:qFormat/>
    <w:uiPriority w:val="99"/>
    <w:pPr>
      <w:ind w:firstLine="420" w:firstLineChars="200"/>
    </w:pPr>
  </w:style>
  <w:style w:type="table" w:styleId="39">
    <w:name w:val="Table Grid"/>
    <w:basedOn w:val="38"/>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b/>
    </w:rPr>
  </w:style>
  <w:style w:type="character" w:styleId="42">
    <w:name w:val="page number"/>
    <w:basedOn w:val="40"/>
    <w:qFormat/>
    <w:uiPriority w:val="0"/>
  </w:style>
  <w:style w:type="character" w:styleId="43">
    <w:name w:val="FollowedHyperlink"/>
    <w:qFormat/>
    <w:uiPriority w:val="0"/>
    <w:rPr>
      <w:color w:val="333333"/>
      <w:u w:val="none"/>
    </w:rPr>
  </w:style>
  <w:style w:type="character" w:styleId="44">
    <w:name w:val="Hyperlink"/>
    <w:qFormat/>
    <w:uiPriority w:val="99"/>
    <w:rPr>
      <w:color w:val="333333"/>
      <w:u w:val="none"/>
    </w:rPr>
  </w:style>
  <w:style w:type="character" w:styleId="45">
    <w:name w:val="annotation reference"/>
    <w:qFormat/>
    <w:uiPriority w:val="0"/>
    <w:rPr>
      <w:sz w:val="21"/>
      <w:szCs w:val="21"/>
    </w:rPr>
  </w:style>
  <w:style w:type="character" w:styleId="46">
    <w:name w:val="footnote reference"/>
    <w:qFormat/>
    <w:uiPriority w:val="0"/>
    <w:rPr>
      <w:vertAlign w:val="superscript"/>
    </w:rPr>
  </w:style>
  <w:style w:type="paragraph" w:customStyle="1" w:styleId="47">
    <w:name w:val="Default"/>
    <w:next w:val="2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8">
    <w:name w:val="页眉 字符"/>
    <w:basedOn w:val="40"/>
    <w:link w:val="25"/>
    <w:qFormat/>
    <w:uiPriority w:val="99"/>
    <w:rPr>
      <w:sz w:val="18"/>
      <w:szCs w:val="18"/>
    </w:rPr>
  </w:style>
  <w:style w:type="character" w:customStyle="1" w:styleId="49">
    <w:name w:val="页脚 字符"/>
    <w:basedOn w:val="40"/>
    <w:link w:val="24"/>
    <w:qFormat/>
    <w:uiPriority w:val="99"/>
    <w:rPr>
      <w:sz w:val="18"/>
      <w:szCs w:val="18"/>
    </w:rPr>
  </w:style>
  <w:style w:type="character" w:customStyle="1" w:styleId="50">
    <w:name w:val="标题 1 字符"/>
    <w:basedOn w:val="40"/>
    <w:link w:val="3"/>
    <w:qFormat/>
    <w:uiPriority w:val="0"/>
    <w:rPr>
      <w:rFonts w:ascii="宋体" w:hAnsi="宋体" w:eastAsia="宋体" w:cs="Times New Roman"/>
      <w:b/>
      <w:bCs/>
      <w:kern w:val="44"/>
      <w:sz w:val="44"/>
      <w:szCs w:val="44"/>
    </w:rPr>
  </w:style>
  <w:style w:type="character" w:customStyle="1" w:styleId="51">
    <w:name w:val="标题 2 字符"/>
    <w:basedOn w:val="40"/>
    <w:link w:val="4"/>
    <w:qFormat/>
    <w:uiPriority w:val="0"/>
    <w:rPr>
      <w:rFonts w:ascii="宋体" w:hAnsi="宋体" w:eastAsia="宋体" w:cs="Times New Roman"/>
      <w:b/>
      <w:bCs/>
      <w:sz w:val="32"/>
      <w:szCs w:val="32"/>
    </w:rPr>
  </w:style>
  <w:style w:type="character" w:customStyle="1" w:styleId="52">
    <w:name w:val="标题 3 字符"/>
    <w:basedOn w:val="40"/>
    <w:link w:val="5"/>
    <w:qFormat/>
    <w:uiPriority w:val="0"/>
    <w:rPr>
      <w:rFonts w:ascii="宋体" w:hAnsi="宋体" w:eastAsia="宋体" w:cs="Times New Roman"/>
      <w:b/>
      <w:bCs/>
      <w:sz w:val="32"/>
      <w:szCs w:val="32"/>
    </w:rPr>
  </w:style>
  <w:style w:type="character" w:customStyle="1" w:styleId="53">
    <w:name w:val="标题 4 字符"/>
    <w:basedOn w:val="40"/>
    <w:link w:val="6"/>
    <w:qFormat/>
    <w:uiPriority w:val="0"/>
    <w:rPr>
      <w:rFonts w:ascii="Arial" w:hAnsi="Arial" w:eastAsia="黑体" w:cs="Times New Roman"/>
      <w:b/>
      <w:bCs/>
      <w:sz w:val="28"/>
      <w:szCs w:val="28"/>
    </w:rPr>
  </w:style>
  <w:style w:type="character" w:customStyle="1" w:styleId="54">
    <w:name w:val="标题 6 字符"/>
    <w:basedOn w:val="40"/>
    <w:link w:val="7"/>
    <w:qFormat/>
    <w:uiPriority w:val="0"/>
    <w:rPr>
      <w:rFonts w:ascii="Arial" w:hAnsi="Arial" w:eastAsia="黑体" w:cs="Times New Roman"/>
      <w:b/>
      <w:bCs/>
      <w:kern w:val="0"/>
      <w:sz w:val="24"/>
      <w:szCs w:val="24"/>
    </w:rPr>
  </w:style>
  <w:style w:type="character" w:customStyle="1" w:styleId="55">
    <w:name w:val="标题 7 字符"/>
    <w:basedOn w:val="40"/>
    <w:link w:val="8"/>
    <w:qFormat/>
    <w:uiPriority w:val="0"/>
    <w:rPr>
      <w:rFonts w:ascii="宋体" w:hAnsi="宋体" w:eastAsia="宋体" w:cs="Times New Roman"/>
      <w:b/>
      <w:bCs/>
      <w:kern w:val="0"/>
      <w:sz w:val="24"/>
      <w:szCs w:val="24"/>
    </w:rPr>
  </w:style>
  <w:style w:type="character" w:customStyle="1" w:styleId="56">
    <w:name w:val="标题 8 字符"/>
    <w:basedOn w:val="40"/>
    <w:link w:val="9"/>
    <w:qFormat/>
    <w:uiPriority w:val="0"/>
    <w:rPr>
      <w:rFonts w:ascii="Arial" w:hAnsi="Arial" w:eastAsia="黑体" w:cs="Times New Roman"/>
      <w:kern w:val="0"/>
      <w:sz w:val="24"/>
      <w:szCs w:val="24"/>
    </w:rPr>
  </w:style>
  <w:style w:type="character" w:customStyle="1" w:styleId="57">
    <w:name w:val="标题 9 字符"/>
    <w:basedOn w:val="40"/>
    <w:link w:val="10"/>
    <w:qFormat/>
    <w:uiPriority w:val="0"/>
    <w:rPr>
      <w:rFonts w:ascii="Arial" w:hAnsi="Arial" w:eastAsia="黑体" w:cs="Times New Roman"/>
      <w:kern w:val="0"/>
      <w:sz w:val="24"/>
      <w:szCs w:val="21"/>
    </w:rPr>
  </w:style>
  <w:style w:type="character" w:customStyle="1" w:styleId="58">
    <w:name w:val="日期 字符"/>
    <w:basedOn w:val="40"/>
    <w:link w:val="21"/>
    <w:qFormat/>
    <w:uiPriority w:val="0"/>
    <w:rPr>
      <w:rFonts w:ascii="宋体" w:hAnsi="宋体" w:eastAsia="宋体" w:cs="Times New Roman"/>
      <w:sz w:val="24"/>
      <w:szCs w:val="20"/>
    </w:rPr>
  </w:style>
  <w:style w:type="character" w:customStyle="1" w:styleId="59">
    <w:name w:val="文档结构图 字符"/>
    <w:basedOn w:val="40"/>
    <w:link w:val="13"/>
    <w:qFormat/>
    <w:uiPriority w:val="0"/>
    <w:rPr>
      <w:rFonts w:ascii="宋体" w:hAnsi="宋体" w:eastAsia="宋体" w:cs="Times New Roman"/>
      <w:sz w:val="24"/>
      <w:szCs w:val="24"/>
      <w:shd w:val="clear" w:color="auto" w:fill="000080"/>
    </w:rPr>
  </w:style>
  <w:style w:type="character" w:customStyle="1" w:styleId="60">
    <w:name w:val="批注文字 字符"/>
    <w:basedOn w:val="40"/>
    <w:link w:val="14"/>
    <w:qFormat/>
    <w:uiPriority w:val="0"/>
    <w:rPr>
      <w:rFonts w:ascii="宋体" w:hAnsi="宋体" w:eastAsia="宋体" w:cs="Times New Roman"/>
      <w:sz w:val="24"/>
      <w:szCs w:val="24"/>
    </w:rPr>
  </w:style>
  <w:style w:type="character" w:customStyle="1" w:styleId="61">
    <w:name w:val="正文文本 3 字符"/>
    <w:basedOn w:val="40"/>
    <w:link w:val="15"/>
    <w:qFormat/>
    <w:uiPriority w:val="0"/>
    <w:rPr>
      <w:rFonts w:ascii="宋体" w:hAnsi="宋体" w:eastAsia="宋体" w:cs="Times New Roman"/>
      <w:sz w:val="24"/>
      <w:szCs w:val="20"/>
    </w:rPr>
  </w:style>
  <w:style w:type="character" w:customStyle="1" w:styleId="62">
    <w:name w:val="正文文本 字符"/>
    <w:basedOn w:val="40"/>
    <w:link w:val="2"/>
    <w:qFormat/>
    <w:uiPriority w:val="0"/>
    <w:rPr>
      <w:rFonts w:ascii="宋体" w:hAnsi="宋体" w:eastAsia="宋体" w:cs="Times New Roman"/>
      <w:sz w:val="24"/>
      <w:szCs w:val="24"/>
    </w:rPr>
  </w:style>
  <w:style w:type="character" w:customStyle="1" w:styleId="63">
    <w:name w:val="正文文本缩进 字符"/>
    <w:basedOn w:val="40"/>
    <w:link w:val="16"/>
    <w:qFormat/>
    <w:uiPriority w:val="0"/>
    <w:rPr>
      <w:rFonts w:ascii="宋体" w:hAnsi="宋体" w:eastAsia="宋体" w:cs="Times New Roman"/>
      <w:sz w:val="24"/>
      <w:szCs w:val="24"/>
    </w:rPr>
  </w:style>
  <w:style w:type="character" w:customStyle="1" w:styleId="64">
    <w:name w:val="纯文本 字符"/>
    <w:basedOn w:val="40"/>
    <w:link w:val="19"/>
    <w:qFormat/>
    <w:uiPriority w:val="0"/>
    <w:rPr>
      <w:rFonts w:ascii="Courier New" w:hAnsi="Courier New" w:eastAsia="宋体" w:cs="Times New Roman"/>
      <w:sz w:val="24"/>
      <w:szCs w:val="20"/>
    </w:rPr>
  </w:style>
  <w:style w:type="character" w:customStyle="1" w:styleId="65">
    <w:name w:val="正文文本缩进 2 字符"/>
    <w:basedOn w:val="40"/>
    <w:link w:val="22"/>
    <w:qFormat/>
    <w:uiPriority w:val="0"/>
    <w:rPr>
      <w:rFonts w:ascii="宋体" w:hAnsi="宋体" w:eastAsia="宋体" w:cs="Times New Roman"/>
      <w:sz w:val="24"/>
      <w:szCs w:val="24"/>
    </w:rPr>
  </w:style>
  <w:style w:type="character" w:customStyle="1" w:styleId="66">
    <w:name w:val="批注框文本 字符"/>
    <w:basedOn w:val="40"/>
    <w:link w:val="23"/>
    <w:qFormat/>
    <w:uiPriority w:val="0"/>
    <w:rPr>
      <w:rFonts w:ascii="宋体" w:hAnsi="宋体" w:eastAsia="宋体" w:cs="Times New Roman"/>
      <w:sz w:val="18"/>
      <w:szCs w:val="18"/>
    </w:rPr>
  </w:style>
  <w:style w:type="character" w:customStyle="1" w:styleId="67">
    <w:name w:val="脚注文本 字符"/>
    <w:basedOn w:val="40"/>
    <w:link w:val="28"/>
    <w:qFormat/>
    <w:uiPriority w:val="0"/>
    <w:rPr>
      <w:rFonts w:ascii="宋体" w:hAnsi="宋体" w:eastAsia="宋体" w:cs="Times New Roman"/>
      <w:sz w:val="20"/>
      <w:szCs w:val="20"/>
    </w:rPr>
  </w:style>
  <w:style w:type="character" w:customStyle="1" w:styleId="68">
    <w:name w:val="正文文本缩进 3 字符"/>
    <w:basedOn w:val="40"/>
    <w:link w:val="30"/>
    <w:qFormat/>
    <w:uiPriority w:val="0"/>
    <w:rPr>
      <w:rFonts w:ascii="宋体" w:hAnsi="宋体" w:eastAsia="宋体" w:cs="Times New Roman"/>
      <w:sz w:val="16"/>
      <w:szCs w:val="16"/>
    </w:rPr>
  </w:style>
  <w:style w:type="character" w:customStyle="1" w:styleId="69">
    <w:name w:val="标题 字符"/>
    <w:basedOn w:val="40"/>
    <w:link w:val="35"/>
    <w:qFormat/>
    <w:uiPriority w:val="0"/>
    <w:rPr>
      <w:rFonts w:ascii="Arial" w:hAnsi="Arial" w:eastAsia="宋体" w:cs="Times New Roman"/>
      <w:b/>
      <w:kern w:val="0"/>
      <w:sz w:val="32"/>
      <w:szCs w:val="20"/>
    </w:rPr>
  </w:style>
  <w:style w:type="character" w:customStyle="1" w:styleId="70">
    <w:name w:val="批注主题 字符"/>
    <w:basedOn w:val="60"/>
    <w:link w:val="36"/>
    <w:qFormat/>
    <w:uiPriority w:val="0"/>
    <w:rPr>
      <w:rFonts w:ascii="宋体" w:hAnsi="宋体" w:eastAsia="宋体" w:cs="Times New Roman"/>
      <w:b/>
      <w:bCs/>
      <w:sz w:val="24"/>
      <w:szCs w:val="24"/>
    </w:rPr>
  </w:style>
  <w:style w:type="character" w:customStyle="1" w:styleId="71">
    <w:name w:val="Char Char8"/>
    <w:qFormat/>
    <w:uiPriority w:val="0"/>
    <w:rPr>
      <w:rFonts w:ascii="Arial" w:hAnsi="Arial" w:eastAsia="黑体"/>
      <w:b/>
      <w:bCs/>
      <w:kern w:val="2"/>
      <w:sz w:val="32"/>
      <w:szCs w:val="32"/>
      <w:lang w:val="en-US" w:eastAsia="zh-CN" w:bidi="ar-SA"/>
    </w:rPr>
  </w:style>
  <w:style w:type="character" w:customStyle="1" w:styleId="72">
    <w:name w:val="Char Char4"/>
    <w:qFormat/>
    <w:uiPriority w:val="0"/>
    <w:rPr>
      <w:rFonts w:eastAsia="宋体"/>
      <w:b/>
      <w:bCs/>
      <w:kern w:val="44"/>
      <w:sz w:val="44"/>
      <w:szCs w:val="44"/>
      <w:lang w:val="en-US" w:eastAsia="zh-CN" w:bidi="ar-SA"/>
    </w:rPr>
  </w:style>
  <w:style w:type="character" w:customStyle="1" w:styleId="73">
    <w:name w:val="Char Char7"/>
    <w:qFormat/>
    <w:uiPriority w:val="0"/>
    <w:rPr>
      <w:rFonts w:ascii="Arial" w:hAnsi="Arial" w:eastAsia="黑体"/>
      <w:b/>
      <w:bCs/>
      <w:kern w:val="2"/>
      <w:sz w:val="32"/>
      <w:szCs w:val="32"/>
      <w:lang w:val="en-US" w:eastAsia="zh-CN" w:bidi="ar-SA"/>
    </w:rPr>
  </w:style>
  <w:style w:type="character" w:customStyle="1" w:styleId="74">
    <w:name w:val="textcontents"/>
    <w:basedOn w:val="40"/>
    <w:qFormat/>
    <w:uiPriority w:val="0"/>
  </w:style>
  <w:style w:type="character" w:customStyle="1" w:styleId="75">
    <w:name w:val="font161"/>
    <w:qFormat/>
    <w:uiPriority w:val="0"/>
    <w:rPr>
      <w:b/>
      <w:bCs/>
      <w:sz w:val="32"/>
      <w:szCs w:val="32"/>
    </w:rPr>
  </w:style>
  <w:style w:type="character" w:customStyle="1" w:styleId="76">
    <w:name w:val="Char Char"/>
    <w:qFormat/>
    <w:uiPriority w:val="0"/>
    <w:rPr>
      <w:rFonts w:ascii="Arial" w:hAnsi="Arial" w:eastAsia="黑体"/>
      <w:b/>
      <w:bCs/>
      <w:kern w:val="2"/>
      <w:sz w:val="32"/>
      <w:szCs w:val="32"/>
      <w:lang w:val="en-US" w:eastAsia="zh-CN" w:bidi="ar-SA"/>
    </w:rPr>
  </w:style>
  <w:style w:type="character" w:customStyle="1" w:styleId="77">
    <w:name w:val="Char Char2"/>
    <w:qFormat/>
    <w:uiPriority w:val="0"/>
    <w:rPr>
      <w:rFonts w:eastAsia="宋体"/>
      <w:kern w:val="2"/>
      <w:sz w:val="21"/>
      <w:szCs w:val="24"/>
      <w:lang w:val="en-US" w:eastAsia="zh-CN" w:bidi="ar-SA"/>
    </w:rPr>
  </w:style>
  <w:style w:type="paragraph" w:customStyle="1" w:styleId="78">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9">
    <w:name w:val="表1"/>
    <w:basedOn w:val="1"/>
    <w:qFormat/>
    <w:uiPriority w:val="0"/>
    <w:pPr>
      <w:tabs>
        <w:tab w:val="left" w:pos="360"/>
      </w:tabs>
      <w:overflowPunct w:val="0"/>
      <w:autoSpaceDE w:val="0"/>
      <w:autoSpaceDN w:val="0"/>
      <w:adjustRightInd w:val="0"/>
      <w:spacing w:before="200" w:line="320" w:lineRule="atLeast"/>
      <w:textAlignment w:val="baseline"/>
    </w:pPr>
    <w:rPr>
      <w:kern w:val="0"/>
      <w:szCs w:val="20"/>
    </w:rPr>
  </w:style>
  <w:style w:type="paragraph" w:customStyle="1" w:styleId="80">
    <w:name w:val="样式4"/>
    <w:basedOn w:val="5"/>
    <w:qFormat/>
    <w:uiPriority w:val="0"/>
    <w:rPr>
      <w:rFonts w:eastAsia="Arial"/>
    </w:rPr>
  </w:style>
  <w:style w:type="paragraph" w:customStyle="1" w:styleId="81">
    <w:name w:val="样式3"/>
    <w:basedOn w:val="5"/>
    <w:qFormat/>
    <w:uiPriority w:val="0"/>
    <w:rPr>
      <w:rFonts w:eastAsia="Arial"/>
    </w:rPr>
  </w:style>
  <w:style w:type="paragraph" w:customStyle="1" w:styleId="82">
    <w:name w:val="表格文字"/>
    <w:basedOn w:val="1"/>
    <w:qFormat/>
    <w:uiPriority w:val="0"/>
    <w:pPr>
      <w:adjustRightInd w:val="0"/>
      <w:spacing w:line="420" w:lineRule="atLeast"/>
      <w:jc w:val="left"/>
      <w:textAlignment w:val="baseline"/>
    </w:pPr>
    <w:rPr>
      <w:kern w:val="0"/>
      <w:szCs w:val="20"/>
    </w:rPr>
  </w:style>
  <w:style w:type="paragraph" w:customStyle="1" w:styleId="83">
    <w:name w:val="样式 标题 1 + 黑体 三号 非加粗 居中 段前: 6 磅 段后: 6 磅 行距: 固定值 20 磅"/>
    <w:basedOn w:val="3"/>
    <w:qFormat/>
    <w:uiPriority w:val="0"/>
    <w:pPr>
      <w:spacing w:before="120" w:after="120" w:line="400" w:lineRule="exact"/>
    </w:pPr>
    <w:rPr>
      <w:rFonts w:ascii="黑体" w:hAnsi="黑体" w:eastAsia="黑体" w:cs="宋体"/>
      <w:b w:val="0"/>
      <w:bCs w:val="0"/>
      <w:sz w:val="32"/>
      <w:szCs w:val="20"/>
    </w:rPr>
  </w:style>
  <w:style w:type="paragraph" w:customStyle="1" w:styleId="84">
    <w:name w:val="默认段落字体 Para Char Char Char Char"/>
    <w:basedOn w:val="1"/>
    <w:unhideWhenUsed/>
    <w:qFormat/>
    <w:uiPriority w:val="0"/>
    <w:rPr>
      <w:sz w:val="21"/>
    </w:rPr>
  </w:style>
  <w:style w:type="paragraph" w:customStyle="1" w:styleId="85">
    <w:name w:val="样式1"/>
    <w:basedOn w:val="5"/>
    <w:qFormat/>
    <w:uiPriority w:val="0"/>
    <w:rPr>
      <w:rFonts w:eastAsia="Arial"/>
    </w:rPr>
  </w:style>
  <w:style w:type="paragraph" w:customStyle="1" w:styleId="86">
    <w:name w:val="1"/>
    <w:basedOn w:val="1"/>
    <w:next w:val="1"/>
    <w:qFormat/>
    <w:uiPriority w:val="0"/>
  </w:style>
  <w:style w:type="paragraph" w:customStyle="1" w:styleId="87">
    <w:name w:val="样式2"/>
    <w:basedOn w:val="5"/>
    <w:qFormat/>
    <w:uiPriority w:val="0"/>
  </w:style>
  <w:style w:type="paragraph" w:customStyle="1" w:styleId="8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89">
    <w:name w:val="Char"/>
    <w:basedOn w:val="1"/>
    <w:qFormat/>
    <w:uiPriority w:val="0"/>
    <w:pPr>
      <w:tabs>
        <w:tab w:val="left" w:pos="360"/>
      </w:tabs>
    </w:pPr>
  </w:style>
  <w:style w:type="paragraph" w:styleId="90">
    <w:name w:val="List Paragraph"/>
    <w:basedOn w:val="1"/>
    <w:qFormat/>
    <w:uiPriority w:val="34"/>
    <w:pPr>
      <w:ind w:firstLine="420" w:firstLineChars="200"/>
    </w:pPr>
  </w:style>
  <w:style w:type="paragraph" w:customStyle="1" w:styleId="91">
    <w:name w:val="表格"/>
    <w:basedOn w:val="1"/>
    <w:qFormat/>
    <w:uiPriority w:val="0"/>
    <w:pPr>
      <w:jc w:val="center"/>
      <w:textAlignment w:val="center"/>
    </w:pPr>
    <w:rPr>
      <w:rFonts w:ascii="华文细黑" w:hAnsi="华文细黑"/>
      <w:kern w:val="0"/>
      <w:szCs w:val="20"/>
    </w:rPr>
  </w:style>
  <w:style w:type="paragraph" w:customStyle="1" w:styleId="9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93">
    <w:name w:val="TOC 标题1"/>
    <w:basedOn w:val="3"/>
    <w:next w:val="1"/>
    <w:qFormat/>
    <w:uiPriority w:val="39"/>
    <w:pPr>
      <w:widowControl/>
      <w:spacing w:before="240" w:after="0" w:line="259" w:lineRule="auto"/>
      <w:jc w:val="left"/>
      <w:outlineLvl w:val="9"/>
    </w:pPr>
    <w:rPr>
      <w:rFonts w:ascii="等线 Light" w:hAnsi="等线 Light" w:eastAsia="等线 Light"/>
      <w:b w:val="0"/>
      <w:bCs w:val="0"/>
      <w:color w:val="2F5496"/>
      <w:kern w:val="0"/>
      <w:sz w:val="32"/>
      <w:szCs w:val="32"/>
    </w:rPr>
  </w:style>
  <w:style w:type="character" w:customStyle="1" w:styleId="94">
    <w:name w:val="NormalCharacter"/>
    <w:qFormat/>
    <w:uiPriority w:val="0"/>
  </w:style>
  <w:style w:type="character" w:customStyle="1" w:styleId="95">
    <w:name w:val="正文首行缩进 2 字符"/>
    <w:basedOn w:val="63"/>
    <w:link w:val="37"/>
    <w:semiHidden/>
    <w:qFormat/>
    <w:uiPriority w:val="99"/>
    <w:rPr>
      <w:rFonts w:ascii="宋体" w:hAnsi="宋体" w:eastAsia="宋体" w:cs="Times New Roman"/>
      <w:sz w:val="24"/>
      <w:szCs w:val="24"/>
    </w:rPr>
  </w:style>
  <w:style w:type="paragraph" w:customStyle="1" w:styleId="96">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C6F1F-8546-4468-B53A-3EF00B4C8012}">
  <ds:schemaRefs/>
</ds:datastoreItem>
</file>

<file path=docProps/app.xml><?xml version="1.0" encoding="utf-8"?>
<Properties xmlns="http://schemas.openxmlformats.org/officeDocument/2006/extended-properties" xmlns:vt="http://schemas.openxmlformats.org/officeDocument/2006/docPropsVTypes">
  <Template>Normal</Template>
  <Pages>93</Pages>
  <Words>39081</Words>
  <Characters>42022</Characters>
  <Lines>9396</Lines>
  <Paragraphs>5291</Paragraphs>
  <TotalTime>38</TotalTime>
  <ScaleCrop>false</ScaleCrop>
  <LinksUpToDate>false</LinksUpToDate>
  <CharactersWithSpaces>45253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2022-08-01T06:29:00Z</dcterms:created>
  <dc:creator>NTKO</dc:creator>
  <cp:lastModifiedBy>旷寒草</cp:lastModifiedBy>
  <cp:lastPrinted>2023-06-30T05:28:00Z</cp:lastPrinted>
  <dcterms:modified xsi:type="dcterms:W3CDTF">2024-10-15T04:11:25Z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BDC61ECCE13E4B4883901C1A2FF0B73D_12</vt:lpwstr>
  </property>
</Properties>
</file>