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B907D8">
      <w:pPr>
        <w:spacing w:line="360" w:lineRule="auto"/>
        <w:jc w:val="center"/>
        <w:rPr>
          <w:rFonts w:hint="eastAsia" w:hAnsi="宋体"/>
          <w:b/>
          <w:bCs/>
          <w:sz w:val="24"/>
        </w:rPr>
      </w:pPr>
      <w:r>
        <w:rPr>
          <w:rFonts w:hint="eastAsia" w:hAnsi="宋体"/>
          <w:b/>
          <w:bCs/>
          <w:sz w:val="24"/>
        </w:rPr>
        <w:t>黄土高原典型流域淤地坝系平衡研究监测仪器购置招标公告</w:t>
      </w:r>
    </w:p>
    <w:p w14:paraId="49D9D3B1">
      <w:pPr>
        <w:rPr>
          <w:highlight w:val="none"/>
        </w:rPr>
      </w:pPr>
    </w:p>
    <w:p w14:paraId="3D01C5EA">
      <w:pPr>
        <w:pBdr>
          <w:top w:val="single" w:color="auto" w:sz="4" w:space="1"/>
          <w:left w:val="single" w:color="auto" w:sz="4" w:space="4"/>
          <w:bottom w:val="single" w:color="auto" w:sz="4" w:space="1"/>
          <w:right w:val="single" w:color="auto" w:sz="4" w:space="4"/>
        </w:pBdr>
        <w:spacing w:line="360" w:lineRule="auto"/>
        <w:rPr>
          <w:rFonts w:hAnsi="宋体"/>
          <w:sz w:val="28"/>
          <w:szCs w:val="28"/>
          <w:highlight w:val="none"/>
        </w:rPr>
      </w:pPr>
      <w:r>
        <w:rPr>
          <w:rFonts w:hint="eastAsia" w:hAnsi="宋体"/>
          <w:sz w:val="28"/>
          <w:szCs w:val="28"/>
          <w:highlight w:val="none"/>
        </w:rPr>
        <w:t>项目概况</w:t>
      </w:r>
    </w:p>
    <w:p w14:paraId="08AA6997">
      <w:pPr>
        <w:pBdr>
          <w:top w:val="single" w:color="auto" w:sz="4" w:space="1"/>
          <w:left w:val="single" w:color="auto" w:sz="4" w:space="4"/>
          <w:bottom w:val="single" w:color="auto" w:sz="4" w:space="1"/>
          <w:right w:val="single" w:color="auto" w:sz="4" w:space="4"/>
        </w:pBdr>
        <w:spacing w:line="360" w:lineRule="auto"/>
        <w:ind w:firstLine="480" w:firstLineChars="200"/>
        <w:rPr>
          <w:rFonts w:hAnsi="宋体"/>
          <w:sz w:val="24"/>
          <w:highlight w:val="none"/>
        </w:rPr>
      </w:pPr>
      <w:r>
        <w:rPr>
          <w:rFonts w:hint="eastAsia" w:hAnsi="宋体"/>
          <w:sz w:val="24"/>
          <w:highlight w:val="none"/>
        </w:rPr>
        <w:t>黄土高原典型流域淤地坝系平衡研究监测仪器购置项目的潜在投标人应在</w:t>
      </w:r>
      <w:r>
        <w:rPr>
          <w:rFonts w:hAnsi="宋体"/>
          <w:sz w:val="24"/>
          <w:highlight w:val="none"/>
        </w:rPr>
        <w:t>郑州市农业路72号国际企业中心B座三楼东侧</w:t>
      </w:r>
      <w:r>
        <w:rPr>
          <w:rFonts w:hint="eastAsia" w:hAnsi="宋体"/>
          <w:sz w:val="24"/>
          <w:highlight w:val="none"/>
        </w:rPr>
        <w:t>获取招标文件，并于2026</w:t>
      </w:r>
      <w:r>
        <w:rPr>
          <w:rFonts w:hint="eastAsia" w:hAnsi="宋体"/>
          <w:bCs/>
          <w:sz w:val="24"/>
          <w:highlight w:val="none"/>
        </w:rPr>
        <w:t>年6月</w:t>
      </w:r>
      <w:r>
        <w:rPr>
          <w:rFonts w:hint="eastAsia" w:hAnsi="宋体"/>
          <w:bCs/>
          <w:sz w:val="24"/>
          <w:highlight w:val="none"/>
          <w:lang w:val="en-US" w:eastAsia="zh-CN"/>
        </w:rPr>
        <w:t>24</w:t>
      </w:r>
      <w:r>
        <w:rPr>
          <w:rFonts w:hint="eastAsia" w:hAnsi="宋体"/>
          <w:bCs/>
          <w:sz w:val="24"/>
          <w:highlight w:val="none"/>
        </w:rPr>
        <w:t>日9点 30分（北京时间）前递交投标</w:t>
      </w:r>
      <w:r>
        <w:rPr>
          <w:rFonts w:hAnsi="宋体"/>
          <w:bCs/>
          <w:sz w:val="24"/>
          <w:highlight w:val="none"/>
        </w:rPr>
        <w:t>文件</w:t>
      </w:r>
      <w:r>
        <w:rPr>
          <w:rFonts w:hint="eastAsia" w:hAnsi="宋体"/>
          <w:sz w:val="24"/>
          <w:highlight w:val="none"/>
        </w:rPr>
        <w:t>。</w:t>
      </w:r>
    </w:p>
    <w:p w14:paraId="6C34D23B">
      <w:pPr>
        <w:keepNext/>
        <w:keepLines/>
        <w:spacing w:before="260" w:after="260" w:line="360" w:lineRule="auto"/>
        <w:outlineLvl w:val="1"/>
        <w:rPr>
          <w:rFonts w:hAnsi="宋体" w:cs="宋体"/>
          <w:bCs/>
          <w:kern w:val="2"/>
          <w:sz w:val="24"/>
          <w:szCs w:val="24"/>
          <w:highlight w:val="none"/>
        </w:rPr>
      </w:pPr>
      <w:bookmarkStart w:id="0" w:name="_Toc2720"/>
      <w:bookmarkStart w:id="1" w:name="_Toc55831331"/>
      <w:bookmarkStart w:id="2" w:name="_Toc20559"/>
      <w:bookmarkStart w:id="3" w:name="_Toc23945"/>
      <w:bookmarkStart w:id="4" w:name="_Toc32078"/>
      <w:bookmarkStart w:id="5" w:name="_Toc65743532"/>
      <w:bookmarkStart w:id="6" w:name="_Toc28433"/>
      <w:bookmarkStart w:id="7" w:name="_Toc96945465"/>
      <w:bookmarkStart w:id="8" w:name="_Toc2996"/>
      <w:r>
        <w:rPr>
          <w:rFonts w:hint="eastAsia" w:hAnsi="宋体" w:cs="宋体"/>
          <w:bCs/>
          <w:kern w:val="2"/>
          <w:sz w:val="24"/>
          <w:szCs w:val="24"/>
          <w:highlight w:val="none"/>
        </w:rPr>
        <w:t>一、项目基本情况</w:t>
      </w:r>
      <w:bookmarkEnd w:id="0"/>
      <w:bookmarkEnd w:id="1"/>
      <w:bookmarkEnd w:id="2"/>
      <w:bookmarkEnd w:id="3"/>
      <w:bookmarkEnd w:id="4"/>
      <w:bookmarkEnd w:id="5"/>
      <w:bookmarkEnd w:id="6"/>
      <w:bookmarkEnd w:id="7"/>
      <w:bookmarkEnd w:id="8"/>
    </w:p>
    <w:p w14:paraId="7789A44D">
      <w:pPr>
        <w:spacing w:line="360" w:lineRule="auto"/>
        <w:ind w:firstLine="480" w:firstLineChars="200"/>
        <w:rPr>
          <w:rFonts w:hint="eastAsia" w:hAnsi="宋体"/>
          <w:bCs/>
          <w:sz w:val="24"/>
          <w:highlight w:val="none"/>
        </w:rPr>
      </w:pPr>
      <w:r>
        <w:rPr>
          <w:rFonts w:hint="eastAsia" w:hAnsi="宋体"/>
          <w:sz w:val="24"/>
          <w:highlight w:val="none"/>
        </w:rPr>
        <w:t>项目编号：</w:t>
      </w:r>
      <w:r>
        <w:rPr>
          <w:rFonts w:hint="eastAsia" w:hAnsi="宋体"/>
          <w:bCs/>
          <w:sz w:val="24"/>
          <w:highlight w:val="none"/>
        </w:rPr>
        <w:t>GMHG26074</w:t>
      </w:r>
    </w:p>
    <w:p w14:paraId="7093747B">
      <w:pPr>
        <w:spacing w:line="360" w:lineRule="auto"/>
        <w:ind w:firstLine="480" w:firstLineChars="200"/>
        <w:rPr>
          <w:rFonts w:hint="eastAsia" w:hAnsi="宋体"/>
          <w:bCs/>
          <w:sz w:val="24"/>
          <w:highlight w:val="none"/>
        </w:rPr>
      </w:pPr>
      <w:r>
        <w:rPr>
          <w:rFonts w:hint="eastAsia" w:hAnsi="宋体"/>
          <w:sz w:val="24"/>
          <w:highlight w:val="none"/>
        </w:rPr>
        <w:t>项目名称：</w:t>
      </w:r>
      <w:bookmarkStart w:id="91" w:name="_GoBack"/>
      <w:r>
        <w:rPr>
          <w:rFonts w:hint="eastAsia" w:hAnsi="宋体"/>
          <w:sz w:val="24"/>
          <w:highlight w:val="none"/>
        </w:rPr>
        <w:t>黄土高原典型流域淤地坝系平衡研究监测仪器购置</w:t>
      </w:r>
      <w:bookmarkEnd w:id="91"/>
    </w:p>
    <w:p w14:paraId="2E4D88BE">
      <w:pPr>
        <w:spacing w:line="360" w:lineRule="auto"/>
        <w:ind w:firstLine="480" w:firstLineChars="200"/>
        <w:rPr>
          <w:rFonts w:hint="eastAsia" w:hAnsi="宋体"/>
          <w:sz w:val="24"/>
          <w:highlight w:val="none"/>
        </w:rPr>
      </w:pPr>
      <w:r>
        <w:rPr>
          <w:rFonts w:hint="eastAsia" w:hAnsi="宋体"/>
          <w:sz w:val="24"/>
          <w:highlight w:val="none"/>
        </w:rPr>
        <w:t>预算金额：182万元</w:t>
      </w:r>
    </w:p>
    <w:p w14:paraId="32727865">
      <w:pPr>
        <w:spacing w:line="360" w:lineRule="auto"/>
        <w:ind w:firstLine="480" w:firstLineChars="200"/>
        <w:rPr>
          <w:rFonts w:hint="eastAsia" w:hAnsi="宋体"/>
          <w:sz w:val="24"/>
          <w:highlight w:val="none"/>
        </w:rPr>
      </w:pPr>
      <w:r>
        <w:rPr>
          <w:rFonts w:hint="eastAsia" w:hAnsi="宋体"/>
          <w:sz w:val="24"/>
          <w:highlight w:val="none"/>
        </w:rPr>
        <w:t>最高限价：182万元</w:t>
      </w:r>
    </w:p>
    <w:p w14:paraId="17FF5900">
      <w:pPr>
        <w:spacing w:line="360" w:lineRule="auto"/>
        <w:ind w:firstLine="480" w:firstLineChars="200"/>
        <w:rPr>
          <w:rFonts w:hint="eastAsia" w:hAnsi="宋体"/>
          <w:sz w:val="24"/>
          <w:highlight w:val="none"/>
        </w:rPr>
      </w:pPr>
      <w:r>
        <w:rPr>
          <w:rFonts w:hint="eastAsia" w:hAnsi="宋体"/>
          <w:sz w:val="24"/>
          <w:highlight w:val="none"/>
        </w:rPr>
        <w:t>采购需求：</w:t>
      </w:r>
    </w:p>
    <w:p w14:paraId="17D456BE">
      <w:pPr>
        <w:spacing w:line="360" w:lineRule="auto"/>
        <w:ind w:firstLine="480" w:firstLineChars="200"/>
        <w:rPr>
          <w:rFonts w:hint="eastAsia" w:hAnsi="宋体"/>
          <w:sz w:val="24"/>
          <w:highlight w:val="none"/>
        </w:rPr>
      </w:pPr>
      <w:r>
        <w:rPr>
          <w:rFonts w:hint="eastAsia" w:hAnsi="宋体"/>
          <w:sz w:val="24"/>
          <w:highlight w:val="none"/>
        </w:rPr>
        <w:t>采购内容：黄土高原典型流域淤地坝系平衡研究监测仪器购置具体内容详见下表：</w:t>
      </w:r>
    </w:p>
    <w:tbl>
      <w:tblPr>
        <w:tblStyle w:val="2"/>
        <w:tblW w:w="9127" w:type="dxa"/>
        <w:tblInd w:w="98" w:type="dxa"/>
        <w:tblLayout w:type="autofit"/>
        <w:tblCellMar>
          <w:top w:w="0" w:type="dxa"/>
          <w:left w:w="108" w:type="dxa"/>
          <w:bottom w:w="0" w:type="dxa"/>
          <w:right w:w="108" w:type="dxa"/>
        </w:tblCellMar>
      </w:tblPr>
      <w:tblGrid>
        <w:gridCol w:w="1038"/>
        <w:gridCol w:w="4751"/>
        <w:gridCol w:w="925"/>
        <w:gridCol w:w="1100"/>
        <w:gridCol w:w="1313"/>
      </w:tblGrid>
      <w:tr w14:paraId="08D23580">
        <w:tblPrEx>
          <w:tblCellMar>
            <w:top w:w="0" w:type="dxa"/>
            <w:left w:w="108" w:type="dxa"/>
            <w:bottom w:w="0" w:type="dxa"/>
            <w:right w:w="108" w:type="dxa"/>
          </w:tblCellMar>
        </w:tblPrEx>
        <w:trPr>
          <w:trHeight w:val="1374" w:hRule="atLeast"/>
        </w:trPr>
        <w:tc>
          <w:tcPr>
            <w:tcW w:w="1038" w:type="dxa"/>
            <w:tcBorders>
              <w:top w:val="single" w:color="000000" w:sz="8" w:space="0"/>
              <w:left w:val="single" w:color="000000" w:sz="8" w:space="0"/>
              <w:bottom w:val="single" w:color="000000" w:sz="8" w:space="0"/>
              <w:right w:val="single" w:color="000000" w:sz="8" w:space="0"/>
            </w:tcBorders>
            <w:noWrap w:val="0"/>
            <w:vAlign w:val="center"/>
          </w:tcPr>
          <w:p w14:paraId="5BF49475">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序号</w:t>
            </w:r>
          </w:p>
        </w:tc>
        <w:tc>
          <w:tcPr>
            <w:tcW w:w="4751" w:type="dxa"/>
            <w:tcBorders>
              <w:top w:val="single" w:color="000000" w:sz="8" w:space="0"/>
              <w:left w:val="single" w:color="000000" w:sz="8" w:space="0"/>
              <w:bottom w:val="single" w:color="000000" w:sz="8" w:space="0"/>
              <w:right w:val="single" w:color="000000" w:sz="8" w:space="0"/>
            </w:tcBorders>
            <w:noWrap w:val="0"/>
            <w:vAlign w:val="center"/>
          </w:tcPr>
          <w:p w14:paraId="7412AF27">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货物名称</w:t>
            </w:r>
          </w:p>
        </w:tc>
        <w:tc>
          <w:tcPr>
            <w:tcW w:w="925" w:type="dxa"/>
            <w:tcBorders>
              <w:top w:val="single" w:color="000000" w:sz="8" w:space="0"/>
              <w:left w:val="single" w:color="000000" w:sz="8" w:space="0"/>
              <w:bottom w:val="single" w:color="000000" w:sz="8" w:space="0"/>
              <w:right w:val="single" w:color="000000" w:sz="8" w:space="0"/>
            </w:tcBorders>
            <w:noWrap w:val="0"/>
            <w:vAlign w:val="center"/>
          </w:tcPr>
          <w:p w14:paraId="5F6A1BDA">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单位</w:t>
            </w:r>
          </w:p>
        </w:tc>
        <w:tc>
          <w:tcPr>
            <w:tcW w:w="1100" w:type="dxa"/>
            <w:tcBorders>
              <w:top w:val="single" w:color="000000" w:sz="8" w:space="0"/>
              <w:left w:val="single" w:color="000000" w:sz="8" w:space="0"/>
              <w:bottom w:val="single" w:color="000000" w:sz="8" w:space="0"/>
              <w:right w:val="single" w:color="000000" w:sz="8" w:space="0"/>
            </w:tcBorders>
            <w:noWrap w:val="0"/>
            <w:vAlign w:val="center"/>
          </w:tcPr>
          <w:p w14:paraId="70257D9B">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数量</w:t>
            </w:r>
          </w:p>
        </w:tc>
        <w:tc>
          <w:tcPr>
            <w:tcW w:w="1313" w:type="dxa"/>
            <w:tcBorders>
              <w:top w:val="single" w:color="000000" w:sz="8" w:space="0"/>
              <w:left w:val="single" w:color="000000" w:sz="8" w:space="0"/>
              <w:bottom w:val="single" w:color="000000" w:sz="8" w:space="0"/>
              <w:right w:val="single" w:color="000000" w:sz="8" w:space="0"/>
            </w:tcBorders>
            <w:noWrap w:val="0"/>
            <w:vAlign w:val="center"/>
          </w:tcPr>
          <w:p w14:paraId="67A94B0C">
            <w:pPr>
              <w:widowControl/>
              <w:jc w:val="center"/>
              <w:textAlignment w:val="center"/>
              <w:rPr>
                <w:rFonts w:hint="eastAsia" w:hAnsi="宋体" w:cs="宋体"/>
                <w:color w:val="000000"/>
                <w:kern w:val="0"/>
                <w:sz w:val="22"/>
                <w:highlight w:val="none"/>
                <w:lang w:bidi="ar"/>
              </w:rPr>
            </w:pPr>
            <w:r>
              <w:rPr>
                <w:rFonts w:hint="eastAsia" w:ascii="Times New Roman" w:hAnsi="Times New Roman"/>
                <w:b/>
                <w:bCs/>
                <w:color w:val="000000"/>
                <w:kern w:val="0"/>
                <w:sz w:val="24"/>
                <w:szCs w:val="24"/>
                <w:highlight w:val="none"/>
                <w:lang w:bidi="ar"/>
              </w:rPr>
              <w:t>单套设备最高限价（万元）</w:t>
            </w:r>
          </w:p>
        </w:tc>
      </w:tr>
      <w:tr w14:paraId="22B07A32">
        <w:tblPrEx>
          <w:tblCellMar>
            <w:top w:w="0" w:type="dxa"/>
            <w:left w:w="108" w:type="dxa"/>
            <w:bottom w:w="0" w:type="dxa"/>
            <w:right w:w="108" w:type="dxa"/>
          </w:tblCellMar>
        </w:tblPrEx>
        <w:trPr>
          <w:trHeight w:val="665" w:hRule="atLeast"/>
        </w:trPr>
        <w:tc>
          <w:tcPr>
            <w:tcW w:w="1038" w:type="dxa"/>
            <w:tcBorders>
              <w:top w:val="nil"/>
              <w:left w:val="single" w:color="000000" w:sz="8" w:space="0"/>
              <w:bottom w:val="single" w:color="000000" w:sz="8" w:space="0"/>
              <w:right w:val="single" w:color="000000" w:sz="8" w:space="0"/>
            </w:tcBorders>
            <w:noWrap w:val="0"/>
            <w:vAlign w:val="center"/>
          </w:tcPr>
          <w:p w14:paraId="4E5321AA">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1</w:t>
            </w:r>
          </w:p>
        </w:tc>
        <w:tc>
          <w:tcPr>
            <w:tcW w:w="4751" w:type="dxa"/>
            <w:tcBorders>
              <w:top w:val="nil"/>
              <w:left w:val="single" w:color="000000" w:sz="8" w:space="0"/>
              <w:bottom w:val="single" w:color="000000" w:sz="8" w:space="0"/>
              <w:right w:val="single" w:color="000000" w:sz="8" w:space="0"/>
            </w:tcBorders>
            <w:noWrap w:val="0"/>
            <w:vAlign w:val="center"/>
          </w:tcPr>
          <w:p w14:paraId="79C653B4">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手持</w:t>
            </w:r>
            <w:r>
              <w:rPr>
                <w:rFonts w:ascii="Times New Roman" w:hAnsi="Times New Roman"/>
                <w:color w:val="000000"/>
                <w:kern w:val="0"/>
                <w:sz w:val="22"/>
                <w:highlight w:val="none"/>
                <w:lang w:bidi="ar"/>
              </w:rPr>
              <w:t>/</w:t>
            </w:r>
            <w:r>
              <w:rPr>
                <w:rFonts w:hint="eastAsia" w:hAnsi="宋体" w:cs="宋体"/>
                <w:color w:val="000000"/>
                <w:kern w:val="0"/>
                <w:sz w:val="22"/>
                <w:highlight w:val="none"/>
                <w:lang w:bidi="ar"/>
              </w:rPr>
              <w:t>架站两用高分辨率表面形貌分析仪</w:t>
            </w:r>
          </w:p>
        </w:tc>
        <w:tc>
          <w:tcPr>
            <w:tcW w:w="925" w:type="dxa"/>
            <w:tcBorders>
              <w:top w:val="nil"/>
              <w:left w:val="single" w:color="000000" w:sz="8" w:space="0"/>
              <w:bottom w:val="single" w:color="000000" w:sz="8" w:space="0"/>
              <w:right w:val="single" w:color="000000" w:sz="8" w:space="0"/>
            </w:tcBorders>
            <w:noWrap w:val="0"/>
            <w:vAlign w:val="center"/>
          </w:tcPr>
          <w:p w14:paraId="3F84874B">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套</w:t>
            </w:r>
          </w:p>
        </w:tc>
        <w:tc>
          <w:tcPr>
            <w:tcW w:w="1100" w:type="dxa"/>
            <w:tcBorders>
              <w:top w:val="nil"/>
              <w:left w:val="single" w:color="000000" w:sz="8" w:space="0"/>
              <w:bottom w:val="single" w:color="000000" w:sz="8" w:space="0"/>
              <w:right w:val="single" w:color="000000" w:sz="8" w:space="0"/>
            </w:tcBorders>
            <w:noWrap w:val="0"/>
            <w:vAlign w:val="center"/>
          </w:tcPr>
          <w:p w14:paraId="209713FE">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1</w:t>
            </w:r>
          </w:p>
        </w:tc>
        <w:tc>
          <w:tcPr>
            <w:tcW w:w="1313" w:type="dxa"/>
            <w:tcBorders>
              <w:top w:val="nil"/>
              <w:left w:val="single" w:color="000000" w:sz="8" w:space="0"/>
              <w:bottom w:val="single" w:color="000000" w:sz="8" w:space="0"/>
              <w:right w:val="single" w:color="000000" w:sz="8" w:space="0"/>
            </w:tcBorders>
            <w:noWrap w:val="0"/>
            <w:vAlign w:val="center"/>
          </w:tcPr>
          <w:p w14:paraId="64131150">
            <w:pPr>
              <w:widowControl/>
              <w:jc w:val="center"/>
              <w:textAlignment w:val="center"/>
              <w:rPr>
                <w:rFonts w:ascii="Times New Roman" w:hAnsi="Times New Roman"/>
                <w:color w:val="000000"/>
                <w:kern w:val="0"/>
                <w:sz w:val="22"/>
                <w:highlight w:val="none"/>
                <w:lang w:bidi="ar"/>
              </w:rPr>
            </w:pPr>
            <w:r>
              <w:rPr>
                <w:rFonts w:hint="eastAsia" w:ascii="Times New Roman" w:hAnsi="Times New Roman"/>
                <w:color w:val="000000"/>
                <w:kern w:val="0"/>
                <w:sz w:val="22"/>
                <w:highlight w:val="none"/>
                <w:lang w:bidi="ar"/>
              </w:rPr>
              <w:t>29</w:t>
            </w:r>
          </w:p>
        </w:tc>
      </w:tr>
      <w:tr w14:paraId="3C86B889">
        <w:tblPrEx>
          <w:tblCellMar>
            <w:top w:w="0" w:type="dxa"/>
            <w:left w:w="108" w:type="dxa"/>
            <w:bottom w:w="0" w:type="dxa"/>
            <w:right w:w="108" w:type="dxa"/>
          </w:tblCellMar>
        </w:tblPrEx>
        <w:trPr>
          <w:trHeight w:val="665" w:hRule="atLeast"/>
        </w:trPr>
        <w:tc>
          <w:tcPr>
            <w:tcW w:w="1038" w:type="dxa"/>
            <w:tcBorders>
              <w:top w:val="nil"/>
              <w:left w:val="single" w:color="000000" w:sz="8" w:space="0"/>
              <w:bottom w:val="single" w:color="000000" w:sz="8" w:space="0"/>
              <w:right w:val="single" w:color="000000" w:sz="8" w:space="0"/>
            </w:tcBorders>
            <w:noWrap w:val="0"/>
            <w:vAlign w:val="center"/>
          </w:tcPr>
          <w:p w14:paraId="1CD298FE">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2</w:t>
            </w:r>
          </w:p>
        </w:tc>
        <w:tc>
          <w:tcPr>
            <w:tcW w:w="4751" w:type="dxa"/>
            <w:tcBorders>
              <w:top w:val="nil"/>
              <w:left w:val="single" w:color="000000" w:sz="8" w:space="0"/>
              <w:bottom w:val="single" w:color="000000" w:sz="8" w:space="0"/>
              <w:right w:val="single" w:color="000000" w:sz="8" w:space="0"/>
            </w:tcBorders>
            <w:noWrap w:val="0"/>
            <w:vAlign w:val="center"/>
          </w:tcPr>
          <w:p w14:paraId="67943EF7">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分布式坡面薄层水流流速自动测量仪</w:t>
            </w:r>
          </w:p>
        </w:tc>
        <w:tc>
          <w:tcPr>
            <w:tcW w:w="925" w:type="dxa"/>
            <w:tcBorders>
              <w:top w:val="nil"/>
              <w:left w:val="single" w:color="000000" w:sz="8" w:space="0"/>
              <w:bottom w:val="single" w:color="000000" w:sz="8" w:space="0"/>
              <w:right w:val="single" w:color="000000" w:sz="8" w:space="0"/>
            </w:tcBorders>
            <w:noWrap w:val="0"/>
            <w:vAlign w:val="center"/>
          </w:tcPr>
          <w:p w14:paraId="3A780D63">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套</w:t>
            </w:r>
          </w:p>
        </w:tc>
        <w:tc>
          <w:tcPr>
            <w:tcW w:w="1100" w:type="dxa"/>
            <w:tcBorders>
              <w:top w:val="nil"/>
              <w:left w:val="single" w:color="000000" w:sz="8" w:space="0"/>
              <w:bottom w:val="single" w:color="000000" w:sz="8" w:space="0"/>
              <w:right w:val="single" w:color="000000" w:sz="8" w:space="0"/>
            </w:tcBorders>
            <w:noWrap w:val="0"/>
            <w:vAlign w:val="center"/>
          </w:tcPr>
          <w:p w14:paraId="0A0DC0DD">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3</w:t>
            </w:r>
          </w:p>
        </w:tc>
        <w:tc>
          <w:tcPr>
            <w:tcW w:w="1313" w:type="dxa"/>
            <w:tcBorders>
              <w:top w:val="nil"/>
              <w:left w:val="single" w:color="000000" w:sz="8" w:space="0"/>
              <w:bottom w:val="single" w:color="000000" w:sz="8" w:space="0"/>
              <w:right w:val="single" w:color="000000" w:sz="8" w:space="0"/>
            </w:tcBorders>
            <w:noWrap w:val="0"/>
            <w:vAlign w:val="center"/>
          </w:tcPr>
          <w:p w14:paraId="3F1B6344">
            <w:pPr>
              <w:widowControl/>
              <w:jc w:val="center"/>
              <w:textAlignment w:val="center"/>
              <w:rPr>
                <w:rFonts w:ascii="Times New Roman" w:hAnsi="Times New Roman"/>
                <w:color w:val="000000"/>
                <w:kern w:val="0"/>
                <w:sz w:val="22"/>
                <w:highlight w:val="none"/>
                <w:lang w:bidi="ar"/>
              </w:rPr>
            </w:pPr>
            <w:r>
              <w:rPr>
                <w:rFonts w:hint="eastAsia" w:ascii="Times New Roman" w:hAnsi="Times New Roman"/>
                <w:color w:val="000000"/>
                <w:kern w:val="0"/>
                <w:sz w:val="22"/>
                <w:highlight w:val="none"/>
                <w:lang w:bidi="ar"/>
              </w:rPr>
              <w:t>21</w:t>
            </w:r>
          </w:p>
        </w:tc>
      </w:tr>
      <w:tr w14:paraId="14EDB8F2">
        <w:tblPrEx>
          <w:tblCellMar>
            <w:top w:w="0" w:type="dxa"/>
            <w:left w:w="108" w:type="dxa"/>
            <w:bottom w:w="0" w:type="dxa"/>
            <w:right w:w="108" w:type="dxa"/>
          </w:tblCellMar>
        </w:tblPrEx>
        <w:trPr>
          <w:trHeight w:val="665" w:hRule="atLeast"/>
        </w:trPr>
        <w:tc>
          <w:tcPr>
            <w:tcW w:w="1038" w:type="dxa"/>
            <w:tcBorders>
              <w:top w:val="nil"/>
              <w:left w:val="single" w:color="000000" w:sz="8" w:space="0"/>
              <w:bottom w:val="single" w:color="000000" w:sz="8" w:space="0"/>
              <w:right w:val="single" w:color="000000" w:sz="8" w:space="0"/>
            </w:tcBorders>
            <w:noWrap w:val="0"/>
            <w:vAlign w:val="center"/>
          </w:tcPr>
          <w:p w14:paraId="77F4AEAC">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3</w:t>
            </w:r>
          </w:p>
        </w:tc>
        <w:tc>
          <w:tcPr>
            <w:tcW w:w="4751" w:type="dxa"/>
            <w:tcBorders>
              <w:top w:val="nil"/>
              <w:left w:val="single" w:color="000000" w:sz="8" w:space="0"/>
              <w:bottom w:val="single" w:color="000000" w:sz="8" w:space="0"/>
              <w:right w:val="single" w:color="000000" w:sz="8" w:space="0"/>
            </w:tcBorders>
            <w:noWrap w:val="0"/>
            <w:vAlign w:val="center"/>
          </w:tcPr>
          <w:p w14:paraId="7A44105D">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垂向多梯度土壤水分</w:t>
            </w:r>
            <w:r>
              <w:rPr>
                <w:rFonts w:ascii="Times New Roman" w:hAnsi="Times New Roman"/>
                <w:color w:val="000000"/>
                <w:kern w:val="0"/>
                <w:sz w:val="22"/>
                <w:highlight w:val="none"/>
                <w:lang w:bidi="ar"/>
              </w:rPr>
              <w:t>/</w:t>
            </w:r>
            <w:r>
              <w:rPr>
                <w:rFonts w:hint="eastAsia" w:hAnsi="宋体" w:cs="宋体"/>
                <w:color w:val="000000"/>
                <w:kern w:val="0"/>
                <w:sz w:val="22"/>
                <w:highlight w:val="none"/>
                <w:lang w:bidi="ar"/>
              </w:rPr>
              <w:t>温度</w:t>
            </w:r>
            <w:r>
              <w:rPr>
                <w:rFonts w:ascii="Times New Roman" w:hAnsi="Times New Roman"/>
                <w:color w:val="000000"/>
                <w:kern w:val="0"/>
                <w:sz w:val="22"/>
                <w:highlight w:val="none"/>
                <w:lang w:bidi="ar"/>
              </w:rPr>
              <w:t>/</w:t>
            </w:r>
            <w:r>
              <w:rPr>
                <w:rFonts w:hint="eastAsia" w:hAnsi="宋体" w:cs="宋体"/>
                <w:color w:val="000000"/>
                <w:kern w:val="0"/>
                <w:sz w:val="22"/>
                <w:highlight w:val="none"/>
                <w:lang w:bidi="ar"/>
              </w:rPr>
              <w:t>电导率监测仪</w:t>
            </w:r>
          </w:p>
        </w:tc>
        <w:tc>
          <w:tcPr>
            <w:tcW w:w="925" w:type="dxa"/>
            <w:tcBorders>
              <w:top w:val="nil"/>
              <w:left w:val="single" w:color="000000" w:sz="8" w:space="0"/>
              <w:bottom w:val="single" w:color="000000" w:sz="8" w:space="0"/>
              <w:right w:val="single" w:color="000000" w:sz="8" w:space="0"/>
            </w:tcBorders>
            <w:noWrap w:val="0"/>
            <w:vAlign w:val="center"/>
          </w:tcPr>
          <w:p w14:paraId="33DC6D9B">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套</w:t>
            </w:r>
          </w:p>
        </w:tc>
        <w:tc>
          <w:tcPr>
            <w:tcW w:w="1100" w:type="dxa"/>
            <w:tcBorders>
              <w:top w:val="nil"/>
              <w:left w:val="single" w:color="000000" w:sz="8" w:space="0"/>
              <w:bottom w:val="single" w:color="000000" w:sz="8" w:space="0"/>
              <w:right w:val="single" w:color="000000" w:sz="8" w:space="0"/>
            </w:tcBorders>
            <w:noWrap w:val="0"/>
            <w:vAlign w:val="center"/>
          </w:tcPr>
          <w:p w14:paraId="45009BC3">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3</w:t>
            </w:r>
          </w:p>
        </w:tc>
        <w:tc>
          <w:tcPr>
            <w:tcW w:w="1313" w:type="dxa"/>
            <w:tcBorders>
              <w:top w:val="nil"/>
              <w:left w:val="single" w:color="000000" w:sz="8" w:space="0"/>
              <w:bottom w:val="single" w:color="000000" w:sz="8" w:space="0"/>
              <w:right w:val="single" w:color="000000" w:sz="8" w:space="0"/>
            </w:tcBorders>
            <w:noWrap w:val="0"/>
            <w:vAlign w:val="center"/>
          </w:tcPr>
          <w:p w14:paraId="034A3DCA">
            <w:pPr>
              <w:widowControl/>
              <w:jc w:val="center"/>
              <w:textAlignment w:val="center"/>
              <w:rPr>
                <w:rFonts w:ascii="Times New Roman" w:hAnsi="Times New Roman"/>
                <w:color w:val="000000"/>
                <w:kern w:val="0"/>
                <w:sz w:val="22"/>
                <w:highlight w:val="none"/>
                <w:lang w:bidi="ar"/>
              </w:rPr>
            </w:pPr>
            <w:r>
              <w:rPr>
                <w:rFonts w:hint="eastAsia" w:ascii="Times New Roman" w:hAnsi="Times New Roman"/>
                <w:color w:val="000000"/>
                <w:kern w:val="0"/>
                <w:sz w:val="22"/>
                <w:highlight w:val="none"/>
                <w:lang w:bidi="ar"/>
              </w:rPr>
              <w:t>18</w:t>
            </w:r>
          </w:p>
        </w:tc>
      </w:tr>
      <w:tr w14:paraId="0BE1D48F">
        <w:tblPrEx>
          <w:tblCellMar>
            <w:top w:w="0" w:type="dxa"/>
            <w:left w:w="108" w:type="dxa"/>
            <w:bottom w:w="0" w:type="dxa"/>
            <w:right w:w="108" w:type="dxa"/>
          </w:tblCellMar>
        </w:tblPrEx>
        <w:trPr>
          <w:trHeight w:val="665" w:hRule="atLeast"/>
        </w:trPr>
        <w:tc>
          <w:tcPr>
            <w:tcW w:w="1038" w:type="dxa"/>
            <w:tcBorders>
              <w:top w:val="nil"/>
              <w:left w:val="single" w:color="000000" w:sz="8" w:space="0"/>
              <w:bottom w:val="single" w:color="000000" w:sz="8" w:space="0"/>
              <w:right w:val="single" w:color="000000" w:sz="8" w:space="0"/>
            </w:tcBorders>
            <w:noWrap w:val="0"/>
            <w:vAlign w:val="center"/>
          </w:tcPr>
          <w:p w14:paraId="3EB87C98">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4</w:t>
            </w:r>
          </w:p>
        </w:tc>
        <w:tc>
          <w:tcPr>
            <w:tcW w:w="4751" w:type="dxa"/>
            <w:tcBorders>
              <w:top w:val="nil"/>
              <w:left w:val="single" w:color="000000" w:sz="8" w:space="0"/>
              <w:bottom w:val="single" w:color="000000" w:sz="8" w:space="0"/>
              <w:right w:val="single" w:color="000000" w:sz="8" w:space="0"/>
            </w:tcBorders>
            <w:noWrap w:val="0"/>
            <w:vAlign w:val="center"/>
          </w:tcPr>
          <w:p w14:paraId="012889EC">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高精度土壤入渗自动监测仪</w:t>
            </w:r>
          </w:p>
        </w:tc>
        <w:tc>
          <w:tcPr>
            <w:tcW w:w="925" w:type="dxa"/>
            <w:tcBorders>
              <w:top w:val="nil"/>
              <w:left w:val="single" w:color="000000" w:sz="8" w:space="0"/>
              <w:bottom w:val="single" w:color="000000" w:sz="8" w:space="0"/>
              <w:right w:val="single" w:color="000000" w:sz="8" w:space="0"/>
            </w:tcBorders>
            <w:noWrap w:val="0"/>
            <w:vAlign w:val="center"/>
          </w:tcPr>
          <w:p w14:paraId="40EA4639">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套</w:t>
            </w:r>
          </w:p>
        </w:tc>
        <w:tc>
          <w:tcPr>
            <w:tcW w:w="1100" w:type="dxa"/>
            <w:tcBorders>
              <w:top w:val="nil"/>
              <w:left w:val="single" w:color="000000" w:sz="8" w:space="0"/>
              <w:bottom w:val="single" w:color="000000" w:sz="8" w:space="0"/>
              <w:right w:val="single" w:color="000000" w:sz="8" w:space="0"/>
            </w:tcBorders>
            <w:noWrap w:val="0"/>
            <w:vAlign w:val="center"/>
          </w:tcPr>
          <w:p w14:paraId="4573180D">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3</w:t>
            </w:r>
          </w:p>
        </w:tc>
        <w:tc>
          <w:tcPr>
            <w:tcW w:w="1313" w:type="dxa"/>
            <w:tcBorders>
              <w:top w:val="nil"/>
              <w:left w:val="single" w:color="000000" w:sz="8" w:space="0"/>
              <w:bottom w:val="single" w:color="000000" w:sz="8" w:space="0"/>
              <w:right w:val="single" w:color="000000" w:sz="8" w:space="0"/>
            </w:tcBorders>
            <w:noWrap w:val="0"/>
            <w:vAlign w:val="center"/>
          </w:tcPr>
          <w:p w14:paraId="24947EAB">
            <w:pPr>
              <w:widowControl/>
              <w:jc w:val="center"/>
              <w:textAlignment w:val="center"/>
              <w:rPr>
                <w:rFonts w:ascii="Times New Roman" w:hAnsi="Times New Roman"/>
                <w:color w:val="000000"/>
                <w:kern w:val="0"/>
                <w:sz w:val="22"/>
                <w:highlight w:val="none"/>
                <w:lang w:bidi="ar"/>
              </w:rPr>
            </w:pPr>
            <w:r>
              <w:rPr>
                <w:rFonts w:hint="eastAsia" w:ascii="Times New Roman" w:hAnsi="Times New Roman"/>
                <w:color w:val="000000"/>
                <w:kern w:val="0"/>
                <w:sz w:val="22"/>
                <w:highlight w:val="none"/>
                <w:lang w:bidi="ar"/>
              </w:rPr>
              <w:t>15</w:t>
            </w:r>
          </w:p>
        </w:tc>
      </w:tr>
      <w:tr w14:paraId="3585BD8C">
        <w:tblPrEx>
          <w:tblCellMar>
            <w:top w:w="0" w:type="dxa"/>
            <w:left w:w="108" w:type="dxa"/>
            <w:bottom w:w="0" w:type="dxa"/>
            <w:right w:w="108" w:type="dxa"/>
          </w:tblCellMar>
        </w:tblPrEx>
        <w:trPr>
          <w:trHeight w:val="665" w:hRule="atLeast"/>
        </w:trPr>
        <w:tc>
          <w:tcPr>
            <w:tcW w:w="1038" w:type="dxa"/>
            <w:tcBorders>
              <w:top w:val="nil"/>
              <w:left w:val="single" w:color="000000" w:sz="8" w:space="0"/>
              <w:bottom w:val="single" w:color="000000" w:sz="8" w:space="0"/>
              <w:right w:val="single" w:color="000000" w:sz="8" w:space="0"/>
            </w:tcBorders>
            <w:noWrap w:val="0"/>
            <w:vAlign w:val="center"/>
          </w:tcPr>
          <w:p w14:paraId="74CDE502">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5</w:t>
            </w:r>
          </w:p>
        </w:tc>
        <w:tc>
          <w:tcPr>
            <w:tcW w:w="4751" w:type="dxa"/>
            <w:tcBorders>
              <w:top w:val="nil"/>
              <w:left w:val="single" w:color="000000" w:sz="8" w:space="0"/>
              <w:bottom w:val="single" w:color="000000" w:sz="8" w:space="0"/>
              <w:right w:val="single" w:color="000000" w:sz="8" w:space="0"/>
            </w:tcBorders>
            <w:noWrap w:val="0"/>
            <w:vAlign w:val="center"/>
          </w:tcPr>
          <w:p w14:paraId="6F5F0619">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沟道溯源侵蚀观测仪</w:t>
            </w:r>
          </w:p>
        </w:tc>
        <w:tc>
          <w:tcPr>
            <w:tcW w:w="925" w:type="dxa"/>
            <w:tcBorders>
              <w:top w:val="nil"/>
              <w:left w:val="single" w:color="000000" w:sz="8" w:space="0"/>
              <w:bottom w:val="single" w:color="000000" w:sz="8" w:space="0"/>
              <w:right w:val="single" w:color="000000" w:sz="8" w:space="0"/>
            </w:tcBorders>
            <w:noWrap w:val="0"/>
            <w:vAlign w:val="center"/>
          </w:tcPr>
          <w:p w14:paraId="4D324697">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套</w:t>
            </w:r>
          </w:p>
        </w:tc>
        <w:tc>
          <w:tcPr>
            <w:tcW w:w="1100" w:type="dxa"/>
            <w:tcBorders>
              <w:top w:val="nil"/>
              <w:left w:val="single" w:color="000000" w:sz="8" w:space="0"/>
              <w:bottom w:val="single" w:color="000000" w:sz="8" w:space="0"/>
              <w:right w:val="single" w:color="000000" w:sz="8" w:space="0"/>
            </w:tcBorders>
            <w:noWrap w:val="0"/>
            <w:vAlign w:val="center"/>
          </w:tcPr>
          <w:p w14:paraId="33A6E8D0">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3</w:t>
            </w:r>
          </w:p>
        </w:tc>
        <w:tc>
          <w:tcPr>
            <w:tcW w:w="1313" w:type="dxa"/>
            <w:tcBorders>
              <w:top w:val="nil"/>
              <w:left w:val="single" w:color="000000" w:sz="8" w:space="0"/>
              <w:bottom w:val="single" w:color="000000" w:sz="8" w:space="0"/>
              <w:right w:val="single" w:color="000000" w:sz="8" w:space="0"/>
            </w:tcBorders>
            <w:noWrap w:val="0"/>
            <w:vAlign w:val="center"/>
          </w:tcPr>
          <w:p w14:paraId="2F5D85BA">
            <w:pPr>
              <w:widowControl/>
              <w:jc w:val="center"/>
              <w:textAlignment w:val="center"/>
              <w:rPr>
                <w:rFonts w:ascii="Times New Roman" w:hAnsi="Times New Roman"/>
                <w:color w:val="000000"/>
                <w:kern w:val="0"/>
                <w:sz w:val="22"/>
                <w:highlight w:val="none"/>
                <w:lang w:bidi="ar"/>
              </w:rPr>
            </w:pPr>
            <w:r>
              <w:rPr>
                <w:rFonts w:hint="eastAsia" w:ascii="Times New Roman" w:hAnsi="Times New Roman"/>
                <w:color w:val="000000"/>
                <w:kern w:val="0"/>
                <w:sz w:val="22"/>
                <w:highlight w:val="none"/>
                <w:lang w:bidi="ar"/>
              </w:rPr>
              <w:t>27</w:t>
            </w:r>
          </w:p>
        </w:tc>
      </w:tr>
      <w:tr w14:paraId="57CBC8F7">
        <w:tblPrEx>
          <w:tblCellMar>
            <w:top w:w="0" w:type="dxa"/>
            <w:left w:w="108" w:type="dxa"/>
            <w:bottom w:w="0" w:type="dxa"/>
            <w:right w:w="108" w:type="dxa"/>
          </w:tblCellMar>
        </w:tblPrEx>
        <w:trPr>
          <w:trHeight w:val="665" w:hRule="atLeast"/>
        </w:trPr>
        <w:tc>
          <w:tcPr>
            <w:tcW w:w="1038" w:type="dxa"/>
            <w:tcBorders>
              <w:top w:val="nil"/>
              <w:left w:val="single" w:color="000000" w:sz="8" w:space="0"/>
              <w:bottom w:val="single" w:color="000000" w:sz="8" w:space="0"/>
              <w:right w:val="single" w:color="000000" w:sz="8" w:space="0"/>
            </w:tcBorders>
            <w:noWrap w:val="0"/>
            <w:vAlign w:val="center"/>
          </w:tcPr>
          <w:p w14:paraId="28599DAC">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6</w:t>
            </w:r>
          </w:p>
        </w:tc>
        <w:tc>
          <w:tcPr>
            <w:tcW w:w="4751" w:type="dxa"/>
            <w:tcBorders>
              <w:top w:val="nil"/>
              <w:left w:val="single" w:color="000000" w:sz="8" w:space="0"/>
              <w:bottom w:val="single" w:color="000000" w:sz="8" w:space="0"/>
              <w:right w:val="single" w:color="000000" w:sz="8" w:space="0"/>
            </w:tcBorders>
            <w:noWrap w:val="0"/>
            <w:vAlign w:val="center"/>
          </w:tcPr>
          <w:p w14:paraId="21F456E2">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分布式块体状重力侵蚀监测仪</w:t>
            </w:r>
          </w:p>
        </w:tc>
        <w:tc>
          <w:tcPr>
            <w:tcW w:w="925" w:type="dxa"/>
            <w:tcBorders>
              <w:top w:val="nil"/>
              <w:left w:val="single" w:color="000000" w:sz="8" w:space="0"/>
              <w:bottom w:val="single" w:color="000000" w:sz="8" w:space="0"/>
              <w:right w:val="single" w:color="000000" w:sz="8" w:space="0"/>
            </w:tcBorders>
            <w:noWrap w:val="0"/>
            <w:vAlign w:val="center"/>
          </w:tcPr>
          <w:p w14:paraId="1A38876D">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套</w:t>
            </w:r>
          </w:p>
        </w:tc>
        <w:tc>
          <w:tcPr>
            <w:tcW w:w="1100" w:type="dxa"/>
            <w:tcBorders>
              <w:top w:val="nil"/>
              <w:left w:val="single" w:color="000000" w:sz="8" w:space="0"/>
              <w:bottom w:val="single" w:color="000000" w:sz="8" w:space="0"/>
              <w:right w:val="single" w:color="000000" w:sz="8" w:space="0"/>
            </w:tcBorders>
            <w:noWrap w:val="0"/>
            <w:vAlign w:val="center"/>
          </w:tcPr>
          <w:p w14:paraId="20801B74">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1</w:t>
            </w:r>
          </w:p>
        </w:tc>
        <w:tc>
          <w:tcPr>
            <w:tcW w:w="1313" w:type="dxa"/>
            <w:tcBorders>
              <w:top w:val="nil"/>
              <w:left w:val="single" w:color="000000" w:sz="8" w:space="0"/>
              <w:bottom w:val="single" w:color="000000" w:sz="8" w:space="0"/>
              <w:right w:val="single" w:color="000000" w:sz="8" w:space="0"/>
            </w:tcBorders>
            <w:noWrap w:val="0"/>
            <w:vAlign w:val="center"/>
          </w:tcPr>
          <w:p w14:paraId="7754E4D4">
            <w:pPr>
              <w:widowControl/>
              <w:jc w:val="center"/>
              <w:textAlignment w:val="center"/>
              <w:rPr>
                <w:rFonts w:ascii="Times New Roman" w:hAnsi="Times New Roman"/>
                <w:color w:val="000000"/>
                <w:kern w:val="0"/>
                <w:sz w:val="22"/>
                <w:highlight w:val="none"/>
                <w:lang w:bidi="ar"/>
              </w:rPr>
            </w:pPr>
            <w:r>
              <w:rPr>
                <w:rFonts w:hint="eastAsia" w:ascii="Times New Roman" w:hAnsi="Times New Roman"/>
                <w:color w:val="000000"/>
                <w:kern w:val="0"/>
                <w:sz w:val="22"/>
                <w:highlight w:val="none"/>
                <w:lang w:bidi="ar"/>
              </w:rPr>
              <w:t>25</w:t>
            </w:r>
          </w:p>
        </w:tc>
      </w:tr>
      <w:tr w14:paraId="3CD80E2F">
        <w:tblPrEx>
          <w:tblCellMar>
            <w:top w:w="0" w:type="dxa"/>
            <w:left w:w="108" w:type="dxa"/>
            <w:bottom w:w="0" w:type="dxa"/>
            <w:right w:w="108" w:type="dxa"/>
          </w:tblCellMar>
        </w:tblPrEx>
        <w:trPr>
          <w:trHeight w:val="665" w:hRule="atLeast"/>
        </w:trPr>
        <w:tc>
          <w:tcPr>
            <w:tcW w:w="1038" w:type="dxa"/>
            <w:tcBorders>
              <w:top w:val="nil"/>
              <w:left w:val="single" w:color="000000" w:sz="8" w:space="0"/>
              <w:bottom w:val="single" w:color="000000" w:sz="8" w:space="0"/>
              <w:right w:val="single" w:color="000000" w:sz="8" w:space="0"/>
            </w:tcBorders>
            <w:noWrap w:val="0"/>
            <w:vAlign w:val="center"/>
          </w:tcPr>
          <w:p w14:paraId="24390DC2">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7</w:t>
            </w:r>
          </w:p>
        </w:tc>
        <w:tc>
          <w:tcPr>
            <w:tcW w:w="4751" w:type="dxa"/>
            <w:tcBorders>
              <w:top w:val="nil"/>
              <w:left w:val="single" w:color="000000" w:sz="8" w:space="0"/>
              <w:bottom w:val="single" w:color="000000" w:sz="8" w:space="0"/>
              <w:right w:val="single" w:color="000000" w:sz="8" w:space="0"/>
            </w:tcBorders>
            <w:noWrap w:val="0"/>
            <w:vAlign w:val="center"/>
          </w:tcPr>
          <w:p w14:paraId="4084C8C3">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边坡位移形变自动化监测预警系统</w:t>
            </w:r>
          </w:p>
        </w:tc>
        <w:tc>
          <w:tcPr>
            <w:tcW w:w="925" w:type="dxa"/>
            <w:tcBorders>
              <w:top w:val="nil"/>
              <w:left w:val="single" w:color="000000" w:sz="8" w:space="0"/>
              <w:bottom w:val="single" w:color="000000" w:sz="8" w:space="0"/>
              <w:right w:val="single" w:color="000000" w:sz="8" w:space="0"/>
            </w:tcBorders>
            <w:noWrap w:val="0"/>
            <w:vAlign w:val="center"/>
          </w:tcPr>
          <w:p w14:paraId="1B4C63C1">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套</w:t>
            </w:r>
          </w:p>
        </w:tc>
        <w:tc>
          <w:tcPr>
            <w:tcW w:w="1100" w:type="dxa"/>
            <w:tcBorders>
              <w:top w:val="nil"/>
              <w:left w:val="single" w:color="000000" w:sz="8" w:space="0"/>
              <w:bottom w:val="single" w:color="000000" w:sz="8" w:space="0"/>
              <w:right w:val="single" w:color="000000" w:sz="8" w:space="0"/>
            </w:tcBorders>
            <w:noWrap w:val="0"/>
            <w:vAlign w:val="center"/>
          </w:tcPr>
          <w:p w14:paraId="1A5AC4A8">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1</w:t>
            </w:r>
          </w:p>
        </w:tc>
        <w:tc>
          <w:tcPr>
            <w:tcW w:w="1313" w:type="dxa"/>
            <w:tcBorders>
              <w:top w:val="nil"/>
              <w:left w:val="single" w:color="000000" w:sz="8" w:space="0"/>
              <w:bottom w:val="single" w:color="000000" w:sz="8" w:space="0"/>
              <w:right w:val="single" w:color="000000" w:sz="8" w:space="0"/>
            </w:tcBorders>
            <w:noWrap w:val="0"/>
            <w:vAlign w:val="center"/>
          </w:tcPr>
          <w:p w14:paraId="0B9F3343">
            <w:pPr>
              <w:widowControl/>
              <w:jc w:val="center"/>
              <w:textAlignment w:val="center"/>
              <w:rPr>
                <w:rFonts w:ascii="Times New Roman" w:hAnsi="Times New Roman"/>
                <w:color w:val="000000"/>
                <w:kern w:val="0"/>
                <w:sz w:val="22"/>
                <w:highlight w:val="none"/>
                <w:lang w:bidi="ar"/>
              </w:rPr>
            </w:pPr>
            <w:r>
              <w:rPr>
                <w:rFonts w:hint="eastAsia" w:ascii="Times New Roman" w:hAnsi="Times New Roman"/>
                <w:color w:val="000000"/>
                <w:kern w:val="0"/>
                <w:sz w:val="22"/>
                <w:highlight w:val="none"/>
                <w:lang w:bidi="ar"/>
              </w:rPr>
              <w:t>20</w:t>
            </w:r>
          </w:p>
        </w:tc>
      </w:tr>
      <w:tr w14:paraId="233C0785">
        <w:tblPrEx>
          <w:tblCellMar>
            <w:top w:w="0" w:type="dxa"/>
            <w:left w:w="108" w:type="dxa"/>
            <w:bottom w:w="0" w:type="dxa"/>
            <w:right w:w="108" w:type="dxa"/>
          </w:tblCellMar>
        </w:tblPrEx>
        <w:trPr>
          <w:trHeight w:val="942" w:hRule="atLeast"/>
        </w:trPr>
        <w:tc>
          <w:tcPr>
            <w:tcW w:w="1038" w:type="dxa"/>
            <w:tcBorders>
              <w:top w:val="nil"/>
              <w:left w:val="single" w:color="000000" w:sz="8" w:space="0"/>
              <w:bottom w:val="single" w:color="000000" w:sz="8" w:space="0"/>
              <w:right w:val="single" w:color="000000" w:sz="8" w:space="0"/>
            </w:tcBorders>
            <w:noWrap w:val="0"/>
            <w:vAlign w:val="center"/>
          </w:tcPr>
          <w:p w14:paraId="1512D0C0">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8</w:t>
            </w:r>
          </w:p>
        </w:tc>
        <w:tc>
          <w:tcPr>
            <w:tcW w:w="4751" w:type="dxa"/>
            <w:tcBorders>
              <w:top w:val="nil"/>
              <w:left w:val="single" w:color="000000" w:sz="8" w:space="0"/>
              <w:bottom w:val="single" w:color="000000" w:sz="8" w:space="0"/>
              <w:right w:val="single" w:color="000000" w:sz="8" w:space="0"/>
            </w:tcBorders>
            <w:noWrap w:val="0"/>
            <w:vAlign w:val="center"/>
          </w:tcPr>
          <w:p w14:paraId="6F0F0583">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小流域淤地坝系泥沙输移过程参数智能传输处理仓储中心设备</w:t>
            </w:r>
          </w:p>
        </w:tc>
        <w:tc>
          <w:tcPr>
            <w:tcW w:w="925" w:type="dxa"/>
            <w:tcBorders>
              <w:top w:val="nil"/>
              <w:left w:val="single" w:color="000000" w:sz="8" w:space="0"/>
              <w:bottom w:val="single" w:color="000000" w:sz="8" w:space="0"/>
              <w:right w:val="single" w:color="000000" w:sz="8" w:space="0"/>
            </w:tcBorders>
            <w:noWrap w:val="0"/>
            <w:vAlign w:val="center"/>
          </w:tcPr>
          <w:p w14:paraId="177F9AFE">
            <w:pPr>
              <w:widowControl/>
              <w:jc w:val="center"/>
              <w:textAlignment w:val="center"/>
              <w:rPr>
                <w:rFonts w:hint="eastAsia" w:hAnsi="宋体" w:cs="宋体"/>
                <w:color w:val="000000"/>
                <w:sz w:val="22"/>
                <w:highlight w:val="none"/>
              </w:rPr>
            </w:pPr>
            <w:r>
              <w:rPr>
                <w:rFonts w:hint="eastAsia" w:hAnsi="宋体" w:cs="宋体"/>
                <w:color w:val="000000"/>
                <w:kern w:val="0"/>
                <w:sz w:val="22"/>
                <w:highlight w:val="none"/>
                <w:lang w:bidi="ar"/>
              </w:rPr>
              <w:t>套</w:t>
            </w:r>
          </w:p>
        </w:tc>
        <w:tc>
          <w:tcPr>
            <w:tcW w:w="1100" w:type="dxa"/>
            <w:tcBorders>
              <w:top w:val="nil"/>
              <w:left w:val="single" w:color="000000" w:sz="8" w:space="0"/>
              <w:bottom w:val="single" w:color="000000" w:sz="8" w:space="0"/>
              <w:right w:val="single" w:color="000000" w:sz="8" w:space="0"/>
            </w:tcBorders>
            <w:noWrap w:val="0"/>
            <w:vAlign w:val="center"/>
          </w:tcPr>
          <w:p w14:paraId="5A5DFE7A">
            <w:pPr>
              <w:widowControl/>
              <w:jc w:val="center"/>
              <w:textAlignment w:val="center"/>
              <w:rPr>
                <w:rFonts w:ascii="Times New Roman" w:hAnsi="Times New Roman"/>
                <w:color w:val="000000"/>
                <w:sz w:val="22"/>
                <w:highlight w:val="none"/>
              </w:rPr>
            </w:pPr>
            <w:r>
              <w:rPr>
                <w:rFonts w:ascii="Times New Roman" w:hAnsi="Times New Roman"/>
                <w:color w:val="000000"/>
                <w:kern w:val="0"/>
                <w:sz w:val="22"/>
                <w:highlight w:val="none"/>
                <w:lang w:bidi="ar"/>
              </w:rPr>
              <w:t>1</w:t>
            </w:r>
          </w:p>
        </w:tc>
        <w:tc>
          <w:tcPr>
            <w:tcW w:w="1313" w:type="dxa"/>
            <w:tcBorders>
              <w:top w:val="nil"/>
              <w:left w:val="single" w:color="000000" w:sz="8" w:space="0"/>
              <w:bottom w:val="single" w:color="000000" w:sz="8" w:space="0"/>
              <w:right w:val="single" w:color="000000" w:sz="8" w:space="0"/>
            </w:tcBorders>
            <w:noWrap w:val="0"/>
            <w:vAlign w:val="center"/>
          </w:tcPr>
          <w:p w14:paraId="3898664D">
            <w:pPr>
              <w:widowControl/>
              <w:jc w:val="center"/>
              <w:textAlignment w:val="center"/>
              <w:rPr>
                <w:rFonts w:ascii="Times New Roman" w:hAnsi="Times New Roman"/>
                <w:color w:val="000000"/>
                <w:kern w:val="0"/>
                <w:sz w:val="22"/>
                <w:highlight w:val="none"/>
                <w:lang w:bidi="ar"/>
              </w:rPr>
            </w:pPr>
            <w:r>
              <w:rPr>
                <w:rFonts w:hint="eastAsia" w:ascii="Times New Roman" w:hAnsi="Times New Roman"/>
                <w:color w:val="000000"/>
                <w:kern w:val="0"/>
                <w:sz w:val="22"/>
                <w:highlight w:val="none"/>
                <w:lang w:bidi="ar"/>
              </w:rPr>
              <w:t>27</w:t>
            </w:r>
          </w:p>
        </w:tc>
      </w:tr>
    </w:tbl>
    <w:p w14:paraId="3841619D">
      <w:pPr>
        <w:spacing w:line="360" w:lineRule="auto"/>
        <w:ind w:firstLine="480" w:firstLineChars="200"/>
        <w:rPr>
          <w:rFonts w:hint="eastAsia"/>
          <w:sz w:val="24"/>
          <w:szCs w:val="15"/>
          <w:highlight w:val="none"/>
        </w:rPr>
      </w:pPr>
      <w:r>
        <w:rPr>
          <w:rFonts w:hint="eastAsia" w:hAnsi="宋体" w:cs="宋体"/>
          <w:sz w:val="24"/>
          <w:szCs w:val="24"/>
          <w:highlight w:val="none"/>
        </w:rPr>
        <w:t>交货期：</w:t>
      </w:r>
      <w:r>
        <w:rPr>
          <w:rFonts w:hint="eastAsia" w:hAnsi="宋体"/>
          <w:sz w:val="24"/>
          <w:szCs w:val="24"/>
          <w:highlight w:val="none"/>
        </w:rPr>
        <w:t>合同签订生效后</w:t>
      </w:r>
      <w:r>
        <w:rPr>
          <w:rFonts w:hint="eastAsia" w:hAnsi="宋体"/>
          <w:bCs/>
          <w:sz w:val="24"/>
          <w:szCs w:val="24"/>
          <w:highlight w:val="none"/>
        </w:rPr>
        <w:t>30日历天。</w:t>
      </w:r>
    </w:p>
    <w:p w14:paraId="7876BFC8">
      <w:pPr>
        <w:spacing w:line="360" w:lineRule="auto"/>
        <w:ind w:firstLine="480" w:firstLineChars="200"/>
        <w:rPr>
          <w:rFonts w:hAnsi="宋体" w:cs="宋体"/>
          <w:sz w:val="24"/>
          <w:szCs w:val="24"/>
          <w:highlight w:val="none"/>
        </w:rPr>
      </w:pPr>
      <w:r>
        <w:rPr>
          <w:rFonts w:hint="eastAsia" w:hAnsi="宋体" w:cs="宋体"/>
          <w:sz w:val="24"/>
          <w:szCs w:val="24"/>
          <w:highlight w:val="none"/>
        </w:rPr>
        <w:t>交货地点：采购人指定地点。</w:t>
      </w:r>
    </w:p>
    <w:p w14:paraId="61B82A3C">
      <w:pPr>
        <w:spacing w:line="360" w:lineRule="auto"/>
        <w:ind w:firstLine="480" w:firstLineChars="200"/>
        <w:rPr>
          <w:rFonts w:hAnsi="宋体"/>
          <w:sz w:val="24"/>
          <w:szCs w:val="24"/>
          <w:highlight w:val="none"/>
        </w:rPr>
      </w:pPr>
      <w:r>
        <w:rPr>
          <w:rFonts w:hint="eastAsia" w:hAnsi="宋体"/>
          <w:sz w:val="24"/>
          <w:szCs w:val="24"/>
          <w:highlight w:val="none"/>
        </w:rPr>
        <w:t>合同履行期限：</w:t>
      </w:r>
      <w:r>
        <w:rPr>
          <w:rFonts w:hint="eastAsia" w:hAnsi="宋体" w:cs="宋体"/>
          <w:color w:val="000000"/>
          <w:sz w:val="24"/>
          <w:szCs w:val="24"/>
          <w:highlight w:val="none"/>
        </w:rPr>
        <w:t>自合同签订之日起至合同全部权利义务履行完毕之日止。</w:t>
      </w:r>
    </w:p>
    <w:p w14:paraId="603F95E0">
      <w:pPr>
        <w:spacing w:line="360" w:lineRule="auto"/>
        <w:ind w:firstLine="480" w:firstLineChars="200"/>
        <w:rPr>
          <w:rFonts w:hAnsi="宋体"/>
          <w:sz w:val="24"/>
          <w:szCs w:val="24"/>
          <w:highlight w:val="none"/>
        </w:rPr>
      </w:pPr>
      <w:r>
        <w:rPr>
          <w:rFonts w:hint="eastAsia" w:hAnsi="宋体"/>
          <w:sz w:val="24"/>
          <w:szCs w:val="24"/>
          <w:highlight w:val="none"/>
        </w:rPr>
        <w:t>本项目</w:t>
      </w:r>
      <w:r>
        <w:rPr>
          <w:rFonts w:hint="eastAsia" w:hAnsi="宋体"/>
          <w:b/>
          <w:bCs/>
          <w:sz w:val="24"/>
          <w:szCs w:val="24"/>
          <w:highlight w:val="none"/>
        </w:rPr>
        <w:t>（不接受）</w:t>
      </w:r>
      <w:r>
        <w:rPr>
          <w:rFonts w:hint="eastAsia" w:hAnsi="宋体"/>
          <w:sz w:val="24"/>
          <w:szCs w:val="24"/>
          <w:highlight w:val="none"/>
        </w:rPr>
        <w:t>联合体投标。</w:t>
      </w:r>
    </w:p>
    <w:p w14:paraId="041882CB">
      <w:pPr>
        <w:spacing w:line="360" w:lineRule="auto"/>
        <w:ind w:firstLine="480" w:firstLineChars="200"/>
        <w:rPr>
          <w:rFonts w:hint="eastAsia" w:hAnsi="宋体"/>
          <w:sz w:val="24"/>
          <w:szCs w:val="24"/>
          <w:highlight w:val="none"/>
        </w:rPr>
      </w:pPr>
      <w:r>
        <w:rPr>
          <w:rFonts w:hint="eastAsia" w:hAnsi="宋体"/>
          <w:sz w:val="24"/>
          <w:szCs w:val="24"/>
          <w:highlight w:val="none"/>
        </w:rPr>
        <w:t>本项目</w:t>
      </w:r>
      <w:r>
        <w:rPr>
          <w:rFonts w:hint="eastAsia" w:hAnsi="宋体"/>
          <w:b/>
          <w:bCs/>
          <w:sz w:val="24"/>
          <w:szCs w:val="24"/>
          <w:highlight w:val="none"/>
        </w:rPr>
        <w:t>（不接受）</w:t>
      </w:r>
      <w:r>
        <w:rPr>
          <w:rFonts w:hint="eastAsia" w:hAnsi="宋体"/>
          <w:sz w:val="24"/>
          <w:szCs w:val="24"/>
          <w:highlight w:val="none"/>
        </w:rPr>
        <w:t>进口产品投标</w:t>
      </w:r>
      <w:r>
        <w:rPr>
          <w:rFonts w:hint="eastAsia" w:hAnsi="宋体"/>
          <w:b/>
          <w:bCs/>
          <w:sz w:val="24"/>
          <w:szCs w:val="24"/>
          <w:highlight w:val="none"/>
        </w:rPr>
        <w:t>。</w:t>
      </w:r>
    </w:p>
    <w:p w14:paraId="3572D56C">
      <w:pPr>
        <w:keepNext/>
        <w:keepLines/>
        <w:spacing w:before="260" w:after="260" w:line="360" w:lineRule="auto"/>
        <w:outlineLvl w:val="1"/>
        <w:rPr>
          <w:rFonts w:hAnsi="宋体" w:cs="宋体"/>
          <w:bCs/>
          <w:kern w:val="2"/>
          <w:sz w:val="24"/>
          <w:szCs w:val="24"/>
          <w:highlight w:val="none"/>
        </w:rPr>
      </w:pPr>
      <w:bookmarkStart w:id="9" w:name="_Toc13056"/>
      <w:bookmarkStart w:id="10" w:name="_Toc3365"/>
      <w:bookmarkStart w:id="11" w:name="_Toc960"/>
      <w:bookmarkStart w:id="12" w:name="_Toc13060"/>
      <w:bookmarkStart w:id="13" w:name="_Toc35393622"/>
      <w:bookmarkStart w:id="14" w:name="_Toc5627"/>
      <w:bookmarkStart w:id="15" w:name="_Toc54798087"/>
      <w:bookmarkStart w:id="16" w:name="_Toc35393791"/>
      <w:bookmarkStart w:id="17" w:name="_Toc96945466"/>
      <w:bookmarkStart w:id="18" w:name="_Toc28359080"/>
      <w:bookmarkStart w:id="19" w:name="_Toc28359003"/>
      <w:bookmarkStart w:id="20" w:name="_Toc65743533"/>
      <w:bookmarkStart w:id="21" w:name="_Toc55831332"/>
      <w:bookmarkStart w:id="22" w:name="_Toc11750"/>
      <w:r>
        <w:rPr>
          <w:rFonts w:hint="eastAsia" w:hAnsi="宋体" w:cs="宋体"/>
          <w:bCs/>
          <w:kern w:val="2"/>
          <w:sz w:val="24"/>
          <w:szCs w:val="24"/>
          <w:highlight w:val="none"/>
        </w:rPr>
        <w:t>二、申请人的资格要求</w:t>
      </w:r>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32B998F6">
      <w:pPr>
        <w:spacing w:line="360" w:lineRule="auto"/>
        <w:ind w:firstLine="480" w:firstLineChars="200"/>
        <w:rPr>
          <w:rFonts w:hAnsi="宋体"/>
          <w:sz w:val="24"/>
          <w:highlight w:val="none"/>
        </w:rPr>
      </w:pPr>
      <w:r>
        <w:rPr>
          <w:rFonts w:hint="eastAsia" w:hAnsi="宋体"/>
          <w:sz w:val="24"/>
          <w:highlight w:val="none"/>
        </w:rPr>
        <w:t>1.满足《中华人民共和国政府采购法》第二十二条规定；</w:t>
      </w:r>
    </w:p>
    <w:p w14:paraId="7D7CC42A">
      <w:pPr>
        <w:spacing w:line="360" w:lineRule="auto"/>
        <w:ind w:firstLine="480" w:firstLineChars="200"/>
        <w:rPr>
          <w:rFonts w:hint="eastAsia" w:hAnsi="宋体"/>
          <w:sz w:val="24"/>
          <w:highlight w:val="none"/>
        </w:rPr>
      </w:pPr>
      <w:bookmarkStart w:id="23" w:name="_Toc28359081"/>
      <w:bookmarkStart w:id="24" w:name="_Toc28359004"/>
      <w:r>
        <w:rPr>
          <w:rFonts w:hAnsi="宋体"/>
          <w:sz w:val="24"/>
          <w:highlight w:val="none"/>
        </w:rPr>
        <w:t>2</w:t>
      </w:r>
      <w:r>
        <w:rPr>
          <w:rFonts w:hint="eastAsia" w:hAnsi="宋体"/>
          <w:sz w:val="24"/>
          <w:highlight w:val="none"/>
        </w:rPr>
        <w:t>.落实政府采购政策需满足的资格要求：无。</w:t>
      </w:r>
    </w:p>
    <w:p w14:paraId="5535D42F">
      <w:pPr>
        <w:spacing w:line="360" w:lineRule="auto"/>
        <w:ind w:firstLine="480" w:firstLineChars="200"/>
        <w:rPr>
          <w:rFonts w:hAnsi="宋体"/>
          <w:sz w:val="24"/>
          <w:highlight w:val="none"/>
          <w:u w:val="single"/>
        </w:rPr>
      </w:pPr>
      <w:r>
        <w:rPr>
          <w:rFonts w:hint="eastAsia" w:hAnsi="宋体"/>
          <w:sz w:val="24"/>
          <w:highlight w:val="none"/>
        </w:rPr>
        <w:t>3.本项目的特定资格要求：</w:t>
      </w:r>
    </w:p>
    <w:p w14:paraId="7F1483E6">
      <w:pPr>
        <w:spacing w:line="360" w:lineRule="auto"/>
        <w:ind w:firstLine="480" w:firstLineChars="200"/>
        <w:jc w:val="left"/>
        <w:rPr>
          <w:rFonts w:hint="eastAsia" w:hAnsi="宋体"/>
          <w:kern w:val="2"/>
          <w:sz w:val="24"/>
          <w:highlight w:val="none"/>
        </w:rPr>
      </w:pPr>
      <w:r>
        <w:rPr>
          <w:rFonts w:hint="eastAsia" w:hAnsi="宋体"/>
          <w:kern w:val="2"/>
          <w:sz w:val="24"/>
          <w:highlight w:val="none"/>
        </w:rPr>
        <w:t xml:space="preserve">3.1根据《关于在政府采购活动中查询及使用信用记录有关问题的通知》(财库[2016]125号)的规定，对列入失信被执行人、重大税收违法案件当事人名单、政府采购严重违法失信行为记录名单的供应商，拒绝参与本项目政府采购活动；  </w:t>
      </w:r>
    </w:p>
    <w:p w14:paraId="6A041ED5">
      <w:pPr>
        <w:spacing w:line="360" w:lineRule="auto"/>
        <w:ind w:firstLine="480" w:firstLineChars="200"/>
        <w:rPr>
          <w:rFonts w:hAnsi="宋体"/>
          <w:sz w:val="24"/>
          <w:highlight w:val="none"/>
        </w:rPr>
      </w:pPr>
      <w:r>
        <w:rPr>
          <w:rFonts w:hint="eastAsia" w:hAnsi="宋体"/>
          <w:sz w:val="24"/>
          <w:highlight w:val="none"/>
        </w:rPr>
        <w:t>3.2</w:t>
      </w:r>
      <w:r>
        <w:rPr>
          <w:rFonts w:hAnsi="宋体"/>
          <w:sz w:val="24"/>
          <w:highlight w:val="none"/>
        </w:rPr>
        <w:t>单位负责人为同一人或者存在直接控股、管理关系的不同供应商，不得参加</w:t>
      </w:r>
      <w:r>
        <w:rPr>
          <w:rFonts w:hint="eastAsia" w:hAnsi="宋体"/>
          <w:sz w:val="24"/>
          <w:highlight w:val="none"/>
        </w:rPr>
        <w:t>同一合同项下的政府采购活动。</w:t>
      </w:r>
    </w:p>
    <w:p w14:paraId="6309A7BF">
      <w:pPr>
        <w:keepNext/>
        <w:keepLines/>
        <w:spacing w:before="260" w:after="260" w:line="360" w:lineRule="auto"/>
        <w:outlineLvl w:val="1"/>
        <w:rPr>
          <w:rFonts w:hint="eastAsia" w:hAnsi="宋体" w:cs="宋体"/>
          <w:bCs/>
          <w:kern w:val="2"/>
          <w:sz w:val="24"/>
          <w:szCs w:val="24"/>
          <w:highlight w:val="none"/>
        </w:rPr>
      </w:pPr>
      <w:bookmarkStart w:id="25" w:name="_Toc55831333"/>
      <w:bookmarkStart w:id="26" w:name="_Toc2053"/>
      <w:bookmarkStart w:id="27" w:name="_Toc65743534"/>
      <w:bookmarkStart w:id="28" w:name="_Toc96945467"/>
      <w:bookmarkStart w:id="29" w:name="_Toc35393792"/>
      <w:bookmarkStart w:id="30" w:name="_Toc8422"/>
      <w:bookmarkStart w:id="31" w:name="_Toc11145"/>
      <w:bookmarkStart w:id="32" w:name="_Toc35393623"/>
      <w:bookmarkStart w:id="33" w:name="_Toc54798088"/>
      <w:bookmarkStart w:id="34" w:name="_Toc15615"/>
      <w:bookmarkStart w:id="35" w:name="_Toc6333"/>
      <w:bookmarkStart w:id="36" w:name="_Toc14133"/>
      <w:r>
        <w:rPr>
          <w:rFonts w:hint="eastAsia" w:hAnsi="宋体" w:cs="宋体"/>
          <w:bCs/>
          <w:kern w:val="2"/>
          <w:sz w:val="24"/>
          <w:szCs w:val="24"/>
          <w:highlight w:val="none"/>
        </w:rPr>
        <w:t>三、获取招标文件</w:t>
      </w:r>
      <w:bookmarkEnd w:id="23"/>
      <w:bookmarkEnd w:id="24"/>
      <w:bookmarkEnd w:id="25"/>
      <w:bookmarkEnd w:id="26"/>
      <w:bookmarkEnd w:id="27"/>
      <w:bookmarkEnd w:id="28"/>
      <w:bookmarkEnd w:id="29"/>
      <w:bookmarkEnd w:id="30"/>
      <w:bookmarkEnd w:id="31"/>
      <w:bookmarkEnd w:id="32"/>
      <w:bookmarkEnd w:id="33"/>
      <w:r>
        <w:rPr>
          <w:rFonts w:hint="eastAsia" w:hAnsi="宋体" w:cs="宋体"/>
          <w:bCs/>
          <w:kern w:val="2"/>
          <w:sz w:val="24"/>
          <w:szCs w:val="24"/>
          <w:highlight w:val="none"/>
        </w:rPr>
        <w:t>`</w:t>
      </w:r>
      <w:bookmarkEnd w:id="34"/>
      <w:bookmarkEnd w:id="35"/>
      <w:bookmarkEnd w:id="36"/>
    </w:p>
    <w:p w14:paraId="3CC92336">
      <w:pPr>
        <w:spacing w:line="360" w:lineRule="auto"/>
        <w:ind w:firstLine="540"/>
        <w:rPr>
          <w:rFonts w:hAnsi="宋体" w:cs="宋体"/>
          <w:b/>
          <w:sz w:val="24"/>
          <w:highlight w:val="none"/>
        </w:rPr>
      </w:pPr>
      <w:r>
        <w:rPr>
          <w:rFonts w:hint="eastAsia" w:hAnsi="宋体" w:cs="宋体"/>
          <w:sz w:val="24"/>
          <w:highlight w:val="none"/>
        </w:rPr>
        <w:t>时间：</w:t>
      </w:r>
      <w:r>
        <w:rPr>
          <w:rFonts w:hAnsi="宋体" w:cs="宋体"/>
          <w:sz w:val="24"/>
          <w:highlight w:val="none"/>
          <w:u w:val="single"/>
        </w:rPr>
        <w:t xml:space="preserve"> </w:t>
      </w:r>
      <w:r>
        <w:rPr>
          <w:rFonts w:hint="eastAsia" w:hAnsi="宋体" w:cs="宋体"/>
          <w:sz w:val="24"/>
          <w:highlight w:val="none"/>
          <w:u w:val="single"/>
        </w:rPr>
        <w:t>2026年</w:t>
      </w:r>
      <w:r>
        <w:rPr>
          <w:rFonts w:hint="eastAsia" w:hAnsi="宋体" w:cs="宋体"/>
          <w:sz w:val="24"/>
          <w:highlight w:val="none"/>
          <w:u w:val="single"/>
          <w:lang w:val="en-US" w:eastAsia="zh-CN"/>
        </w:rPr>
        <w:t>6</w:t>
      </w:r>
      <w:r>
        <w:rPr>
          <w:rFonts w:hint="eastAsia" w:hAnsi="宋体" w:cs="宋体"/>
          <w:sz w:val="24"/>
          <w:highlight w:val="none"/>
          <w:u w:val="single"/>
        </w:rPr>
        <w:t>月</w:t>
      </w:r>
      <w:r>
        <w:rPr>
          <w:rFonts w:hint="eastAsia" w:hAnsi="宋体" w:cs="宋体"/>
          <w:sz w:val="24"/>
          <w:highlight w:val="none"/>
          <w:u w:val="single"/>
          <w:lang w:val="en-US" w:eastAsia="zh-CN"/>
        </w:rPr>
        <w:t>3</w:t>
      </w:r>
      <w:r>
        <w:rPr>
          <w:rFonts w:hint="eastAsia" w:hAnsi="宋体" w:cs="宋体"/>
          <w:sz w:val="24"/>
          <w:highlight w:val="none"/>
          <w:u w:val="single"/>
        </w:rPr>
        <w:t>日</w:t>
      </w:r>
      <w:r>
        <w:rPr>
          <w:rFonts w:hint="eastAsia" w:hAnsi="宋体" w:cs="宋体"/>
          <w:sz w:val="24"/>
          <w:highlight w:val="none"/>
        </w:rPr>
        <w:t>至</w:t>
      </w:r>
      <w:r>
        <w:rPr>
          <w:rFonts w:hint="eastAsia" w:hAnsi="宋体" w:cs="宋体"/>
          <w:sz w:val="24"/>
          <w:highlight w:val="none"/>
          <w:u w:val="single"/>
        </w:rPr>
        <w:t xml:space="preserve"> 2026年</w:t>
      </w:r>
      <w:r>
        <w:rPr>
          <w:rFonts w:hint="eastAsia" w:hAnsi="宋体" w:cs="宋体"/>
          <w:sz w:val="24"/>
          <w:highlight w:val="none"/>
          <w:u w:val="single"/>
          <w:lang w:val="en-US" w:eastAsia="zh-CN"/>
        </w:rPr>
        <w:t>6</w:t>
      </w:r>
      <w:r>
        <w:rPr>
          <w:rFonts w:hint="eastAsia" w:hAnsi="宋体" w:cs="宋体"/>
          <w:sz w:val="24"/>
          <w:highlight w:val="none"/>
          <w:u w:val="single"/>
        </w:rPr>
        <w:t>月</w:t>
      </w:r>
      <w:r>
        <w:rPr>
          <w:rFonts w:hint="eastAsia" w:hAnsi="宋体" w:cs="宋体"/>
          <w:sz w:val="24"/>
          <w:highlight w:val="none"/>
          <w:u w:val="single"/>
          <w:lang w:val="en-US" w:eastAsia="zh-CN"/>
        </w:rPr>
        <w:t>9</w:t>
      </w:r>
      <w:r>
        <w:rPr>
          <w:rFonts w:hint="eastAsia" w:hAnsi="宋体" w:cs="宋体"/>
          <w:sz w:val="24"/>
          <w:highlight w:val="none"/>
          <w:u w:val="single"/>
        </w:rPr>
        <w:t>日</w:t>
      </w:r>
      <w:r>
        <w:rPr>
          <w:rFonts w:hint="eastAsia" w:hAnsi="宋体" w:cs="宋体"/>
          <w:sz w:val="24"/>
          <w:highlight w:val="none"/>
        </w:rPr>
        <w:t>，</w:t>
      </w:r>
      <w:bookmarkStart w:id="37" w:name="_Toc28359005"/>
      <w:bookmarkStart w:id="38" w:name="_Toc28359082"/>
      <w:bookmarkStart w:id="39" w:name="_Toc35393793"/>
      <w:bookmarkStart w:id="40" w:name="_Toc35393624"/>
      <w:r>
        <w:rPr>
          <w:rFonts w:hint="eastAsia" w:hAnsi="宋体" w:cs="宋体"/>
          <w:b/>
          <w:sz w:val="24"/>
          <w:highlight w:val="none"/>
        </w:rPr>
        <w:t>每天上午8：30至12：00，下午14：30至17：00（北京时间，</w:t>
      </w:r>
      <w:r>
        <w:rPr>
          <w:rFonts w:hAnsi="宋体" w:cs="宋体"/>
          <w:b/>
          <w:sz w:val="24"/>
          <w:highlight w:val="none"/>
        </w:rPr>
        <w:t>法定节假日</w:t>
      </w:r>
      <w:r>
        <w:rPr>
          <w:rFonts w:hint="eastAsia" w:hAnsi="宋体" w:cs="宋体"/>
          <w:b/>
          <w:sz w:val="24"/>
          <w:highlight w:val="none"/>
        </w:rPr>
        <w:t>除外）</w:t>
      </w:r>
    </w:p>
    <w:p w14:paraId="492C7238">
      <w:pPr>
        <w:spacing w:line="360" w:lineRule="auto"/>
        <w:ind w:firstLine="540"/>
        <w:rPr>
          <w:rFonts w:hAnsi="宋体" w:cs="宋体"/>
          <w:sz w:val="24"/>
          <w:highlight w:val="none"/>
          <w:u w:val="single"/>
        </w:rPr>
      </w:pPr>
      <w:r>
        <w:rPr>
          <w:rFonts w:hint="eastAsia" w:hAnsi="宋体" w:cs="宋体"/>
          <w:sz w:val="24"/>
          <w:highlight w:val="none"/>
        </w:rPr>
        <w:t>地点：</w:t>
      </w:r>
      <w:r>
        <w:rPr>
          <w:rFonts w:hAnsi="宋体"/>
          <w:sz w:val="24"/>
          <w:highlight w:val="none"/>
        </w:rPr>
        <w:t>郑州市农业路72号国际企业中心B座三楼东侧</w:t>
      </w:r>
    </w:p>
    <w:p w14:paraId="0F172C6D">
      <w:pPr>
        <w:spacing w:line="360" w:lineRule="auto"/>
        <w:ind w:firstLine="480" w:firstLineChars="200"/>
        <w:rPr>
          <w:rFonts w:hAnsi="宋体"/>
          <w:sz w:val="24"/>
          <w:highlight w:val="none"/>
        </w:rPr>
      </w:pPr>
      <w:r>
        <w:rPr>
          <w:rFonts w:hint="eastAsia" w:hAnsi="宋体" w:cs="宋体"/>
          <w:sz w:val="24"/>
          <w:highlight w:val="none"/>
        </w:rPr>
        <w:t>方式：</w:t>
      </w:r>
      <w:r>
        <w:rPr>
          <w:rFonts w:hint="eastAsia" w:hAnsi="宋体"/>
          <w:sz w:val="24"/>
          <w:highlight w:val="none"/>
        </w:rPr>
        <w:t>持法人证书或营业执照等主体资格证明（复印件）；法定代表人身份证明</w:t>
      </w:r>
      <w:r>
        <w:rPr>
          <w:rFonts w:hAnsi="宋体"/>
          <w:b/>
          <w:sz w:val="24"/>
          <w:highlight w:val="none"/>
        </w:rPr>
        <w:t>(</w:t>
      </w:r>
      <w:r>
        <w:rPr>
          <w:rFonts w:hint="eastAsia" w:hAnsi="宋体"/>
          <w:b/>
          <w:sz w:val="24"/>
          <w:highlight w:val="none"/>
        </w:rPr>
        <w:t>法定代表人参加投标的</w:t>
      </w:r>
      <w:r>
        <w:rPr>
          <w:rFonts w:hAnsi="宋体"/>
          <w:b/>
          <w:sz w:val="24"/>
          <w:highlight w:val="none"/>
        </w:rPr>
        <w:t>)</w:t>
      </w:r>
      <w:r>
        <w:rPr>
          <w:rFonts w:hint="eastAsia" w:hAnsi="宋体"/>
          <w:sz w:val="24"/>
          <w:highlight w:val="none"/>
        </w:rPr>
        <w:t>/法定代表人授权委托书</w:t>
      </w:r>
      <w:r>
        <w:rPr>
          <w:rFonts w:hAnsi="宋体"/>
          <w:b/>
          <w:sz w:val="24"/>
          <w:highlight w:val="none"/>
        </w:rPr>
        <w:t>(</w:t>
      </w:r>
      <w:r>
        <w:rPr>
          <w:rFonts w:hint="eastAsia" w:hAnsi="宋体"/>
          <w:b/>
          <w:sz w:val="24"/>
          <w:highlight w:val="none"/>
        </w:rPr>
        <w:t>授权代表参加投标的</w:t>
      </w:r>
      <w:r>
        <w:rPr>
          <w:rFonts w:hAnsi="宋体"/>
          <w:b/>
          <w:sz w:val="24"/>
          <w:highlight w:val="none"/>
        </w:rPr>
        <w:t>)</w:t>
      </w:r>
      <w:r>
        <w:rPr>
          <w:rFonts w:hint="eastAsia" w:hAnsi="宋体"/>
          <w:sz w:val="24"/>
          <w:highlight w:val="none"/>
        </w:rPr>
        <w:t xml:space="preserve">（原件） </w:t>
      </w:r>
    </w:p>
    <w:p w14:paraId="1B533538">
      <w:pPr>
        <w:spacing w:line="360" w:lineRule="auto"/>
        <w:ind w:firstLine="540"/>
        <w:rPr>
          <w:rFonts w:hAnsi="宋体"/>
          <w:sz w:val="24"/>
          <w:highlight w:val="none"/>
        </w:rPr>
      </w:pPr>
      <w:r>
        <w:rPr>
          <w:rFonts w:hint="eastAsia" w:hAnsi="宋体" w:cs="宋体"/>
          <w:sz w:val="24"/>
          <w:highlight w:val="none"/>
        </w:rPr>
        <w:t>售价：</w:t>
      </w:r>
      <w:r>
        <w:rPr>
          <w:rFonts w:hint="eastAsia" w:hAnsi="宋体"/>
          <w:sz w:val="24"/>
          <w:highlight w:val="none"/>
        </w:rPr>
        <w:t>￥</w:t>
      </w:r>
      <w:r>
        <w:rPr>
          <w:rFonts w:hAnsi="宋体"/>
          <w:sz w:val="24"/>
          <w:highlight w:val="none"/>
        </w:rPr>
        <w:t>3</w:t>
      </w:r>
      <w:r>
        <w:rPr>
          <w:rFonts w:hint="eastAsia" w:hAnsi="宋体"/>
          <w:sz w:val="24"/>
          <w:highlight w:val="none"/>
        </w:rPr>
        <w:t>00 元，本公告包含的招标文件售价总和。</w:t>
      </w:r>
    </w:p>
    <w:p w14:paraId="41E02B20">
      <w:pPr>
        <w:keepNext/>
        <w:keepLines/>
        <w:spacing w:before="260" w:after="260" w:line="360" w:lineRule="auto"/>
        <w:outlineLvl w:val="1"/>
        <w:rPr>
          <w:rFonts w:hAnsi="宋体" w:cs="宋体"/>
          <w:bCs/>
          <w:kern w:val="2"/>
          <w:sz w:val="24"/>
          <w:szCs w:val="24"/>
          <w:highlight w:val="none"/>
        </w:rPr>
      </w:pPr>
      <w:bookmarkStart w:id="41" w:name="_Toc22651"/>
      <w:bookmarkStart w:id="42" w:name="_Toc10614"/>
      <w:bookmarkStart w:id="43" w:name="_Toc21964"/>
      <w:bookmarkStart w:id="44" w:name="_Toc17307"/>
      <w:bookmarkStart w:id="45" w:name="_Toc14871"/>
      <w:bookmarkStart w:id="46" w:name="_Toc25753"/>
      <w:bookmarkStart w:id="47" w:name="_Toc96945468"/>
      <w:bookmarkStart w:id="48" w:name="_Toc65743535"/>
      <w:r>
        <w:rPr>
          <w:rFonts w:hint="eastAsia" w:hAnsi="宋体" w:cs="宋体"/>
          <w:bCs/>
          <w:kern w:val="2"/>
          <w:sz w:val="24"/>
          <w:szCs w:val="24"/>
          <w:highlight w:val="none"/>
        </w:rPr>
        <w:t>四、提交投标文件</w:t>
      </w:r>
      <w:bookmarkEnd w:id="37"/>
      <w:bookmarkEnd w:id="38"/>
      <w:r>
        <w:rPr>
          <w:rFonts w:hint="eastAsia" w:hAnsi="宋体" w:cs="宋体"/>
          <w:bCs/>
          <w:kern w:val="2"/>
          <w:sz w:val="24"/>
          <w:szCs w:val="24"/>
          <w:highlight w:val="none"/>
        </w:rPr>
        <w:t>截止时间、开标时间和地点</w:t>
      </w:r>
      <w:bookmarkEnd w:id="39"/>
      <w:bookmarkEnd w:id="40"/>
      <w:bookmarkEnd w:id="41"/>
      <w:bookmarkEnd w:id="42"/>
      <w:bookmarkEnd w:id="43"/>
      <w:bookmarkEnd w:id="44"/>
      <w:bookmarkEnd w:id="45"/>
      <w:bookmarkEnd w:id="46"/>
      <w:bookmarkEnd w:id="47"/>
      <w:bookmarkEnd w:id="48"/>
    </w:p>
    <w:p w14:paraId="201C5980">
      <w:pPr>
        <w:spacing w:line="360" w:lineRule="auto"/>
        <w:ind w:firstLine="480" w:firstLineChars="200"/>
        <w:rPr>
          <w:rFonts w:hAnsi="宋体" w:cs="宋体"/>
          <w:bCs/>
          <w:i/>
          <w:sz w:val="24"/>
          <w:highlight w:val="none"/>
          <w:u w:val="single"/>
        </w:rPr>
      </w:pPr>
      <w:r>
        <w:rPr>
          <w:rFonts w:hint="eastAsia" w:hAnsi="宋体"/>
          <w:bCs/>
          <w:sz w:val="24"/>
          <w:highlight w:val="none"/>
          <w:u w:val="single"/>
        </w:rPr>
        <w:t>2026年</w:t>
      </w:r>
      <w:r>
        <w:rPr>
          <w:rFonts w:hint="eastAsia" w:hAnsi="宋体"/>
          <w:bCs/>
          <w:sz w:val="24"/>
          <w:highlight w:val="none"/>
          <w:u w:val="single"/>
          <w:lang w:val="en-US" w:eastAsia="zh-CN"/>
        </w:rPr>
        <w:t>6</w:t>
      </w:r>
      <w:r>
        <w:rPr>
          <w:rFonts w:hint="eastAsia" w:hAnsi="宋体"/>
          <w:bCs/>
          <w:sz w:val="24"/>
          <w:highlight w:val="none"/>
          <w:u w:val="single"/>
        </w:rPr>
        <w:t>月</w:t>
      </w:r>
      <w:r>
        <w:rPr>
          <w:rFonts w:hint="eastAsia" w:hAnsi="宋体"/>
          <w:bCs/>
          <w:sz w:val="24"/>
          <w:highlight w:val="none"/>
          <w:u w:val="single"/>
          <w:lang w:val="en-US" w:eastAsia="zh-CN"/>
        </w:rPr>
        <w:t>24</w:t>
      </w:r>
      <w:r>
        <w:rPr>
          <w:rFonts w:hint="eastAsia" w:hAnsi="宋体"/>
          <w:bCs/>
          <w:sz w:val="24"/>
          <w:highlight w:val="none"/>
          <w:u w:val="single"/>
        </w:rPr>
        <w:t>日 9点 30分</w:t>
      </w:r>
      <w:r>
        <w:rPr>
          <w:rFonts w:hint="eastAsia" w:hAnsi="宋体"/>
          <w:bCs/>
          <w:sz w:val="24"/>
          <w:highlight w:val="none"/>
        </w:rPr>
        <w:t>（北京时间）</w:t>
      </w:r>
    </w:p>
    <w:p w14:paraId="567E71F8">
      <w:pPr>
        <w:spacing w:line="360" w:lineRule="auto"/>
        <w:ind w:firstLine="480" w:firstLineChars="200"/>
        <w:rPr>
          <w:rFonts w:hAnsi="宋体"/>
          <w:bCs/>
          <w:sz w:val="24"/>
          <w:highlight w:val="none"/>
          <w:u w:val="single"/>
        </w:rPr>
      </w:pPr>
      <w:r>
        <w:rPr>
          <w:rFonts w:hint="eastAsia" w:hAnsi="宋体"/>
          <w:sz w:val="24"/>
          <w:highlight w:val="none"/>
        </w:rPr>
        <w:t>地点：</w:t>
      </w:r>
      <w:r>
        <w:rPr>
          <w:rFonts w:hAnsi="宋体" w:cs="宋体"/>
          <w:sz w:val="24"/>
          <w:highlight w:val="none"/>
          <w:u w:val="single"/>
        </w:rPr>
        <w:t>郑州市农业路72号国际企业中心B座三楼东侧</w:t>
      </w:r>
      <w:r>
        <w:rPr>
          <w:rFonts w:hint="eastAsia" w:hAnsi="宋体" w:cs="宋体"/>
          <w:sz w:val="24"/>
          <w:highlight w:val="none"/>
          <w:u w:val="single"/>
        </w:rPr>
        <w:t>会议室</w:t>
      </w:r>
    </w:p>
    <w:p w14:paraId="5E537E2E">
      <w:pPr>
        <w:keepNext/>
        <w:keepLines/>
        <w:spacing w:before="260" w:after="260" w:line="360" w:lineRule="auto"/>
        <w:outlineLvl w:val="1"/>
        <w:rPr>
          <w:rFonts w:hint="eastAsia" w:hAnsi="宋体" w:cs="宋体"/>
          <w:bCs/>
          <w:kern w:val="2"/>
          <w:sz w:val="24"/>
          <w:szCs w:val="24"/>
          <w:highlight w:val="none"/>
        </w:rPr>
      </w:pPr>
      <w:bookmarkStart w:id="49" w:name="_Toc1200"/>
      <w:bookmarkStart w:id="50" w:name="_Toc19240"/>
      <w:bookmarkStart w:id="51" w:name="_Toc54798089"/>
      <w:bookmarkStart w:id="52" w:name="_Toc96945469"/>
      <w:bookmarkStart w:id="53" w:name="_Toc28359084"/>
      <w:bookmarkStart w:id="54" w:name="_Toc14638"/>
      <w:bookmarkStart w:id="55" w:name="_Toc16742"/>
      <w:bookmarkStart w:id="56" w:name="_Toc13567"/>
      <w:bookmarkStart w:id="57" w:name="_Toc35393625"/>
      <w:bookmarkStart w:id="58" w:name="_Toc463"/>
      <w:bookmarkStart w:id="59" w:name="_Toc35393794"/>
      <w:bookmarkStart w:id="60" w:name="_Toc55831334"/>
      <w:bookmarkStart w:id="61" w:name="_Toc65743536"/>
      <w:bookmarkStart w:id="62" w:name="_Toc28359007"/>
      <w:r>
        <w:rPr>
          <w:rFonts w:hint="eastAsia" w:hAnsi="宋体" w:cs="宋体"/>
          <w:bCs/>
          <w:kern w:val="2"/>
          <w:sz w:val="24"/>
          <w:szCs w:val="24"/>
          <w:highlight w:val="none"/>
        </w:rPr>
        <w:t>五、公告期限</w:t>
      </w:r>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13D7A118">
      <w:pPr>
        <w:spacing w:line="360" w:lineRule="auto"/>
        <w:ind w:firstLine="480" w:firstLineChars="200"/>
        <w:rPr>
          <w:rFonts w:hAnsi="宋体" w:cs="宋体"/>
          <w:sz w:val="24"/>
          <w:highlight w:val="none"/>
        </w:rPr>
      </w:pPr>
      <w:r>
        <w:rPr>
          <w:rFonts w:hint="eastAsia" w:hAnsi="宋体" w:cs="宋体"/>
          <w:sz w:val="24"/>
          <w:highlight w:val="none"/>
        </w:rPr>
        <w:t>自本公告发布之日起5个工作日。</w:t>
      </w:r>
    </w:p>
    <w:p w14:paraId="39894D2B">
      <w:pPr>
        <w:keepNext/>
        <w:keepLines/>
        <w:spacing w:before="260" w:after="260" w:line="360" w:lineRule="auto"/>
        <w:outlineLvl w:val="1"/>
        <w:rPr>
          <w:rFonts w:hAnsi="宋体" w:cs="宋体"/>
          <w:bCs/>
          <w:kern w:val="2"/>
          <w:sz w:val="24"/>
          <w:szCs w:val="24"/>
          <w:highlight w:val="none"/>
        </w:rPr>
      </w:pPr>
      <w:bookmarkStart w:id="63" w:name="_Toc22278"/>
      <w:bookmarkStart w:id="64" w:name="_Toc16310"/>
      <w:bookmarkStart w:id="65" w:name="_Toc65743537"/>
      <w:bookmarkStart w:id="66" w:name="_Toc96945470"/>
      <w:bookmarkStart w:id="67" w:name="_Toc35393626"/>
      <w:bookmarkStart w:id="68" w:name="_Toc12953"/>
      <w:bookmarkStart w:id="69" w:name="_Toc54798090"/>
      <w:bookmarkStart w:id="70" w:name="_Toc55831335"/>
      <w:bookmarkStart w:id="71" w:name="_Toc35393795"/>
      <w:bookmarkStart w:id="72" w:name="_Toc8639"/>
      <w:bookmarkStart w:id="73" w:name="_Toc2480"/>
      <w:bookmarkStart w:id="74" w:name="_Toc16086"/>
      <w:r>
        <w:rPr>
          <w:rFonts w:hint="eastAsia" w:hAnsi="宋体" w:cs="宋体"/>
          <w:bCs/>
          <w:kern w:val="2"/>
          <w:sz w:val="24"/>
          <w:szCs w:val="24"/>
          <w:highlight w:val="none"/>
        </w:rPr>
        <w:t>六、其他补充事宜</w:t>
      </w:r>
      <w:bookmarkEnd w:id="63"/>
      <w:bookmarkEnd w:id="64"/>
      <w:bookmarkEnd w:id="65"/>
      <w:bookmarkEnd w:id="66"/>
      <w:bookmarkEnd w:id="67"/>
      <w:bookmarkEnd w:id="68"/>
      <w:bookmarkEnd w:id="69"/>
      <w:bookmarkEnd w:id="70"/>
      <w:bookmarkEnd w:id="71"/>
      <w:bookmarkEnd w:id="72"/>
      <w:bookmarkEnd w:id="73"/>
      <w:bookmarkEnd w:id="74"/>
    </w:p>
    <w:p w14:paraId="59F475C3">
      <w:pPr>
        <w:spacing w:line="360" w:lineRule="auto"/>
        <w:ind w:firstLine="480" w:firstLineChars="200"/>
        <w:rPr>
          <w:rFonts w:hAnsi="宋体"/>
          <w:sz w:val="24"/>
          <w:highlight w:val="none"/>
        </w:rPr>
      </w:pPr>
      <w:r>
        <w:rPr>
          <w:rFonts w:hint="eastAsia" w:hAnsi="宋体"/>
          <w:sz w:val="24"/>
          <w:highlight w:val="none"/>
        </w:rPr>
        <w:t>1.本项目执行的政府采购政策</w:t>
      </w:r>
    </w:p>
    <w:p w14:paraId="76EDBE5D">
      <w:pPr>
        <w:spacing w:line="360" w:lineRule="auto"/>
        <w:ind w:firstLine="480" w:firstLineChars="200"/>
        <w:rPr>
          <w:rFonts w:hAnsi="宋体"/>
          <w:sz w:val="24"/>
          <w:szCs w:val="24"/>
          <w:highlight w:val="none"/>
        </w:rPr>
      </w:pPr>
      <w:r>
        <w:rPr>
          <w:rFonts w:hint="eastAsia" w:hAnsi="宋体"/>
          <w:sz w:val="24"/>
          <w:szCs w:val="24"/>
          <w:highlight w:val="none"/>
        </w:rPr>
        <w:t>落实节约能源、保护环境、促进中小企业发展、支持监狱企业发展、促进残疾人就业等政府采购政策。</w:t>
      </w:r>
    </w:p>
    <w:p w14:paraId="062D5A69">
      <w:pPr>
        <w:spacing w:line="360" w:lineRule="auto"/>
        <w:ind w:firstLine="480" w:firstLineChars="200"/>
        <w:rPr>
          <w:rFonts w:hAnsi="宋体"/>
          <w:sz w:val="24"/>
          <w:highlight w:val="none"/>
        </w:rPr>
      </w:pPr>
      <w:r>
        <w:rPr>
          <w:rFonts w:hint="eastAsia" w:hAnsi="宋体"/>
          <w:sz w:val="24"/>
          <w:highlight w:val="none"/>
        </w:rPr>
        <w:t>2.公告发布媒体：《中国政府采购网》</w:t>
      </w:r>
    </w:p>
    <w:p w14:paraId="5D4989EF">
      <w:pPr>
        <w:keepNext/>
        <w:keepLines/>
        <w:spacing w:before="260" w:after="260" w:line="360" w:lineRule="auto"/>
        <w:outlineLvl w:val="1"/>
        <w:rPr>
          <w:rFonts w:hAnsi="宋体" w:cs="宋体"/>
          <w:bCs/>
          <w:kern w:val="2"/>
          <w:sz w:val="24"/>
          <w:szCs w:val="24"/>
          <w:highlight w:val="none"/>
        </w:rPr>
      </w:pPr>
      <w:bookmarkStart w:id="75" w:name="_Toc35393627"/>
      <w:bookmarkStart w:id="76" w:name="_Toc35393796"/>
      <w:bookmarkStart w:id="77" w:name="_Toc28359085"/>
      <w:bookmarkStart w:id="78" w:name="_Toc55831336"/>
      <w:bookmarkStart w:id="79" w:name="_Toc96945471"/>
      <w:bookmarkStart w:id="80" w:name="_Toc28359008"/>
      <w:bookmarkStart w:id="81" w:name="_Toc8927"/>
      <w:bookmarkStart w:id="82" w:name="_Toc29035"/>
      <w:bookmarkStart w:id="83" w:name="_Toc21641"/>
      <w:bookmarkStart w:id="84" w:name="_Toc65743538"/>
      <w:bookmarkStart w:id="85" w:name="_Toc4321"/>
      <w:bookmarkStart w:id="86" w:name="_Toc28194"/>
      <w:bookmarkStart w:id="87" w:name="_Toc54798091"/>
      <w:bookmarkStart w:id="88" w:name="_Toc20808"/>
      <w:r>
        <w:rPr>
          <w:rFonts w:hint="eastAsia" w:hAnsi="宋体" w:cs="宋体"/>
          <w:bCs/>
          <w:kern w:val="2"/>
          <w:sz w:val="24"/>
          <w:szCs w:val="24"/>
          <w:highlight w:val="none"/>
        </w:rPr>
        <w:t>七、对本次招标提出询问，请按</w:t>
      </w:r>
      <w:r>
        <w:rPr>
          <w:rFonts w:hAnsi="宋体" w:cs="宋体"/>
          <w:bCs/>
          <w:kern w:val="2"/>
          <w:sz w:val="24"/>
          <w:szCs w:val="24"/>
          <w:highlight w:val="none"/>
        </w:rPr>
        <w:t>以下方式</w:t>
      </w:r>
      <w:r>
        <w:rPr>
          <w:rFonts w:hint="eastAsia" w:hAnsi="宋体" w:cs="宋体"/>
          <w:bCs/>
          <w:kern w:val="2"/>
          <w:sz w:val="24"/>
          <w:szCs w:val="24"/>
          <w:highlight w:val="none"/>
        </w:rPr>
        <w:t>联系。</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50757BC">
      <w:pPr>
        <w:widowControl/>
        <w:spacing w:line="360" w:lineRule="auto"/>
        <w:jc w:val="left"/>
        <w:rPr>
          <w:rFonts w:hAnsi="宋体"/>
          <w:sz w:val="24"/>
          <w:highlight w:val="none"/>
        </w:rPr>
      </w:pPr>
      <w:r>
        <w:rPr>
          <w:rFonts w:hint="eastAsia" w:hAnsi="宋体" w:cs="宋体"/>
          <w:sz w:val="24"/>
          <w:highlight w:val="none"/>
        </w:rPr>
        <w:t>　　　1.采购人信息</w:t>
      </w:r>
    </w:p>
    <w:p w14:paraId="2F3DECD0">
      <w:pPr>
        <w:spacing w:line="360" w:lineRule="auto"/>
        <w:ind w:firstLine="720" w:firstLineChars="300"/>
        <w:jc w:val="left"/>
        <w:rPr>
          <w:rFonts w:hAnsi="宋体"/>
          <w:sz w:val="24"/>
          <w:highlight w:val="none"/>
        </w:rPr>
      </w:pPr>
      <w:r>
        <w:rPr>
          <w:rFonts w:hint="eastAsia" w:hAnsi="宋体"/>
          <w:sz w:val="24"/>
          <w:highlight w:val="none"/>
        </w:rPr>
        <w:t>名 称：黄河水利委员会黄河水利科学研究院　</w:t>
      </w:r>
    </w:p>
    <w:p w14:paraId="461373B5">
      <w:pPr>
        <w:spacing w:line="360" w:lineRule="auto"/>
        <w:ind w:firstLine="720" w:firstLineChars="300"/>
        <w:rPr>
          <w:rFonts w:hAnsi="宋体"/>
          <w:sz w:val="24"/>
          <w:highlight w:val="none"/>
        </w:rPr>
      </w:pPr>
      <w:r>
        <w:rPr>
          <w:rFonts w:hint="eastAsia" w:hAnsi="宋体"/>
          <w:sz w:val="24"/>
          <w:highlight w:val="none"/>
        </w:rPr>
        <w:t>地 址：</w:t>
      </w:r>
      <w:r>
        <w:rPr>
          <w:rFonts w:hint="eastAsia" w:hAnsi="宋体" w:cs="宋体"/>
          <w:bCs/>
          <w:sz w:val="24"/>
          <w:szCs w:val="21"/>
          <w:highlight w:val="none"/>
        </w:rPr>
        <w:t>郑州市顺河路</w:t>
      </w:r>
      <w:r>
        <w:rPr>
          <w:rFonts w:hAnsi="宋体"/>
          <w:bCs/>
          <w:sz w:val="24"/>
          <w:szCs w:val="21"/>
          <w:highlight w:val="none"/>
        </w:rPr>
        <w:t>45</w:t>
      </w:r>
      <w:r>
        <w:rPr>
          <w:rFonts w:hint="eastAsia" w:hAnsi="宋体" w:cs="宋体"/>
          <w:bCs/>
          <w:sz w:val="24"/>
          <w:szCs w:val="21"/>
          <w:highlight w:val="none"/>
        </w:rPr>
        <w:t>号</w:t>
      </w:r>
    </w:p>
    <w:p w14:paraId="0E31E133">
      <w:pPr>
        <w:spacing w:line="360" w:lineRule="auto"/>
        <w:ind w:firstLine="840" w:firstLineChars="350"/>
        <w:jc w:val="left"/>
        <w:rPr>
          <w:rFonts w:hAnsi="宋体"/>
          <w:sz w:val="24"/>
          <w:highlight w:val="none"/>
        </w:rPr>
      </w:pPr>
      <w:r>
        <w:rPr>
          <w:rFonts w:hint="eastAsia" w:hAnsi="宋体"/>
          <w:sz w:val="24"/>
          <w:highlight w:val="none"/>
        </w:rPr>
        <w:t xml:space="preserve">联系方式： </w:t>
      </w:r>
      <w:bookmarkStart w:id="89" w:name="_Toc28359009"/>
      <w:bookmarkStart w:id="90" w:name="_Toc28359086"/>
      <w:r>
        <w:rPr>
          <w:rFonts w:hint="eastAsia" w:hAnsi="宋体"/>
          <w:sz w:val="24"/>
          <w:szCs w:val="21"/>
          <w:highlight w:val="none"/>
        </w:rPr>
        <w:t xml:space="preserve">王云  </w:t>
      </w:r>
      <w:r>
        <w:rPr>
          <w:rFonts w:hint="eastAsia" w:hAnsi="宋体"/>
          <w:sz w:val="24"/>
          <w:highlight w:val="none"/>
        </w:rPr>
        <w:t>0371-66024540</w:t>
      </w:r>
    </w:p>
    <w:bookmarkEnd w:id="89"/>
    <w:bookmarkEnd w:id="90"/>
    <w:p w14:paraId="707AD842">
      <w:pPr>
        <w:spacing w:line="360" w:lineRule="auto"/>
        <w:jc w:val="left"/>
        <w:rPr>
          <w:rFonts w:hAnsi="宋体"/>
          <w:sz w:val="24"/>
          <w:highlight w:val="none"/>
        </w:rPr>
      </w:pPr>
      <w:r>
        <w:rPr>
          <w:rFonts w:hint="eastAsia" w:hAnsi="宋体" w:cs="宋体"/>
          <w:sz w:val="24"/>
          <w:highlight w:val="none"/>
        </w:rPr>
        <w:t xml:space="preserve">      2.采购代理机构信息</w:t>
      </w:r>
    </w:p>
    <w:p w14:paraId="5F49A9D9">
      <w:pPr>
        <w:spacing w:line="360" w:lineRule="auto"/>
        <w:ind w:firstLine="720" w:firstLineChars="300"/>
        <w:rPr>
          <w:rFonts w:hAnsi="宋体"/>
          <w:sz w:val="24"/>
          <w:highlight w:val="none"/>
        </w:rPr>
      </w:pPr>
      <w:r>
        <w:rPr>
          <w:rFonts w:hint="eastAsia" w:hAnsi="宋体"/>
          <w:sz w:val="24"/>
          <w:highlight w:val="none"/>
        </w:rPr>
        <w:t xml:space="preserve"> 名 称：河南省国贸招标有限公司</w:t>
      </w:r>
    </w:p>
    <w:p w14:paraId="65632431">
      <w:pPr>
        <w:spacing w:line="360" w:lineRule="auto"/>
        <w:ind w:firstLine="720" w:firstLineChars="300"/>
        <w:rPr>
          <w:rFonts w:hAnsi="宋体"/>
          <w:sz w:val="24"/>
          <w:highlight w:val="none"/>
        </w:rPr>
      </w:pPr>
      <w:r>
        <w:rPr>
          <w:rFonts w:hint="eastAsia" w:hAnsi="宋体"/>
          <w:sz w:val="24"/>
          <w:highlight w:val="none"/>
        </w:rPr>
        <w:t xml:space="preserve"> 地　址：郑州市农业路72号国际企业中心B座三楼东</w:t>
      </w:r>
    </w:p>
    <w:p w14:paraId="5951E9BF">
      <w:pPr>
        <w:spacing w:line="360" w:lineRule="auto"/>
        <w:ind w:firstLine="720" w:firstLineChars="300"/>
        <w:rPr>
          <w:rFonts w:hAnsi="宋体"/>
          <w:sz w:val="24"/>
          <w:highlight w:val="none"/>
        </w:rPr>
      </w:pPr>
      <w:r>
        <w:rPr>
          <w:rFonts w:hint="eastAsia" w:hAnsi="宋体"/>
          <w:sz w:val="24"/>
          <w:highlight w:val="none"/>
        </w:rPr>
        <w:t xml:space="preserve"> 联系方式： </w:t>
      </w:r>
      <w:r>
        <w:rPr>
          <w:rFonts w:hint="eastAsia" w:hAnsi="宋体"/>
          <w:sz w:val="24"/>
          <w:szCs w:val="24"/>
          <w:highlight w:val="none"/>
        </w:rPr>
        <w:t xml:space="preserve">韩艳霞 肖鹏 全乐 </w:t>
      </w:r>
      <w:r>
        <w:rPr>
          <w:rFonts w:hint="eastAsia" w:hAnsi="宋体"/>
          <w:sz w:val="24"/>
          <w:highlight w:val="none"/>
        </w:rPr>
        <w:t>0371-69131990</w:t>
      </w:r>
    </w:p>
    <w:p w14:paraId="3B5FC2BD">
      <w:pPr>
        <w:spacing w:line="360" w:lineRule="auto"/>
        <w:ind w:firstLine="720" w:firstLineChars="300"/>
        <w:rPr>
          <w:rFonts w:hAnsi="宋体"/>
          <w:sz w:val="24"/>
          <w:highlight w:val="none"/>
        </w:rPr>
      </w:pPr>
      <w:r>
        <w:rPr>
          <w:rFonts w:hint="eastAsia" w:hAnsi="宋体" w:cs="宋体"/>
          <w:sz w:val="24"/>
          <w:highlight w:val="none"/>
        </w:rPr>
        <w:t>3.项目</w:t>
      </w:r>
      <w:r>
        <w:rPr>
          <w:rFonts w:hAnsi="宋体" w:cs="宋体"/>
          <w:sz w:val="24"/>
          <w:highlight w:val="none"/>
        </w:rPr>
        <w:t>联系方式</w:t>
      </w:r>
    </w:p>
    <w:p w14:paraId="3734B7DC">
      <w:pPr>
        <w:spacing w:line="360" w:lineRule="auto"/>
        <w:ind w:firstLine="720" w:firstLineChars="300"/>
        <w:rPr>
          <w:rFonts w:hAnsi="宋体"/>
          <w:kern w:val="2"/>
          <w:sz w:val="24"/>
          <w:szCs w:val="24"/>
          <w:highlight w:val="none"/>
        </w:rPr>
      </w:pPr>
      <w:r>
        <w:rPr>
          <w:rFonts w:hint="eastAsia" w:hAnsi="宋体"/>
          <w:kern w:val="2"/>
          <w:sz w:val="24"/>
          <w:szCs w:val="24"/>
          <w:highlight w:val="none"/>
        </w:rPr>
        <w:t xml:space="preserve"> 项目联系人：</w:t>
      </w:r>
      <w:r>
        <w:rPr>
          <w:rFonts w:hint="eastAsia" w:hAnsi="宋体"/>
          <w:sz w:val="24"/>
          <w:szCs w:val="24"/>
          <w:highlight w:val="none"/>
        </w:rPr>
        <w:t xml:space="preserve">韩艳霞 肖鹏 全乐 </w:t>
      </w:r>
    </w:p>
    <w:p w14:paraId="31714CEF">
      <w:pPr>
        <w:ind w:firstLine="720" w:firstLineChars="300"/>
        <w:rPr>
          <w:highlight w:val="none"/>
        </w:rPr>
      </w:pPr>
      <w:r>
        <w:rPr>
          <w:rFonts w:hint="eastAsia" w:hAnsi="宋体"/>
          <w:sz w:val="24"/>
          <w:highlight w:val="none"/>
        </w:rPr>
        <w:t xml:space="preserve"> 电　话：</w:t>
      </w:r>
      <w:r>
        <w:rPr>
          <w:rFonts w:hint="eastAsia" w:hAnsi="宋体"/>
          <w:sz w:val="24"/>
          <w:szCs w:val="24"/>
          <w:highlight w:val="none"/>
        </w:rPr>
        <w:t xml:space="preserve"> </w:t>
      </w:r>
      <w:r>
        <w:rPr>
          <w:rFonts w:hint="eastAsia" w:hAnsi="宋体"/>
          <w:sz w:val="24"/>
          <w:highlight w:val="none"/>
        </w:rPr>
        <w:t>0371-69131990</w:t>
      </w:r>
    </w:p>
    <w:p w14:paraId="544A0117">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FE01D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2026-06-02T03:24:02Z</dcterms:created>
  <dc:creator>UserComputer</dc:creator>
  <cp:lastModifiedBy>国贸招标</cp:lastModifiedBy>
  <dcterms:modified xsi:type="dcterms:W3CDTF">2026-06-02T03:25:07Z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eyJoZGlkIjoiMDI3NzQyYmRjN2RmMTkwMWYyNjQwYTdjMjc5NzU1NTUiLCJ1c2VySWQiOiIzMzAyMjQwMzcifQ==</vt:lpwstr>
  </property>
  <property fmtid="{D5CDD505-2E9C-101B-9397-08002B2CF9AE}" pid="4" name="ICV">
    <vt:lpwstr>6F643351D9C840428750FD685E0A29C6_12</vt:lpwstr>
  </property>
</Properties>
</file>