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FD7C1D">
      <w:pPr>
        <w:rPr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附件</w:t>
      </w:r>
      <w:r>
        <w:rPr>
          <w:rFonts w:hint="eastAsia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1：</w:t>
      </w:r>
    </w:p>
    <w:p w14:paraId="2D82D1A4">
      <w:pPr>
        <w:jc w:val="center"/>
        <w:rPr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血管外科手术器械一批（进口）技术参数</w:t>
      </w:r>
    </w:p>
    <w:p w14:paraId="5719BC74">
      <w:pPr>
        <w:spacing w:line="360" w:lineRule="auto"/>
        <w:contextualSpacing/>
        <w:jc w:val="left"/>
        <w:rPr>
          <w:rFonts w:ascii="宋体" w:hAnsi="宋体" w:cs="宋体"/>
          <w:color w:val="000000" w:themeColor="text1"/>
          <w:kern w:val="0"/>
          <w:sz w:val="22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kern w:val="0"/>
          <w:sz w:val="22"/>
          <w:szCs w:val="21"/>
          <w14:textFill>
            <w14:solidFill>
              <w14:schemeClr w14:val="tx1"/>
            </w14:solidFill>
          </w14:textFill>
        </w:rPr>
        <w:t>1.器械应为不锈钢或合金材质；</w:t>
      </w:r>
    </w:p>
    <w:p w14:paraId="13EB0545">
      <w:pPr>
        <w:spacing w:line="360" w:lineRule="auto"/>
        <w:contextualSpacing/>
        <w:jc w:val="left"/>
        <w:rPr>
          <w:rFonts w:ascii="宋体" w:hAnsi="宋体" w:cs="宋体"/>
          <w:color w:val="000000" w:themeColor="text1"/>
          <w:kern w:val="0"/>
          <w:sz w:val="22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kern w:val="0"/>
          <w:sz w:val="22"/>
          <w:szCs w:val="21"/>
          <w14:textFill>
            <w14:solidFill>
              <w14:schemeClr w14:val="tx1"/>
            </w14:solidFill>
          </w14:textFill>
        </w:rPr>
        <w:t>2.具备多功能钳、导管钳、主动脉夹闭钳、吻合钳、侧壁钳、环状手柄哈巴狗钳、哈巴狗钳、吻合钳、超锋利组织剪刀、超锋利角度剪刀、环柄针持、精细笔式针持、精细镊子、精细环尖镊子、精细无创镊子、无创心耳钳、无创阻断钳、精细直角钳、自动牵开器、精细剪刀、结扎分离钳、左弯血管夹、右弯血管夹、神经剥离子、血管阻断钳、吸引管等多件器械，以满足血管外科不同部位手术需求；</w:t>
      </w:r>
    </w:p>
    <w:p w14:paraId="4696089A">
      <w:pPr>
        <w:spacing w:line="360" w:lineRule="auto"/>
        <w:contextualSpacing/>
        <w:jc w:val="left"/>
        <w:rPr>
          <w:rFonts w:ascii="宋体" w:hAnsi="宋体" w:cs="宋体"/>
          <w:color w:val="000000" w:themeColor="text1"/>
          <w:kern w:val="0"/>
          <w:sz w:val="22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kern w:val="0"/>
          <w:sz w:val="22"/>
          <w:szCs w:val="21"/>
          <w14:textFill>
            <w14:solidFill>
              <w14:schemeClr w14:val="tx1"/>
            </w14:solidFill>
          </w14:textFill>
        </w:rPr>
        <w:t>3.器械尖端应具备不同直径，以满足不同直径动脉、静脉手术需求；</w:t>
      </w:r>
    </w:p>
    <w:p w14:paraId="686FE6DC">
      <w:pPr>
        <w:spacing w:line="360" w:lineRule="auto"/>
        <w:contextualSpacing/>
        <w:jc w:val="left"/>
        <w:rPr>
          <w:rFonts w:ascii="宋体" w:hAnsi="宋体" w:cs="宋体"/>
          <w:color w:val="000000" w:themeColor="text1"/>
          <w:kern w:val="0"/>
          <w:sz w:val="22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kern w:val="0"/>
          <w:sz w:val="22"/>
          <w:szCs w:val="21"/>
          <w14:textFill>
            <w14:solidFill>
              <w14:schemeClr w14:val="tx1"/>
            </w14:solidFill>
          </w14:textFill>
        </w:rPr>
        <w:t>4.可高温高压消毒；</w:t>
      </w:r>
    </w:p>
    <w:p w14:paraId="2E16E4FE">
      <w:pPr>
        <w:spacing w:line="360" w:lineRule="auto"/>
        <w:contextualSpacing/>
        <w:jc w:val="left"/>
        <w:rPr>
          <w:rFonts w:ascii="宋体" w:hAnsi="宋体" w:cs="宋体"/>
          <w:color w:val="000000" w:themeColor="text1"/>
          <w:kern w:val="0"/>
          <w:sz w:val="22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kern w:val="0"/>
          <w:sz w:val="22"/>
          <w:szCs w:val="21"/>
          <w14:textFill>
            <w14:solidFill>
              <w14:schemeClr w14:val="tx1"/>
            </w14:solidFill>
          </w14:textFill>
        </w:rPr>
        <w:t>5.持针器、剪刀、镊子、阻断钳等应具备直头、弯头等不同形态，以满足手术需求</w:t>
      </w:r>
      <w:r>
        <w:rPr>
          <w:rFonts w:ascii="宋体" w:hAnsi="宋体" w:cs="宋体"/>
          <w:color w:val="000000" w:themeColor="text1"/>
          <w:kern w:val="0"/>
          <w:sz w:val="22"/>
          <w:szCs w:val="21"/>
          <w14:textFill>
            <w14:solidFill>
              <w14:schemeClr w14:val="tx1"/>
            </w14:solidFill>
          </w14:textFill>
        </w:rPr>
        <w:t>。</w:t>
      </w:r>
    </w:p>
    <w:p w14:paraId="4F351A58">
      <w:pPr>
        <w:pStyle w:val="14"/>
        <w:spacing w:line="360" w:lineRule="auto"/>
        <w:ind w:firstLine="440"/>
        <w:jc w:val="left"/>
        <w:rPr>
          <w:rFonts w:hint="eastAsia" w:ascii="宋体" w:hAnsi="宋体" w:cs="宋体" w:eastAsiaTheme="minorEastAsia"/>
          <w:color w:val="000000" w:themeColor="text1"/>
          <w:kern w:val="0"/>
          <w:sz w:val="22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 w:eastAsiaTheme="minorEastAsia"/>
          <w:color w:val="000000" w:themeColor="text1"/>
          <w:kern w:val="0"/>
          <w:sz w:val="22"/>
          <w:szCs w:val="21"/>
          <w14:textFill>
            <w14:solidFill>
              <w14:schemeClr w14:val="tx1"/>
            </w14:solidFill>
          </w14:textFill>
        </w:rPr>
        <w:t>血管外科手术器械一批清单：</w:t>
      </w:r>
    </w:p>
    <w:p w14:paraId="235078D2">
      <w:pPr>
        <w:rPr>
          <w:rFonts w:hint="eastAsia" w:ascii="宋体" w:hAnsi="宋体" w:cs="宋体" w:eastAsiaTheme="minorEastAsia"/>
          <w:color w:val="000000" w:themeColor="text1"/>
          <w:kern w:val="0"/>
          <w:sz w:val="22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 w:eastAsiaTheme="minorEastAsia"/>
          <w:color w:val="000000" w:themeColor="text1"/>
          <w:kern w:val="0"/>
          <w:sz w:val="22"/>
          <w:szCs w:val="21"/>
          <w14:textFill>
            <w14:solidFill>
              <w14:schemeClr w14:val="tx1"/>
            </w14:solidFill>
          </w14:textFill>
        </w:rPr>
        <w:br w:type="page"/>
      </w:r>
    </w:p>
    <w:tbl>
      <w:tblPr>
        <w:tblStyle w:val="9"/>
        <w:tblpPr w:leftFromText="180" w:rightFromText="180" w:vertAnchor="page" w:horzAnchor="margin" w:tblpXSpec="center" w:tblpY="1782"/>
        <w:tblW w:w="821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14"/>
        <w:gridCol w:w="1701"/>
        <w:gridCol w:w="3402"/>
      </w:tblGrid>
      <w:tr w14:paraId="67AD9E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" w:hRule="atLeast"/>
          <w:jc w:val="center"/>
        </w:trPr>
        <w:tc>
          <w:tcPr>
            <w:tcW w:w="8217" w:type="dxa"/>
            <w:gridSpan w:val="3"/>
            <w:shd w:val="clear" w:color="auto" w:fill="auto"/>
            <w:noWrap/>
            <w:vAlign w:val="center"/>
          </w:tcPr>
          <w:p w14:paraId="56C9E534">
            <w:pPr>
              <w:widowControl/>
              <w:jc w:val="center"/>
              <w:rPr>
                <w:rFonts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bookmarkStart w:id="0" w:name="_GoBack"/>
            <w:bookmarkEnd w:id="0"/>
            <w:r>
              <w:rPr>
                <w:rFonts w:hint="eastAsia" w:ascii="微软雅黑" w:hAnsi="微软雅黑" w:eastAsia="微软雅黑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血管外科手术器械一批清单</w:t>
            </w:r>
          </w:p>
        </w:tc>
      </w:tr>
      <w:tr w14:paraId="7E9508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3114" w:type="dxa"/>
            <w:shd w:val="clear" w:color="auto" w:fill="auto"/>
            <w:noWrap/>
            <w:vAlign w:val="center"/>
          </w:tcPr>
          <w:p w14:paraId="192B1F21">
            <w:pPr>
              <w:widowControl/>
              <w:jc w:val="center"/>
              <w:rPr>
                <w:rFonts w:ascii="微软雅黑" w:hAnsi="微软雅黑" w:eastAsia="微软雅黑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名称</w:t>
            </w:r>
          </w:p>
        </w:tc>
        <w:tc>
          <w:tcPr>
            <w:tcW w:w="1701" w:type="dxa"/>
          </w:tcPr>
          <w:p w14:paraId="5B7866A4">
            <w:pPr>
              <w:widowControl/>
              <w:jc w:val="center"/>
              <w:rPr>
                <w:rFonts w:ascii="微软雅黑" w:hAnsi="微软雅黑" w:eastAsia="微软雅黑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数量</w:t>
            </w:r>
          </w:p>
        </w:tc>
        <w:tc>
          <w:tcPr>
            <w:tcW w:w="3402" w:type="dxa"/>
            <w:shd w:val="clear" w:color="auto" w:fill="auto"/>
            <w:noWrap/>
            <w:vAlign w:val="center"/>
          </w:tcPr>
          <w:p w14:paraId="6FB9261B">
            <w:pPr>
              <w:widowControl/>
              <w:jc w:val="center"/>
              <w:rPr>
                <w:rFonts w:ascii="微软雅黑" w:hAnsi="微软雅黑" w:eastAsia="微软雅黑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宋体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产品材质</w:t>
            </w:r>
          </w:p>
        </w:tc>
      </w:tr>
      <w:tr w14:paraId="35F107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3114" w:type="dxa"/>
            <w:shd w:val="clear" w:color="auto" w:fill="auto"/>
            <w:noWrap/>
            <w:vAlign w:val="center"/>
          </w:tcPr>
          <w:p w14:paraId="0EC8B453">
            <w:pPr>
              <w:widowControl/>
              <w:jc w:val="center"/>
              <w:rPr>
                <w:rFonts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血管精细镊</w:t>
            </w:r>
          </w:p>
        </w:tc>
        <w:tc>
          <w:tcPr>
            <w:tcW w:w="1701" w:type="dxa"/>
          </w:tcPr>
          <w:p w14:paraId="5B4A9E4D">
            <w:pPr>
              <w:widowControl/>
              <w:jc w:val="center"/>
              <w:rPr>
                <w:rFonts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8把</w:t>
            </w:r>
          </w:p>
        </w:tc>
        <w:tc>
          <w:tcPr>
            <w:tcW w:w="3402" w:type="dxa"/>
            <w:shd w:val="clear" w:color="auto" w:fill="auto"/>
            <w:noWrap/>
            <w:vAlign w:val="center"/>
          </w:tcPr>
          <w:p w14:paraId="695AB020">
            <w:pPr>
              <w:widowControl/>
              <w:jc w:val="center"/>
              <w:rPr>
                <w:rFonts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不锈钢或合金</w:t>
            </w:r>
          </w:p>
        </w:tc>
      </w:tr>
      <w:tr w14:paraId="473FC9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3114" w:type="dxa"/>
            <w:shd w:val="clear" w:color="auto" w:fill="auto"/>
            <w:noWrap/>
            <w:vAlign w:val="center"/>
          </w:tcPr>
          <w:p w14:paraId="2D229142">
            <w:pPr>
              <w:widowControl/>
              <w:jc w:val="center"/>
              <w:rPr>
                <w:rFonts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多功能钳</w:t>
            </w:r>
          </w:p>
        </w:tc>
        <w:tc>
          <w:tcPr>
            <w:tcW w:w="1701" w:type="dxa"/>
          </w:tcPr>
          <w:p w14:paraId="3D1A6689">
            <w:pPr>
              <w:widowControl/>
              <w:jc w:val="center"/>
              <w:rPr>
                <w:rFonts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2把</w:t>
            </w:r>
          </w:p>
        </w:tc>
        <w:tc>
          <w:tcPr>
            <w:tcW w:w="3402" w:type="dxa"/>
            <w:shd w:val="clear" w:color="auto" w:fill="auto"/>
            <w:noWrap/>
            <w:vAlign w:val="center"/>
          </w:tcPr>
          <w:p w14:paraId="658B70A0">
            <w:pPr>
              <w:widowControl/>
              <w:jc w:val="center"/>
              <w:rPr>
                <w:rFonts w:ascii="微软雅黑" w:hAnsi="微软雅黑" w:eastAsia="微软雅黑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不锈钢或合金</w:t>
            </w:r>
          </w:p>
        </w:tc>
      </w:tr>
      <w:tr w14:paraId="48C3AF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3114" w:type="dxa"/>
            <w:shd w:val="clear" w:color="auto" w:fill="auto"/>
            <w:noWrap/>
            <w:vAlign w:val="center"/>
          </w:tcPr>
          <w:p w14:paraId="2D00ED80">
            <w:pPr>
              <w:widowControl/>
              <w:jc w:val="center"/>
              <w:rPr>
                <w:rFonts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导管及吻合钳</w:t>
            </w:r>
          </w:p>
        </w:tc>
        <w:tc>
          <w:tcPr>
            <w:tcW w:w="1701" w:type="dxa"/>
          </w:tcPr>
          <w:p w14:paraId="58072550">
            <w:pPr>
              <w:widowControl/>
              <w:jc w:val="center"/>
              <w:rPr>
                <w:rFonts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2把</w:t>
            </w:r>
          </w:p>
        </w:tc>
        <w:tc>
          <w:tcPr>
            <w:tcW w:w="3402" w:type="dxa"/>
            <w:shd w:val="clear" w:color="auto" w:fill="auto"/>
            <w:noWrap/>
            <w:vAlign w:val="center"/>
          </w:tcPr>
          <w:p w14:paraId="40F3E4FB">
            <w:pPr>
              <w:widowControl/>
              <w:jc w:val="center"/>
              <w:rPr>
                <w:rFonts w:ascii="微软雅黑" w:hAnsi="微软雅黑" w:eastAsia="微软雅黑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不锈钢或合金</w:t>
            </w:r>
          </w:p>
        </w:tc>
      </w:tr>
      <w:tr w14:paraId="6FD755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3114" w:type="dxa"/>
            <w:shd w:val="clear" w:color="auto" w:fill="auto"/>
            <w:noWrap/>
            <w:vAlign w:val="center"/>
          </w:tcPr>
          <w:p w14:paraId="5221FDB5">
            <w:pPr>
              <w:widowControl/>
              <w:jc w:val="center"/>
              <w:rPr>
                <w:rFonts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主动脉夹闭及侧壁钳</w:t>
            </w:r>
          </w:p>
        </w:tc>
        <w:tc>
          <w:tcPr>
            <w:tcW w:w="1701" w:type="dxa"/>
          </w:tcPr>
          <w:p w14:paraId="12F49153">
            <w:pPr>
              <w:widowControl/>
              <w:jc w:val="center"/>
              <w:rPr>
                <w:rFonts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2把</w:t>
            </w:r>
          </w:p>
        </w:tc>
        <w:tc>
          <w:tcPr>
            <w:tcW w:w="3402" w:type="dxa"/>
            <w:shd w:val="clear" w:color="auto" w:fill="auto"/>
            <w:noWrap/>
            <w:vAlign w:val="center"/>
          </w:tcPr>
          <w:p w14:paraId="7900C258">
            <w:pPr>
              <w:widowControl/>
              <w:jc w:val="center"/>
              <w:rPr>
                <w:rFonts w:ascii="微软雅黑" w:hAnsi="微软雅黑" w:eastAsia="微软雅黑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不锈钢或合金</w:t>
            </w:r>
          </w:p>
        </w:tc>
      </w:tr>
      <w:tr w14:paraId="2BD766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3114" w:type="dxa"/>
            <w:shd w:val="clear" w:color="auto" w:fill="auto"/>
            <w:noWrap/>
            <w:vAlign w:val="center"/>
          </w:tcPr>
          <w:p w14:paraId="147DDE74">
            <w:pPr>
              <w:widowControl/>
              <w:jc w:val="center"/>
              <w:rPr>
                <w:rFonts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直角钳</w:t>
            </w:r>
          </w:p>
        </w:tc>
        <w:tc>
          <w:tcPr>
            <w:tcW w:w="1701" w:type="dxa"/>
          </w:tcPr>
          <w:p w14:paraId="021E6F49">
            <w:pPr>
              <w:widowControl/>
              <w:jc w:val="center"/>
              <w:rPr>
                <w:rFonts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4把</w:t>
            </w:r>
          </w:p>
        </w:tc>
        <w:tc>
          <w:tcPr>
            <w:tcW w:w="3402" w:type="dxa"/>
            <w:shd w:val="clear" w:color="auto" w:fill="auto"/>
            <w:noWrap/>
            <w:vAlign w:val="center"/>
          </w:tcPr>
          <w:p w14:paraId="188814C8">
            <w:pPr>
              <w:widowControl/>
              <w:jc w:val="center"/>
              <w:rPr>
                <w:rFonts w:ascii="微软雅黑" w:hAnsi="微软雅黑" w:eastAsia="微软雅黑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不锈钢或合金</w:t>
            </w:r>
          </w:p>
        </w:tc>
      </w:tr>
      <w:tr w14:paraId="5434AB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3114" w:type="dxa"/>
            <w:shd w:val="clear" w:color="auto" w:fill="auto"/>
            <w:noWrap/>
            <w:vAlign w:val="center"/>
          </w:tcPr>
          <w:p w14:paraId="7FBF3544">
            <w:pPr>
              <w:widowControl/>
              <w:jc w:val="center"/>
              <w:rPr>
                <w:rFonts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哈巴狗钳</w:t>
            </w:r>
          </w:p>
        </w:tc>
        <w:tc>
          <w:tcPr>
            <w:tcW w:w="1701" w:type="dxa"/>
          </w:tcPr>
          <w:p w14:paraId="6D2F41E9">
            <w:pPr>
              <w:widowControl/>
              <w:jc w:val="center"/>
              <w:rPr>
                <w:rFonts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6把</w:t>
            </w:r>
          </w:p>
        </w:tc>
        <w:tc>
          <w:tcPr>
            <w:tcW w:w="3402" w:type="dxa"/>
            <w:shd w:val="clear" w:color="auto" w:fill="auto"/>
            <w:noWrap/>
            <w:vAlign w:val="center"/>
          </w:tcPr>
          <w:p w14:paraId="0BD0320E">
            <w:pPr>
              <w:widowControl/>
              <w:jc w:val="center"/>
              <w:rPr>
                <w:rFonts w:ascii="微软雅黑" w:hAnsi="微软雅黑" w:eastAsia="微软雅黑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不锈钢或合金</w:t>
            </w:r>
          </w:p>
        </w:tc>
      </w:tr>
      <w:tr w14:paraId="1F6709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3114" w:type="dxa"/>
            <w:shd w:val="clear" w:color="auto" w:fill="auto"/>
            <w:noWrap/>
            <w:vAlign w:val="center"/>
          </w:tcPr>
          <w:p w14:paraId="3CB93113">
            <w:pPr>
              <w:widowControl/>
              <w:jc w:val="center"/>
              <w:rPr>
                <w:rFonts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无创阻断钳</w:t>
            </w:r>
          </w:p>
        </w:tc>
        <w:tc>
          <w:tcPr>
            <w:tcW w:w="1701" w:type="dxa"/>
          </w:tcPr>
          <w:p w14:paraId="11E3BAE0">
            <w:pPr>
              <w:widowControl/>
              <w:jc w:val="center"/>
              <w:rPr>
                <w:rFonts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6把</w:t>
            </w:r>
          </w:p>
        </w:tc>
        <w:tc>
          <w:tcPr>
            <w:tcW w:w="3402" w:type="dxa"/>
            <w:shd w:val="clear" w:color="auto" w:fill="auto"/>
            <w:noWrap/>
            <w:vAlign w:val="center"/>
          </w:tcPr>
          <w:p w14:paraId="36320767">
            <w:pPr>
              <w:widowControl/>
              <w:jc w:val="center"/>
              <w:rPr>
                <w:rFonts w:ascii="微软雅黑" w:hAnsi="微软雅黑" w:eastAsia="微软雅黑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不锈钢或合金</w:t>
            </w:r>
          </w:p>
        </w:tc>
      </w:tr>
      <w:tr w14:paraId="2F8A08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3114" w:type="dxa"/>
            <w:shd w:val="clear" w:color="auto" w:fill="auto"/>
            <w:noWrap/>
            <w:vAlign w:val="center"/>
          </w:tcPr>
          <w:p w14:paraId="010618BA">
            <w:pPr>
              <w:widowControl/>
              <w:jc w:val="center"/>
              <w:rPr>
                <w:rFonts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心耳钳</w:t>
            </w:r>
          </w:p>
        </w:tc>
        <w:tc>
          <w:tcPr>
            <w:tcW w:w="1701" w:type="dxa"/>
          </w:tcPr>
          <w:p w14:paraId="556FF00B">
            <w:pPr>
              <w:widowControl/>
              <w:jc w:val="center"/>
              <w:rPr>
                <w:rFonts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2把</w:t>
            </w:r>
          </w:p>
        </w:tc>
        <w:tc>
          <w:tcPr>
            <w:tcW w:w="3402" w:type="dxa"/>
            <w:shd w:val="clear" w:color="auto" w:fill="auto"/>
            <w:noWrap/>
            <w:vAlign w:val="center"/>
          </w:tcPr>
          <w:p w14:paraId="4DD8029A">
            <w:pPr>
              <w:widowControl/>
              <w:jc w:val="center"/>
              <w:rPr>
                <w:rFonts w:ascii="微软雅黑" w:hAnsi="微软雅黑" w:eastAsia="微软雅黑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不锈钢或合金</w:t>
            </w:r>
          </w:p>
        </w:tc>
      </w:tr>
      <w:tr w14:paraId="24550A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3114" w:type="dxa"/>
            <w:shd w:val="clear" w:color="auto" w:fill="auto"/>
            <w:noWrap/>
            <w:vAlign w:val="center"/>
          </w:tcPr>
          <w:p w14:paraId="37164384">
            <w:pPr>
              <w:widowControl/>
              <w:jc w:val="center"/>
              <w:rPr>
                <w:rFonts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自动牵开器</w:t>
            </w:r>
          </w:p>
        </w:tc>
        <w:tc>
          <w:tcPr>
            <w:tcW w:w="1701" w:type="dxa"/>
          </w:tcPr>
          <w:p w14:paraId="5251F3E7">
            <w:pPr>
              <w:widowControl/>
              <w:jc w:val="center"/>
              <w:rPr>
                <w:rFonts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4把</w:t>
            </w:r>
          </w:p>
        </w:tc>
        <w:tc>
          <w:tcPr>
            <w:tcW w:w="3402" w:type="dxa"/>
            <w:shd w:val="clear" w:color="auto" w:fill="auto"/>
            <w:noWrap/>
            <w:vAlign w:val="center"/>
          </w:tcPr>
          <w:p w14:paraId="568EB683">
            <w:pPr>
              <w:widowControl/>
              <w:jc w:val="center"/>
              <w:rPr>
                <w:rFonts w:ascii="微软雅黑" w:hAnsi="微软雅黑" w:eastAsia="微软雅黑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不锈钢或合金</w:t>
            </w:r>
          </w:p>
        </w:tc>
      </w:tr>
      <w:tr w14:paraId="7A4B76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3114" w:type="dxa"/>
            <w:shd w:val="clear" w:color="auto" w:fill="auto"/>
            <w:noWrap/>
            <w:vAlign w:val="center"/>
          </w:tcPr>
          <w:p w14:paraId="15C31E6E">
            <w:pPr>
              <w:widowControl/>
              <w:jc w:val="center"/>
              <w:rPr>
                <w:rFonts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分离钳</w:t>
            </w:r>
          </w:p>
        </w:tc>
        <w:tc>
          <w:tcPr>
            <w:tcW w:w="1701" w:type="dxa"/>
          </w:tcPr>
          <w:p w14:paraId="3FF91EAC">
            <w:pPr>
              <w:widowControl/>
              <w:jc w:val="center"/>
              <w:rPr>
                <w:rFonts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2把</w:t>
            </w:r>
          </w:p>
        </w:tc>
        <w:tc>
          <w:tcPr>
            <w:tcW w:w="3402" w:type="dxa"/>
            <w:shd w:val="clear" w:color="auto" w:fill="auto"/>
            <w:noWrap/>
            <w:vAlign w:val="center"/>
          </w:tcPr>
          <w:p w14:paraId="3D056FFB">
            <w:pPr>
              <w:widowControl/>
              <w:jc w:val="center"/>
              <w:rPr>
                <w:rFonts w:ascii="微软雅黑" w:hAnsi="微软雅黑" w:eastAsia="微软雅黑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不锈钢或合金</w:t>
            </w:r>
          </w:p>
        </w:tc>
      </w:tr>
      <w:tr w14:paraId="18528C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3114" w:type="dxa"/>
            <w:shd w:val="clear" w:color="auto" w:fill="auto"/>
            <w:noWrap/>
            <w:vAlign w:val="center"/>
          </w:tcPr>
          <w:p w14:paraId="520EFF43">
            <w:pPr>
              <w:widowControl/>
              <w:jc w:val="center"/>
              <w:rPr>
                <w:rFonts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血管持针器</w:t>
            </w:r>
          </w:p>
        </w:tc>
        <w:tc>
          <w:tcPr>
            <w:tcW w:w="1701" w:type="dxa"/>
          </w:tcPr>
          <w:p w14:paraId="05F29222">
            <w:pPr>
              <w:widowControl/>
              <w:jc w:val="center"/>
              <w:rPr>
                <w:rFonts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6把</w:t>
            </w:r>
          </w:p>
        </w:tc>
        <w:tc>
          <w:tcPr>
            <w:tcW w:w="3402" w:type="dxa"/>
            <w:shd w:val="clear" w:color="auto" w:fill="auto"/>
            <w:noWrap/>
            <w:vAlign w:val="center"/>
          </w:tcPr>
          <w:p w14:paraId="6B1849F9">
            <w:pPr>
              <w:widowControl/>
              <w:jc w:val="center"/>
              <w:rPr>
                <w:rFonts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不锈钢或合金</w:t>
            </w:r>
          </w:p>
        </w:tc>
      </w:tr>
      <w:tr w14:paraId="623BF4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3114" w:type="dxa"/>
            <w:shd w:val="clear" w:color="auto" w:fill="auto"/>
            <w:noWrap/>
            <w:vAlign w:val="center"/>
          </w:tcPr>
          <w:p w14:paraId="39A33CD7">
            <w:pPr>
              <w:widowControl/>
              <w:jc w:val="center"/>
              <w:rPr>
                <w:rFonts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血管及组织剪</w:t>
            </w:r>
          </w:p>
        </w:tc>
        <w:tc>
          <w:tcPr>
            <w:tcW w:w="1701" w:type="dxa"/>
          </w:tcPr>
          <w:p w14:paraId="6E3F6447">
            <w:pPr>
              <w:widowControl/>
              <w:jc w:val="center"/>
              <w:rPr>
                <w:rFonts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6把</w:t>
            </w:r>
          </w:p>
        </w:tc>
        <w:tc>
          <w:tcPr>
            <w:tcW w:w="3402" w:type="dxa"/>
            <w:shd w:val="clear" w:color="auto" w:fill="auto"/>
            <w:noWrap/>
            <w:vAlign w:val="center"/>
          </w:tcPr>
          <w:p w14:paraId="05734B52">
            <w:pPr>
              <w:widowControl/>
              <w:jc w:val="center"/>
              <w:rPr>
                <w:rFonts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不锈钢或合金</w:t>
            </w:r>
          </w:p>
        </w:tc>
      </w:tr>
      <w:tr w14:paraId="4F14FC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3114" w:type="dxa"/>
            <w:shd w:val="clear" w:color="auto" w:fill="auto"/>
            <w:noWrap/>
            <w:vAlign w:val="center"/>
          </w:tcPr>
          <w:p w14:paraId="1F3D9B1E">
            <w:pPr>
              <w:widowControl/>
              <w:jc w:val="center"/>
              <w:rPr>
                <w:rFonts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吸引管</w:t>
            </w:r>
          </w:p>
        </w:tc>
        <w:tc>
          <w:tcPr>
            <w:tcW w:w="1701" w:type="dxa"/>
          </w:tcPr>
          <w:p w14:paraId="129CE380">
            <w:pPr>
              <w:widowControl/>
              <w:jc w:val="center"/>
              <w:rPr>
                <w:rFonts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2把</w:t>
            </w:r>
          </w:p>
        </w:tc>
        <w:tc>
          <w:tcPr>
            <w:tcW w:w="3402" w:type="dxa"/>
            <w:shd w:val="clear" w:color="auto" w:fill="auto"/>
            <w:noWrap/>
            <w:vAlign w:val="center"/>
          </w:tcPr>
          <w:p w14:paraId="59B4660E">
            <w:pPr>
              <w:widowControl/>
              <w:jc w:val="center"/>
              <w:rPr>
                <w:rFonts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不锈钢或合金</w:t>
            </w:r>
          </w:p>
        </w:tc>
      </w:tr>
      <w:tr w14:paraId="1D8CD2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3114" w:type="dxa"/>
            <w:shd w:val="clear" w:color="auto" w:fill="auto"/>
            <w:noWrap/>
            <w:vAlign w:val="center"/>
          </w:tcPr>
          <w:p w14:paraId="4909D3F0">
            <w:pPr>
              <w:widowControl/>
              <w:jc w:val="center"/>
              <w:rPr>
                <w:rFonts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弯血管夹（左右弯）</w:t>
            </w:r>
          </w:p>
        </w:tc>
        <w:tc>
          <w:tcPr>
            <w:tcW w:w="1701" w:type="dxa"/>
          </w:tcPr>
          <w:p w14:paraId="1D46FEF6">
            <w:pPr>
              <w:widowControl/>
              <w:jc w:val="center"/>
              <w:rPr>
                <w:rFonts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2把</w:t>
            </w:r>
          </w:p>
        </w:tc>
        <w:tc>
          <w:tcPr>
            <w:tcW w:w="3402" w:type="dxa"/>
            <w:shd w:val="clear" w:color="auto" w:fill="auto"/>
            <w:noWrap/>
            <w:vAlign w:val="center"/>
          </w:tcPr>
          <w:p w14:paraId="3559A06E">
            <w:pPr>
              <w:widowControl/>
              <w:jc w:val="center"/>
              <w:rPr>
                <w:rFonts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不锈钢或合金</w:t>
            </w:r>
          </w:p>
        </w:tc>
      </w:tr>
      <w:tr w14:paraId="07B11F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3114" w:type="dxa"/>
            <w:shd w:val="clear" w:color="auto" w:fill="auto"/>
            <w:noWrap/>
            <w:vAlign w:val="center"/>
          </w:tcPr>
          <w:p w14:paraId="3189DE0C">
            <w:pPr>
              <w:widowControl/>
              <w:jc w:val="center"/>
              <w:rPr>
                <w:rFonts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神经剥离子及紧线拉勾</w:t>
            </w:r>
          </w:p>
        </w:tc>
        <w:tc>
          <w:tcPr>
            <w:tcW w:w="1701" w:type="dxa"/>
          </w:tcPr>
          <w:p w14:paraId="72841A62">
            <w:pPr>
              <w:widowControl/>
              <w:jc w:val="center"/>
              <w:rPr>
                <w:rFonts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2把</w:t>
            </w:r>
          </w:p>
        </w:tc>
        <w:tc>
          <w:tcPr>
            <w:tcW w:w="3402" w:type="dxa"/>
            <w:shd w:val="clear" w:color="auto" w:fill="auto"/>
            <w:noWrap/>
            <w:vAlign w:val="center"/>
          </w:tcPr>
          <w:p w14:paraId="14244C89">
            <w:pPr>
              <w:widowControl/>
              <w:jc w:val="center"/>
              <w:rPr>
                <w:rFonts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不锈钢或合金</w:t>
            </w:r>
          </w:p>
        </w:tc>
      </w:tr>
      <w:tr w14:paraId="4CAA96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3114" w:type="dxa"/>
            <w:shd w:val="clear" w:color="auto" w:fill="auto"/>
            <w:noWrap/>
            <w:vAlign w:val="center"/>
          </w:tcPr>
          <w:p w14:paraId="4E241ECD">
            <w:pPr>
              <w:widowControl/>
              <w:jc w:val="center"/>
              <w:rPr>
                <w:rFonts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转流钳</w:t>
            </w:r>
          </w:p>
        </w:tc>
        <w:tc>
          <w:tcPr>
            <w:tcW w:w="1701" w:type="dxa"/>
          </w:tcPr>
          <w:p w14:paraId="79ED8C8B">
            <w:pPr>
              <w:widowControl/>
              <w:jc w:val="center"/>
              <w:rPr>
                <w:rFonts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2把</w:t>
            </w:r>
          </w:p>
        </w:tc>
        <w:tc>
          <w:tcPr>
            <w:tcW w:w="3402" w:type="dxa"/>
            <w:shd w:val="clear" w:color="auto" w:fill="auto"/>
            <w:noWrap/>
            <w:vAlign w:val="center"/>
          </w:tcPr>
          <w:p w14:paraId="5549D0C5">
            <w:pPr>
              <w:widowControl/>
              <w:jc w:val="center"/>
              <w:rPr>
                <w:rFonts w:ascii="微软雅黑" w:hAnsi="微软雅黑" w:eastAsia="微软雅黑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不锈钢或合金</w:t>
            </w:r>
          </w:p>
        </w:tc>
      </w:tr>
      <w:tr w14:paraId="5F7DA3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3114" w:type="dxa"/>
            <w:shd w:val="clear" w:color="auto" w:fill="auto"/>
            <w:noWrap/>
            <w:vAlign w:val="center"/>
          </w:tcPr>
          <w:p w14:paraId="50B419CB">
            <w:pPr>
              <w:widowControl/>
              <w:jc w:val="center"/>
              <w:rPr>
                <w:rFonts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隧道器</w:t>
            </w:r>
          </w:p>
        </w:tc>
        <w:tc>
          <w:tcPr>
            <w:tcW w:w="1701" w:type="dxa"/>
          </w:tcPr>
          <w:p w14:paraId="528B2F41">
            <w:pPr>
              <w:widowControl/>
              <w:jc w:val="center"/>
              <w:rPr>
                <w:rFonts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2条</w:t>
            </w:r>
          </w:p>
        </w:tc>
        <w:tc>
          <w:tcPr>
            <w:tcW w:w="3402" w:type="dxa"/>
            <w:shd w:val="clear" w:color="auto" w:fill="auto"/>
            <w:noWrap/>
            <w:vAlign w:val="center"/>
          </w:tcPr>
          <w:p w14:paraId="2B370E29">
            <w:pPr>
              <w:widowControl/>
              <w:jc w:val="center"/>
              <w:rPr>
                <w:rFonts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不锈钢或合金</w:t>
            </w:r>
          </w:p>
        </w:tc>
      </w:tr>
      <w:tr w14:paraId="161A06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3114" w:type="dxa"/>
            <w:shd w:val="clear" w:color="auto" w:fill="auto"/>
            <w:noWrap/>
            <w:vAlign w:val="center"/>
          </w:tcPr>
          <w:p w14:paraId="24E2252A">
            <w:pPr>
              <w:widowControl/>
              <w:jc w:val="center"/>
              <w:rPr>
                <w:rFonts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拉钩</w:t>
            </w:r>
          </w:p>
        </w:tc>
        <w:tc>
          <w:tcPr>
            <w:tcW w:w="1701" w:type="dxa"/>
          </w:tcPr>
          <w:p w14:paraId="5892D1B1">
            <w:pPr>
              <w:widowControl/>
              <w:jc w:val="center"/>
              <w:rPr>
                <w:rFonts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4把</w:t>
            </w:r>
          </w:p>
        </w:tc>
        <w:tc>
          <w:tcPr>
            <w:tcW w:w="3402" w:type="dxa"/>
            <w:shd w:val="clear" w:color="auto" w:fill="auto"/>
            <w:noWrap/>
            <w:vAlign w:val="center"/>
          </w:tcPr>
          <w:p w14:paraId="52125B89">
            <w:pPr>
              <w:widowControl/>
              <w:jc w:val="center"/>
              <w:rPr>
                <w:rFonts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宋体"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  <w:t>不锈钢或合金</w:t>
            </w:r>
          </w:p>
        </w:tc>
      </w:tr>
      <w:tr w14:paraId="503C6F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3114" w:type="dxa"/>
            <w:shd w:val="clear" w:color="auto" w:fill="auto"/>
            <w:noWrap/>
            <w:vAlign w:val="center"/>
          </w:tcPr>
          <w:p w14:paraId="7E99EE7E">
            <w:pPr>
              <w:widowControl/>
              <w:jc w:val="center"/>
              <w:rPr>
                <w:rFonts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消毒盒</w:t>
            </w:r>
          </w:p>
        </w:tc>
        <w:tc>
          <w:tcPr>
            <w:tcW w:w="1701" w:type="dxa"/>
          </w:tcPr>
          <w:p w14:paraId="4462CCA6">
            <w:pPr>
              <w:widowControl/>
              <w:jc w:val="center"/>
              <w:rPr>
                <w:rFonts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4个</w:t>
            </w:r>
          </w:p>
        </w:tc>
        <w:tc>
          <w:tcPr>
            <w:tcW w:w="3402" w:type="dxa"/>
            <w:shd w:val="clear" w:color="auto" w:fill="auto"/>
            <w:noWrap/>
            <w:vAlign w:val="center"/>
          </w:tcPr>
          <w:p w14:paraId="2E004A38">
            <w:pPr>
              <w:widowControl/>
              <w:jc w:val="center"/>
              <w:rPr>
                <w:rFonts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PPSU或硬塑</w:t>
            </w:r>
          </w:p>
        </w:tc>
      </w:tr>
    </w:tbl>
    <w:p w14:paraId="319297F4">
      <w:pPr>
        <w:pStyle w:val="14"/>
        <w:spacing w:line="360" w:lineRule="auto"/>
        <w:ind w:firstLine="440"/>
        <w:jc w:val="left"/>
        <w:rPr>
          <w:rFonts w:ascii="宋体" w:hAnsi="宋体" w:cs="宋体" w:eastAsiaTheme="minorEastAsia"/>
          <w:color w:val="000000" w:themeColor="text1"/>
          <w:kern w:val="0"/>
          <w:sz w:val="22"/>
          <w:szCs w:val="21"/>
          <w14:textFill>
            <w14:solidFill>
              <w14:schemeClr w14:val="tx1"/>
            </w14:solidFill>
          </w14:textFill>
        </w:rPr>
      </w:pPr>
    </w:p>
    <w:p w14:paraId="659F4E4C">
      <w:pPr>
        <w:pStyle w:val="14"/>
        <w:spacing w:line="360" w:lineRule="auto"/>
        <w:ind w:firstLine="440"/>
        <w:jc w:val="left"/>
        <w:rPr>
          <w:rFonts w:ascii="宋体" w:hAnsi="宋体" w:cs="宋体" w:eastAsiaTheme="minorEastAsia"/>
          <w:color w:val="000000" w:themeColor="text1"/>
          <w:kern w:val="0"/>
          <w:sz w:val="22"/>
          <w:szCs w:val="21"/>
          <w14:textFill>
            <w14:solidFill>
              <w14:schemeClr w14:val="tx1"/>
            </w14:solidFill>
          </w14:textFill>
        </w:rPr>
      </w:pPr>
    </w:p>
    <w:p w14:paraId="04BE3511">
      <w:pPr>
        <w:pStyle w:val="14"/>
        <w:spacing w:line="360" w:lineRule="auto"/>
        <w:ind w:firstLine="440"/>
        <w:jc w:val="left"/>
        <w:rPr>
          <w:rFonts w:ascii="宋体" w:hAnsi="宋体" w:cs="宋体" w:eastAsiaTheme="minorEastAsia"/>
          <w:color w:val="000000" w:themeColor="text1"/>
          <w:kern w:val="0"/>
          <w:sz w:val="22"/>
          <w:szCs w:val="21"/>
          <w14:textFill>
            <w14:solidFill>
              <w14:schemeClr w14:val="tx1"/>
            </w14:solidFill>
          </w14:textFill>
        </w:rPr>
      </w:pPr>
    </w:p>
    <w:p w14:paraId="583F0CEF">
      <w:pPr>
        <w:pStyle w:val="14"/>
        <w:spacing w:line="360" w:lineRule="auto"/>
        <w:ind w:firstLine="440"/>
        <w:jc w:val="left"/>
        <w:rPr>
          <w:rFonts w:ascii="宋体" w:hAnsi="宋体" w:cs="宋体" w:eastAsiaTheme="minorEastAsia"/>
          <w:color w:val="000000" w:themeColor="text1"/>
          <w:kern w:val="0"/>
          <w:sz w:val="22"/>
          <w:szCs w:val="21"/>
          <w14:textFill>
            <w14:solidFill>
              <w14:schemeClr w14:val="tx1"/>
            </w14:solidFill>
          </w14:textFill>
        </w:rPr>
      </w:pPr>
    </w:p>
    <w:p w14:paraId="7272687C">
      <w:pPr>
        <w:pStyle w:val="14"/>
        <w:spacing w:line="360" w:lineRule="auto"/>
        <w:ind w:firstLine="440"/>
        <w:jc w:val="left"/>
        <w:rPr>
          <w:rFonts w:ascii="宋体" w:hAnsi="宋体" w:cs="宋体" w:eastAsiaTheme="minorEastAsia"/>
          <w:color w:val="000000" w:themeColor="text1"/>
          <w:kern w:val="0"/>
          <w:sz w:val="22"/>
          <w:szCs w:val="21"/>
          <w14:textFill>
            <w14:solidFill>
              <w14:schemeClr w14:val="tx1"/>
            </w14:solidFill>
          </w14:textFill>
        </w:rPr>
      </w:pPr>
    </w:p>
    <w:p w14:paraId="7D2FC8F9">
      <w:pPr>
        <w:pStyle w:val="14"/>
        <w:spacing w:line="360" w:lineRule="auto"/>
        <w:ind w:firstLine="440"/>
        <w:jc w:val="left"/>
        <w:rPr>
          <w:rFonts w:ascii="宋体" w:hAnsi="宋体" w:cs="宋体" w:eastAsiaTheme="minorEastAsia"/>
          <w:color w:val="000000" w:themeColor="text1"/>
          <w:kern w:val="0"/>
          <w:sz w:val="22"/>
          <w:szCs w:val="21"/>
          <w14:textFill>
            <w14:solidFill>
              <w14:schemeClr w14:val="tx1"/>
            </w14:solidFill>
          </w14:textFill>
        </w:rPr>
      </w:pPr>
    </w:p>
    <w:p w14:paraId="72924B5E">
      <w:pPr>
        <w:pStyle w:val="14"/>
        <w:spacing w:line="360" w:lineRule="auto"/>
        <w:ind w:firstLine="440"/>
        <w:jc w:val="left"/>
        <w:rPr>
          <w:rFonts w:ascii="宋体" w:hAnsi="宋体" w:cs="宋体" w:eastAsiaTheme="minorEastAsia"/>
          <w:color w:val="000000" w:themeColor="text1"/>
          <w:kern w:val="0"/>
          <w:sz w:val="22"/>
          <w:szCs w:val="21"/>
          <w14:textFill>
            <w14:solidFill>
              <w14:schemeClr w14:val="tx1"/>
            </w14:solidFill>
          </w14:textFill>
        </w:rPr>
      </w:pPr>
    </w:p>
    <w:p w14:paraId="67032C13">
      <w:pPr>
        <w:pStyle w:val="14"/>
        <w:spacing w:line="360" w:lineRule="auto"/>
        <w:ind w:firstLine="440"/>
        <w:jc w:val="left"/>
        <w:rPr>
          <w:rFonts w:ascii="宋体" w:hAnsi="宋体" w:cs="宋体" w:eastAsiaTheme="minorEastAsia"/>
          <w:color w:val="000000" w:themeColor="text1"/>
          <w:kern w:val="0"/>
          <w:sz w:val="22"/>
          <w:szCs w:val="21"/>
          <w14:textFill>
            <w14:solidFill>
              <w14:schemeClr w14:val="tx1"/>
            </w14:solidFill>
          </w14:textFill>
        </w:rPr>
      </w:pPr>
    </w:p>
    <w:p w14:paraId="048B10D9">
      <w:pPr>
        <w:pStyle w:val="14"/>
        <w:spacing w:line="360" w:lineRule="auto"/>
        <w:ind w:firstLine="440"/>
        <w:jc w:val="left"/>
        <w:rPr>
          <w:rFonts w:ascii="宋体" w:hAnsi="宋体" w:cs="宋体" w:eastAsiaTheme="minorEastAsia"/>
          <w:color w:val="000000" w:themeColor="text1"/>
          <w:kern w:val="0"/>
          <w:sz w:val="22"/>
          <w:szCs w:val="21"/>
          <w14:textFill>
            <w14:solidFill>
              <w14:schemeClr w14:val="tx1"/>
            </w14:solidFill>
          </w14:textFill>
        </w:rPr>
      </w:pPr>
    </w:p>
    <w:p w14:paraId="07489222">
      <w:pPr>
        <w:pStyle w:val="14"/>
        <w:spacing w:line="360" w:lineRule="auto"/>
        <w:ind w:firstLine="440"/>
        <w:jc w:val="left"/>
        <w:rPr>
          <w:rFonts w:ascii="宋体" w:hAnsi="宋体" w:cs="宋体" w:eastAsiaTheme="minorEastAsia"/>
          <w:color w:val="000000" w:themeColor="text1"/>
          <w:kern w:val="0"/>
          <w:sz w:val="22"/>
          <w:szCs w:val="21"/>
          <w14:textFill>
            <w14:solidFill>
              <w14:schemeClr w14:val="tx1"/>
            </w14:solidFill>
          </w14:textFill>
        </w:rPr>
      </w:pPr>
    </w:p>
    <w:p w14:paraId="59BCDF5C">
      <w:pPr>
        <w:pStyle w:val="14"/>
        <w:spacing w:line="360" w:lineRule="auto"/>
        <w:ind w:firstLine="440"/>
        <w:jc w:val="left"/>
        <w:rPr>
          <w:rFonts w:ascii="宋体" w:hAnsi="宋体" w:cs="宋体" w:eastAsiaTheme="minorEastAsia"/>
          <w:color w:val="000000" w:themeColor="text1"/>
          <w:kern w:val="0"/>
          <w:sz w:val="22"/>
          <w:szCs w:val="21"/>
          <w14:textFill>
            <w14:solidFill>
              <w14:schemeClr w14:val="tx1"/>
            </w14:solidFill>
          </w14:textFill>
        </w:rPr>
      </w:pPr>
    </w:p>
    <w:p w14:paraId="009CBD10">
      <w:pPr>
        <w:pStyle w:val="14"/>
        <w:spacing w:line="360" w:lineRule="auto"/>
        <w:ind w:firstLine="440"/>
        <w:jc w:val="left"/>
        <w:rPr>
          <w:rFonts w:ascii="宋体" w:hAnsi="宋体" w:cs="宋体" w:eastAsiaTheme="minorEastAsia"/>
          <w:color w:val="000000" w:themeColor="text1"/>
          <w:kern w:val="0"/>
          <w:sz w:val="22"/>
          <w:szCs w:val="21"/>
          <w14:textFill>
            <w14:solidFill>
              <w14:schemeClr w14:val="tx1"/>
            </w14:solidFill>
          </w14:textFill>
        </w:rPr>
      </w:pPr>
    </w:p>
    <w:p w14:paraId="31FB6F2E">
      <w:pPr>
        <w:pStyle w:val="14"/>
        <w:spacing w:line="360" w:lineRule="auto"/>
        <w:ind w:firstLine="440"/>
        <w:jc w:val="left"/>
        <w:rPr>
          <w:rFonts w:ascii="宋体" w:hAnsi="宋体" w:cs="宋体" w:eastAsiaTheme="minorEastAsia"/>
          <w:color w:val="000000" w:themeColor="text1"/>
          <w:kern w:val="0"/>
          <w:sz w:val="22"/>
          <w:szCs w:val="21"/>
          <w14:textFill>
            <w14:solidFill>
              <w14:schemeClr w14:val="tx1"/>
            </w14:solidFill>
          </w14:textFill>
        </w:rPr>
      </w:pPr>
    </w:p>
    <w:p w14:paraId="4443652A">
      <w:pPr>
        <w:pStyle w:val="14"/>
        <w:spacing w:line="360" w:lineRule="auto"/>
        <w:ind w:firstLine="440"/>
        <w:jc w:val="left"/>
        <w:rPr>
          <w:rFonts w:ascii="宋体" w:hAnsi="宋体" w:cs="宋体" w:eastAsiaTheme="minorEastAsia"/>
          <w:color w:val="000000" w:themeColor="text1"/>
          <w:kern w:val="0"/>
          <w:sz w:val="22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 w:eastAsiaTheme="minorEastAsia"/>
          <w:color w:val="000000" w:themeColor="text1"/>
          <w:kern w:val="0"/>
          <w:sz w:val="22"/>
          <w:szCs w:val="21"/>
          <w14:textFill>
            <w14:solidFill>
              <w14:schemeClr w14:val="tx1"/>
            </w14:solidFill>
          </w14:textFill>
        </w:rPr>
        <w:t>：</w:t>
      </w:r>
    </w:p>
    <w:p w14:paraId="35B82577">
      <w:pPr>
        <w:rPr>
          <w:rFonts w:ascii="宋体" w:hAnsi="宋体" w:cs="宋体"/>
          <w:color w:val="000000" w:themeColor="text1"/>
          <w:kern w:val="0"/>
          <w:sz w:val="22"/>
          <w:szCs w:val="21"/>
          <w14:textFill>
            <w14:solidFill>
              <w14:schemeClr w14:val="tx1"/>
            </w14:solidFill>
          </w14:textFill>
        </w:rPr>
      </w:pPr>
    </w:p>
    <w:p w14:paraId="621B639F">
      <w:pPr>
        <w:rPr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70F27F9E">
      <w:pPr>
        <w:rPr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7C39CBEB">
      <w:pPr>
        <w:rPr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0AD09B28">
      <w:pPr>
        <w:rPr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3AF3313B">
      <w:pPr>
        <w:rPr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301650BE">
      <w:pPr>
        <w:rPr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12291BE9">
      <w:pPr>
        <w:rPr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7D77B204">
      <w:pPr>
        <w:rPr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7B4FF193">
      <w:pPr>
        <w:rPr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1BCB5618">
      <w:pPr>
        <w:rPr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520F6502">
      <w:pPr>
        <w:rPr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4F4515CC">
      <w:pPr>
        <w:rPr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附件2：</w:t>
      </w:r>
    </w:p>
    <w:p w14:paraId="4E054A9C">
      <w:pPr>
        <w:jc w:val="center"/>
        <w:rPr>
          <w:rFonts w:ascii="宋体" w:hAnsi="宋体" w:eastAsia="宋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江西省政府采购供应商资格信用承诺函</w:t>
      </w:r>
    </w:p>
    <w:p w14:paraId="7BE5A968">
      <w:pPr>
        <w:spacing w:line="360" w:lineRule="auto"/>
        <w:rPr>
          <w:rFonts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致(采购人或政府采购代理机构):</w:t>
      </w:r>
    </w:p>
    <w:p w14:paraId="1B538911">
      <w:pPr>
        <w:spacing w:line="360" w:lineRule="auto"/>
        <w:ind w:firstLine="560" w:firstLineChars="200"/>
        <w:rPr>
          <w:rFonts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单位名称(自然人姓名):</w:t>
      </w:r>
    </w:p>
    <w:p w14:paraId="52A59AA8">
      <w:pPr>
        <w:spacing w:line="360" w:lineRule="auto"/>
        <w:ind w:firstLine="560" w:firstLineChars="200"/>
        <w:rPr>
          <w:rFonts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统一社会信用代码(身份证号码):</w:t>
      </w:r>
    </w:p>
    <w:p w14:paraId="4E5E4DF7">
      <w:pPr>
        <w:spacing w:line="360" w:lineRule="auto"/>
        <w:ind w:firstLine="560" w:firstLineChars="200"/>
        <w:rPr>
          <w:rFonts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法定代表人(负责人):</w:t>
      </w:r>
    </w:p>
    <w:p w14:paraId="6FC75EE9">
      <w:pPr>
        <w:spacing w:line="360" w:lineRule="auto"/>
        <w:ind w:firstLine="560" w:firstLineChars="200"/>
        <w:rPr>
          <w:rFonts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联系地址和电话:</w:t>
      </w:r>
    </w:p>
    <w:p w14:paraId="0A7ECD55">
      <w:pPr>
        <w:spacing w:line="360" w:lineRule="auto"/>
        <w:ind w:firstLine="560" w:firstLineChars="200"/>
        <w:jc w:val="left"/>
        <w:rPr>
          <w:rFonts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我单位 (本人)自愿参加本次政府采购活动，严格遵守《中华人民共和国政府采购法》及相关法律法规，坚守公开、公平、公正和诚实信用等原则，依法诚信经营，并郑重承诺:</w:t>
      </w:r>
    </w:p>
    <w:p w14:paraId="1265417C">
      <w:pPr>
        <w:spacing w:line="360" w:lineRule="auto"/>
        <w:ind w:firstLine="560" w:firstLineChars="200"/>
        <w:jc w:val="left"/>
        <w:rPr>
          <w:rFonts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(一)我单位(本人)符合采购文件要求以及《中华人民共和国政府采购法》第二十二条规定的条件:</w:t>
      </w:r>
    </w:p>
    <w:p w14:paraId="269726A6">
      <w:pPr>
        <w:spacing w:line="360" w:lineRule="auto"/>
        <w:ind w:firstLine="560" w:firstLineChars="200"/>
        <w:rPr>
          <w:rFonts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1.具有独立承担民事责任的能力;</w:t>
      </w:r>
    </w:p>
    <w:p w14:paraId="1C107058">
      <w:pPr>
        <w:spacing w:line="360" w:lineRule="auto"/>
        <w:ind w:firstLine="560" w:firstLineChars="200"/>
        <w:rPr>
          <w:rFonts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2.具有良好的商业信誉和健全的财务会计制度;</w:t>
      </w:r>
    </w:p>
    <w:p w14:paraId="67CC917B">
      <w:pPr>
        <w:spacing w:line="360" w:lineRule="auto"/>
        <w:ind w:firstLine="560" w:firstLineChars="200"/>
        <w:rPr>
          <w:rFonts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3.具有履行合同所必需的设备和专业技术能力;</w:t>
      </w:r>
    </w:p>
    <w:p w14:paraId="6D22F0C1">
      <w:pPr>
        <w:spacing w:line="360" w:lineRule="auto"/>
        <w:ind w:firstLine="560" w:firstLineChars="200"/>
        <w:rPr>
          <w:rFonts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4.有依法缴纳税收和社会保障资金的良好记录;</w:t>
      </w:r>
    </w:p>
    <w:p w14:paraId="0CFF97B9">
      <w:pPr>
        <w:spacing w:line="360" w:lineRule="auto"/>
        <w:ind w:firstLine="560" w:firstLineChars="200"/>
        <w:rPr>
          <w:rFonts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5.参加政府采购活动前三年内，在经营活动中没有重大违法记录;</w:t>
      </w:r>
    </w:p>
    <w:p w14:paraId="5F6E9839">
      <w:pPr>
        <w:spacing w:line="360" w:lineRule="auto"/>
        <w:ind w:firstLine="560" w:firstLineChars="200"/>
        <w:rPr>
          <w:rFonts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6.符合法律、行政法规规定的其他条件。</w:t>
      </w:r>
    </w:p>
    <w:p w14:paraId="2FFE82C6">
      <w:pPr>
        <w:spacing w:line="360" w:lineRule="auto"/>
        <w:ind w:firstLine="560" w:firstLineChars="200"/>
        <w:rPr>
          <w:rFonts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(二)我单位(本人)未被列入严重失信主体名单、失信被执行人、税收违法黑名单、政府采购严重违法失信行为记录名单。</w:t>
      </w:r>
    </w:p>
    <w:p w14:paraId="3410F9D8">
      <w:pPr>
        <w:spacing w:line="360" w:lineRule="auto"/>
        <w:ind w:firstLine="560" w:firstLineChars="200"/>
        <w:rPr>
          <w:rFonts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我单位(本人)对本承诺函及所承诺事项的真实性、合法性及有效性负责，并已知晓如所作信用承诺不实，可能涉嫌《中华人民共和国政府采购法》第七十七条第一款第(一)项规定的“提供虚假材料谋取中标、成交”违法情形。经调查属实的，自觉接受政府采购行政监管部门按照《中华人民共和国政府采购法》第七十七条:“处以采购金额千分之五以上千分之十以下的罚款，列入不良行为记录名单，在一至三年内禁止参加政府采购活动，有违法所得的，并处没收违法所得，情节严重的，由市场监管部门吊销营业执照;构成犯罪的，依法追究刑事责任。”处理。</w:t>
      </w:r>
    </w:p>
    <w:p w14:paraId="61AEECC7">
      <w:pPr>
        <w:spacing w:line="360" w:lineRule="auto"/>
        <w:ind w:firstLine="560" w:firstLineChars="200"/>
        <w:rPr>
          <w:rFonts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7CB95351">
      <w:pPr>
        <w:spacing w:line="360" w:lineRule="auto"/>
        <w:ind w:firstLine="560" w:firstLineChars="200"/>
        <w:jc w:val="center"/>
        <w:rPr>
          <w:rFonts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          供应商名称(单位公章):</w:t>
      </w:r>
    </w:p>
    <w:p w14:paraId="3C28D4F2">
      <w:pPr>
        <w:spacing w:line="360" w:lineRule="auto"/>
        <w:ind w:firstLine="560" w:firstLineChars="200"/>
        <w:jc w:val="center"/>
        <w:rPr>
          <w:rFonts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                或自然人(签字):</w:t>
      </w:r>
    </w:p>
    <w:p w14:paraId="45989129">
      <w:pPr>
        <w:spacing w:line="360" w:lineRule="auto"/>
        <w:jc w:val="right"/>
        <w:rPr>
          <w:rFonts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年  月  日 </w:t>
      </w:r>
    </w:p>
    <w:p w14:paraId="70ABB47C">
      <w:pPr>
        <w:spacing w:line="360" w:lineRule="auto"/>
        <w:ind w:firstLine="560" w:firstLineChars="200"/>
        <w:rPr>
          <w:rFonts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75DEA5A2">
      <w:pPr>
        <w:spacing w:line="360" w:lineRule="auto"/>
        <w:rPr>
          <w:rFonts w:ascii="宋体" w:hAnsi="宋体" w:eastAsia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1F37A0D3">
      <w:pPr>
        <w:spacing w:line="360" w:lineRule="auto"/>
        <w:ind w:firstLine="560" w:firstLineChars="20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注:1.我单位(本人)专指参加政府采购活动的供应商(含自然人)。</w:t>
      </w:r>
    </w:p>
    <w:p w14:paraId="5D4AFDF6">
      <w:pPr>
        <w:spacing w:line="360" w:lineRule="auto"/>
        <w:ind w:firstLine="840" w:firstLineChars="30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2.供应商须在投标(响应)文件中按此模板提供承诺函，既未提供前述承诺函又未提供对应事项证明材料的，视为未实质响应招标文件要求，按无效投标(响应)处理。</w:t>
      </w:r>
    </w:p>
    <w:p w14:paraId="0F7FAA0D">
      <w:pPr>
        <w:jc w:val="left"/>
        <w:rPr>
          <w:b/>
        </w:rPr>
      </w:pPr>
    </w:p>
    <w:p w14:paraId="33A73B3F"/>
    <w:p w14:paraId="1C4855F1"/>
    <w:p w14:paraId="43DF3349"/>
    <w:p w14:paraId="2B0F25FF"/>
    <w:p w14:paraId="7053AA3A"/>
    <w:p w14:paraId="407E88EF"/>
    <w:p w14:paraId="309D1766"/>
    <w:p w14:paraId="72EC02A8"/>
    <w:p w14:paraId="5D341E92"/>
    <w:p w14:paraId="7E4898A5"/>
    <w:p w14:paraId="1894CA6E"/>
    <w:p w14:paraId="2371E113">
      <w:pPr>
        <w:rPr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附件3：</w:t>
      </w:r>
    </w:p>
    <w:p w14:paraId="20BCBB25">
      <w:pPr>
        <w:jc w:val="center"/>
        <w:rPr>
          <w:rFonts w:asciiTheme="majorEastAsia" w:hAnsiTheme="majorEastAsia" w:eastAsiaTheme="majorEastAsia"/>
          <w:b/>
          <w:sz w:val="36"/>
          <w:szCs w:val="36"/>
        </w:rPr>
      </w:pPr>
      <w:r>
        <w:rPr>
          <w:rFonts w:hint="eastAsia" w:asciiTheme="majorEastAsia" w:hAnsiTheme="majorEastAsia" w:eastAsiaTheme="majorEastAsia"/>
          <w:b/>
          <w:sz w:val="36"/>
          <w:szCs w:val="36"/>
        </w:rPr>
        <w:t>公平交易 诚实守信</w:t>
      </w:r>
    </w:p>
    <w:p w14:paraId="015DF86C">
      <w:pPr>
        <w:jc w:val="center"/>
        <w:rPr>
          <w:rFonts w:asciiTheme="majorEastAsia" w:hAnsiTheme="majorEastAsia" w:eastAsiaTheme="majorEastAsia"/>
          <w:b/>
          <w:sz w:val="36"/>
          <w:szCs w:val="36"/>
        </w:rPr>
      </w:pPr>
      <w:r>
        <w:rPr>
          <w:rFonts w:hint="eastAsia" w:asciiTheme="majorEastAsia" w:hAnsiTheme="majorEastAsia" w:eastAsiaTheme="majorEastAsia"/>
          <w:b/>
          <w:sz w:val="36"/>
          <w:szCs w:val="36"/>
        </w:rPr>
        <w:t>南昌市第一医院投标供应商廉洁承诺书</w:t>
      </w:r>
    </w:p>
    <w:p w14:paraId="147333E8">
      <w:pPr>
        <w:spacing w:line="500" w:lineRule="exact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 xml:space="preserve">    </w:t>
      </w:r>
    </w:p>
    <w:p w14:paraId="36D35012">
      <w:pPr>
        <w:spacing w:line="500" w:lineRule="exact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为积极配合医院进一步加强医疗卫生行风建设，维护医院的医疗秩序和良好形象，营造公平交易、诚实守信的购销环境，坚决抵制商业贿赂等违法违纪问题的发生，本公司(含公司工作人员，下同)特作以下承诺：</w:t>
      </w:r>
    </w:p>
    <w:p w14:paraId="254BE259">
      <w:pPr>
        <w:spacing w:line="500" w:lineRule="exact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 xml:space="preserve">    一、在采购招投标活动及业务往来中，严格遵守国家有关的法律法规和廉洁从业规定，坚持公平、公开、公正、诚实守信的原则，决不损害国家和企业利益。</w:t>
      </w:r>
    </w:p>
    <w:p w14:paraId="74E0B22C">
      <w:pPr>
        <w:spacing w:line="500" w:lineRule="exact"/>
        <w:ind w:firstLine="645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二、决不向医院工作人员(含工作人员的配偶、子女及亲属，下同)馈赠礼品(包括但不限于现金、有价证券、支付凭证及贵重物品等)。</w:t>
      </w:r>
    </w:p>
    <w:p w14:paraId="70C74E87">
      <w:pPr>
        <w:spacing w:line="500" w:lineRule="exact"/>
        <w:ind w:firstLine="645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三、决不向医院工作人员提供宴请、联谊活动、度假、旅游，以及到营业性娱乐场所消费。不得支付应由其个人自付的各种费用。</w:t>
      </w:r>
    </w:p>
    <w:p w14:paraId="23B7DDA3">
      <w:pPr>
        <w:spacing w:line="500" w:lineRule="exact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 xml:space="preserve">    四、决不到医院办公场所推销医药产品，不得向医生或相关工作人员发放各种形式的回扣。</w:t>
      </w:r>
    </w:p>
    <w:p w14:paraId="6EADB2ED">
      <w:pPr>
        <w:spacing w:line="500" w:lineRule="exact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 xml:space="preserve">    五、本公司如违反本承诺，经医院纪检监察部门认定事实后，愿意按照相关规定接受处罚。    </w:t>
      </w:r>
    </w:p>
    <w:p w14:paraId="77C5A58F">
      <w:pPr>
        <w:spacing w:line="500" w:lineRule="exact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 xml:space="preserve">    </w:t>
      </w:r>
    </w:p>
    <w:p w14:paraId="4B16F39E">
      <w:pPr>
        <w:spacing w:line="500" w:lineRule="exact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 xml:space="preserve">投标公司： </w:t>
      </w:r>
    </w:p>
    <w:p w14:paraId="0DAE627A">
      <w:pPr>
        <w:spacing w:line="500" w:lineRule="exact"/>
        <w:rPr>
          <w:rFonts w:ascii="仿宋" w:hAnsi="仿宋" w:eastAsia="仿宋"/>
          <w:sz w:val="30"/>
          <w:szCs w:val="30"/>
        </w:rPr>
      </w:pPr>
    </w:p>
    <w:p w14:paraId="18A12217">
      <w:pPr>
        <w:spacing w:line="500" w:lineRule="exact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投标人签名：</w:t>
      </w:r>
    </w:p>
    <w:p w14:paraId="7F6EE8F1">
      <w:pPr>
        <w:spacing w:line="500" w:lineRule="exact"/>
        <w:rPr>
          <w:rFonts w:ascii="仿宋" w:hAnsi="仿宋" w:eastAsia="仿宋"/>
          <w:sz w:val="30"/>
          <w:szCs w:val="30"/>
        </w:rPr>
      </w:pPr>
    </w:p>
    <w:p w14:paraId="48A6E4DD">
      <w:pPr>
        <w:spacing w:line="500" w:lineRule="exact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 xml:space="preserve">                                   20    年   月   日</w:t>
      </w:r>
    </w:p>
    <w:p w14:paraId="50A2DF86"/>
    <w:p w14:paraId="19F266CC"/>
    <w:p w14:paraId="66852E49"/>
    <w:p w14:paraId="6CF3DEC0"/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071"/>
    <w:rsid w:val="0000478C"/>
    <w:rsid w:val="0000605C"/>
    <w:rsid w:val="000540ED"/>
    <w:rsid w:val="000626EB"/>
    <w:rsid w:val="000634EF"/>
    <w:rsid w:val="000750DF"/>
    <w:rsid w:val="000B1CFA"/>
    <w:rsid w:val="000E77F6"/>
    <w:rsid w:val="0010331A"/>
    <w:rsid w:val="00110210"/>
    <w:rsid w:val="00110C8D"/>
    <w:rsid w:val="001151FA"/>
    <w:rsid w:val="00116362"/>
    <w:rsid w:val="00136FAD"/>
    <w:rsid w:val="00171BA5"/>
    <w:rsid w:val="001B17BD"/>
    <w:rsid w:val="001C2749"/>
    <w:rsid w:val="001E0A86"/>
    <w:rsid w:val="001E523B"/>
    <w:rsid w:val="002346C7"/>
    <w:rsid w:val="00257D68"/>
    <w:rsid w:val="00277A7A"/>
    <w:rsid w:val="002858EE"/>
    <w:rsid w:val="00292138"/>
    <w:rsid w:val="00292406"/>
    <w:rsid w:val="00297A13"/>
    <w:rsid w:val="002A5453"/>
    <w:rsid w:val="002B0BE4"/>
    <w:rsid w:val="002B327A"/>
    <w:rsid w:val="002D3CFD"/>
    <w:rsid w:val="002E1DF9"/>
    <w:rsid w:val="00303C65"/>
    <w:rsid w:val="00327638"/>
    <w:rsid w:val="0035055F"/>
    <w:rsid w:val="003F776E"/>
    <w:rsid w:val="00410E34"/>
    <w:rsid w:val="00415FAB"/>
    <w:rsid w:val="00425071"/>
    <w:rsid w:val="004A19B9"/>
    <w:rsid w:val="004A3F47"/>
    <w:rsid w:val="004B5CF2"/>
    <w:rsid w:val="00531DE7"/>
    <w:rsid w:val="00557515"/>
    <w:rsid w:val="005734BC"/>
    <w:rsid w:val="005D7E6A"/>
    <w:rsid w:val="006309C9"/>
    <w:rsid w:val="00631A1F"/>
    <w:rsid w:val="00642F34"/>
    <w:rsid w:val="0069437F"/>
    <w:rsid w:val="006A3247"/>
    <w:rsid w:val="006A330B"/>
    <w:rsid w:val="006A7504"/>
    <w:rsid w:val="006C081F"/>
    <w:rsid w:val="006F128B"/>
    <w:rsid w:val="006F3BD0"/>
    <w:rsid w:val="00730191"/>
    <w:rsid w:val="00740210"/>
    <w:rsid w:val="00742C93"/>
    <w:rsid w:val="007637D7"/>
    <w:rsid w:val="00783C54"/>
    <w:rsid w:val="00796062"/>
    <w:rsid w:val="007D03E5"/>
    <w:rsid w:val="007E5D15"/>
    <w:rsid w:val="007F2453"/>
    <w:rsid w:val="00806988"/>
    <w:rsid w:val="00866DA4"/>
    <w:rsid w:val="008B0916"/>
    <w:rsid w:val="00905D5F"/>
    <w:rsid w:val="00932490"/>
    <w:rsid w:val="00935224"/>
    <w:rsid w:val="0093626B"/>
    <w:rsid w:val="00952DF2"/>
    <w:rsid w:val="00970B90"/>
    <w:rsid w:val="00982C3D"/>
    <w:rsid w:val="009B0A90"/>
    <w:rsid w:val="009B329A"/>
    <w:rsid w:val="009E4C9B"/>
    <w:rsid w:val="009F7338"/>
    <w:rsid w:val="00A0430E"/>
    <w:rsid w:val="00A133DA"/>
    <w:rsid w:val="00A62794"/>
    <w:rsid w:val="00A64CB2"/>
    <w:rsid w:val="00AA3DDE"/>
    <w:rsid w:val="00AC15F9"/>
    <w:rsid w:val="00AD021E"/>
    <w:rsid w:val="00AD1C37"/>
    <w:rsid w:val="00AF4C70"/>
    <w:rsid w:val="00B06530"/>
    <w:rsid w:val="00B15A42"/>
    <w:rsid w:val="00B30337"/>
    <w:rsid w:val="00B35E2B"/>
    <w:rsid w:val="00B42D73"/>
    <w:rsid w:val="00B45E0F"/>
    <w:rsid w:val="00B5420E"/>
    <w:rsid w:val="00B71D7C"/>
    <w:rsid w:val="00B7652B"/>
    <w:rsid w:val="00BB38D2"/>
    <w:rsid w:val="00BC2F4C"/>
    <w:rsid w:val="00C02D4C"/>
    <w:rsid w:val="00C17C1F"/>
    <w:rsid w:val="00C56DC3"/>
    <w:rsid w:val="00C578BE"/>
    <w:rsid w:val="00C65D67"/>
    <w:rsid w:val="00C660BD"/>
    <w:rsid w:val="00CA469A"/>
    <w:rsid w:val="00CB5FEA"/>
    <w:rsid w:val="00CC58D0"/>
    <w:rsid w:val="00CF6D0F"/>
    <w:rsid w:val="00D53D0C"/>
    <w:rsid w:val="00D76B1C"/>
    <w:rsid w:val="00DA03C7"/>
    <w:rsid w:val="00DA499E"/>
    <w:rsid w:val="00DC7AB1"/>
    <w:rsid w:val="00DF2596"/>
    <w:rsid w:val="00E104C6"/>
    <w:rsid w:val="00E36FDE"/>
    <w:rsid w:val="00E700F8"/>
    <w:rsid w:val="00E70B06"/>
    <w:rsid w:val="00E732A9"/>
    <w:rsid w:val="00E97BC5"/>
    <w:rsid w:val="00EB7A2E"/>
    <w:rsid w:val="00EF1046"/>
    <w:rsid w:val="00F4280D"/>
    <w:rsid w:val="00F451C2"/>
    <w:rsid w:val="00F5758D"/>
    <w:rsid w:val="00F84478"/>
    <w:rsid w:val="00F92C6F"/>
    <w:rsid w:val="00FC6920"/>
    <w:rsid w:val="00FC73BF"/>
    <w:rsid w:val="00FE4337"/>
    <w:rsid w:val="00FF4709"/>
    <w:rsid w:val="59091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1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link w:val="13"/>
    <w:qFormat/>
    <w:uiPriority w:val="9"/>
    <w:pPr>
      <w:widowControl/>
      <w:spacing w:before="100" w:beforeAutospacing="1" w:after="100" w:afterAutospacing="1"/>
      <w:jc w:val="left"/>
      <w:outlineLvl w:val="2"/>
    </w:pPr>
    <w:rPr>
      <w:rFonts w:ascii="宋体" w:hAnsi="宋体" w:eastAsia="宋体" w:cs="宋体"/>
      <w:b/>
      <w:bCs/>
      <w:kern w:val="0"/>
      <w:sz w:val="27"/>
      <w:szCs w:val="27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17"/>
    <w:semiHidden/>
    <w:qFormat/>
    <w:uiPriority w:val="0"/>
    <w:pPr>
      <w:widowControl/>
      <w:kinsoku w:val="0"/>
      <w:autoSpaceDE w:val="0"/>
      <w:autoSpaceDN w:val="0"/>
      <w:adjustRightInd w:val="0"/>
      <w:snapToGrid w:val="0"/>
      <w:jc w:val="left"/>
      <w:textAlignment w:val="baseline"/>
    </w:pPr>
    <w:rPr>
      <w:rFonts w:ascii="宋体" w:hAnsi="宋体" w:eastAsia="宋体" w:cs="宋体"/>
      <w:snapToGrid w:val="0"/>
      <w:color w:val="000000"/>
      <w:kern w:val="0"/>
      <w:szCs w:val="21"/>
      <w:lang w:eastAsia="en-US"/>
    </w:rPr>
  </w:style>
  <w:style w:type="paragraph" w:styleId="4">
    <w:name w:val="footer"/>
    <w:basedOn w:val="1"/>
    <w:link w:val="1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5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1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7">
    <w:name w:val="Title"/>
    <w:basedOn w:val="1"/>
    <w:next w:val="1"/>
    <w:link w:val="18"/>
    <w:qFormat/>
    <w:uiPriority w:val="0"/>
    <w:pPr>
      <w:spacing w:before="240" w:after="60"/>
      <w:jc w:val="center"/>
      <w:outlineLvl w:val="0"/>
    </w:pPr>
    <w:rPr>
      <w:rFonts w:ascii="等线 Light" w:hAnsi="等线 Light" w:eastAsia="宋体" w:cs="Times New Roman"/>
      <w:b/>
      <w:bCs/>
      <w:sz w:val="32"/>
      <w:szCs w:val="32"/>
    </w:rPr>
  </w:style>
  <w:style w:type="paragraph" w:styleId="8">
    <w:name w:val="Body Text First Indent"/>
    <w:basedOn w:val="3"/>
    <w:link w:val="20"/>
    <w:semiHidden/>
    <w:unhideWhenUsed/>
    <w:qFormat/>
    <w:uiPriority w:val="99"/>
    <w:pPr>
      <w:widowControl w:val="0"/>
      <w:kinsoku/>
      <w:autoSpaceDE/>
      <w:autoSpaceDN/>
      <w:adjustRightInd/>
      <w:snapToGrid/>
      <w:spacing w:after="120"/>
      <w:ind w:firstLine="420" w:firstLineChars="100"/>
      <w:jc w:val="both"/>
      <w:textAlignment w:val="auto"/>
    </w:pPr>
    <w:rPr>
      <w:rFonts w:asciiTheme="minorHAnsi" w:hAnsiTheme="minorHAnsi" w:eastAsiaTheme="minorEastAsia" w:cstheme="minorBidi"/>
      <w:snapToGrid/>
      <w:color w:val="auto"/>
      <w:kern w:val="2"/>
      <w:szCs w:val="22"/>
      <w:lang w:eastAsia="zh-CN"/>
    </w:rPr>
  </w:style>
  <w:style w:type="table" w:styleId="10">
    <w:name w:val="Table Grid"/>
    <w:basedOn w:val="9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2">
    <w:name w:val="Strong"/>
    <w:basedOn w:val="11"/>
    <w:qFormat/>
    <w:uiPriority w:val="22"/>
    <w:rPr>
      <w:b/>
      <w:bCs/>
    </w:rPr>
  </w:style>
  <w:style w:type="character" w:customStyle="1" w:styleId="13">
    <w:name w:val="标题 3 Char"/>
    <w:basedOn w:val="11"/>
    <w:link w:val="2"/>
    <w:uiPriority w:val="9"/>
    <w:rPr>
      <w:rFonts w:ascii="宋体" w:hAnsi="宋体" w:eastAsia="宋体" w:cs="宋体"/>
      <w:b/>
      <w:bCs/>
      <w:kern w:val="0"/>
      <w:sz w:val="27"/>
      <w:szCs w:val="27"/>
    </w:rPr>
  </w:style>
  <w:style w:type="paragraph" w:styleId="14">
    <w:name w:val="List Paragraph"/>
    <w:basedOn w:val="1"/>
    <w:qFormat/>
    <w:uiPriority w:val="34"/>
    <w:pPr>
      <w:ind w:firstLine="420" w:firstLineChars="200"/>
    </w:pPr>
    <w:rPr>
      <w:rFonts w:ascii="Calibri" w:hAnsi="Calibri" w:eastAsia="宋体" w:cs="Times New Roman"/>
    </w:rPr>
  </w:style>
  <w:style w:type="character" w:customStyle="1" w:styleId="15">
    <w:name w:val="页眉 Char"/>
    <w:basedOn w:val="11"/>
    <w:link w:val="5"/>
    <w:qFormat/>
    <w:uiPriority w:val="99"/>
    <w:rPr>
      <w:sz w:val="18"/>
      <w:szCs w:val="18"/>
    </w:rPr>
  </w:style>
  <w:style w:type="character" w:customStyle="1" w:styleId="16">
    <w:name w:val="页脚 Char"/>
    <w:basedOn w:val="11"/>
    <w:link w:val="4"/>
    <w:uiPriority w:val="99"/>
    <w:rPr>
      <w:sz w:val="18"/>
      <w:szCs w:val="18"/>
    </w:rPr>
  </w:style>
  <w:style w:type="character" w:customStyle="1" w:styleId="17">
    <w:name w:val="正文文本 Char"/>
    <w:basedOn w:val="11"/>
    <w:link w:val="3"/>
    <w:semiHidden/>
    <w:qFormat/>
    <w:uiPriority w:val="0"/>
    <w:rPr>
      <w:rFonts w:ascii="宋体" w:hAnsi="宋体" w:eastAsia="宋体" w:cs="宋体"/>
      <w:snapToGrid w:val="0"/>
      <w:color w:val="000000"/>
      <w:kern w:val="0"/>
      <w:szCs w:val="21"/>
      <w:lang w:eastAsia="en-US"/>
    </w:rPr>
  </w:style>
  <w:style w:type="character" w:customStyle="1" w:styleId="18">
    <w:name w:val="标题 Char"/>
    <w:basedOn w:val="11"/>
    <w:link w:val="7"/>
    <w:qFormat/>
    <w:uiPriority w:val="0"/>
    <w:rPr>
      <w:rFonts w:ascii="等线 Light" w:hAnsi="等线 Light" w:eastAsia="宋体" w:cs="Times New Roman"/>
      <w:b/>
      <w:bCs/>
      <w:sz w:val="32"/>
      <w:szCs w:val="32"/>
    </w:rPr>
  </w:style>
  <w:style w:type="paragraph" w:customStyle="1" w:styleId="19">
    <w:name w:val="列出段落1"/>
    <w:basedOn w:val="1"/>
    <w:qFormat/>
    <w:uiPriority w:val="0"/>
    <w:pPr>
      <w:ind w:left="720"/>
      <w:contextualSpacing/>
    </w:pPr>
    <w:rPr>
      <w:rFonts w:ascii="等线" w:hAnsi="Times New Roman" w:eastAsia="等线" w:cs="Arial"/>
    </w:rPr>
  </w:style>
  <w:style w:type="character" w:customStyle="1" w:styleId="20">
    <w:name w:val="正文首行缩进 Char"/>
    <w:basedOn w:val="17"/>
    <w:link w:val="8"/>
    <w:semiHidden/>
    <w:qFormat/>
    <w:uiPriority w:val="99"/>
    <w:rPr>
      <w:rFonts w:ascii="宋体" w:hAnsi="宋体" w:eastAsia="宋体" w:cs="宋体"/>
      <w:snapToGrid/>
      <w:color w:val="000000"/>
      <w:kern w:val="0"/>
      <w:szCs w:val="21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ED9B0C-F4EC-4920-99D2-0C3C053B766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3519</Words>
  <Characters>3608</Characters>
  <Lines>27</Lines>
  <Paragraphs>7</Paragraphs>
  <TotalTime>7</TotalTime>
  <ScaleCrop>false</ScaleCrop>
  <LinksUpToDate>false</LinksUpToDate>
  <CharactersWithSpaces>3716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2025-02-07T00:38:00Z</dcterms:created>
  <dc:creator>cgk x</dc:creator>
  <cp:lastModifiedBy>USE</cp:lastModifiedBy>
  <dcterms:modified xsi:type="dcterms:W3CDTF">2025-02-12T08:26:58Z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eyJoZGlkIjoiMjcxZGVlNDY4Y2QxNjFlMjcxMzI5NDI1OTU5ZTgzNTkiLCJ1c2VySWQiOiI0MTY4ODI1NDgifQ==</vt:lpwstr>
  </property>
  <property fmtid="{D5CDD505-2E9C-101B-9397-08002B2CF9AE}" pid="3" name="KSOProductBuildVer">
    <vt:lpwstr>2052-12.1.0.19770</vt:lpwstr>
  </property>
  <property fmtid="{D5CDD505-2E9C-101B-9397-08002B2CF9AE}" pid="4" name="ICV">
    <vt:lpwstr>F072AAE4D09B48D1BAFF52F4660AAE8C_12</vt:lpwstr>
  </property>
</Properties>
</file>