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CDC9E7">
      <w:p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附件</w:t>
      </w: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1：</w:t>
      </w:r>
    </w:p>
    <w:p w14:paraId="5B312F4D">
      <w:pPr>
        <w:jc w:val="center"/>
        <w:rPr>
          <w:rFonts w:ascii="宋体" w:hAnsi="宋体" w:eastAsia="宋体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非接触眼压计</w:t>
      </w:r>
      <w:r>
        <w:rPr>
          <w:rFonts w:ascii="宋体" w:hAnsi="宋体" w:eastAsia="宋体" w:cs="宋体"/>
          <w:b/>
          <w:bCs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（进口）技术参数</w:t>
      </w:r>
    </w:p>
    <w:p w14:paraId="4F9E3A93">
      <w:pPr>
        <w:widowControl/>
        <w:tabs>
          <w:tab w:val="left" w:pos="426"/>
        </w:tabs>
        <w:rPr>
          <w:rFonts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1、</w:t>
      </w:r>
      <w:r>
        <w:rPr>
          <w:rFonts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测量范围： 1～60mmHg</w:t>
      </w:r>
    </w:p>
    <w:p w14:paraId="1B6215EB">
      <w:pPr>
        <w:widowControl/>
        <w:tabs>
          <w:tab w:val="left" w:pos="426"/>
        </w:tabs>
        <w:rPr>
          <w:rFonts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2、固视灯：内置。</w:t>
      </w:r>
    </w:p>
    <w:p w14:paraId="2681BFE5">
      <w:pPr>
        <w:widowControl/>
        <w:tabs>
          <w:tab w:val="left" w:pos="426"/>
        </w:tabs>
        <w:rPr>
          <w:rFonts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3、自动功能：自动追踪、自动测量。</w:t>
      </w:r>
    </w:p>
    <w:p w14:paraId="0CFF8D7B">
      <w:pPr>
        <w:widowControl/>
        <w:tabs>
          <w:tab w:val="left" w:pos="426"/>
        </w:tabs>
        <w:rPr>
          <w:rFonts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4、安全警示功能：</w:t>
      </w:r>
      <w:r>
        <w:rPr>
          <w:rFonts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当仪器</w:t>
      </w:r>
      <w:r>
        <w:rPr>
          <w:rFonts w:hint="eastAsia"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离</w:t>
      </w:r>
      <w:r>
        <w:rPr>
          <w:rFonts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患者</w:t>
      </w:r>
      <w:r>
        <w:rPr>
          <w:rFonts w:hint="eastAsia"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太近</w:t>
      </w:r>
      <w:r>
        <w:rPr>
          <w:rFonts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时，显示屏</w:t>
      </w:r>
      <w:r>
        <w:rPr>
          <w:rFonts w:hint="eastAsia"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会显示警示提示</w:t>
      </w:r>
      <w:r>
        <w:rPr>
          <w:rFonts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，并发出警示音</w:t>
      </w:r>
      <w:r>
        <w:rPr>
          <w:rFonts w:hint="eastAsia"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。</w:t>
      </w:r>
    </w:p>
    <w:p w14:paraId="423F453A">
      <w:pPr>
        <w:widowControl/>
        <w:tabs>
          <w:tab w:val="left" w:pos="426"/>
        </w:tabs>
        <w:rPr>
          <w:rFonts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5、能够测量角膜厚度并自动对眼压值进行修正功能：测量中央角膜厚度值后可自动计算出修正后的眼压值。</w:t>
      </w:r>
    </w:p>
    <w:p w14:paraId="655A5066">
      <w:pPr>
        <w:widowControl/>
        <w:tabs>
          <w:tab w:val="left" w:pos="426"/>
        </w:tabs>
        <w:rPr>
          <w:rFonts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6、</w:t>
      </w:r>
      <w:r>
        <w:rPr>
          <w:rFonts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显示</w:t>
      </w:r>
      <w:r>
        <w:rPr>
          <w:rFonts w:hint="eastAsia"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屏： 5.6寸以上可调角度显示屏</w:t>
      </w:r>
    </w:p>
    <w:p w14:paraId="248B2E43">
      <w:pPr>
        <w:widowControl/>
        <w:tabs>
          <w:tab w:val="left" w:pos="426"/>
        </w:tabs>
        <w:rPr>
          <w:rFonts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7、</w:t>
      </w:r>
      <w:r>
        <w:rPr>
          <w:rFonts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连接端口： RS－232C、LAN、U</w:t>
      </w:r>
      <w:r>
        <w:rPr>
          <w:rFonts w:hint="eastAsia"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SB。</w:t>
      </w:r>
    </w:p>
    <w:p w14:paraId="6E6E65B0">
      <w:pPr>
        <w:widowControl/>
        <w:tabs>
          <w:tab w:val="left" w:pos="426"/>
        </w:tabs>
        <w:rPr>
          <w:rFonts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8、具有下颌托自动升降功能。</w:t>
      </w:r>
    </w:p>
    <w:p w14:paraId="7818904A">
      <w:pPr>
        <w:widowControl/>
        <w:tabs>
          <w:tab w:val="left" w:pos="426"/>
        </w:tabs>
        <w:rPr>
          <w:rFonts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9、具有控制气流功能，能够根据前一次的结果自动调整出气压，保证准确性的同时气流更轻柔，更安静，提高</w:t>
      </w:r>
      <w:r>
        <w:rPr>
          <w:rFonts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患者</w:t>
      </w:r>
      <w:r>
        <w:rPr>
          <w:rFonts w:hint="eastAsia"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舒适度。</w:t>
      </w:r>
    </w:p>
    <w:p w14:paraId="34DB3952">
      <w:pPr>
        <w:widowControl/>
        <w:tabs>
          <w:tab w:val="left" w:pos="426"/>
        </w:tabs>
        <w:rPr>
          <w:rFonts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10、投标人承诺在仪器设备出现故障，能在72小时内提出解决方案。</w:t>
      </w:r>
    </w:p>
    <w:p w14:paraId="416C0649">
      <w:pPr>
        <w:widowControl/>
        <w:tabs>
          <w:tab w:val="left" w:pos="426"/>
        </w:tabs>
        <w:rPr>
          <w:rFonts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11、有培训回访方案。</w:t>
      </w:r>
    </w:p>
    <w:p w14:paraId="60BE3117">
      <w:pPr>
        <w:widowControl/>
        <w:tabs>
          <w:tab w:val="left" w:pos="426"/>
        </w:tabs>
        <w:rPr>
          <w:rFonts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12、投标人承诺在满足技术参数要求的前提下质量保证期3年。</w:t>
      </w:r>
    </w:p>
    <w:p w14:paraId="1052501E">
      <w:p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7CCA6646">
      <w:p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附件2：</w:t>
      </w:r>
    </w:p>
    <w:p w14:paraId="3B65352A">
      <w:pPr>
        <w:jc w:val="center"/>
        <w:rPr>
          <w:rFonts w:ascii="宋体" w:hAnsi="宋体" w:eastAsia="宋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江西省政府采购供应商资格信用承诺函</w:t>
      </w:r>
    </w:p>
    <w:p w14:paraId="74A0A6C4">
      <w:pPr>
        <w:spacing w:line="360" w:lineRule="auto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致(采购人或政府采购代理机构):</w:t>
      </w:r>
    </w:p>
    <w:p w14:paraId="00C7C994">
      <w:pPr>
        <w:spacing w:line="36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单位名称(自然人姓名):</w:t>
      </w:r>
    </w:p>
    <w:p w14:paraId="0C216879">
      <w:pPr>
        <w:spacing w:line="36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统一社会信用代码(身份证号码):</w:t>
      </w:r>
    </w:p>
    <w:p w14:paraId="50D9C2A1">
      <w:pPr>
        <w:spacing w:line="36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法定代表人(负责人):</w:t>
      </w:r>
    </w:p>
    <w:p w14:paraId="747183A5">
      <w:pPr>
        <w:spacing w:line="36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联系地址和电话:</w:t>
      </w:r>
    </w:p>
    <w:p w14:paraId="56DB1AF8">
      <w:pPr>
        <w:spacing w:line="360" w:lineRule="auto"/>
        <w:ind w:firstLine="560" w:firstLineChars="200"/>
        <w:jc w:val="left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我单位 (本人)自愿参加本次政府采购活动，严格遵守《中华人民共和国政府采购法》及相关法律法规，坚守公开、公平、公正和诚实信用等原则，依法诚信经营，并郑重承诺:</w:t>
      </w:r>
    </w:p>
    <w:p w14:paraId="245C3FD5">
      <w:pPr>
        <w:spacing w:line="360" w:lineRule="auto"/>
        <w:ind w:firstLine="560" w:firstLineChars="200"/>
        <w:jc w:val="left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(一)我单位(本人)符合采购文件要求以及《中华人民共和国政府采购法》第二十二条规定的条件:</w:t>
      </w:r>
    </w:p>
    <w:p w14:paraId="70836FAC">
      <w:pPr>
        <w:spacing w:line="36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1.具有独立承担民事责任的能力;</w:t>
      </w:r>
    </w:p>
    <w:p w14:paraId="7BD63EC9">
      <w:pPr>
        <w:spacing w:line="36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2.具有良好的商业信誉和健全的财务会计制度;</w:t>
      </w:r>
    </w:p>
    <w:p w14:paraId="23F26E3F">
      <w:pPr>
        <w:spacing w:line="36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3.具有履行合同所必需的设备和专业技术能力;</w:t>
      </w:r>
    </w:p>
    <w:p w14:paraId="382D5CE2">
      <w:pPr>
        <w:spacing w:line="36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4.有依法缴纳税收和社会保障资金的良好记录;</w:t>
      </w:r>
    </w:p>
    <w:p w14:paraId="2158A560">
      <w:pPr>
        <w:spacing w:line="36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5.参加政府采购活动前三年内，在经营活动中没有重大违法记录;</w:t>
      </w:r>
    </w:p>
    <w:p w14:paraId="7F5EE4E3">
      <w:pPr>
        <w:spacing w:line="36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6.符合法律、行政法规规定的其他条件。</w:t>
      </w:r>
    </w:p>
    <w:p w14:paraId="4382BF35">
      <w:pPr>
        <w:spacing w:line="36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(二)我单位(本人)未被列入严重失信主体名单、失信被执行人、税收违法黑名单、政府采购严重违法失信行为记录名单。</w:t>
      </w:r>
    </w:p>
    <w:p w14:paraId="2800DEE2">
      <w:pPr>
        <w:spacing w:line="36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我单位(本人)对本承诺函及所承诺事项的真实性、合法性及有效性负责，并已知晓如所作信用承诺不实，可能涉嫌《中华人民共和国政府采购法》第七十七条第一款第(一)项规定的“提供虚假材料谋取中标、成交”违法情形。经调查属实的，自觉接受政府采购行政监管部门按照《中华人民共和国政府采购法》第七十七条:“处以采购金额千分之五以上千分之十以下的罚款，列入不良行为记录名单，在一至三年内禁止参加政府采购活动，有违法所得的，并处没收违法所得，情节严重的，由市场监管部门吊销营业执照;构成犯罪的，依法追究刑事责任。”处理。</w:t>
      </w:r>
    </w:p>
    <w:p w14:paraId="21B97F59">
      <w:pPr>
        <w:spacing w:line="36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657331D3">
      <w:pPr>
        <w:spacing w:line="360" w:lineRule="auto"/>
        <w:ind w:firstLine="560" w:firstLineChars="200"/>
        <w:jc w:val="center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          供应商名称(单位公章):</w:t>
      </w:r>
    </w:p>
    <w:p w14:paraId="7CCD3E2B">
      <w:pPr>
        <w:spacing w:line="360" w:lineRule="auto"/>
        <w:ind w:firstLine="560" w:firstLineChars="200"/>
        <w:jc w:val="center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                或自然人(签字):</w:t>
      </w:r>
    </w:p>
    <w:p w14:paraId="59E49CC3">
      <w:pPr>
        <w:spacing w:line="360" w:lineRule="auto"/>
        <w:jc w:val="right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年  月  日 </w:t>
      </w:r>
    </w:p>
    <w:p w14:paraId="15CDEBC2">
      <w:pPr>
        <w:spacing w:line="36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4E165FF9">
      <w:pPr>
        <w:spacing w:line="360" w:lineRule="auto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3D2350B6">
      <w:pPr>
        <w:spacing w:line="360" w:lineRule="auto"/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注:1.我单位(本人)专指参加政府采购活动的供应商(含自然人)。</w:t>
      </w:r>
    </w:p>
    <w:p w14:paraId="1CA8D221">
      <w:pPr>
        <w:spacing w:line="360" w:lineRule="auto"/>
        <w:ind w:firstLine="840" w:firstLineChars="3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2.供应商须在投标(响应)文件中按此模板提供承诺函，既未提供前述承诺函又未提供对应事项证明材料的，视为未实质响应招标文件要求，按无效投标(响应)处理。</w:t>
      </w:r>
    </w:p>
    <w:p w14:paraId="720E9BD2">
      <w:pPr>
        <w:jc w:val="left"/>
        <w:rPr>
          <w:b/>
        </w:rPr>
      </w:pPr>
    </w:p>
    <w:p w14:paraId="21421363"/>
    <w:p w14:paraId="53FE83DF"/>
    <w:p w14:paraId="5BDB148F"/>
    <w:p w14:paraId="254FBCBD"/>
    <w:p w14:paraId="3720FD0E"/>
    <w:p w14:paraId="60915C2C"/>
    <w:p w14:paraId="687687EE"/>
    <w:p w14:paraId="33CD29FE"/>
    <w:p w14:paraId="2D5B48D7"/>
    <w:p w14:paraId="16FBD260"/>
    <w:p w14:paraId="72329CB5"/>
    <w:p w14:paraId="27EFE158">
      <w:p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附件3：</w:t>
      </w:r>
    </w:p>
    <w:p w14:paraId="51B68F9F">
      <w:pPr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sz w:val="36"/>
          <w:szCs w:val="36"/>
        </w:rPr>
        <w:t>公平交易 诚实守信</w:t>
      </w:r>
    </w:p>
    <w:p w14:paraId="54F9A81C">
      <w:pPr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sz w:val="36"/>
          <w:szCs w:val="36"/>
        </w:rPr>
        <w:t>南昌市第一医院投标供应商廉洁承诺书</w:t>
      </w:r>
    </w:p>
    <w:p w14:paraId="687B3F12">
      <w:pPr>
        <w:spacing w:line="500" w:lineRule="exact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   </w:t>
      </w:r>
    </w:p>
    <w:p w14:paraId="67B301A9">
      <w:pPr>
        <w:spacing w:line="50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为积极配合医院进一步加强医疗卫生行风建设，维护医院的医疗秩序和良好形象，营造公平交易、诚实守信的购销环境，坚决抵制商业贿赂等违法违纪问题的发生，本公司(含公司工作人员，下同)特作以下承诺：</w:t>
      </w:r>
    </w:p>
    <w:p w14:paraId="62D4A637">
      <w:pPr>
        <w:spacing w:line="500" w:lineRule="exac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 xml:space="preserve">    一、在采购招投标活动及业务往来中，严格遵守国家有关的法律法规和廉洁从业规定，坚持公平、公开、公正、诚实守信的原则，决不损害国家和企业利益。</w:t>
      </w:r>
    </w:p>
    <w:p w14:paraId="4D39B4BE">
      <w:pPr>
        <w:spacing w:line="500" w:lineRule="exact"/>
        <w:ind w:firstLine="645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二、决不向医院工作人员(含工作人员的配偶、子女及亲属，下同)馈赠礼品(包括但不限于现金、有价证券、支付凭证及贵重物品等)。</w:t>
      </w:r>
    </w:p>
    <w:p w14:paraId="6B136EB1">
      <w:pPr>
        <w:spacing w:line="500" w:lineRule="exact"/>
        <w:ind w:firstLine="645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三、决不向医院工作人员提供宴请、联谊活动、度假、旅游，以及到营业性娱乐场所消费。不得支付应由其个人自付的各种费用。</w:t>
      </w:r>
    </w:p>
    <w:p w14:paraId="310DEFDE">
      <w:pPr>
        <w:spacing w:line="500" w:lineRule="exac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 xml:space="preserve">    四、决不到医院办公场所推销医药产品，不得向医生或相关工作人员发放各种形式的回扣。</w:t>
      </w:r>
    </w:p>
    <w:p w14:paraId="33D87539">
      <w:pPr>
        <w:spacing w:line="500" w:lineRule="exac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 xml:space="preserve">    五、本公司如违反本承诺，经医院纪检监察部门认定事实后，愿意按照相关规定接受处罚。    </w:t>
      </w:r>
    </w:p>
    <w:p w14:paraId="1354E4EE">
      <w:pPr>
        <w:spacing w:line="500" w:lineRule="exac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 xml:space="preserve">    </w:t>
      </w:r>
    </w:p>
    <w:p w14:paraId="1241AE95">
      <w:pPr>
        <w:spacing w:line="500" w:lineRule="exac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 xml:space="preserve">投标公司： </w:t>
      </w:r>
    </w:p>
    <w:p w14:paraId="07C94592">
      <w:pPr>
        <w:spacing w:line="500" w:lineRule="exact"/>
        <w:rPr>
          <w:rFonts w:ascii="仿宋" w:hAnsi="仿宋" w:eastAsia="仿宋"/>
          <w:sz w:val="30"/>
          <w:szCs w:val="30"/>
        </w:rPr>
      </w:pPr>
    </w:p>
    <w:p w14:paraId="79035487">
      <w:pPr>
        <w:spacing w:line="500" w:lineRule="exac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投标人签名：</w:t>
      </w:r>
    </w:p>
    <w:p w14:paraId="5FB7A443">
      <w:pPr>
        <w:spacing w:line="500" w:lineRule="exact"/>
        <w:rPr>
          <w:rFonts w:ascii="仿宋" w:hAnsi="仿宋" w:eastAsia="仿宋"/>
          <w:sz w:val="30"/>
          <w:szCs w:val="30"/>
        </w:rPr>
      </w:pPr>
    </w:p>
    <w:p w14:paraId="124BF81E">
      <w:pPr>
        <w:spacing w:line="500" w:lineRule="exac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 xml:space="preserve">                                   20    年   月   日</w:t>
      </w:r>
    </w:p>
    <w:p w14:paraId="6D3CB4B0"/>
    <w:p w14:paraId="3D5ADCE0"/>
    <w:p w14:paraId="18025018"/>
    <w:p w14:paraId="20940972"/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071"/>
    <w:rsid w:val="0000478C"/>
    <w:rsid w:val="0000605C"/>
    <w:rsid w:val="000540ED"/>
    <w:rsid w:val="000626EB"/>
    <w:rsid w:val="000634EF"/>
    <w:rsid w:val="000750DF"/>
    <w:rsid w:val="000B1CFA"/>
    <w:rsid w:val="000E77F6"/>
    <w:rsid w:val="0010331A"/>
    <w:rsid w:val="00110210"/>
    <w:rsid w:val="00110C8D"/>
    <w:rsid w:val="001151FA"/>
    <w:rsid w:val="00116362"/>
    <w:rsid w:val="00136FAD"/>
    <w:rsid w:val="00171BA5"/>
    <w:rsid w:val="001B17BD"/>
    <w:rsid w:val="001C2749"/>
    <w:rsid w:val="001E0A86"/>
    <w:rsid w:val="001E523B"/>
    <w:rsid w:val="002346C7"/>
    <w:rsid w:val="00277A7A"/>
    <w:rsid w:val="002858EE"/>
    <w:rsid w:val="00292138"/>
    <w:rsid w:val="00292406"/>
    <w:rsid w:val="00297A13"/>
    <w:rsid w:val="002A5453"/>
    <w:rsid w:val="002B327A"/>
    <w:rsid w:val="002D3CFD"/>
    <w:rsid w:val="002E1DF9"/>
    <w:rsid w:val="00303C65"/>
    <w:rsid w:val="00327638"/>
    <w:rsid w:val="0035055F"/>
    <w:rsid w:val="003F776E"/>
    <w:rsid w:val="00410E34"/>
    <w:rsid w:val="00415FAB"/>
    <w:rsid w:val="00425071"/>
    <w:rsid w:val="004A19B9"/>
    <w:rsid w:val="004A3F47"/>
    <w:rsid w:val="00531DE7"/>
    <w:rsid w:val="00557515"/>
    <w:rsid w:val="005734BC"/>
    <w:rsid w:val="005D7E6A"/>
    <w:rsid w:val="0060164E"/>
    <w:rsid w:val="006309C9"/>
    <w:rsid w:val="00631A1F"/>
    <w:rsid w:val="00642F34"/>
    <w:rsid w:val="006A330B"/>
    <w:rsid w:val="006A7504"/>
    <w:rsid w:val="006C081F"/>
    <w:rsid w:val="006F128B"/>
    <w:rsid w:val="006F3BD0"/>
    <w:rsid w:val="00730191"/>
    <w:rsid w:val="00740210"/>
    <w:rsid w:val="00742C93"/>
    <w:rsid w:val="007637D7"/>
    <w:rsid w:val="00783C54"/>
    <w:rsid w:val="00796062"/>
    <w:rsid w:val="007D03E5"/>
    <w:rsid w:val="007E5D15"/>
    <w:rsid w:val="007F2453"/>
    <w:rsid w:val="00806988"/>
    <w:rsid w:val="00841A8B"/>
    <w:rsid w:val="00866DA4"/>
    <w:rsid w:val="008B0916"/>
    <w:rsid w:val="00905D5F"/>
    <w:rsid w:val="00932490"/>
    <w:rsid w:val="00935224"/>
    <w:rsid w:val="0093626B"/>
    <w:rsid w:val="00941089"/>
    <w:rsid w:val="00952DF2"/>
    <w:rsid w:val="00970B90"/>
    <w:rsid w:val="00982C3D"/>
    <w:rsid w:val="009B329A"/>
    <w:rsid w:val="009E4C9B"/>
    <w:rsid w:val="009F7338"/>
    <w:rsid w:val="00A0430E"/>
    <w:rsid w:val="00A133DA"/>
    <w:rsid w:val="00A62794"/>
    <w:rsid w:val="00A64CB2"/>
    <w:rsid w:val="00AA3DDE"/>
    <w:rsid w:val="00AC15F9"/>
    <w:rsid w:val="00AD021E"/>
    <w:rsid w:val="00AD1C37"/>
    <w:rsid w:val="00AF4C70"/>
    <w:rsid w:val="00B06530"/>
    <w:rsid w:val="00B15A42"/>
    <w:rsid w:val="00B30337"/>
    <w:rsid w:val="00B35E2B"/>
    <w:rsid w:val="00B42D73"/>
    <w:rsid w:val="00B45E0F"/>
    <w:rsid w:val="00B46754"/>
    <w:rsid w:val="00B5420E"/>
    <w:rsid w:val="00B71D7C"/>
    <w:rsid w:val="00B7652B"/>
    <w:rsid w:val="00BC2F4C"/>
    <w:rsid w:val="00C02D4C"/>
    <w:rsid w:val="00C17C1F"/>
    <w:rsid w:val="00C56DC3"/>
    <w:rsid w:val="00C578BE"/>
    <w:rsid w:val="00C65D67"/>
    <w:rsid w:val="00C660BD"/>
    <w:rsid w:val="00CA469A"/>
    <w:rsid w:val="00CB5FEA"/>
    <w:rsid w:val="00CC58D0"/>
    <w:rsid w:val="00CF6D0F"/>
    <w:rsid w:val="00D53D0C"/>
    <w:rsid w:val="00D76B1C"/>
    <w:rsid w:val="00DA03C7"/>
    <w:rsid w:val="00DA499E"/>
    <w:rsid w:val="00DC7AB1"/>
    <w:rsid w:val="00DF2596"/>
    <w:rsid w:val="00E104C6"/>
    <w:rsid w:val="00E157E6"/>
    <w:rsid w:val="00E23FC3"/>
    <w:rsid w:val="00E36FDE"/>
    <w:rsid w:val="00E700F8"/>
    <w:rsid w:val="00E70B06"/>
    <w:rsid w:val="00E732A9"/>
    <w:rsid w:val="00E97BC5"/>
    <w:rsid w:val="00EB7A2E"/>
    <w:rsid w:val="00EF1046"/>
    <w:rsid w:val="00F4280D"/>
    <w:rsid w:val="00F451C2"/>
    <w:rsid w:val="00F84478"/>
    <w:rsid w:val="00F92C6F"/>
    <w:rsid w:val="00FC6920"/>
    <w:rsid w:val="00FC73BF"/>
    <w:rsid w:val="00FE4337"/>
    <w:rsid w:val="00FF4709"/>
    <w:rsid w:val="3A90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1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link w:val="13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7"/>
    <w:semiHidden/>
    <w:qFormat/>
    <w:uiPriority w:val="0"/>
    <w:pPr>
      <w:widowControl/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宋体" w:hAnsi="宋体" w:eastAsia="宋体" w:cs="宋体"/>
      <w:snapToGrid w:val="0"/>
      <w:color w:val="000000"/>
      <w:kern w:val="0"/>
      <w:szCs w:val="21"/>
      <w:lang w:eastAsia="en-US"/>
    </w:rPr>
  </w:style>
  <w:style w:type="paragraph" w:styleId="4">
    <w:name w:val="footer"/>
    <w:basedOn w:val="1"/>
    <w:link w:val="16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5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1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7">
    <w:name w:val="Title"/>
    <w:basedOn w:val="1"/>
    <w:next w:val="1"/>
    <w:link w:val="18"/>
    <w:qFormat/>
    <w:uiPriority w:val="0"/>
    <w:pPr>
      <w:spacing w:before="240" w:after="60"/>
      <w:jc w:val="center"/>
      <w:outlineLvl w:val="0"/>
    </w:pPr>
    <w:rPr>
      <w:rFonts w:ascii="等线 Light" w:hAnsi="等线 Light" w:eastAsia="宋体" w:cs="Times New Roman"/>
      <w:b/>
      <w:bCs/>
      <w:sz w:val="32"/>
      <w:szCs w:val="32"/>
    </w:rPr>
  </w:style>
  <w:style w:type="paragraph" w:styleId="8">
    <w:name w:val="Body Text First Indent"/>
    <w:basedOn w:val="3"/>
    <w:link w:val="20"/>
    <w:semiHidden/>
    <w:unhideWhenUsed/>
    <w:qFormat/>
    <w:uiPriority w:val="99"/>
    <w:pPr>
      <w:widowControl w:val="0"/>
      <w:kinsoku/>
      <w:autoSpaceDE/>
      <w:autoSpaceDN/>
      <w:adjustRightInd/>
      <w:snapToGrid/>
      <w:spacing w:after="120"/>
      <w:ind w:firstLine="420" w:firstLineChars="100"/>
      <w:jc w:val="both"/>
      <w:textAlignment w:val="auto"/>
    </w:pPr>
    <w:rPr>
      <w:rFonts w:asciiTheme="minorHAnsi" w:hAnsiTheme="minorHAnsi" w:eastAsiaTheme="minorEastAsia" w:cstheme="minorBidi"/>
      <w:snapToGrid/>
      <w:color w:val="auto"/>
      <w:kern w:val="2"/>
      <w:szCs w:val="22"/>
      <w:lang w:eastAsia="zh-CN"/>
    </w:rPr>
  </w:style>
  <w:style w:type="table" w:styleId="10">
    <w:name w:val="Table Grid"/>
    <w:basedOn w:val="9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22"/>
    <w:rPr>
      <w:b/>
      <w:bCs/>
    </w:rPr>
  </w:style>
  <w:style w:type="character" w:customStyle="1" w:styleId="13">
    <w:name w:val="标题 3 Char"/>
    <w:basedOn w:val="11"/>
    <w:link w:val="2"/>
    <w:uiPriority w:val="9"/>
    <w:rPr>
      <w:rFonts w:ascii="宋体" w:hAnsi="宋体" w:eastAsia="宋体" w:cs="宋体"/>
      <w:b/>
      <w:bCs/>
      <w:kern w:val="0"/>
      <w:sz w:val="27"/>
      <w:szCs w:val="27"/>
    </w:rPr>
  </w:style>
  <w:style w:type="paragraph" w:styleId="14">
    <w:name w:val="List Paragraph"/>
    <w:basedOn w:val="1"/>
    <w:qFormat/>
    <w:uiPriority w:val="34"/>
    <w:pPr>
      <w:ind w:firstLine="420" w:firstLineChars="200"/>
    </w:pPr>
    <w:rPr>
      <w:rFonts w:ascii="Calibri" w:hAnsi="Calibri" w:eastAsia="宋体" w:cs="Times New Roman"/>
    </w:rPr>
  </w:style>
  <w:style w:type="character" w:customStyle="1" w:styleId="15">
    <w:name w:val="页眉 Char"/>
    <w:basedOn w:val="11"/>
    <w:link w:val="5"/>
    <w:uiPriority w:val="99"/>
    <w:rPr>
      <w:sz w:val="18"/>
      <w:szCs w:val="18"/>
    </w:rPr>
  </w:style>
  <w:style w:type="character" w:customStyle="1" w:styleId="16">
    <w:name w:val="页脚 Char"/>
    <w:basedOn w:val="11"/>
    <w:link w:val="4"/>
    <w:uiPriority w:val="99"/>
    <w:rPr>
      <w:sz w:val="18"/>
      <w:szCs w:val="18"/>
    </w:rPr>
  </w:style>
  <w:style w:type="character" w:customStyle="1" w:styleId="17">
    <w:name w:val="正文文本 Char"/>
    <w:basedOn w:val="11"/>
    <w:link w:val="3"/>
    <w:semiHidden/>
    <w:uiPriority w:val="0"/>
    <w:rPr>
      <w:rFonts w:ascii="宋体" w:hAnsi="宋体" w:eastAsia="宋体" w:cs="宋体"/>
      <w:snapToGrid w:val="0"/>
      <w:color w:val="000000"/>
      <w:kern w:val="0"/>
      <w:szCs w:val="21"/>
      <w:lang w:eastAsia="en-US"/>
    </w:rPr>
  </w:style>
  <w:style w:type="character" w:customStyle="1" w:styleId="18">
    <w:name w:val="标题 Char"/>
    <w:basedOn w:val="11"/>
    <w:link w:val="7"/>
    <w:qFormat/>
    <w:uiPriority w:val="0"/>
    <w:rPr>
      <w:rFonts w:ascii="等线 Light" w:hAnsi="等线 Light" w:eastAsia="宋体" w:cs="Times New Roman"/>
      <w:b/>
      <w:bCs/>
      <w:sz w:val="32"/>
      <w:szCs w:val="32"/>
    </w:rPr>
  </w:style>
  <w:style w:type="paragraph" w:customStyle="1" w:styleId="19">
    <w:name w:val="列出段落1"/>
    <w:basedOn w:val="1"/>
    <w:qFormat/>
    <w:uiPriority w:val="0"/>
    <w:pPr>
      <w:ind w:left="720"/>
      <w:contextualSpacing/>
    </w:pPr>
    <w:rPr>
      <w:rFonts w:ascii="等线" w:hAnsi="Times New Roman" w:eastAsia="等线" w:cs="Arial"/>
    </w:rPr>
  </w:style>
  <w:style w:type="character" w:customStyle="1" w:styleId="20">
    <w:name w:val="正文首行缩进 Char"/>
    <w:basedOn w:val="17"/>
    <w:link w:val="8"/>
    <w:semiHidden/>
    <w:qFormat/>
    <w:uiPriority w:val="99"/>
    <w:rPr>
      <w:rFonts w:ascii="宋体" w:hAnsi="宋体" w:eastAsia="宋体" w:cs="宋体"/>
      <w:snapToGrid/>
      <w:color w:val="000000"/>
      <w:kern w:val="0"/>
      <w:szCs w:val="21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DE58D-F617-48C5-9F6E-BC659E6E9C7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3257</Words>
  <Characters>3358</Characters>
  <Lines>25</Lines>
  <Paragraphs>7</Paragraphs>
  <TotalTime>8</TotalTime>
  <ScaleCrop>false</ScaleCrop>
  <LinksUpToDate>false</LinksUpToDate>
  <CharactersWithSpaces>3469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2025-02-07T00:38:00Z</dcterms:created>
  <dc:creator>cgk x</dc:creator>
  <cp:lastModifiedBy>Administrator</cp:lastModifiedBy>
  <dcterms:modified xsi:type="dcterms:W3CDTF">2025-02-12T08:34:24Z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eyJoZGlkIjoiMzgwNmFmNjE2YTRiYjE5ZDUxMTc0OGQzZTY1NTA5ZDgiLCJ1c2VySWQiOiIxNjE4NjM5NzIyIn0=</vt:lpwstr>
  </property>
  <property fmtid="{D5CDD505-2E9C-101B-9397-08002B2CF9AE}" pid="3" name="KSOProductBuildVer">
    <vt:lpwstr>2052-12.1.0.19770</vt:lpwstr>
  </property>
  <property fmtid="{D5CDD505-2E9C-101B-9397-08002B2CF9AE}" pid="4" name="ICV">
    <vt:lpwstr>60C40BDAC79C495FBBE6B081FB97DE42_12</vt:lpwstr>
  </property>
</Properties>
</file>