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2C8046">
      <w:pPr>
        <w:spacing w:line="360" w:lineRule="auto"/>
        <w:ind w:firstLine="3213" w:firstLineChars="1000"/>
        <w:rPr>
          <w:rFonts w:hint="eastAsia" w:ascii="宋体" w:hAnsi="宋体" w:cs="宋体"/>
          <w:b/>
          <w:sz w:val="32"/>
          <w:szCs w:val="32"/>
        </w:rPr>
      </w:pPr>
      <w:r>
        <w:rPr>
          <w:rFonts w:hint="eastAsia" w:ascii="宋体" w:hAnsi="宋体" w:cs="宋体"/>
          <w:b/>
          <w:sz w:val="32"/>
          <w:szCs w:val="32"/>
        </w:rPr>
        <w:t>第一章  磋商邀请</w:t>
      </w:r>
    </w:p>
    <w:p w14:paraId="14FB26EF">
      <w:pPr>
        <w:spacing w:line="360" w:lineRule="auto"/>
        <w:ind w:left="210" w:leftChars="100"/>
        <w:rPr>
          <w:rFonts w:hint="eastAsia" w:ascii="宋体" w:hAnsi="宋体" w:cs="宋体"/>
          <w:b/>
          <w:bCs/>
          <w:color w:val="000000"/>
          <w:kern w:val="0"/>
          <w:szCs w:val="21"/>
          <w:lang w:bidi="ar"/>
        </w:rPr>
      </w:pPr>
      <w:r>
        <w:rPr>
          <w:rFonts w:hint="eastAsia" w:ascii="宋体" w:hAnsi="宋体" w:cs="宋体"/>
          <w:b/>
          <w:bCs/>
          <w:color w:val="000000"/>
          <w:kern w:val="0"/>
          <w:szCs w:val="21"/>
          <w:lang w:bidi="ar"/>
        </w:rPr>
        <w:t>项目概况</w:t>
      </w:r>
    </w:p>
    <w:p w14:paraId="22684B08">
      <w:pPr>
        <w:spacing w:line="360" w:lineRule="auto"/>
        <w:ind w:left="210" w:leftChars="100" w:firstLine="420" w:firstLineChars="200"/>
        <w:rPr>
          <w:rFonts w:hint="eastAsia" w:ascii="宋体" w:hAnsi="宋体" w:cs="宋体"/>
          <w:color w:val="000000"/>
          <w:kern w:val="0"/>
          <w:szCs w:val="21"/>
          <w:lang w:bidi="ar"/>
        </w:rPr>
      </w:pPr>
      <w:r>
        <w:rPr>
          <w:rFonts w:hint="eastAsia" w:ascii="宋体" w:hAnsi="宋体" w:cs="宋体"/>
          <w:color w:val="000000"/>
          <w:kern w:val="0"/>
          <w:szCs w:val="21"/>
          <w:lang w:bidi="ar"/>
        </w:rPr>
        <w:t>长沙市岳麓区观沙岭街道办事处不锈钢雨棚及防水工程的潜在投标人应在</w:t>
      </w:r>
      <w:r>
        <w:rPr>
          <w:rStyle w:val="13"/>
          <w:rFonts w:hint="eastAsia" w:ascii="宋体" w:hAnsi="宋体"/>
          <w:kern w:val="0"/>
          <w:u w:val="single" w:color="000000"/>
        </w:rPr>
        <w:t>湖南明佑项目管理有限公司</w:t>
      </w:r>
      <w:r>
        <w:rPr>
          <w:rStyle w:val="13"/>
          <w:rFonts w:ascii="宋体" w:hAnsi="宋体"/>
          <w:kern w:val="0"/>
          <w:u w:val="single"/>
        </w:rPr>
        <w:t>（</w:t>
      </w:r>
      <w:r>
        <w:rPr>
          <w:rStyle w:val="13"/>
          <w:rFonts w:hint="eastAsia" w:ascii="宋体" w:hAnsi="宋体"/>
          <w:kern w:val="0"/>
          <w:u w:val="single"/>
        </w:rPr>
        <w:t>长沙市岳麓区观沙岭街道含光路108号</w:t>
      </w:r>
      <w:r>
        <w:rPr>
          <w:rFonts w:hint="eastAsia" w:ascii="宋体" w:hAnsi="宋体" w:cs="宋体"/>
          <w:u w:val="single"/>
        </w:rPr>
        <w:t>龙湖铂金岛C座30楼3009室</w:t>
      </w:r>
      <w:r>
        <w:rPr>
          <w:rFonts w:hint="eastAsia" w:ascii="宋体" w:hAnsi="宋体"/>
          <w:szCs w:val="21"/>
          <w:u w:val="single"/>
        </w:rPr>
        <w:t>，请换乘货梯可直达30楼</w:t>
      </w:r>
      <w:r>
        <w:rPr>
          <w:rStyle w:val="13"/>
          <w:rFonts w:ascii="宋体" w:hAnsi="宋体"/>
          <w:kern w:val="0"/>
          <w:u w:val="single"/>
        </w:rPr>
        <w:t>）</w:t>
      </w:r>
      <w:r>
        <w:rPr>
          <w:rFonts w:hint="eastAsia" w:ascii="宋体" w:hAnsi="宋体" w:cs="宋体"/>
          <w:color w:val="000000"/>
          <w:kern w:val="0"/>
          <w:szCs w:val="21"/>
          <w:lang w:bidi="ar"/>
        </w:rPr>
        <w:t>获取竞争性磋商文件，并于2024年10月12日14：00（北京时间）前递交响应文件。</w:t>
      </w:r>
    </w:p>
    <w:p w14:paraId="0D9031D3">
      <w:pPr>
        <w:adjustRightInd w:val="0"/>
        <w:snapToGrid w:val="0"/>
        <w:spacing w:line="360" w:lineRule="auto"/>
        <w:outlineLvl w:val="0"/>
        <w:rPr>
          <w:rFonts w:hint="eastAsia" w:ascii="宋体" w:hAnsi="宋体" w:cs="宋体"/>
          <w:b/>
          <w:szCs w:val="21"/>
        </w:rPr>
      </w:pPr>
    </w:p>
    <w:p w14:paraId="5416C581">
      <w:pPr>
        <w:adjustRightInd w:val="0"/>
        <w:snapToGrid w:val="0"/>
        <w:spacing w:line="360" w:lineRule="auto"/>
        <w:outlineLvl w:val="0"/>
        <w:rPr>
          <w:rFonts w:hint="eastAsia" w:ascii="宋体" w:hAnsi="宋体" w:cs="宋体"/>
          <w:b/>
          <w:szCs w:val="21"/>
        </w:rPr>
      </w:pPr>
      <w:r>
        <w:rPr>
          <w:rFonts w:hint="eastAsia" w:ascii="宋体" w:hAnsi="宋体" w:cs="宋体"/>
          <w:b/>
          <w:szCs w:val="21"/>
        </w:rPr>
        <w:t>一、项目基本概况</w:t>
      </w:r>
    </w:p>
    <w:p w14:paraId="2082B173">
      <w:pPr>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项目名称：长沙市岳麓区观沙岭街道办事处不锈钢雨棚及防水工程</w:t>
      </w:r>
      <w:r>
        <w:rPr>
          <w:rFonts w:hint="eastAsia" w:ascii="宋体" w:hAnsi="宋体" w:cs="宋体"/>
          <w:szCs w:val="21"/>
        </w:rPr>
        <w:br w:type="textWrapping"/>
      </w:r>
      <w:r>
        <w:rPr>
          <w:rFonts w:hint="eastAsia" w:ascii="宋体" w:hAnsi="宋体" w:cs="宋体"/>
          <w:szCs w:val="21"/>
        </w:rPr>
        <w:t>  采购方式：竞争性磋商</w:t>
      </w:r>
      <w:r>
        <w:rPr>
          <w:rFonts w:hint="eastAsia" w:ascii="宋体" w:hAnsi="宋体" w:cs="宋体"/>
          <w:szCs w:val="21"/>
        </w:rPr>
        <w:br w:type="textWrapping"/>
      </w:r>
      <w:r>
        <w:rPr>
          <w:rFonts w:hint="eastAsia" w:ascii="宋体" w:hAnsi="宋体" w:cs="宋体"/>
          <w:szCs w:val="21"/>
        </w:rPr>
        <w:t>  总预算金额：355287.08元</w:t>
      </w:r>
    </w:p>
    <w:p w14:paraId="710D1110">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最高限价：355287.08元</w:t>
      </w:r>
    </w:p>
    <w:p w14:paraId="34AF9A42">
      <w:pPr>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合同履行期限：</w:t>
      </w:r>
      <w:r>
        <w:rPr>
          <w:rFonts w:hint="eastAsia" w:ascii="宋体" w:hAnsi="宋体" w:cs="宋体"/>
          <w:bCs/>
          <w:szCs w:val="21"/>
        </w:rPr>
        <w:t>自采购合同签订之日起20个日历日。</w:t>
      </w:r>
    </w:p>
    <w:p w14:paraId="1F198CEE">
      <w:pPr>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采购需求：</w:t>
      </w:r>
    </w:p>
    <w:tbl>
      <w:tblPr>
        <w:tblStyle w:val="8"/>
        <w:tblW w:w="5018"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top w:w="0" w:type="dxa"/>
          <w:left w:w="0" w:type="dxa"/>
          <w:bottom w:w="0" w:type="dxa"/>
          <w:right w:w="0" w:type="dxa"/>
        </w:tblCellMar>
      </w:tblPr>
      <w:tblGrid>
        <w:gridCol w:w="443"/>
        <w:gridCol w:w="1199"/>
        <w:gridCol w:w="2264"/>
        <w:gridCol w:w="1688"/>
        <w:gridCol w:w="490"/>
        <w:gridCol w:w="490"/>
        <w:gridCol w:w="911"/>
        <w:gridCol w:w="911"/>
      </w:tblGrid>
      <w:tr w14:paraId="210EEFE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63" w:hRule="atLeast"/>
          <w:jc w:val="center"/>
        </w:trPr>
        <w:tc>
          <w:tcPr>
            <w:tcW w:w="264" w:type="pct"/>
            <w:noWrap w:val="0"/>
            <w:tcMar>
              <w:left w:w="45" w:type="dxa"/>
            </w:tcMar>
            <w:vAlign w:val="center"/>
          </w:tcPr>
          <w:p w14:paraId="1720F920">
            <w:pPr>
              <w:adjustRightInd w:val="0"/>
              <w:snapToGrid w:val="0"/>
              <w:spacing w:line="360" w:lineRule="auto"/>
              <w:jc w:val="center"/>
              <w:rPr>
                <w:rFonts w:hint="eastAsia" w:ascii="宋体" w:hAnsi="宋体" w:cs="宋体"/>
                <w:sz w:val="18"/>
                <w:szCs w:val="18"/>
              </w:rPr>
            </w:pPr>
            <w:r>
              <w:rPr>
                <w:rFonts w:hint="eastAsia" w:ascii="宋体" w:hAnsi="宋体" w:cs="宋体"/>
                <w:sz w:val="18"/>
                <w:szCs w:val="18"/>
              </w:rPr>
              <w:t>序号</w:t>
            </w:r>
          </w:p>
        </w:tc>
        <w:tc>
          <w:tcPr>
            <w:tcW w:w="714" w:type="pct"/>
            <w:noWrap w:val="0"/>
            <w:tcMar>
              <w:left w:w="45" w:type="dxa"/>
            </w:tcMar>
            <w:vAlign w:val="center"/>
          </w:tcPr>
          <w:p w14:paraId="4764C47F">
            <w:pPr>
              <w:adjustRightInd w:val="0"/>
              <w:snapToGrid w:val="0"/>
              <w:spacing w:line="360" w:lineRule="auto"/>
              <w:jc w:val="center"/>
              <w:rPr>
                <w:rFonts w:hint="eastAsia" w:ascii="宋体" w:hAnsi="宋体" w:cs="宋体"/>
                <w:sz w:val="18"/>
                <w:szCs w:val="18"/>
              </w:rPr>
            </w:pPr>
            <w:r>
              <w:rPr>
                <w:rFonts w:hint="eastAsia" w:ascii="宋体" w:hAnsi="宋体" w:cs="宋体"/>
                <w:sz w:val="18"/>
                <w:szCs w:val="18"/>
              </w:rPr>
              <w:t>品目分类</w:t>
            </w:r>
          </w:p>
        </w:tc>
        <w:tc>
          <w:tcPr>
            <w:tcW w:w="1348" w:type="pct"/>
            <w:noWrap w:val="0"/>
            <w:tcMar>
              <w:left w:w="45" w:type="dxa"/>
            </w:tcMar>
            <w:vAlign w:val="center"/>
          </w:tcPr>
          <w:p w14:paraId="6AA072A1">
            <w:pPr>
              <w:adjustRightInd w:val="0"/>
              <w:snapToGrid w:val="0"/>
              <w:spacing w:line="360" w:lineRule="auto"/>
              <w:jc w:val="center"/>
              <w:rPr>
                <w:rFonts w:hint="eastAsia" w:ascii="宋体" w:hAnsi="宋体" w:cs="宋体"/>
                <w:sz w:val="18"/>
                <w:szCs w:val="18"/>
              </w:rPr>
            </w:pPr>
            <w:r>
              <w:rPr>
                <w:rFonts w:hint="eastAsia" w:ascii="宋体" w:hAnsi="宋体" w:cs="宋体"/>
                <w:sz w:val="18"/>
                <w:szCs w:val="18"/>
              </w:rPr>
              <w:t>标的名称</w:t>
            </w:r>
          </w:p>
        </w:tc>
        <w:tc>
          <w:tcPr>
            <w:tcW w:w="1005" w:type="pct"/>
            <w:noWrap w:val="0"/>
            <w:tcMar>
              <w:left w:w="45" w:type="dxa"/>
            </w:tcMar>
            <w:vAlign w:val="center"/>
          </w:tcPr>
          <w:p w14:paraId="6279ACBB">
            <w:pPr>
              <w:adjustRightInd w:val="0"/>
              <w:snapToGrid w:val="0"/>
              <w:spacing w:line="360" w:lineRule="auto"/>
              <w:jc w:val="center"/>
              <w:rPr>
                <w:rFonts w:hint="eastAsia" w:ascii="宋体" w:hAnsi="宋体" w:cs="宋体"/>
                <w:sz w:val="18"/>
                <w:szCs w:val="18"/>
              </w:rPr>
            </w:pPr>
            <w:r>
              <w:rPr>
                <w:rFonts w:hint="eastAsia" w:ascii="宋体" w:hAnsi="宋体" w:cs="宋体"/>
                <w:sz w:val="18"/>
                <w:szCs w:val="18"/>
              </w:rPr>
              <w:t>主要内容</w:t>
            </w:r>
          </w:p>
        </w:tc>
        <w:tc>
          <w:tcPr>
            <w:tcW w:w="292" w:type="pct"/>
            <w:noWrap w:val="0"/>
            <w:tcMar>
              <w:left w:w="45" w:type="dxa"/>
            </w:tcMar>
            <w:vAlign w:val="center"/>
          </w:tcPr>
          <w:p w14:paraId="4AE374B3">
            <w:pPr>
              <w:adjustRightInd w:val="0"/>
              <w:snapToGrid w:val="0"/>
              <w:spacing w:line="360" w:lineRule="auto"/>
              <w:jc w:val="center"/>
              <w:rPr>
                <w:rFonts w:hint="eastAsia" w:ascii="宋体" w:hAnsi="宋体" w:cs="宋体"/>
                <w:sz w:val="18"/>
                <w:szCs w:val="18"/>
              </w:rPr>
            </w:pPr>
            <w:r>
              <w:rPr>
                <w:rFonts w:hint="eastAsia" w:ascii="宋体" w:hAnsi="宋体" w:cs="宋体"/>
                <w:sz w:val="18"/>
                <w:szCs w:val="18"/>
              </w:rPr>
              <w:t>数量</w:t>
            </w:r>
          </w:p>
        </w:tc>
        <w:tc>
          <w:tcPr>
            <w:tcW w:w="292" w:type="pct"/>
            <w:noWrap w:val="0"/>
            <w:tcMar>
              <w:left w:w="45" w:type="dxa"/>
            </w:tcMar>
            <w:vAlign w:val="center"/>
          </w:tcPr>
          <w:p w14:paraId="48D766C3">
            <w:pPr>
              <w:adjustRightInd w:val="0"/>
              <w:snapToGrid w:val="0"/>
              <w:spacing w:line="360" w:lineRule="auto"/>
              <w:jc w:val="center"/>
              <w:rPr>
                <w:rFonts w:hint="eastAsia" w:ascii="宋体" w:hAnsi="宋体" w:cs="宋体"/>
                <w:sz w:val="18"/>
                <w:szCs w:val="18"/>
              </w:rPr>
            </w:pPr>
            <w:r>
              <w:rPr>
                <w:rFonts w:hint="eastAsia" w:ascii="宋体" w:hAnsi="宋体" w:cs="宋体"/>
                <w:sz w:val="18"/>
                <w:szCs w:val="18"/>
              </w:rPr>
              <w:t>计量</w:t>
            </w:r>
          </w:p>
          <w:p w14:paraId="78F90E74">
            <w:pPr>
              <w:adjustRightInd w:val="0"/>
              <w:snapToGrid w:val="0"/>
              <w:spacing w:line="360" w:lineRule="auto"/>
              <w:jc w:val="center"/>
              <w:rPr>
                <w:rFonts w:hint="eastAsia" w:ascii="宋体" w:hAnsi="宋体" w:cs="宋体"/>
                <w:sz w:val="18"/>
                <w:szCs w:val="18"/>
              </w:rPr>
            </w:pPr>
            <w:r>
              <w:rPr>
                <w:rFonts w:hint="eastAsia" w:ascii="宋体" w:hAnsi="宋体" w:cs="宋体"/>
                <w:sz w:val="18"/>
                <w:szCs w:val="18"/>
              </w:rPr>
              <w:t>单位</w:t>
            </w:r>
          </w:p>
        </w:tc>
        <w:tc>
          <w:tcPr>
            <w:tcW w:w="542" w:type="pct"/>
            <w:noWrap w:val="0"/>
            <w:tcMar>
              <w:left w:w="45" w:type="dxa"/>
            </w:tcMar>
            <w:vAlign w:val="center"/>
          </w:tcPr>
          <w:p w14:paraId="07625F58">
            <w:pPr>
              <w:adjustRightInd w:val="0"/>
              <w:snapToGrid w:val="0"/>
              <w:spacing w:line="360" w:lineRule="auto"/>
              <w:jc w:val="center"/>
              <w:rPr>
                <w:rFonts w:hint="eastAsia" w:ascii="宋体" w:hAnsi="宋体" w:cs="宋体"/>
                <w:sz w:val="18"/>
                <w:szCs w:val="18"/>
              </w:rPr>
            </w:pPr>
            <w:r>
              <w:rPr>
                <w:rFonts w:hint="eastAsia" w:ascii="宋体" w:hAnsi="宋体" w:cs="宋体"/>
                <w:sz w:val="18"/>
                <w:szCs w:val="18"/>
              </w:rPr>
              <w:t>预算金额</w:t>
            </w:r>
          </w:p>
          <w:p w14:paraId="4D4AF7A7">
            <w:pPr>
              <w:adjustRightInd w:val="0"/>
              <w:snapToGrid w:val="0"/>
              <w:spacing w:line="360" w:lineRule="auto"/>
              <w:jc w:val="center"/>
              <w:rPr>
                <w:rFonts w:hint="eastAsia" w:ascii="宋体" w:hAnsi="宋体" w:cs="宋体"/>
                <w:sz w:val="18"/>
                <w:szCs w:val="18"/>
              </w:rPr>
            </w:pPr>
            <w:r>
              <w:rPr>
                <w:rFonts w:hint="eastAsia" w:ascii="宋体" w:hAnsi="宋体" w:cs="宋体"/>
                <w:sz w:val="18"/>
                <w:szCs w:val="18"/>
              </w:rPr>
              <w:t>（元）</w:t>
            </w:r>
          </w:p>
        </w:tc>
        <w:tc>
          <w:tcPr>
            <w:tcW w:w="542" w:type="pct"/>
            <w:noWrap w:val="0"/>
            <w:tcMar>
              <w:left w:w="45" w:type="dxa"/>
            </w:tcMar>
            <w:vAlign w:val="center"/>
          </w:tcPr>
          <w:p w14:paraId="4FABBCB0">
            <w:pPr>
              <w:adjustRightInd w:val="0"/>
              <w:snapToGrid w:val="0"/>
              <w:spacing w:line="360" w:lineRule="auto"/>
              <w:jc w:val="center"/>
              <w:rPr>
                <w:rFonts w:hint="eastAsia" w:ascii="宋体" w:hAnsi="宋体" w:cs="宋体"/>
                <w:sz w:val="18"/>
                <w:szCs w:val="18"/>
              </w:rPr>
            </w:pPr>
            <w:r>
              <w:rPr>
                <w:rFonts w:hint="eastAsia" w:ascii="宋体" w:hAnsi="宋体" w:cs="宋体"/>
                <w:sz w:val="18"/>
                <w:szCs w:val="18"/>
              </w:rPr>
              <w:t>最高限价（元）</w:t>
            </w:r>
          </w:p>
        </w:tc>
      </w:tr>
      <w:tr w14:paraId="47163DB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996" w:hRule="atLeast"/>
          <w:jc w:val="center"/>
        </w:trPr>
        <w:tc>
          <w:tcPr>
            <w:tcW w:w="264" w:type="pct"/>
            <w:noWrap w:val="0"/>
            <w:tcMar>
              <w:left w:w="45" w:type="dxa"/>
            </w:tcMar>
            <w:vAlign w:val="center"/>
          </w:tcPr>
          <w:p w14:paraId="10ECCF8F">
            <w:pPr>
              <w:adjustRightInd w:val="0"/>
              <w:snapToGrid w:val="0"/>
              <w:spacing w:line="360" w:lineRule="auto"/>
              <w:jc w:val="center"/>
              <w:rPr>
                <w:rFonts w:hint="eastAsia" w:ascii="宋体" w:hAnsi="宋体" w:cs="宋体"/>
                <w:sz w:val="18"/>
                <w:szCs w:val="18"/>
              </w:rPr>
            </w:pPr>
            <w:r>
              <w:rPr>
                <w:rFonts w:hint="eastAsia" w:ascii="宋体" w:hAnsi="宋体" w:cs="宋体"/>
                <w:sz w:val="18"/>
                <w:szCs w:val="18"/>
              </w:rPr>
              <w:t>1</w:t>
            </w:r>
          </w:p>
        </w:tc>
        <w:tc>
          <w:tcPr>
            <w:tcW w:w="714" w:type="pct"/>
            <w:noWrap w:val="0"/>
            <w:tcMar>
              <w:left w:w="45" w:type="dxa"/>
            </w:tcMar>
            <w:vAlign w:val="center"/>
          </w:tcPr>
          <w:p w14:paraId="4C53C718">
            <w:pPr>
              <w:adjustRightInd w:val="0"/>
              <w:snapToGrid w:val="0"/>
              <w:spacing w:line="360" w:lineRule="auto"/>
              <w:jc w:val="center"/>
              <w:rPr>
                <w:rFonts w:hint="eastAsia" w:ascii="宋体" w:hAnsi="宋体" w:cs="宋体"/>
                <w:sz w:val="18"/>
                <w:szCs w:val="18"/>
              </w:rPr>
            </w:pPr>
            <w:r>
              <w:rPr>
                <w:rFonts w:hint="eastAsia" w:ascii="宋体" w:hAnsi="宋体" w:cs="宋体"/>
                <w:sz w:val="18"/>
                <w:szCs w:val="18"/>
              </w:rPr>
              <w:t>其他建筑工程</w:t>
            </w:r>
          </w:p>
        </w:tc>
        <w:tc>
          <w:tcPr>
            <w:tcW w:w="1348" w:type="pct"/>
            <w:noWrap w:val="0"/>
            <w:tcMar>
              <w:left w:w="45" w:type="dxa"/>
            </w:tcMar>
            <w:vAlign w:val="center"/>
          </w:tcPr>
          <w:p w14:paraId="30321112">
            <w:pPr>
              <w:adjustRightInd w:val="0"/>
              <w:snapToGrid w:val="0"/>
              <w:spacing w:line="360" w:lineRule="auto"/>
              <w:jc w:val="center"/>
              <w:rPr>
                <w:rFonts w:hint="eastAsia" w:ascii="宋体" w:hAnsi="宋体" w:cs="宋体"/>
                <w:sz w:val="18"/>
                <w:szCs w:val="18"/>
              </w:rPr>
            </w:pPr>
            <w:r>
              <w:rPr>
                <w:rFonts w:hint="eastAsia" w:ascii="宋体" w:hAnsi="宋体" w:cs="宋体"/>
                <w:sz w:val="18"/>
                <w:szCs w:val="18"/>
              </w:rPr>
              <w:t>长沙市岳麓区观沙岭街道办事处不锈钢雨棚及防水工程</w:t>
            </w:r>
          </w:p>
        </w:tc>
        <w:tc>
          <w:tcPr>
            <w:tcW w:w="1005" w:type="pct"/>
            <w:noWrap w:val="0"/>
            <w:tcMar>
              <w:left w:w="45" w:type="dxa"/>
            </w:tcMar>
            <w:vAlign w:val="center"/>
          </w:tcPr>
          <w:p w14:paraId="3A65EDA7">
            <w:pPr>
              <w:adjustRightInd w:val="0"/>
              <w:snapToGrid w:val="0"/>
              <w:spacing w:line="360" w:lineRule="auto"/>
              <w:jc w:val="center"/>
              <w:rPr>
                <w:rFonts w:hint="eastAsia" w:ascii="宋体" w:hAnsi="宋体" w:cs="宋体"/>
                <w:sz w:val="18"/>
                <w:szCs w:val="18"/>
              </w:rPr>
            </w:pPr>
            <w:r>
              <w:rPr>
                <w:rFonts w:hint="eastAsia" w:ascii="宋体" w:hAnsi="宋体" w:cs="宋体"/>
                <w:sz w:val="18"/>
                <w:szCs w:val="18"/>
              </w:rPr>
              <w:t>详见第四章采购需求</w:t>
            </w:r>
          </w:p>
        </w:tc>
        <w:tc>
          <w:tcPr>
            <w:tcW w:w="292" w:type="pct"/>
            <w:noWrap w:val="0"/>
            <w:tcMar>
              <w:left w:w="45" w:type="dxa"/>
            </w:tcMar>
            <w:vAlign w:val="center"/>
          </w:tcPr>
          <w:p w14:paraId="79E85792">
            <w:pPr>
              <w:adjustRightInd w:val="0"/>
              <w:snapToGrid w:val="0"/>
              <w:spacing w:line="360" w:lineRule="auto"/>
              <w:jc w:val="center"/>
              <w:rPr>
                <w:rFonts w:hint="eastAsia" w:ascii="宋体" w:hAnsi="宋体" w:cs="宋体"/>
                <w:sz w:val="18"/>
                <w:szCs w:val="18"/>
              </w:rPr>
            </w:pPr>
            <w:r>
              <w:rPr>
                <w:rFonts w:hint="eastAsia" w:ascii="宋体" w:hAnsi="宋体" w:cs="宋体"/>
                <w:sz w:val="18"/>
                <w:szCs w:val="18"/>
              </w:rPr>
              <w:t>1</w:t>
            </w:r>
          </w:p>
        </w:tc>
        <w:tc>
          <w:tcPr>
            <w:tcW w:w="292" w:type="pct"/>
            <w:noWrap w:val="0"/>
            <w:tcMar>
              <w:left w:w="45" w:type="dxa"/>
            </w:tcMar>
            <w:vAlign w:val="center"/>
          </w:tcPr>
          <w:p w14:paraId="1B7F3C64">
            <w:pPr>
              <w:adjustRightInd w:val="0"/>
              <w:snapToGrid w:val="0"/>
              <w:spacing w:line="360" w:lineRule="auto"/>
              <w:jc w:val="center"/>
              <w:rPr>
                <w:rFonts w:hint="eastAsia" w:ascii="宋体" w:hAnsi="宋体" w:cs="宋体"/>
                <w:sz w:val="18"/>
                <w:szCs w:val="18"/>
              </w:rPr>
            </w:pPr>
            <w:r>
              <w:rPr>
                <w:rFonts w:hint="eastAsia" w:ascii="宋体" w:hAnsi="宋体" w:cs="宋体"/>
                <w:sz w:val="18"/>
                <w:szCs w:val="18"/>
              </w:rPr>
              <w:t>项</w:t>
            </w:r>
          </w:p>
        </w:tc>
        <w:tc>
          <w:tcPr>
            <w:tcW w:w="542" w:type="pct"/>
            <w:noWrap w:val="0"/>
            <w:tcMar>
              <w:left w:w="45" w:type="dxa"/>
            </w:tcMar>
            <w:vAlign w:val="center"/>
          </w:tcPr>
          <w:p w14:paraId="48C9129F">
            <w:pPr>
              <w:adjustRightInd w:val="0"/>
              <w:snapToGrid w:val="0"/>
              <w:spacing w:line="360" w:lineRule="auto"/>
              <w:rPr>
                <w:rFonts w:hint="eastAsia" w:ascii="宋体" w:hAnsi="宋体" w:cs="宋体"/>
                <w:sz w:val="18"/>
                <w:szCs w:val="18"/>
              </w:rPr>
            </w:pPr>
            <w:r>
              <w:rPr>
                <w:rFonts w:hint="eastAsia" w:ascii="宋体" w:hAnsi="宋体" w:cs="宋体"/>
                <w:sz w:val="18"/>
                <w:szCs w:val="18"/>
              </w:rPr>
              <w:t>355287.08</w:t>
            </w:r>
          </w:p>
        </w:tc>
        <w:tc>
          <w:tcPr>
            <w:tcW w:w="542" w:type="pct"/>
            <w:noWrap w:val="0"/>
            <w:tcMar>
              <w:left w:w="45" w:type="dxa"/>
            </w:tcMar>
            <w:vAlign w:val="center"/>
          </w:tcPr>
          <w:p w14:paraId="292A9774">
            <w:pPr>
              <w:adjustRightInd w:val="0"/>
              <w:snapToGrid w:val="0"/>
              <w:spacing w:line="360" w:lineRule="auto"/>
              <w:rPr>
                <w:rFonts w:hint="eastAsia" w:ascii="宋体" w:hAnsi="宋体" w:cs="宋体"/>
                <w:sz w:val="18"/>
                <w:szCs w:val="18"/>
              </w:rPr>
            </w:pPr>
            <w:r>
              <w:rPr>
                <w:rFonts w:hint="eastAsia" w:ascii="宋体" w:hAnsi="宋体" w:cs="宋体"/>
                <w:sz w:val="18"/>
                <w:szCs w:val="18"/>
              </w:rPr>
              <w:t>355287.08</w:t>
            </w:r>
          </w:p>
        </w:tc>
      </w:tr>
    </w:tbl>
    <w:p w14:paraId="17136EA2">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其他采购需求说明：无</w:t>
      </w:r>
    </w:p>
    <w:p w14:paraId="1917155A">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需要落实的政府采购政策：中小微企业,不发达地区和少数民族地区产业,节能产品,环保产品</w:t>
      </w:r>
    </w:p>
    <w:p w14:paraId="54C13D34">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 xml:space="preserve">是否接受联合体：否 </w:t>
      </w:r>
    </w:p>
    <w:p w14:paraId="67B9AE6C">
      <w:pPr>
        <w:adjustRightInd w:val="0"/>
        <w:snapToGrid w:val="0"/>
        <w:spacing w:line="360" w:lineRule="auto"/>
        <w:rPr>
          <w:rFonts w:hint="eastAsia" w:ascii="宋体" w:hAnsi="宋体" w:cs="宋体"/>
          <w:szCs w:val="21"/>
        </w:rPr>
      </w:pPr>
      <w:r>
        <w:rPr>
          <w:rFonts w:hint="eastAsia" w:ascii="宋体" w:hAnsi="宋体" w:cs="宋体"/>
          <w:b/>
          <w:bCs/>
          <w:color w:val="000000"/>
          <w:kern w:val="0"/>
          <w:szCs w:val="21"/>
          <w:lang w:bidi="ar"/>
        </w:rPr>
        <w:t>二、申请人的资格要求：</w:t>
      </w:r>
    </w:p>
    <w:p w14:paraId="7E8E81E0">
      <w:pPr>
        <w:adjustRightInd w:val="0"/>
        <w:snapToGrid w:val="0"/>
        <w:spacing w:line="360" w:lineRule="auto"/>
        <w:ind w:firstLine="420" w:firstLineChars="200"/>
        <w:outlineLvl w:val="0"/>
        <w:rPr>
          <w:rFonts w:hint="eastAsia" w:ascii="宋体" w:hAnsi="宋体" w:cs="宋体"/>
          <w:szCs w:val="21"/>
        </w:rPr>
      </w:pPr>
      <w:r>
        <w:rPr>
          <w:rFonts w:hint="eastAsia" w:ascii="宋体" w:hAnsi="宋体" w:cs="宋体"/>
          <w:szCs w:val="21"/>
        </w:rPr>
        <w:t>1、满足《中华人民共和国政府采购法》第二十二条规定；</w:t>
      </w:r>
    </w:p>
    <w:p w14:paraId="4C6AED68">
      <w:pPr>
        <w:adjustRightInd w:val="0"/>
        <w:snapToGrid w:val="0"/>
        <w:spacing w:line="360" w:lineRule="auto"/>
        <w:ind w:firstLine="420" w:firstLineChars="200"/>
        <w:outlineLvl w:val="0"/>
        <w:rPr>
          <w:rFonts w:hint="eastAsia" w:ascii="宋体" w:hAnsi="宋体" w:cs="宋体"/>
          <w:szCs w:val="21"/>
        </w:rPr>
      </w:pPr>
      <w:r>
        <w:rPr>
          <w:rFonts w:hint="eastAsia" w:ascii="宋体" w:hAnsi="宋体" w:cs="宋体"/>
          <w:szCs w:val="21"/>
        </w:rPr>
        <w:t>2、落实政府采购政策需满足的资格要求：</w:t>
      </w:r>
    </w:p>
    <w:p w14:paraId="794CD8AE">
      <w:pPr>
        <w:adjustRightInd w:val="0"/>
        <w:snapToGrid w:val="0"/>
        <w:spacing w:line="360" w:lineRule="auto"/>
        <w:ind w:firstLine="420" w:firstLineChars="200"/>
        <w:outlineLvl w:val="0"/>
        <w:rPr>
          <w:rFonts w:hint="eastAsia" w:ascii="宋体" w:hAnsi="宋体" w:cs="宋体"/>
          <w:szCs w:val="21"/>
        </w:rPr>
      </w:pPr>
      <w:r>
        <w:rPr>
          <w:rFonts w:hint="eastAsia" w:ascii="宋体" w:hAnsi="宋体" w:cs="宋体"/>
          <w:szCs w:val="21"/>
        </w:rPr>
        <w:t>（1）法人提交企业法人营业执照副本(或者法人登记证书)；</w:t>
      </w:r>
    </w:p>
    <w:p w14:paraId="5FB5945E">
      <w:pPr>
        <w:adjustRightInd w:val="0"/>
        <w:snapToGrid w:val="0"/>
        <w:spacing w:after="78" w:afterLines="25" w:line="360" w:lineRule="auto"/>
        <w:ind w:firstLine="420" w:firstLineChars="200"/>
        <w:rPr>
          <w:rFonts w:hint="eastAsia" w:ascii="宋体" w:hAnsi="宋体" w:cs="宋体"/>
          <w:szCs w:val="21"/>
        </w:rPr>
      </w:pPr>
      <w:r>
        <w:rPr>
          <w:rFonts w:hint="eastAsia" w:ascii="宋体" w:hAnsi="宋体" w:cs="宋体"/>
          <w:szCs w:val="21"/>
        </w:rPr>
        <w:t>（2）法人提交法定代表人身份证明原件或者法定代表人授权委托书原件并附法定代表人身份证明原件，自然人提交身份证复印件；</w:t>
      </w:r>
    </w:p>
    <w:p w14:paraId="1E7C3819">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（3）依法缴纳税收和社会保险费的证明材料,各提供下列材料之一：</w:t>
      </w:r>
    </w:p>
    <w:p w14:paraId="7E191DBA">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①缴纳税收证明资料：《税务登记证》复印件，或者近三个月内任意一个月依法缴纳税收的证明（纳税凭证复印件），或者委托他人缴纳的委托代办协议和近三个月内任意一个月的缴纳证明（收据复印件），或者法定征收机关出具的依法免缴税收的证明原件。</w:t>
      </w:r>
    </w:p>
    <w:p w14:paraId="4EEE0E7F">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②缴纳社会保险证明资料：《社会保险登记证》复印件，或者近三个月内任意一个月依法缴纳社会保险的证明（缴费凭证复印件），或者委托他人缴纳的委托代办协议和近三个月内任意一个月的缴纳证明（收据复印件），或者法定征收机关出具的依法免缴保险费的证明原件。</w:t>
      </w:r>
    </w:p>
    <w:p w14:paraId="3735426C">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4）供应商具有实行了“三证合一”登记制度改革的新证，视同为持有工商营业执照、组织机构代码证和税务登记证，符合基本资格条件的相关条款。供应商具有实行了“五证合一”登记制度改革的新证，视同为持有工商营业执照、组织机构代码证和税务登记证和社会保险登记证，符合基本资格条件的相关条款，供应商如是“五证合一”的，请自行在资格审查证明材料中注明，如未注明，视同为“三证合一”。</w:t>
      </w:r>
    </w:p>
    <w:p w14:paraId="2701BF32">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基本资格条件中所指的近三个月是指：2024年6月～2024年8月。</w:t>
      </w:r>
    </w:p>
    <w:p w14:paraId="20A05AD1">
      <w:pPr>
        <w:adjustRightInd w:val="0"/>
        <w:snapToGrid w:val="0"/>
        <w:spacing w:line="360" w:lineRule="auto"/>
        <w:ind w:firstLine="422" w:firstLineChars="200"/>
        <w:rPr>
          <w:rFonts w:hint="eastAsia" w:ascii="宋体" w:hAnsi="宋体" w:cs="宋体"/>
          <w:b/>
          <w:bCs/>
          <w:szCs w:val="21"/>
        </w:rPr>
      </w:pPr>
      <w:r>
        <w:rPr>
          <w:rFonts w:hint="eastAsia" w:ascii="宋体" w:hAnsi="宋体" w:cs="宋体"/>
          <w:b/>
          <w:bCs/>
          <w:szCs w:val="21"/>
        </w:rPr>
        <w:t>注：根据长财采购[2022]10号文件规定，供应商凭《湖南省政府采购供应商资格承诺函》(格式见采购文件)参与政府采购活动，无需提供财务状况报告、依法缴纳税收和社会保障资金的相关材料、参加政府采购活动前3年内在经营活动中没有重大违法记录的书面声明。</w:t>
      </w:r>
    </w:p>
    <w:p w14:paraId="1E59419A">
      <w:pPr>
        <w:adjustRightInd w:val="0"/>
        <w:snapToGrid w:val="0"/>
        <w:spacing w:line="360" w:lineRule="auto"/>
        <w:ind w:firstLine="420" w:firstLineChars="200"/>
        <w:rPr>
          <w:rFonts w:hint="eastAsia" w:ascii="宋体" w:hAnsi="宋体" w:cs="宋体"/>
        </w:rPr>
      </w:pPr>
      <w:r>
        <w:rPr>
          <w:rFonts w:hint="eastAsia" w:ascii="宋体" w:hAnsi="宋体" w:cs="宋体"/>
          <w:bCs/>
          <w:szCs w:val="21"/>
        </w:rPr>
        <w:t>（5）</w:t>
      </w:r>
      <w:r>
        <w:rPr>
          <w:rFonts w:hint="eastAsia" w:ascii="宋体" w:hAnsi="宋体" w:cs="宋体"/>
          <w:b/>
          <w:bCs/>
        </w:rPr>
        <w:t>关于政府采购促进中小企业发展相关规定：本项目为专门面向中小微企业采购项目，采购标的所属行业为“建筑业”，各供应商应按政府采购促进中小企业发展相关规定及采购文件的响应文件组成中的《中小企业声明函》格式填写并在响应文件中提供《中小企业声明函》，否则视为无效响应。</w:t>
      </w:r>
    </w:p>
    <w:p w14:paraId="1820D1A9">
      <w:pPr>
        <w:adjustRightInd w:val="0"/>
        <w:snapToGrid w:val="0"/>
        <w:spacing w:after="78" w:afterLines="25" w:line="360" w:lineRule="auto"/>
        <w:ind w:firstLine="420" w:firstLineChars="200"/>
        <w:rPr>
          <w:rFonts w:hint="eastAsia" w:ascii="宋体" w:hAnsi="宋体" w:cs="宋体"/>
          <w:szCs w:val="21"/>
        </w:rPr>
      </w:pPr>
      <w:r>
        <w:rPr>
          <w:rFonts w:hint="eastAsia" w:ascii="宋体" w:hAnsi="宋体" w:cs="宋体"/>
          <w:szCs w:val="21"/>
        </w:rPr>
        <w:t>（6）单位负责人为同一人或者存在直接控股、管理关系的不同供应商，不得参加同一合同项下的政府采购活动。</w:t>
      </w:r>
    </w:p>
    <w:p w14:paraId="492550C9">
      <w:pPr>
        <w:adjustRightInd w:val="0"/>
        <w:snapToGrid w:val="0"/>
        <w:spacing w:line="360" w:lineRule="auto"/>
        <w:ind w:firstLine="420" w:firstLineChars="200"/>
        <w:outlineLvl w:val="0"/>
        <w:rPr>
          <w:rFonts w:hint="eastAsia" w:ascii="宋体" w:hAnsi="宋体" w:cs="宋体"/>
          <w:szCs w:val="21"/>
        </w:rPr>
      </w:pPr>
      <w:r>
        <w:rPr>
          <w:rFonts w:hint="eastAsia" w:ascii="宋体" w:hAnsi="宋体" w:cs="宋体"/>
          <w:szCs w:val="21"/>
        </w:rPr>
        <w:t>（7）为本采购项目提供整体设计、规范编制或者项目管理、监理、检测等服务的，不得再参加此项目的其他招标采购活动。</w:t>
      </w:r>
    </w:p>
    <w:p w14:paraId="250597D5">
      <w:pPr>
        <w:adjustRightInd w:val="0"/>
        <w:snapToGrid w:val="0"/>
        <w:spacing w:line="360" w:lineRule="auto"/>
        <w:ind w:firstLine="420" w:firstLineChars="200"/>
        <w:outlineLvl w:val="0"/>
        <w:rPr>
          <w:rFonts w:hint="eastAsia" w:ascii="宋体" w:hAnsi="宋体" w:cs="宋体"/>
          <w:szCs w:val="21"/>
        </w:rPr>
      </w:pPr>
      <w:r>
        <w:rPr>
          <w:rFonts w:hint="eastAsia" w:ascii="宋体" w:hAnsi="宋体" w:cs="宋体"/>
          <w:szCs w:val="21"/>
        </w:rPr>
        <w:t>（8）列入失信被执行人、重大税收违法案件当事人名单，列入政府采购严重违法失信行为记录名单的，拒绝其参与政府采购活动。</w:t>
      </w:r>
    </w:p>
    <w:p w14:paraId="77B566F8">
      <w:pPr>
        <w:adjustRightInd w:val="0"/>
        <w:snapToGrid w:val="0"/>
        <w:spacing w:line="360" w:lineRule="auto"/>
        <w:ind w:firstLine="422" w:firstLineChars="200"/>
        <w:outlineLvl w:val="0"/>
        <w:rPr>
          <w:rFonts w:hint="eastAsia" w:ascii="宋体" w:hAnsi="宋体" w:cs="宋体"/>
          <w:szCs w:val="21"/>
        </w:rPr>
      </w:pPr>
      <w:r>
        <w:rPr>
          <w:rFonts w:hint="eastAsia" w:ascii="宋体" w:hAnsi="宋体"/>
          <w:b/>
          <w:bCs/>
        </w:rPr>
        <w:t>3、供应商特定资格条件</w:t>
      </w:r>
      <w:r>
        <w:rPr>
          <w:rFonts w:hint="eastAsia" w:ascii="宋体" w:hAnsi="宋体"/>
        </w:rPr>
        <w:t>：</w:t>
      </w:r>
      <w:r>
        <w:rPr>
          <w:rFonts w:hint="eastAsia" w:ascii="宋体" w:hAnsi="宋体" w:cs="宋体"/>
          <w:szCs w:val="21"/>
        </w:rPr>
        <w:t>无</w:t>
      </w:r>
    </w:p>
    <w:p w14:paraId="314B843E">
      <w:pPr>
        <w:widowControl/>
        <w:spacing w:line="360" w:lineRule="auto"/>
        <w:jc w:val="left"/>
        <w:rPr>
          <w:rFonts w:hint="eastAsia" w:ascii="宋体" w:hAnsi="宋体" w:cs="宋体"/>
          <w:color w:val="000000"/>
          <w:kern w:val="0"/>
          <w:szCs w:val="21"/>
          <w:lang w:bidi="ar"/>
        </w:rPr>
      </w:pPr>
      <w:r>
        <w:rPr>
          <w:rFonts w:hint="eastAsia" w:ascii="宋体" w:hAnsi="宋体" w:cs="宋体"/>
          <w:b/>
          <w:bCs/>
          <w:color w:val="000000"/>
          <w:kern w:val="0"/>
          <w:szCs w:val="21"/>
          <w:lang w:bidi="ar"/>
        </w:rPr>
        <w:t>三、获取采购文件：</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1、获取采购文件的截止时间：2024年9月29日至2024年10月11日17：00（北京时间）</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2、获取采购文件的地点：湖南明佑项目管理有限公司（长沙市岳麓区观沙岭街道含光路108号龙湖铂金岛C座30楼3009室，请换乘货梯可直达30楼）</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3、获取采购文件的方式：持单位介绍信、法定代表人身份证明或授权委托书(附法定代表人身份证明)、个人身份证到湖南明佑项目管理有限公司（长沙市岳麓区观沙岭街道含光路108号龙湖铂金岛C座30楼3009室，请换乘货梯可直达30楼）登记领取磋商文件。</w:t>
      </w:r>
    </w:p>
    <w:p w14:paraId="16490B4A">
      <w:pPr>
        <w:widowControl/>
        <w:spacing w:line="360" w:lineRule="auto"/>
        <w:jc w:val="left"/>
        <w:rPr>
          <w:rFonts w:hint="eastAsia" w:ascii="宋体" w:hAnsi="宋体" w:cs="宋体"/>
          <w:color w:val="000000"/>
          <w:kern w:val="0"/>
          <w:szCs w:val="21"/>
          <w:u w:val="single"/>
          <w:lang w:bidi="ar"/>
        </w:rPr>
      </w:pPr>
      <w:r>
        <w:rPr>
          <w:rFonts w:hint="eastAsia" w:ascii="宋体" w:hAnsi="宋体" w:cs="宋体"/>
          <w:color w:val="000000"/>
          <w:kern w:val="0"/>
          <w:szCs w:val="21"/>
          <w:lang w:bidi="ar"/>
        </w:rPr>
        <w:t>4 、采购文件的售价：400元</w:t>
      </w:r>
      <w:r>
        <w:rPr>
          <w:rFonts w:hint="eastAsia" w:ascii="宋体" w:hAnsi="宋体" w:cs="宋体"/>
          <w:color w:val="000000"/>
          <w:kern w:val="0"/>
          <w:szCs w:val="21"/>
          <w:lang w:bidi="ar"/>
        </w:rPr>
        <w:br w:type="textWrapping"/>
      </w:r>
      <w:r>
        <w:rPr>
          <w:rFonts w:hint="eastAsia" w:ascii="宋体" w:hAnsi="宋体" w:cs="宋体"/>
          <w:b/>
          <w:bCs/>
          <w:color w:val="000000"/>
          <w:kern w:val="0"/>
          <w:szCs w:val="21"/>
          <w:lang w:bidi="ar"/>
        </w:rPr>
        <w:t>四、响应文件提交：</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1、响应文件提交的截止时间：</w:t>
      </w:r>
      <w:r>
        <w:rPr>
          <w:rFonts w:hint="eastAsia" w:ascii="宋体" w:hAnsi="宋体" w:cs="宋体"/>
          <w:color w:val="000000"/>
          <w:kern w:val="0"/>
          <w:szCs w:val="21"/>
          <w:u w:val="single"/>
          <w:lang w:bidi="ar"/>
        </w:rPr>
        <w:t>2024年10月12日14：00（北京时间）</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2、响应文件提交的地点：</w:t>
      </w:r>
      <w:r>
        <w:rPr>
          <w:rFonts w:hint="eastAsia" w:ascii="宋体" w:hAnsi="宋体" w:cs="宋体"/>
          <w:color w:val="000000"/>
          <w:kern w:val="0"/>
          <w:szCs w:val="21"/>
          <w:u w:val="single"/>
          <w:lang w:bidi="ar"/>
        </w:rPr>
        <w:t>湖南明佑项目管理有限公司（开标室）</w:t>
      </w:r>
      <w:r>
        <w:rPr>
          <w:rFonts w:hint="eastAsia" w:ascii="宋体" w:hAnsi="宋体" w:cs="宋体"/>
          <w:color w:val="000000"/>
          <w:kern w:val="0"/>
          <w:szCs w:val="21"/>
          <w:lang w:bidi="ar"/>
        </w:rPr>
        <w:br w:type="textWrapping"/>
      </w:r>
      <w:r>
        <w:rPr>
          <w:rFonts w:hint="eastAsia" w:ascii="宋体" w:hAnsi="宋体" w:cs="宋体"/>
          <w:b/>
          <w:bCs/>
          <w:color w:val="000000"/>
          <w:kern w:val="0"/>
          <w:szCs w:val="21"/>
          <w:lang w:bidi="ar"/>
        </w:rPr>
        <w:t>五、开启：</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1、开启时间：</w:t>
      </w:r>
      <w:r>
        <w:rPr>
          <w:rFonts w:hint="eastAsia" w:ascii="宋体" w:hAnsi="宋体" w:cs="宋体"/>
          <w:color w:val="000000"/>
          <w:kern w:val="0"/>
          <w:szCs w:val="21"/>
          <w:u w:val="single"/>
          <w:lang w:bidi="ar"/>
        </w:rPr>
        <w:t>2024年10月12日14：00（北京时间）</w:t>
      </w:r>
    </w:p>
    <w:p w14:paraId="78E9032C">
      <w:pPr>
        <w:widowControl/>
        <w:spacing w:line="360" w:lineRule="auto"/>
        <w:jc w:val="left"/>
        <w:rPr>
          <w:rFonts w:hint="eastAsia" w:ascii="宋体" w:hAnsi="宋体" w:cs="宋体"/>
        </w:rPr>
      </w:pPr>
      <w:r>
        <w:rPr>
          <w:rFonts w:hint="eastAsia" w:ascii="宋体" w:hAnsi="宋体" w:cs="宋体"/>
          <w:color w:val="000000"/>
          <w:kern w:val="0"/>
          <w:szCs w:val="21"/>
          <w:lang w:bidi="ar"/>
        </w:rPr>
        <w:t>2、开启地点：</w:t>
      </w:r>
      <w:r>
        <w:rPr>
          <w:rFonts w:hint="eastAsia" w:ascii="宋体" w:hAnsi="宋体" w:cs="宋体"/>
          <w:color w:val="000000"/>
          <w:kern w:val="0"/>
          <w:szCs w:val="21"/>
          <w:u w:val="single"/>
          <w:lang w:bidi="ar"/>
        </w:rPr>
        <w:t>湖南明佑项目管理有限公司（评标室）</w:t>
      </w:r>
      <w:r>
        <w:rPr>
          <w:rFonts w:hint="eastAsia" w:ascii="宋体" w:hAnsi="宋体" w:cs="宋体"/>
          <w:color w:val="000000"/>
          <w:kern w:val="0"/>
          <w:szCs w:val="21"/>
          <w:lang w:bidi="ar"/>
        </w:rPr>
        <w:br w:type="textWrapping"/>
      </w:r>
      <w:r>
        <w:rPr>
          <w:rFonts w:hint="eastAsia" w:ascii="宋体" w:hAnsi="宋体" w:cs="宋体"/>
          <w:b/>
          <w:bCs/>
          <w:color w:val="000000"/>
          <w:kern w:val="0"/>
          <w:szCs w:val="21"/>
          <w:lang w:bidi="ar"/>
        </w:rPr>
        <w:t>六、公告期限：</w:t>
      </w:r>
      <w:r>
        <w:rPr>
          <w:rFonts w:hint="eastAsia" w:ascii="宋体" w:hAnsi="宋体" w:cs="宋体"/>
          <w:color w:val="000000"/>
          <w:kern w:val="0"/>
          <w:szCs w:val="21"/>
          <w:lang w:bidi="ar"/>
        </w:rPr>
        <w:t>自</w:t>
      </w:r>
      <w:r>
        <w:rPr>
          <w:rFonts w:hint="eastAsia" w:ascii="宋体" w:hAnsi="宋体" w:cs="宋体"/>
          <w:color w:val="000000"/>
          <w:kern w:val="0"/>
          <w:szCs w:val="21"/>
          <w:u w:val="single"/>
          <w:lang w:bidi="ar"/>
        </w:rPr>
        <w:t xml:space="preserve">2024年9月29日 </w:t>
      </w:r>
      <w:r>
        <w:rPr>
          <w:rFonts w:hint="eastAsia" w:ascii="宋体" w:hAnsi="宋体" w:cs="宋体"/>
          <w:color w:val="000000"/>
          <w:kern w:val="0"/>
          <w:szCs w:val="21"/>
          <w:lang w:bidi="ar"/>
        </w:rPr>
        <w:t>起至</w:t>
      </w:r>
      <w:r>
        <w:rPr>
          <w:rFonts w:hint="eastAsia" w:ascii="宋体" w:hAnsi="宋体" w:cs="宋体"/>
          <w:color w:val="000000"/>
          <w:kern w:val="0"/>
          <w:szCs w:val="21"/>
          <w:u w:val="single"/>
          <w:lang w:bidi="ar"/>
        </w:rPr>
        <w:t>2024年10月9</w:t>
      </w:r>
      <w:r>
        <w:rPr>
          <w:rFonts w:hint="eastAsia" w:ascii="宋体" w:hAnsi="宋体" w:cs="宋体"/>
          <w:color w:val="000000"/>
          <w:kern w:val="0"/>
          <w:szCs w:val="21"/>
          <w:lang w:bidi="ar"/>
        </w:rPr>
        <w:t>止（3个工作日）</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    供应商认为采购文件使自己的权益受到损害的，可以自获取采购文件之日或者采购文件公告期限届满之日（公告期限届满后获取采购文件的，以公告期限届满之日为准）起7个工作日内，以书面形式向采购人和采购代理机构提出质疑。质疑供应商对采购人、采购代理机构的答复不满意或者采购人、采购代理机构未在规定的时间内作出答复的，可以在答复期满后十五个工作日内向同级财政部门投诉。</w:t>
      </w:r>
      <w:r>
        <w:rPr>
          <w:rFonts w:hint="eastAsia" w:ascii="宋体" w:hAnsi="宋体" w:cs="宋体"/>
          <w:color w:val="000000"/>
          <w:kern w:val="0"/>
          <w:szCs w:val="21"/>
          <w:lang w:bidi="ar"/>
        </w:rPr>
        <w:br w:type="textWrapping"/>
      </w:r>
      <w:r>
        <w:rPr>
          <w:rFonts w:hint="eastAsia" w:ascii="宋体" w:hAnsi="宋体" w:cs="宋体"/>
          <w:b/>
          <w:bCs/>
          <w:color w:val="000000"/>
          <w:kern w:val="0"/>
          <w:szCs w:val="21"/>
          <w:lang w:bidi="ar"/>
        </w:rPr>
        <w:t>七、其他补充事宜：</w:t>
      </w:r>
    </w:p>
    <w:p w14:paraId="6C34AA40">
      <w:pPr>
        <w:widowControl/>
        <w:spacing w:line="360" w:lineRule="auto"/>
        <w:jc w:val="left"/>
        <w:rPr>
          <w:rFonts w:hint="eastAsia" w:ascii="宋体" w:hAnsi="宋体" w:cs="宋体"/>
        </w:rPr>
      </w:pPr>
      <w:r>
        <w:rPr>
          <w:rFonts w:hint="eastAsia" w:ascii="宋体" w:hAnsi="宋体" w:cs="宋体"/>
          <w:color w:val="000000"/>
          <w:szCs w:val="21"/>
        </w:rPr>
        <w:t>无。</w:t>
      </w:r>
    </w:p>
    <w:p w14:paraId="2CD67187">
      <w:pPr>
        <w:widowControl/>
        <w:numPr>
          <w:ilvl w:val="0"/>
          <w:numId w:val="1"/>
        </w:numPr>
        <w:spacing w:line="360" w:lineRule="auto"/>
        <w:jc w:val="left"/>
        <w:rPr>
          <w:rFonts w:hint="eastAsia" w:ascii="宋体" w:hAnsi="宋体" w:cs="宋体"/>
          <w:b/>
          <w:bCs/>
          <w:color w:val="000000"/>
          <w:kern w:val="0"/>
          <w:szCs w:val="21"/>
          <w:lang w:bidi="ar"/>
        </w:rPr>
      </w:pPr>
      <w:r>
        <w:rPr>
          <w:rFonts w:hint="eastAsia" w:ascii="宋体" w:hAnsi="宋体" w:cs="宋体"/>
          <w:b/>
          <w:bCs/>
          <w:color w:val="000000"/>
          <w:kern w:val="0"/>
          <w:szCs w:val="21"/>
          <w:lang w:bidi="ar"/>
        </w:rPr>
        <w:t>凡对本次采购提出询问，请按以下方式联系：</w:t>
      </w:r>
    </w:p>
    <w:p w14:paraId="7DF99BE2">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采购人：长沙市岳麓区观沙岭街道办事处</w:t>
      </w:r>
    </w:p>
    <w:p w14:paraId="33D033E0">
      <w:pPr>
        <w:adjustRightInd w:val="0"/>
        <w:snapToGrid w:val="0"/>
        <w:spacing w:line="360" w:lineRule="auto"/>
        <w:ind w:left="1260" w:leftChars="200" w:hanging="840" w:hangingChars="400"/>
        <w:rPr>
          <w:rFonts w:hint="eastAsia" w:ascii="宋体" w:hAnsi="宋体" w:cs="宋体"/>
          <w:szCs w:val="21"/>
        </w:rPr>
      </w:pPr>
      <w:r>
        <w:rPr>
          <w:rFonts w:hint="eastAsia" w:ascii="宋体" w:hAnsi="宋体" w:cs="宋体"/>
          <w:szCs w:val="21"/>
        </w:rPr>
        <w:t>地  址：长沙市岳麓区观沙岭街道银杉路255号观沙岭街道办公楼</w:t>
      </w:r>
    </w:p>
    <w:p w14:paraId="0FFFE843">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联系人：曾主任</w:t>
      </w:r>
    </w:p>
    <w:p w14:paraId="1549BBF2">
      <w:pPr>
        <w:tabs>
          <w:tab w:val="left" w:pos="4140"/>
        </w:tabs>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电  话：13786175998</w:t>
      </w:r>
    </w:p>
    <w:p w14:paraId="570CC6CB">
      <w:pPr>
        <w:tabs>
          <w:tab w:val="left" w:pos="4140"/>
        </w:tabs>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采购代理机构：湖南明佑项目管理有限公司</w:t>
      </w:r>
    </w:p>
    <w:p w14:paraId="46827DD2">
      <w:pPr>
        <w:tabs>
          <w:tab w:val="left" w:pos="4140"/>
        </w:tabs>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联 系 人：陈辉辉、唐浩</w:t>
      </w:r>
    </w:p>
    <w:p w14:paraId="529BE512">
      <w:pPr>
        <w:tabs>
          <w:tab w:val="left" w:pos="4140"/>
        </w:tabs>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电    话：13974958530</w:t>
      </w:r>
    </w:p>
    <w:p w14:paraId="65CBD91A">
      <w:pPr>
        <w:tabs>
          <w:tab w:val="left" w:pos="4140"/>
        </w:tabs>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 xml:space="preserve">地    址：长沙市岳麓区观沙岭街道含光路108号龙湖铂金岛C座30楼3009室，请换乘货梯可直达30楼 </w:t>
      </w:r>
    </w:p>
    <w:p w14:paraId="7735CAF8">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A6F85FD"/>
    <w:multiLevelType w:val="singleLevel"/>
    <w:tmpl w:val="2A6F85FD"/>
    <w:lvl w:ilvl="0" w:tentative="0">
      <w:start w:val="8"/>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M0Y2Y4OTM3NWMxMzBkYzZlOGVlOWUzNjNlMTE5N2UifQ=="/>
  </w:docVars>
  <w:rsids>
    <w:rsidRoot w:val="00000000"/>
    <w:rsid w:val="44BC05E2"/>
    <w:rsid w:val="4BC447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nhideWhenUsed="0" w:uiPriority="0"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7"/>
    <w:next w:val="1"/>
    <w:qFormat/>
    <w:uiPriority w:val="0"/>
    <w:pPr>
      <w:keepNext/>
      <w:keepLines/>
      <w:widowControl w:val="0"/>
      <w:adjustRightInd w:val="0"/>
      <w:spacing w:before="240" w:after="64" w:line="320" w:lineRule="atLeast"/>
      <w:jc w:val="left"/>
      <w:textAlignment w:val="baseline"/>
      <w:outlineLvl w:val="6"/>
    </w:pPr>
    <w:rPr>
      <w:rFonts w:ascii="Times New Roman" w:hAnsi="Times New Roman" w:eastAsia="宋体" w:cs="Times New Roman"/>
      <w:b/>
      <w:bCs/>
      <w:kern w:val="0"/>
      <w:sz w:val="24"/>
      <w:szCs w:val="24"/>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First Indent 2"/>
    <w:next w:val="3"/>
    <w:unhideWhenUsed/>
    <w:qFormat/>
    <w:uiPriority w:val="99"/>
    <w:pPr>
      <w:widowControl w:val="0"/>
      <w:spacing w:after="120"/>
      <w:ind w:left="420" w:leftChars="200" w:firstLine="420" w:firstLineChars="200"/>
      <w:jc w:val="both"/>
    </w:pPr>
    <w:rPr>
      <w:rFonts w:ascii="Times New Roman" w:hAnsi="Times New Roman" w:eastAsia="宋体" w:cs="Times New Roman"/>
      <w:kern w:val="2"/>
      <w:sz w:val="21"/>
      <w:szCs w:val="24"/>
      <w:lang w:val="en-US" w:eastAsia="zh-CN" w:bidi="ar-SA"/>
    </w:rPr>
  </w:style>
  <w:style w:type="paragraph" w:styleId="3">
    <w:name w:val="Normal Indent"/>
    <w:qFormat/>
    <w:uiPriority w:val="0"/>
    <w:pPr>
      <w:widowControl/>
      <w:ind w:firstLine="420"/>
      <w:jc w:val="left"/>
    </w:pPr>
    <w:rPr>
      <w:rFonts w:ascii="Times New Roman" w:hAnsi="Times New Roman" w:eastAsia="宋体" w:cs="Times New Roman"/>
      <w:kern w:val="0"/>
      <w:sz w:val="20"/>
      <w:szCs w:val="20"/>
      <w:lang w:val="en-US" w:eastAsia="zh-CN" w:bidi="ar-SA"/>
    </w:rPr>
  </w:style>
  <w:style w:type="paragraph" w:styleId="5">
    <w:name w:val="annotation text"/>
    <w:uiPriority w:val="0"/>
    <w:pPr>
      <w:widowControl w:val="0"/>
      <w:jc w:val="left"/>
    </w:pPr>
    <w:rPr>
      <w:rFonts w:ascii="Times New Roman" w:hAnsi="Times New Roman" w:eastAsia="宋体" w:cs="Times New Roman"/>
      <w:kern w:val="0"/>
      <w:sz w:val="20"/>
      <w:szCs w:val="24"/>
      <w:lang w:val="en-US" w:eastAsia="zh-CN" w:bidi="ar-SA"/>
    </w:rPr>
  </w:style>
  <w:style w:type="paragraph" w:styleId="6">
    <w:name w:val="Body Text Indent"/>
    <w:next w:val="7"/>
    <w:qFormat/>
    <w:uiPriority w:val="99"/>
    <w:pPr>
      <w:widowControl w:val="0"/>
      <w:spacing w:after="120"/>
      <w:ind w:left="420" w:leftChars="200"/>
      <w:jc w:val="both"/>
    </w:pPr>
    <w:rPr>
      <w:rFonts w:ascii="Times New Roman" w:hAnsi="Times New Roman" w:eastAsia="宋体" w:cs="Times New Roman"/>
      <w:kern w:val="2"/>
      <w:sz w:val="21"/>
      <w:szCs w:val="24"/>
      <w:lang w:val="en-US" w:eastAsia="zh-CN" w:bidi="ar-SA"/>
    </w:rPr>
  </w:style>
  <w:style w:type="paragraph" w:styleId="7">
    <w:name w:val="annotation subject"/>
    <w:next w:val="1"/>
    <w:uiPriority w:val="0"/>
    <w:pPr>
      <w:widowControl w:val="0"/>
      <w:jc w:val="left"/>
    </w:pPr>
    <w:rPr>
      <w:rFonts w:ascii="Times New Roman" w:hAnsi="Times New Roman" w:eastAsia="宋体" w:cs="Times New Roman"/>
      <w:b/>
      <w:bCs/>
      <w:kern w:val="2"/>
      <w:sz w:val="21"/>
      <w:szCs w:val="24"/>
      <w:lang w:val="en-US" w:eastAsia="zh-CN" w:bidi="ar-SA"/>
    </w:rPr>
  </w:style>
  <w:style w:type="paragraph" w:customStyle="1" w:styleId="10">
    <w:name w:val="列出段落1"/>
    <w:next w:val="4"/>
    <w:qFormat/>
    <w:uiPriority w:val="34"/>
    <w:pPr>
      <w:widowControl w:val="0"/>
      <w:ind w:firstLine="420" w:firstLineChars="200"/>
      <w:jc w:val="both"/>
    </w:pPr>
    <w:rPr>
      <w:rFonts w:ascii="Times New Roman" w:hAnsi="Times New Roman" w:eastAsia="宋体" w:cs="Times New Roman"/>
      <w:kern w:val="2"/>
      <w:sz w:val="21"/>
      <w:szCs w:val="24"/>
      <w:lang w:val="en-US" w:eastAsia="zh-CN" w:bidi="ar-SA"/>
    </w:rPr>
  </w:style>
  <w:style w:type="paragraph" w:customStyle="1" w:styleId="11">
    <w:name w:val="正文_0"/>
    <w:next w:val="10"/>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12">
    <w:name w:val="List Paragraph"/>
    <w:qFormat/>
    <w:uiPriority w:val="0"/>
    <w:pPr>
      <w:widowControl w:val="0"/>
      <w:ind w:firstLine="420" w:firstLineChars="200"/>
      <w:jc w:val="both"/>
    </w:pPr>
    <w:rPr>
      <w:rFonts w:ascii="Calibri" w:hAnsi="Calibri" w:eastAsia="宋体" w:cs="Times New Roman"/>
      <w:kern w:val="2"/>
      <w:sz w:val="21"/>
      <w:szCs w:val="22"/>
      <w:lang w:val="en-US" w:eastAsia="zh-CN" w:bidi="ar-SA"/>
    </w:rPr>
  </w:style>
  <w:style w:type="character" w:customStyle="1" w:styleId="13">
    <w:name w:val="NormalCharacter"/>
    <w:semiHidden/>
    <w:qFormat/>
    <w:uiPriority w:val="0"/>
    <w:rPr>
      <w:kern w:val="2"/>
      <w:sz w:val="21"/>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1779</Words>
  <Characters>1832</Characters>
  <Lines>0</Lines>
  <Paragraphs>0</Paragraphs>
  <TotalTime>0</TotalTime>
  <ScaleCrop>false</ScaleCrop>
  <LinksUpToDate>false</LinksUpToDate>
  <CharactersWithSpaces>1870</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2024-09-29T08:13:00Z</dcterms:created>
  <dc:creator>Administrator</dc:creator>
  <cp:lastModifiedBy>Administrator</cp:lastModifiedBy>
  <dcterms:modified xsi:type="dcterms:W3CDTF">2024-09-29T08:16:44Z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E5021D61F3924C799EE5297B2E2D1103_12</vt:lpwstr>
  </property>
</Properties>
</file>