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BCD0B7">
      <w:pPr>
        <w:spacing w:line="360" w:lineRule="auto"/>
        <w:ind w:firstLine="723" w:firstLineChars="200"/>
        <w:jc w:val="left"/>
        <w:rPr>
          <w:rFonts w:ascii="宋体" w:hAnsi="宋体"/>
          <w:b/>
          <w:bCs/>
          <w:sz w:val="36"/>
          <w:szCs w:val="36"/>
        </w:rPr>
      </w:pPr>
    </w:p>
    <w:p w14:paraId="414D2F87">
      <w:pPr>
        <w:spacing w:line="360" w:lineRule="auto"/>
        <w:jc w:val="center"/>
        <w:rPr>
          <w:rFonts w:ascii="宋体" w:hAnsi="宋体"/>
          <w:b/>
          <w:bCs/>
          <w:sz w:val="36"/>
          <w:szCs w:val="36"/>
        </w:rPr>
      </w:pPr>
      <w:r>
        <w:rPr>
          <w:rFonts w:hint="eastAsia" w:ascii="宋体" w:hAnsi="宋体"/>
          <w:b/>
          <w:bCs/>
          <w:sz w:val="36"/>
          <w:szCs w:val="36"/>
        </w:rPr>
        <w:t xml:space="preserve">浙江省嘉兴支队经济技术开发区消防救援大队2024—2025年度食堂大宗物品配送采购项目 </w:t>
      </w:r>
    </w:p>
    <w:p w14:paraId="1CCAB902">
      <w:pPr>
        <w:spacing w:line="360" w:lineRule="auto"/>
        <w:jc w:val="center"/>
        <w:rPr>
          <w:rFonts w:ascii="宋体" w:hAnsi="宋体"/>
          <w:sz w:val="36"/>
          <w:szCs w:val="36"/>
        </w:rPr>
      </w:pPr>
    </w:p>
    <w:p w14:paraId="5337BC19">
      <w:pPr>
        <w:pStyle w:val="58"/>
        <w:spacing w:line="360" w:lineRule="auto"/>
      </w:pPr>
    </w:p>
    <w:p w14:paraId="63217EF9">
      <w:pPr>
        <w:spacing w:line="360" w:lineRule="auto"/>
        <w:jc w:val="center"/>
        <w:rPr>
          <w:rFonts w:ascii="宋体" w:hAnsi="宋体"/>
          <w:b/>
          <w:sz w:val="52"/>
          <w:szCs w:val="52"/>
        </w:rPr>
      </w:pPr>
      <w:r>
        <w:rPr>
          <w:rFonts w:hint="eastAsia" w:ascii="宋体" w:hAnsi="宋体"/>
          <w:b/>
          <w:sz w:val="52"/>
          <w:szCs w:val="52"/>
        </w:rPr>
        <w:t>公</w:t>
      </w:r>
    </w:p>
    <w:p w14:paraId="60FA7C69">
      <w:pPr>
        <w:spacing w:line="360" w:lineRule="auto"/>
        <w:jc w:val="center"/>
        <w:rPr>
          <w:rFonts w:ascii="宋体" w:hAnsi="宋体"/>
          <w:b/>
          <w:sz w:val="52"/>
          <w:szCs w:val="52"/>
        </w:rPr>
      </w:pPr>
      <w:r>
        <w:rPr>
          <w:rFonts w:hint="eastAsia" w:ascii="宋体" w:hAnsi="宋体"/>
          <w:b/>
          <w:sz w:val="52"/>
          <w:szCs w:val="52"/>
        </w:rPr>
        <w:t>开</w:t>
      </w:r>
    </w:p>
    <w:p w14:paraId="1DB09A02">
      <w:pPr>
        <w:spacing w:line="360" w:lineRule="auto"/>
        <w:jc w:val="center"/>
        <w:rPr>
          <w:rFonts w:ascii="宋体" w:hAnsi="宋体"/>
          <w:b/>
          <w:sz w:val="52"/>
          <w:szCs w:val="52"/>
        </w:rPr>
      </w:pPr>
      <w:r>
        <w:rPr>
          <w:rFonts w:hint="eastAsia" w:ascii="宋体" w:hAnsi="宋体"/>
          <w:b/>
          <w:sz w:val="52"/>
          <w:szCs w:val="52"/>
        </w:rPr>
        <w:t>招</w:t>
      </w:r>
    </w:p>
    <w:p w14:paraId="072890C6">
      <w:pPr>
        <w:spacing w:line="360" w:lineRule="auto"/>
        <w:jc w:val="center"/>
        <w:rPr>
          <w:rFonts w:ascii="宋体" w:hAnsi="宋体"/>
          <w:b/>
          <w:sz w:val="52"/>
          <w:szCs w:val="52"/>
        </w:rPr>
      </w:pPr>
      <w:r>
        <w:rPr>
          <w:rFonts w:hint="eastAsia" w:ascii="宋体" w:hAnsi="宋体"/>
          <w:b/>
          <w:sz w:val="52"/>
          <w:szCs w:val="52"/>
        </w:rPr>
        <w:t>标</w:t>
      </w:r>
    </w:p>
    <w:p w14:paraId="3795F912">
      <w:pPr>
        <w:spacing w:line="360" w:lineRule="auto"/>
        <w:jc w:val="center"/>
        <w:rPr>
          <w:rFonts w:ascii="宋体" w:hAnsi="宋体"/>
          <w:b/>
          <w:sz w:val="52"/>
          <w:szCs w:val="52"/>
        </w:rPr>
      </w:pPr>
      <w:r>
        <w:rPr>
          <w:rFonts w:hint="eastAsia" w:ascii="宋体" w:hAnsi="宋体"/>
          <w:b/>
          <w:sz w:val="52"/>
          <w:szCs w:val="52"/>
        </w:rPr>
        <w:t>文</w:t>
      </w:r>
    </w:p>
    <w:p w14:paraId="419745BE">
      <w:pPr>
        <w:spacing w:line="360" w:lineRule="auto"/>
        <w:jc w:val="center"/>
        <w:rPr>
          <w:rFonts w:ascii="宋体" w:hAnsi="宋体"/>
          <w:b/>
          <w:sz w:val="52"/>
          <w:szCs w:val="52"/>
        </w:rPr>
      </w:pPr>
      <w:r>
        <w:rPr>
          <w:rFonts w:hint="eastAsia" w:ascii="宋体" w:hAnsi="宋体"/>
          <w:b/>
          <w:sz w:val="52"/>
          <w:szCs w:val="52"/>
        </w:rPr>
        <w:t>件</w:t>
      </w:r>
    </w:p>
    <w:p w14:paraId="261C1F14">
      <w:pPr>
        <w:pStyle w:val="58"/>
        <w:spacing w:line="360" w:lineRule="auto"/>
      </w:pPr>
    </w:p>
    <w:p w14:paraId="02EFF5AC">
      <w:pPr>
        <w:pStyle w:val="3"/>
        <w:spacing w:after="0" w:line="360" w:lineRule="auto"/>
        <w:rPr>
          <w:rFonts w:ascii="宋体" w:hAnsi="宋体"/>
          <w:sz w:val="28"/>
          <w:szCs w:val="28"/>
        </w:rPr>
      </w:pPr>
    </w:p>
    <w:p w14:paraId="1247E61E">
      <w:pPr>
        <w:pStyle w:val="26"/>
        <w:spacing w:line="360" w:lineRule="auto"/>
        <w:ind w:firstLine="1068" w:firstLineChars="400"/>
        <w:jc w:val="left"/>
        <w:rPr>
          <w:rFonts w:hAnsi="宋体"/>
          <w:b/>
          <w:sz w:val="28"/>
          <w:szCs w:val="28"/>
        </w:rPr>
      </w:pPr>
      <w:r>
        <w:rPr>
          <w:rFonts w:hint="eastAsia" w:hAnsi="宋体"/>
          <w:b/>
          <w:bCs/>
          <w:w w:val="95"/>
          <w:sz w:val="28"/>
          <w:szCs w:val="28"/>
        </w:rPr>
        <w:t>招标编号：</w:t>
      </w:r>
      <w:r>
        <w:rPr>
          <w:rFonts w:hint="eastAsia" w:hAnsi="宋体"/>
          <w:b/>
          <w:sz w:val="28"/>
          <w:szCs w:val="28"/>
        </w:rPr>
        <w:t xml:space="preserve">嘉消采-GK2024013  </w:t>
      </w:r>
    </w:p>
    <w:p w14:paraId="554DD3AC">
      <w:pPr>
        <w:pStyle w:val="26"/>
        <w:spacing w:line="360" w:lineRule="auto"/>
        <w:ind w:firstLine="1068" w:firstLineChars="400"/>
        <w:jc w:val="left"/>
        <w:rPr>
          <w:rFonts w:hAnsi="宋体"/>
          <w:b/>
          <w:bCs/>
          <w:w w:val="95"/>
          <w:sz w:val="28"/>
          <w:szCs w:val="28"/>
        </w:rPr>
      </w:pPr>
      <w:r>
        <w:rPr>
          <w:rFonts w:hint="eastAsia" w:hAnsi="宋体"/>
          <w:b/>
          <w:bCs/>
          <w:w w:val="95"/>
          <w:sz w:val="28"/>
          <w:szCs w:val="28"/>
        </w:rPr>
        <w:t>采购单位：</w:t>
      </w:r>
      <w:r>
        <w:rPr>
          <w:rFonts w:hint="eastAsia" w:hAnsi="宋体"/>
          <w:b/>
          <w:sz w:val="28"/>
          <w:szCs w:val="28"/>
        </w:rPr>
        <w:t xml:space="preserve">嘉兴经济技术开发区消防救援大队 </w:t>
      </w:r>
    </w:p>
    <w:p w14:paraId="39B0CDE1">
      <w:pPr>
        <w:pStyle w:val="26"/>
        <w:spacing w:line="360" w:lineRule="auto"/>
        <w:ind w:firstLine="1068" w:firstLineChars="400"/>
        <w:jc w:val="left"/>
        <w:rPr>
          <w:rFonts w:hAnsi="宋体"/>
          <w:b/>
          <w:bCs/>
          <w:w w:val="95"/>
          <w:sz w:val="28"/>
          <w:szCs w:val="28"/>
        </w:rPr>
      </w:pPr>
      <w:r>
        <w:rPr>
          <w:rFonts w:hint="eastAsia" w:hAnsi="宋体"/>
          <w:b/>
          <w:bCs/>
          <w:w w:val="95"/>
          <w:sz w:val="28"/>
          <w:szCs w:val="28"/>
        </w:rPr>
        <w:t>代理机构：</w:t>
      </w:r>
      <w:r>
        <w:rPr>
          <w:rFonts w:hint="eastAsia" w:hAnsi="宋体"/>
          <w:b/>
          <w:sz w:val="28"/>
          <w:szCs w:val="28"/>
        </w:rPr>
        <w:t>浙江省房地产管理咨询有限公司</w:t>
      </w:r>
    </w:p>
    <w:p w14:paraId="1400552C">
      <w:pPr>
        <w:pStyle w:val="26"/>
        <w:spacing w:line="360" w:lineRule="auto"/>
        <w:ind w:firstLine="1068" w:firstLineChars="400"/>
        <w:jc w:val="left"/>
        <w:rPr>
          <w:rFonts w:hAnsi="宋体"/>
          <w:b/>
          <w:bCs/>
          <w:w w:val="95"/>
          <w:sz w:val="28"/>
          <w:szCs w:val="28"/>
        </w:rPr>
      </w:pPr>
    </w:p>
    <w:p w14:paraId="52A516D1">
      <w:pPr>
        <w:spacing w:line="360" w:lineRule="auto"/>
        <w:ind w:firstLine="534" w:firstLineChars="200"/>
        <w:jc w:val="center"/>
        <w:rPr>
          <w:rFonts w:ascii="宋体" w:hAnsi="宋体"/>
          <w:b/>
          <w:bCs/>
          <w:w w:val="95"/>
          <w:sz w:val="28"/>
          <w:szCs w:val="28"/>
        </w:rPr>
      </w:pPr>
      <w:bookmarkStart w:id="0" w:name="_Toc493511539"/>
      <w:bookmarkStart w:id="1" w:name="_Toc427915753"/>
      <w:bookmarkStart w:id="2" w:name="_Toc50012812"/>
      <w:r>
        <w:rPr>
          <w:rFonts w:hint="eastAsia" w:ascii="宋体" w:hAnsi="宋体"/>
          <w:b/>
          <w:bCs/>
          <w:w w:val="95"/>
          <w:sz w:val="28"/>
          <w:szCs w:val="28"/>
        </w:rPr>
        <w:t>2024年9月</w:t>
      </w:r>
      <w:bookmarkEnd w:id="0"/>
      <w:bookmarkEnd w:id="1"/>
      <w:bookmarkEnd w:id="2"/>
    </w:p>
    <w:p w14:paraId="4D50B597">
      <w:pPr>
        <w:spacing w:line="360" w:lineRule="auto"/>
        <w:ind w:firstLine="723" w:firstLineChars="200"/>
        <w:jc w:val="left"/>
        <w:rPr>
          <w:rFonts w:ascii="宋体" w:hAnsi="宋体"/>
          <w:b/>
          <w:bCs/>
          <w:sz w:val="36"/>
          <w:szCs w:val="36"/>
        </w:rPr>
      </w:pPr>
    </w:p>
    <w:p w14:paraId="345A91EB">
      <w:pPr>
        <w:spacing w:line="360" w:lineRule="auto"/>
        <w:ind w:firstLine="723" w:firstLineChars="200"/>
        <w:jc w:val="left"/>
        <w:rPr>
          <w:rFonts w:ascii="宋体" w:hAnsi="宋体"/>
          <w:b/>
          <w:bCs/>
          <w:sz w:val="36"/>
          <w:szCs w:val="36"/>
        </w:rPr>
      </w:pPr>
    </w:p>
    <w:p w14:paraId="4570E93C">
      <w:pPr>
        <w:spacing w:line="360" w:lineRule="auto"/>
        <w:rPr>
          <w:rFonts w:ascii="宋体" w:hAnsi="宋体"/>
        </w:rPr>
      </w:pPr>
    </w:p>
    <w:p w14:paraId="502007CA">
      <w:pPr>
        <w:pStyle w:val="64"/>
        <w:spacing w:before="0" w:line="360" w:lineRule="auto"/>
        <w:ind w:firstLine="422" w:firstLineChars="200"/>
        <w:jc w:val="center"/>
        <w:rPr>
          <w:rFonts w:ascii="宋体" w:hAnsi="宋体"/>
          <w:color w:val="auto"/>
          <w:sz w:val="21"/>
          <w:szCs w:val="21"/>
        </w:rPr>
      </w:pPr>
      <w:bookmarkStart w:id="3" w:name="_Toc28810"/>
      <w:r>
        <w:rPr>
          <w:rFonts w:ascii="宋体" w:hAnsi="宋体"/>
          <w:color w:val="auto"/>
          <w:sz w:val="21"/>
          <w:szCs w:val="21"/>
          <w:lang w:val="zh-CN"/>
        </w:rPr>
        <w:t>目录</w:t>
      </w:r>
      <w:bookmarkEnd w:id="3"/>
    </w:p>
    <w:p w14:paraId="5C5A7D19">
      <w:pPr>
        <w:pStyle w:val="32"/>
        <w:tabs>
          <w:tab w:val="right" w:leader="dot" w:pos="8312"/>
        </w:tabs>
        <w:spacing w:line="360" w:lineRule="auto"/>
        <w:rPr>
          <w:rFonts w:ascii="宋体" w:hAnsi="宋体" w:cs="微软雅黑"/>
        </w:rPr>
      </w:pPr>
      <w:r>
        <w:rPr>
          <w:rFonts w:hint="eastAsia" w:ascii="宋体" w:hAnsi="宋体" w:cs="微软雅黑"/>
          <w:szCs w:val="21"/>
        </w:rPr>
        <w:fldChar w:fldCharType="begin"/>
      </w:r>
      <w:r>
        <w:rPr>
          <w:rFonts w:hint="eastAsia" w:ascii="宋体" w:hAnsi="宋体" w:cs="微软雅黑"/>
          <w:szCs w:val="21"/>
        </w:rPr>
        <w:instrText xml:space="preserve"> TOC \o "1-3" \h \z \u </w:instrText>
      </w:r>
      <w:r>
        <w:rPr>
          <w:rFonts w:hint="eastAsia" w:ascii="宋体" w:hAnsi="宋体" w:cs="微软雅黑"/>
          <w:szCs w:val="21"/>
        </w:rPr>
        <w:fldChar w:fldCharType="separate"/>
      </w:r>
    </w:p>
    <w:p w14:paraId="760EF6D0">
      <w:pPr>
        <w:pStyle w:val="39"/>
        <w:tabs>
          <w:tab w:val="right" w:leader="dot" w:pos="8312"/>
        </w:tabs>
        <w:spacing w:line="360" w:lineRule="auto"/>
        <w:rPr>
          <w:rFonts w:ascii="宋体" w:hAnsi="宋体" w:cs="微软雅黑"/>
        </w:rPr>
      </w:pPr>
      <w:r>
        <w:fldChar w:fldCharType="begin"/>
      </w:r>
      <w:r>
        <w:instrText xml:space="preserve"> HYPERLINK \l "_Toc3494" </w:instrText>
      </w:r>
      <w:r>
        <w:fldChar w:fldCharType="separate"/>
      </w:r>
      <w:r>
        <w:rPr>
          <w:rFonts w:hint="eastAsia" w:ascii="宋体" w:hAnsi="宋体" w:cs="微软雅黑"/>
        </w:rPr>
        <w:t>第一章  公开招标采购公告</w:t>
      </w:r>
      <w:r>
        <w:rPr>
          <w:rFonts w:hint="eastAsia" w:ascii="宋体" w:hAnsi="宋体" w:cs="微软雅黑"/>
        </w:rPr>
        <w:tab/>
      </w:r>
      <w:r>
        <w:rPr>
          <w:rFonts w:hint="eastAsia" w:ascii="宋体" w:hAnsi="宋体" w:cs="微软雅黑"/>
        </w:rPr>
        <w:fldChar w:fldCharType="begin"/>
      </w:r>
      <w:r>
        <w:rPr>
          <w:rFonts w:hint="eastAsia" w:ascii="宋体" w:hAnsi="宋体" w:cs="微软雅黑"/>
        </w:rPr>
        <w:instrText xml:space="preserve"> PAGEREF _Toc3494 </w:instrText>
      </w:r>
      <w:r>
        <w:rPr>
          <w:rFonts w:hint="eastAsia" w:ascii="宋体" w:hAnsi="宋体" w:cs="微软雅黑"/>
        </w:rPr>
        <w:fldChar w:fldCharType="separate"/>
      </w:r>
      <w:r>
        <w:rPr>
          <w:rFonts w:ascii="宋体" w:hAnsi="宋体" w:cs="微软雅黑"/>
        </w:rPr>
        <w:t>3</w:t>
      </w:r>
      <w:r>
        <w:rPr>
          <w:rFonts w:hint="eastAsia" w:ascii="宋体" w:hAnsi="宋体" w:cs="微软雅黑"/>
        </w:rPr>
        <w:fldChar w:fldCharType="end"/>
      </w:r>
      <w:r>
        <w:rPr>
          <w:rFonts w:hint="eastAsia" w:ascii="宋体" w:hAnsi="宋体" w:cs="微软雅黑"/>
        </w:rPr>
        <w:fldChar w:fldCharType="end"/>
      </w:r>
    </w:p>
    <w:p w14:paraId="0005F331">
      <w:pPr>
        <w:pStyle w:val="39"/>
        <w:tabs>
          <w:tab w:val="right" w:leader="dot" w:pos="8312"/>
        </w:tabs>
        <w:spacing w:line="360" w:lineRule="auto"/>
        <w:rPr>
          <w:rFonts w:ascii="宋体" w:hAnsi="宋体" w:cs="微软雅黑"/>
        </w:rPr>
      </w:pPr>
      <w:r>
        <w:fldChar w:fldCharType="begin"/>
      </w:r>
      <w:r>
        <w:instrText xml:space="preserve"> HYPERLINK \l "_Toc3892" </w:instrText>
      </w:r>
      <w:r>
        <w:fldChar w:fldCharType="separate"/>
      </w:r>
      <w:r>
        <w:rPr>
          <w:rFonts w:hint="eastAsia" w:ascii="宋体" w:hAnsi="宋体" w:cs="微软雅黑"/>
        </w:rPr>
        <w:t>第二章  采购需求</w:t>
      </w:r>
      <w:r>
        <w:rPr>
          <w:rFonts w:hint="eastAsia" w:ascii="宋体" w:hAnsi="宋体" w:cs="微软雅黑"/>
        </w:rPr>
        <w:tab/>
      </w:r>
      <w:r>
        <w:rPr>
          <w:rFonts w:hint="eastAsia" w:ascii="宋体" w:hAnsi="宋体" w:cs="微软雅黑"/>
        </w:rPr>
        <w:t>7</w:t>
      </w:r>
      <w:r>
        <w:rPr>
          <w:rFonts w:hint="eastAsia" w:ascii="宋体" w:hAnsi="宋体" w:cs="微软雅黑"/>
        </w:rPr>
        <w:fldChar w:fldCharType="end"/>
      </w:r>
    </w:p>
    <w:p w14:paraId="50609CE9">
      <w:pPr>
        <w:pStyle w:val="39"/>
        <w:tabs>
          <w:tab w:val="right" w:leader="dot" w:pos="8312"/>
        </w:tabs>
        <w:spacing w:line="360" w:lineRule="auto"/>
        <w:rPr>
          <w:rFonts w:ascii="宋体" w:hAnsi="宋体" w:cs="微软雅黑"/>
        </w:rPr>
      </w:pPr>
      <w:r>
        <w:fldChar w:fldCharType="begin"/>
      </w:r>
      <w:r>
        <w:instrText xml:space="preserve"> HYPERLINK \l "_Toc31093" </w:instrText>
      </w:r>
      <w:r>
        <w:fldChar w:fldCharType="separate"/>
      </w:r>
      <w:r>
        <w:rPr>
          <w:rFonts w:hint="eastAsia" w:ascii="宋体" w:hAnsi="宋体" w:cs="微软雅黑"/>
        </w:rPr>
        <w:t>第三章  投标人须知</w:t>
      </w:r>
      <w:r>
        <w:rPr>
          <w:rFonts w:hint="eastAsia" w:ascii="宋体" w:hAnsi="宋体" w:cs="微软雅黑"/>
        </w:rPr>
        <w:tab/>
      </w:r>
      <w:r>
        <w:rPr>
          <w:rFonts w:hint="eastAsia" w:ascii="宋体" w:hAnsi="宋体" w:cs="微软雅黑"/>
        </w:rPr>
        <w:t>1</w:t>
      </w:r>
      <w:r>
        <w:rPr>
          <w:rFonts w:hint="eastAsia" w:ascii="宋体" w:hAnsi="宋体" w:cs="微软雅黑"/>
        </w:rPr>
        <w:fldChar w:fldCharType="end"/>
      </w:r>
      <w:r>
        <w:rPr>
          <w:rFonts w:hint="eastAsia" w:ascii="宋体" w:hAnsi="宋体" w:cs="微软雅黑"/>
        </w:rPr>
        <w:t>1</w:t>
      </w:r>
    </w:p>
    <w:p w14:paraId="6444F947">
      <w:pPr>
        <w:pStyle w:val="39"/>
        <w:tabs>
          <w:tab w:val="right" w:leader="dot" w:pos="8312"/>
        </w:tabs>
        <w:spacing w:line="360" w:lineRule="auto"/>
        <w:rPr>
          <w:rFonts w:ascii="宋体" w:hAnsi="宋体" w:cs="微软雅黑"/>
        </w:rPr>
      </w:pPr>
      <w:r>
        <w:fldChar w:fldCharType="begin"/>
      </w:r>
      <w:r>
        <w:instrText xml:space="preserve"> HYPERLINK \l "_Toc27157" </w:instrText>
      </w:r>
      <w:r>
        <w:fldChar w:fldCharType="separate"/>
      </w:r>
      <w:r>
        <w:rPr>
          <w:rFonts w:hint="eastAsia" w:ascii="宋体" w:hAnsi="宋体" w:cs="微软雅黑"/>
        </w:rPr>
        <w:t>第四章  评标办法及评分标准</w:t>
      </w:r>
      <w:r>
        <w:rPr>
          <w:rFonts w:hint="eastAsia" w:ascii="宋体" w:hAnsi="宋体" w:cs="微软雅黑"/>
        </w:rPr>
        <w:tab/>
      </w:r>
      <w:r>
        <w:rPr>
          <w:rFonts w:hint="eastAsia" w:ascii="宋体" w:hAnsi="宋体" w:cs="微软雅黑"/>
        </w:rPr>
        <w:t>2</w:t>
      </w:r>
      <w:r>
        <w:rPr>
          <w:rFonts w:hint="eastAsia" w:ascii="宋体" w:hAnsi="宋体" w:cs="微软雅黑"/>
        </w:rPr>
        <w:fldChar w:fldCharType="end"/>
      </w:r>
      <w:r>
        <w:rPr>
          <w:rFonts w:hint="eastAsia" w:ascii="宋体" w:hAnsi="宋体" w:cs="微软雅黑"/>
        </w:rPr>
        <w:t>3</w:t>
      </w:r>
    </w:p>
    <w:p w14:paraId="2B01C8AE">
      <w:pPr>
        <w:pStyle w:val="39"/>
        <w:tabs>
          <w:tab w:val="right" w:leader="dot" w:pos="8312"/>
        </w:tabs>
        <w:spacing w:line="360" w:lineRule="auto"/>
        <w:rPr>
          <w:rFonts w:ascii="宋体" w:hAnsi="宋体" w:cs="微软雅黑"/>
        </w:rPr>
      </w:pPr>
      <w:r>
        <w:fldChar w:fldCharType="begin"/>
      </w:r>
      <w:r>
        <w:instrText xml:space="preserve"> HYPERLINK \l "_Toc28829" </w:instrText>
      </w:r>
      <w:r>
        <w:fldChar w:fldCharType="separate"/>
      </w:r>
      <w:r>
        <w:rPr>
          <w:rFonts w:hint="eastAsia" w:ascii="宋体" w:hAnsi="宋体" w:cs="微软雅黑"/>
        </w:rPr>
        <w:t>第五章  政府采购合同</w:t>
      </w:r>
      <w:r>
        <w:rPr>
          <w:rFonts w:hint="eastAsia" w:ascii="宋体" w:hAnsi="宋体" w:cs="微软雅黑"/>
        </w:rPr>
        <w:tab/>
      </w:r>
      <w:r>
        <w:rPr>
          <w:rFonts w:hint="eastAsia" w:ascii="宋体" w:hAnsi="宋体" w:cs="微软雅黑"/>
        </w:rPr>
        <w:t>2</w:t>
      </w:r>
      <w:r>
        <w:rPr>
          <w:rFonts w:hint="eastAsia" w:ascii="宋体" w:hAnsi="宋体" w:cs="微软雅黑"/>
        </w:rPr>
        <w:fldChar w:fldCharType="end"/>
      </w:r>
      <w:r>
        <w:rPr>
          <w:rFonts w:hint="eastAsia" w:ascii="宋体" w:hAnsi="宋体" w:cs="微软雅黑"/>
        </w:rPr>
        <w:t>6</w:t>
      </w:r>
    </w:p>
    <w:p w14:paraId="21AC4E29">
      <w:pPr>
        <w:pStyle w:val="39"/>
        <w:tabs>
          <w:tab w:val="right" w:leader="dot" w:pos="8312"/>
        </w:tabs>
        <w:spacing w:line="360" w:lineRule="auto"/>
        <w:rPr>
          <w:rFonts w:ascii="宋体" w:hAnsi="宋体" w:cs="微软雅黑"/>
        </w:rPr>
      </w:pPr>
      <w:r>
        <w:fldChar w:fldCharType="begin"/>
      </w:r>
      <w:r>
        <w:instrText xml:space="preserve"> HYPERLINK \l "_Toc5531" </w:instrText>
      </w:r>
      <w:r>
        <w:fldChar w:fldCharType="separate"/>
      </w:r>
      <w:r>
        <w:rPr>
          <w:rFonts w:hint="eastAsia" w:ascii="宋体" w:hAnsi="宋体" w:cs="微软雅黑"/>
        </w:rPr>
        <w:t>第六章　投标文件相关格式</w:t>
      </w:r>
      <w:r>
        <w:rPr>
          <w:rFonts w:hint="eastAsia" w:ascii="宋体" w:hAnsi="宋体" w:cs="微软雅黑"/>
        </w:rPr>
        <w:tab/>
      </w:r>
      <w:r>
        <w:rPr>
          <w:rFonts w:hint="eastAsia" w:ascii="宋体" w:hAnsi="宋体" w:cs="微软雅黑"/>
        </w:rPr>
        <w:t>3</w:t>
      </w:r>
      <w:r>
        <w:rPr>
          <w:rFonts w:hint="eastAsia" w:ascii="宋体" w:hAnsi="宋体" w:cs="微软雅黑"/>
        </w:rPr>
        <w:fldChar w:fldCharType="end"/>
      </w:r>
      <w:r>
        <w:rPr>
          <w:rFonts w:hint="eastAsia" w:ascii="宋体" w:hAnsi="宋体" w:cs="微软雅黑"/>
        </w:rPr>
        <w:t>6</w:t>
      </w:r>
    </w:p>
    <w:p w14:paraId="3C3BB23D">
      <w:pPr>
        <w:spacing w:line="360" w:lineRule="auto"/>
        <w:ind w:firstLine="420" w:firstLineChars="200"/>
        <w:jc w:val="left"/>
        <w:rPr>
          <w:rFonts w:ascii="宋体" w:hAnsi="宋体" w:cs="微软雅黑"/>
          <w:szCs w:val="21"/>
        </w:rPr>
      </w:pPr>
      <w:r>
        <w:rPr>
          <w:rFonts w:hint="eastAsia" w:ascii="宋体" w:hAnsi="宋体" w:cs="微软雅黑"/>
          <w:szCs w:val="21"/>
        </w:rPr>
        <w:fldChar w:fldCharType="end"/>
      </w:r>
    </w:p>
    <w:p w14:paraId="7C6F8253">
      <w:pPr>
        <w:spacing w:line="360" w:lineRule="auto"/>
        <w:ind w:firstLine="420" w:firstLineChars="200"/>
        <w:jc w:val="left"/>
        <w:rPr>
          <w:rFonts w:ascii="宋体" w:hAnsi="宋体"/>
          <w:szCs w:val="21"/>
        </w:rPr>
      </w:pPr>
    </w:p>
    <w:p w14:paraId="74B36CB0">
      <w:pPr>
        <w:pStyle w:val="79"/>
        <w:rPr>
          <w:rFonts w:ascii="宋体" w:eastAsia="宋体"/>
          <w:b w:val="0"/>
        </w:rPr>
      </w:pPr>
      <w:bookmarkStart w:id="4" w:name="_Toc493511540"/>
      <w:r>
        <w:rPr>
          <w:rFonts w:hint="eastAsia" w:ascii="宋体" w:eastAsia="宋体"/>
        </w:rPr>
        <w:br w:type="page"/>
      </w:r>
      <w:bookmarkStart w:id="5" w:name="_Toc3494"/>
      <w:r>
        <w:rPr>
          <w:rStyle w:val="132"/>
          <w:rFonts w:hint="eastAsia" w:ascii="宋体" w:eastAsia="宋体" w:cs="微软雅黑"/>
          <w:b/>
        </w:rPr>
        <w:t>第一章  公开招标采购公告</w:t>
      </w:r>
    </w:p>
    <w:p w14:paraId="2847BB7C">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kern w:val="0"/>
          <w:szCs w:val="21"/>
        </w:rPr>
      </w:pPr>
      <w:r>
        <w:rPr>
          <w:rFonts w:hint="eastAsia" w:ascii="宋体" w:hAnsi="宋体" w:cs="宋体"/>
          <w:kern w:val="0"/>
          <w:szCs w:val="21"/>
        </w:rPr>
        <w:t>  项目概况</w:t>
      </w:r>
    </w:p>
    <w:p w14:paraId="4878960B">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kern w:val="0"/>
          <w:szCs w:val="21"/>
        </w:rPr>
      </w:pPr>
      <w:r>
        <w:rPr>
          <w:rFonts w:hint="eastAsia" w:ascii="宋体" w:hAnsi="宋体" w:cs="宋体"/>
          <w:kern w:val="0"/>
          <w:szCs w:val="21"/>
          <w:u w:val="single"/>
        </w:rPr>
        <w:t xml:space="preserve"> 浙江省嘉兴支队经济技术开发区消防救援大队2024—2025年度食堂大宗物品配送采购项目</w:t>
      </w:r>
      <w:r>
        <w:rPr>
          <w:rFonts w:hint="eastAsia" w:ascii="宋体" w:hAnsi="宋体" w:cs="宋体"/>
          <w:kern w:val="0"/>
          <w:szCs w:val="21"/>
        </w:rPr>
        <w:t>招标项目的潜在投标人应</w:t>
      </w:r>
      <w:r>
        <w:rPr>
          <w:rFonts w:hint="eastAsia" w:ascii="宋体" w:hAnsi="宋体" w:cs="宋体"/>
          <w:kern w:val="0"/>
          <w:szCs w:val="21"/>
          <w:u w:val="single"/>
        </w:rPr>
        <w:t>在浙江省房地产管理咨询有限公司（嘉兴智慧产业创新园智慧大厦B座402室）</w:t>
      </w:r>
      <w:r>
        <w:rPr>
          <w:rFonts w:hint="eastAsia" w:ascii="宋体" w:hAnsi="宋体" w:cs="宋体"/>
          <w:kern w:val="0"/>
          <w:szCs w:val="21"/>
        </w:rPr>
        <w:t>获取招标文件，并于</w:t>
      </w:r>
      <w:r>
        <w:rPr>
          <w:rFonts w:hint="eastAsia" w:ascii="宋体" w:hAnsi="宋体" w:cs="宋体"/>
          <w:kern w:val="0"/>
          <w:szCs w:val="21"/>
          <w:highlight w:val="yellow"/>
          <w:u w:val="single"/>
        </w:rPr>
        <w:t>202</w:t>
      </w:r>
      <w:r>
        <w:rPr>
          <w:rFonts w:hint="eastAsia" w:ascii="宋体" w:hAnsi="宋体" w:cs="宋体"/>
          <w:kern w:val="0"/>
          <w:szCs w:val="21"/>
          <w:highlight w:val="yellow"/>
          <w:u w:val="single"/>
          <w:lang w:val="en-US" w:eastAsia="zh-CN"/>
        </w:rPr>
        <w:t>4</w:t>
      </w:r>
      <w:r>
        <w:rPr>
          <w:rFonts w:hint="eastAsia" w:ascii="宋体" w:hAnsi="宋体" w:cs="宋体"/>
          <w:kern w:val="0"/>
          <w:szCs w:val="21"/>
          <w:highlight w:val="yellow"/>
          <w:u w:val="single"/>
        </w:rPr>
        <w:t>年0月</w:t>
      </w:r>
      <w:r>
        <w:rPr>
          <w:rFonts w:hint="eastAsia" w:ascii="宋体" w:hAnsi="宋体" w:cs="宋体"/>
          <w:kern w:val="0"/>
          <w:szCs w:val="21"/>
          <w:highlight w:val="yellow"/>
          <w:u w:val="single"/>
          <w:lang w:val="en-US" w:eastAsia="zh-CN"/>
        </w:rPr>
        <w:t xml:space="preserve"> </w:t>
      </w:r>
      <w:r>
        <w:rPr>
          <w:rFonts w:hint="eastAsia" w:ascii="宋体" w:hAnsi="宋体" w:cs="宋体"/>
          <w:kern w:val="0"/>
          <w:szCs w:val="21"/>
          <w:highlight w:val="yellow"/>
          <w:u w:val="single"/>
        </w:rPr>
        <w:t>日14:30分</w:t>
      </w:r>
      <w:r>
        <w:rPr>
          <w:rFonts w:hint="eastAsia" w:ascii="宋体" w:hAnsi="宋体" w:cs="宋体"/>
          <w:kern w:val="0"/>
          <w:szCs w:val="21"/>
          <w:u w:val="single"/>
        </w:rPr>
        <w:t>（北京时间）</w:t>
      </w:r>
      <w:r>
        <w:rPr>
          <w:rFonts w:hint="eastAsia" w:ascii="宋体" w:hAnsi="宋体" w:cs="宋体"/>
          <w:kern w:val="0"/>
          <w:szCs w:val="21"/>
        </w:rPr>
        <w:t>前递交投标文件。</w:t>
      </w:r>
    </w:p>
    <w:p w14:paraId="51ECF1E1">
      <w:pPr>
        <w:pStyle w:val="43"/>
        <w:spacing w:before="60" w:beforeAutospacing="0" w:after="60" w:afterAutospacing="0" w:line="360" w:lineRule="auto"/>
        <w:ind w:firstLine="630" w:firstLineChars="300"/>
        <w:rPr>
          <w:rFonts w:cs="宋体"/>
          <w:sz w:val="21"/>
          <w:szCs w:val="21"/>
        </w:rPr>
      </w:pPr>
      <w:r>
        <w:rPr>
          <w:rFonts w:hint="eastAsia" w:cs="宋体"/>
          <w:sz w:val="21"/>
          <w:szCs w:val="21"/>
        </w:rPr>
        <w:t>根据《中华人民共和国政府采购法》等有关规定，</w:t>
      </w:r>
      <w:r>
        <w:rPr>
          <w:rFonts w:hint="eastAsia" w:cs="宋体"/>
          <w:sz w:val="21"/>
          <w:szCs w:val="21"/>
          <w:u w:val="single"/>
        </w:rPr>
        <w:t>浙江省房地产管理咨询有限公司</w:t>
      </w:r>
      <w:r>
        <w:rPr>
          <w:rFonts w:hint="eastAsia" w:cs="宋体"/>
          <w:sz w:val="21"/>
          <w:szCs w:val="21"/>
        </w:rPr>
        <w:t>受</w:t>
      </w:r>
      <w:r>
        <w:rPr>
          <w:rFonts w:hint="eastAsia" w:cs="宋体"/>
          <w:b/>
          <w:bCs/>
          <w:sz w:val="21"/>
          <w:szCs w:val="21"/>
          <w:u w:val="single"/>
        </w:rPr>
        <w:t>嘉兴经济技术开发区消防救援大队</w:t>
      </w:r>
      <w:r>
        <w:rPr>
          <w:rFonts w:hint="eastAsia" w:cs="宋体"/>
          <w:sz w:val="21"/>
          <w:szCs w:val="21"/>
        </w:rPr>
        <w:t>委托，就</w:t>
      </w:r>
      <w:r>
        <w:rPr>
          <w:rFonts w:hint="eastAsia" w:cs="宋体"/>
          <w:b/>
          <w:bCs/>
          <w:sz w:val="21"/>
          <w:szCs w:val="21"/>
          <w:u w:val="single"/>
        </w:rPr>
        <w:t>浙江省嘉兴支队经济技术开发区消防救援大队2024—2025年度食堂大宗物品配送采购项目</w:t>
      </w:r>
      <w:r>
        <w:rPr>
          <w:rFonts w:hint="eastAsia" w:cs="宋体"/>
          <w:sz w:val="21"/>
          <w:szCs w:val="21"/>
        </w:rPr>
        <w:t>进行公开招标，欢迎国内合格的供应商前来投标。</w:t>
      </w:r>
    </w:p>
    <w:p w14:paraId="5EA5B3DF">
      <w:pPr>
        <w:pStyle w:val="43"/>
        <w:numPr>
          <w:ilvl w:val="0"/>
          <w:numId w:val="1"/>
        </w:numPr>
        <w:spacing w:before="204" w:beforeAutospacing="0" w:after="204" w:afterAutospacing="0" w:line="360" w:lineRule="auto"/>
        <w:jc w:val="both"/>
        <w:rPr>
          <w:rStyle w:val="51"/>
          <w:rFonts w:cs="宋体"/>
          <w:sz w:val="21"/>
          <w:szCs w:val="21"/>
        </w:rPr>
      </w:pPr>
      <w:r>
        <w:rPr>
          <w:rStyle w:val="51"/>
          <w:rFonts w:hint="eastAsia" w:cs="宋体"/>
          <w:sz w:val="21"/>
          <w:szCs w:val="21"/>
        </w:rPr>
        <w:t>项目基本情况</w:t>
      </w:r>
    </w:p>
    <w:p w14:paraId="1016C232">
      <w:pPr>
        <w:pStyle w:val="43"/>
        <w:snapToGrid w:val="0"/>
        <w:spacing w:before="204" w:beforeAutospacing="0" w:after="204" w:afterAutospacing="0" w:line="360" w:lineRule="auto"/>
        <w:contextualSpacing/>
        <w:jc w:val="both"/>
        <w:rPr>
          <w:rFonts w:cs="宋体"/>
          <w:sz w:val="21"/>
          <w:szCs w:val="21"/>
        </w:rPr>
      </w:pPr>
      <w:r>
        <w:rPr>
          <w:rFonts w:hint="eastAsia" w:cs="宋体"/>
          <w:sz w:val="21"/>
          <w:szCs w:val="21"/>
        </w:rPr>
        <w:t>     项目编号：嘉消采-GK2024013 </w:t>
      </w:r>
    </w:p>
    <w:p w14:paraId="200F63F7">
      <w:pPr>
        <w:pStyle w:val="43"/>
        <w:snapToGrid w:val="0"/>
        <w:spacing w:before="60" w:beforeAutospacing="0" w:after="60" w:afterAutospacing="0" w:line="360" w:lineRule="auto"/>
        <w:contextualSpacing/>
        <w:rPr>
          <w:rFonts w:cs="宋体"/>
          <w:sz w:val="21"/>
          <w:szCs w:val="21"/>
        </w:rPr>
      </w:pPr>
      <w:r>
        <w:rPr>
          <w:rFonts w:hint="eastAsia" w:cs="宋体"/>
          <w:sz w:val="21"/>
          <w:szCs w:val="21"/>
        </w:rPr>
        <w:t xml:space="preserve">    项目名称：浙江省嘉兴支队经济技术开发区消防救援大队2024—2025年度食堂大宗物品配送采购项目 </w:t>
      </w:r>
    </w:p>
    <w:p w14:paraId="36E4E9DE">
      <w:pPr>
        <w:pStyle w:val="43"/>
        <w:snapToGrid w:val="0"/>
        <w:spacing w:before="60" w:beforeAutospacing="0" w:after="60" w:afterAutospacing="0" w:line="360" w:lineRule="auto"/>
        <w:ind w:firstLine="630"/>
        <w:contextualSpacing/>
        <w:rPr>
          <w:rFonts w:ascii="华文中宋" w:hAnsi="华文中宋" w:eastAsia="华文中宋"/>
          <w:kern w:val="2"/>
          <w:sz w:val="21"/>
          <w:szCs w:val="21"/>
        </w:rPr>
      </w:pPr>
      <w:r>
        <w:rPr>
          <w:rFonts w:hint="eastAsia" w:cs="宋体"/>
          <w:sz w:val="21"/>
          <w:szCs w:val="21"/>
        </w:rPr>
        <w:t>预算金额（元）：1805000.00</w:t>
      </w:r>
    </w:p>
    <w:p w14:paraId="16B1ED18">
      <w:pPr>
        <w:pStyle w:val="43"/>
        <w:snapToGrid w:val="0"/>
        <w:spacing w:before="60" w:beforeAutospacing="0" w:after="60" w:afterAutospacing="0" w:line="360" w:lineRule="auto"/>
        <w:ind w:firstLine="630"/>
        <w:contextualSpacing/>
        <w:rPr>
          <w:rFonts w:cs="宋体"/>
          <w:sz w:val="21"/>
          <w:szCs w:val="21"/>
        </w:rPr>
      </w:pPr>
      <w:r>
        <w:rPr>
          <w:rFonts w:hint="eastAsia" w:cs="宋体"/>
          <w:sz w:val="21"/>
          <w:szCs w:val="21"/>
        </w:rPr>
        <w:t xml:space="preserve">最高限价（折扣率）：100% </w:t>
      </w:r>
    </w:p>
    <w:p w14:paraId="0E44B2FB">
      <w:pPr>
        <w:pStyle w:val="43"/>
        <w:snapToGrid w:val="0"/>
        <w:spacing w:before="60" w:beforeAutospacing="0" w:after="60" w:afterAutospacing="0" w:line="360" w:lineRule="auto"/>
        <w:ind w:firstLine="630"/>
        <w:contextualSpacing/>
        <w:rPr>
          <w:rFonts w:cs="宋体"/>
          <w:sz w:val="21"/>
          <w:szCs w:val="21"/>
        </w:rPr>
      </w:pPr>
      <w:r>
        <w:rPr>
          <w:rFonts w:hint="eastAsia" w:cs="宋体"/>
          <w:sz w:val="21"/>
          <w:szCs w:val="21"/>
        </w:rPr>
        <w:t>采购需求：提供全年的食堂大宗物品采购配送服务，详见采购需求。</w:t>
      </w:r>
    </w:p>
    <w:p w14:paraId="6711C365">
      <w:pPr>
        <w:pStyle w:val="43"/>
        <w:snapToGrid w:val="0"/>
        <w:spacing w:before="60" w:beforeAutospacing="0" w:after="60" w:afterAutospacing="0" w:line="360" w:lineRule="auto"/>
        <w:ind w:firstLine="630"/>
        <w:contextualSpacing/>
        <w:rPr>
          <w:rFonts w:cs="宋体"/>
          <w:color w:val="C00000"/>
          <w:sz w:val="21"/>
          <w:szCs w:val="21"/>
        </w:rPr>
      </w:pPr>
      <w:r>
        <w:rPr>
          <w:rFonts w:hint="eastAsia" w:cs="宋体"/>
          <w:sz w:val="21"/>
          <w:szCs w:val="21"/>
        </w:rPr>
        <w:t>合同履约期限：合同签订后1年或配送金额达到预算金额（以先到为准）</w:t>
      </w:r>
    </w:p>
    <w:p w14:paraId="66BB309A">
      <w:pPr>
        <w:pStyle w:val="43"/>
        <w:spacing w:before="60" w:beforeAutospacing="0" w:after="60" w:afterAutospacing="0" w:line="360" w:lineRule="auto"/>
        <w:ind w:firstLine="630" w:firstLineChars="300"/>
        <w:rPr>
          <w:rFonts w:cs="宋体"/>
          <w:sz w:val="21"/>
          <w:szCs w:val="21"/>
        </w:rPr>
      </w:pPr>
      <w:r>
        <w:rPr>
          <w:rFonts w:hint="eastAsia" w:cs="宋体"/>
          <w:sz w:val="21"/>
          <w:szCs w:val="21"/>
        </w:rPr>
        <w:t>本项目（否）接受联合体投标。</w:t>
      </w:r>
    </w:p>
    <w:p w14:paraId="5B559FAD">
      <w:pPr>
        <w:pStyle w:val="43"/>
        <w:spacing w:before="180" w:beforeAutospacing="0" w:after="180" w:afterAutospacing="0" w:line="360" w:lineRule="auto"/>
        <w:rPr>
          <w:rFonts w:cs="宋体"/>
          <w:sz w:val="21"/>
          <w:szCs w:val="21"/>
        </w:rPr>
      </w:pPr>
      <w:r>
        <w:rPr>
          <w:rStyle w:val="51"/>
          <w:rFonts w:hint="eastAsia" w:cs="宋体"/>
          <w:sz w:val="21"/>
          <w:szCs w:val="21"/>
        </w:rPr>
        <w:t>二、申请人的资格要求：</w:t>
      </w:r>
    </w:p>
    <w:p w14:paraId="096618D3">
      <w:pPr>
        <w:pStyle w:val="43"/>
        <w:spacing w:before="60" w:beforeAutospacing="0" w:after="60" w:afterAutospacing="0" w:line="360" w:lineRule="auto"/>
        <w:rPr>
          <w:rFonts w:cs="宋体"/>
          <w:sz w:val="21"/>
          <w:szCs w:val="21"/>
        </w:rPr>
      </w:pPr>
      <w:r>
        <w:rPr>
          <w:rFonts w:hint="eastAsia" w:cs="宋体"/>
          <w:sz w:val="21"/>
          <w:szCs w:val="21"/>
        </w:rPr>
        <w:t>    1.满足《中华人民共和国政府采购法》第二十二条规定；未被“信用中国”（www.creditchina.gov.cn)、中国政府采购网（www.ccgp.gov.cn）列入失信被执行人、重大税收违法案件当事人名单、政府采购严重违法失信行为记录名单。</w:t>
      </w:r>
    </w:p>
    <w:p w14:paraId="142516EF">
      <w:pPr>
        <w:spacing w:line="360" w:lineRule="auto"/>
        <w:ind w:firstLine="420" w:firstLineChars="200"/>
        <w:rPr>
          <w:rFonts w:cs="宋体"/>
          <w:szCs w:val="21"/>
        </w:rPr>
      </w:pPr>
      <w:r>
        <w:rPr>
          <w:rFonts w:hint="eastAsia" w:cs="宋体"/>
          <w:szCs w:val="21"/>
        </w:rPr>
        <w:t>    2.落实政府采购政策需满足的资格要求：</w:t>
      </w:r>
    </w:p>
    <w:p w14:paraId="367986D8">
      <w:pPr>
        <w:spacing w:line="360" w:lineRule="auto"/>
        <w:ind w:firstLine="218" w:firstLineChars="91"/>
        <w:rPr>
          <w:rFonts w:ascii="宋体" w:hAnsi="宋体" w:cs="宋体"/>
          <w:kern w:val="0"/>
          <w:szCs w:val="21"/>
        </w:rPr>
      </w:pPr>
      <w:sdt>
        <w:sdtPr>
          <w:rPr>
            <w:rFonts w:hint="eastAsia" w:ascii="宋体" w:hAnsi="宋体" w:cs="宋体"/>
            <w:kern w:val="0"/>
            <w:sz w:val="24"/>
          </w:rPr>
          <w:id w:val="1928616923"/>
        </w:sdtPr>
        <w:sdtEndPr>
          <w:rPr>
            <w:rFonts w:hint="eastAsia" w:ascii="宋体" w:hAnsi="宋体" w:cs="宋体"/>
            <w:kern w:val="0"/>
            <w:sz w:val="21"/>
            <w:szCs w:val="21"/>
          </w:rPr>
        </w:sdtEndPr>
        <w:sdtContent>
          <w:r>
            <w:rPr>
              <w:rFonts w:hint="eastAsia" w:ascii="宋体" w:hAnsi="宋体" w:cs="宋体"/>
              <w:kern w:val="0"/>
              <w:szCs w:val="21"/>
            </w:rPr>
            <w:t>☐</w:t>
          </w:r>
        </w:sdtContent>
      </w:sdt>
      <w:r>
        <w:rPr>
          <w:rFonts w:hint="eastAsia" w:ascii="宋体" w:hAnsi="宋体" w:cs="宋体"/>
          <w:kern w:val="0"/>
          <w:szCs w:val="21"/>
        </w:rPr>
        <w:t>无（注：不得限制大中型企业与小微企业组成联合体参与投标）；</w:t>
      </w:r>
    </w:p>
    <w:p w14:paraId="293BD949">
      <w:pPr>
        <w:spacing w:line="360" w:lineRule="auto"/>
        <w:ind w:firstLine="191" w:firstLineChars="91"/>
        <w:rPr>
          <w:rFonts w:ascii="宋体" w:hAnsi="宋体" w:cs="宋体"/>
          <w:kern w:val="0"/>
          <w:szCs w:val="21"/>
        </w:rPr>
      </w:pPr>
      <w:sdt>
        <w:sdtPr>
          <w:rPr>
            <w:rFonts w:hint="eastAsia" w:ascii="宋体" w:hAnsi="宋体" w:cs="宋体"/>
            <w:kern w:val="0"/>
            <w:szCs w:val="21"/>
          </w:rPr>
          <w:id w:val="-1024704304"/>
        </w:sdtPr>
        <w:sdtEndPr>
          <w:rPr>
            <w:rFonts w:hint="eastAsia" w:ascii="宋体" w:hAnsi="宋体" w:cs="宋体"/>
            <w:kern w:val="0"/>
            <w:szCs w:val="21"/>
          </w:rPr>
        </w:sdtEndPr>
        <w:sdtContent>
          <w:r>
            <w:rPr>
              <w:rFonts w:ascii="Wingdings" w:hAnsi="Wingdings" w:cs="宋体"/>
              <w:kern w:val="0"/>
              <w:szCs w:val="21"/>
            </w:rPr>
            <w:t></w:t>
          </w:r>
        </w:sdtContent>
      </w:sdt>
      <w:r>
        <w:rPr>
          <w:rFonts w:hint="eastAsia" w:ascii="宋体" w:hAnsi="宋体" w:cs="宋体"/>
          <w:kern w:val="0"/>
          <w:szCs w:val="21"/>
        </w:rPr>
        <w:t>专门面向中小企业</w:t>
      </w:r>
    </w:p>
    <w:p w14:paraId="013F3266">
      <w:pPr>
        <w:spacing w:line="360" w:lineRule="auto"/>
        <w:ind w:firstLine="191" w:firstLineChars="91"/>
        <w:rPr>
          <w:rFonts w:ascii="宋体" w:hAnsi="宋体" w:cs="宋体"/>
          <w:kern w:val="0"/>
          <w:szCs w:val="21"/>
        </w:rPr>
      </w:pPr>
      <w:sdt>
        <w:sdtPr>
          <w:rPr>
            <w:rFonts w:hint="eastAsia" w:ascii="宋体" w:hAnsi="宋体" w:cs="宋体"/>
            <w:kern w:val="0"/>
            <w:szCs w:val="21"/>
          </w:rPr>
          <w:id w:val="147469275"/>
        </w:sdtPr>
        <w:sdtEndPr>
          <w:rPr>
            <w:rFonts w:hint="eastAsia" w:ascii="宋体" w:hAnsi="宋体" w:cs="宋体"/>
            <w:kern w:val="0"/>
            <w:szCs w:val="21"/>
          </w:rPr>
        </w:sdtEndPr>
        <w:sdtContent>
          <w:r>
            <w:rPr>
              <w:rFonts w:ascii="Wingdings" w:hAnsi="Wingdings" w:cs="宋体"/>
              <w:kern w:val="0"/>
              <w:szCs w:val="21"/>
            </w:rPr>
            <w:t></w:t>
          </w:r>
        </w:sdtContent>
      </w:sdt>
      <w:sdt>
        <w:sdtPr>
          <w:rPr>
            <w:rFonts w:hint="eastAsia" w:ascii="宋体" w:hAnsi="宋体" w:cs="宋体"/>
            <w:kern w:val="0"/>
            <w:szCs w:val="21"/>
          </w:rPr>
          <w:id w:val="-333685401"/>
        </w:sdtPr>
        <w:sdtEndPr>
          <w:rPr>
            <w:rFonts w:hint="eastAsia" w:ascii="宋体" w:hAnsi="宋体" w:cs="宋体"/>
            <w:kern w:val="0"/>
            <w:szCs w:val="21"/>
          </w:rPr>
        </w:sdtEndPr>
        <w:sdtContent/>
      </w:sdt>
      <w:r>
        <w:rPr>
          <w:rFonts w:hint="eastAsia" w:ascii="宋体" w:hAnsi="宋体" w:cs="宋体"/>
          <w:kern w:val="0"/>
          <w:szCs w:val="21"/>
        </w:rPr>
        <w:t>服务全部由符合政策要求的中小企业承接，提供中小企业声明函；</w:t>
      </w:r>
    </w:p>
    <w:p w14:paraId="4D47BEEA">
      <w:pPr>
        <w:spacing w:line="360" w:lineRule="auto"/>
        <w:ind w:firstLine="191" w:firstLineChars="91"/>
        <w:rPr>
          <w:rFonts w:ascii="宋体" w:hAnsi="宋体" w:cs="宋体"/>
          <w:kern w:val="0"/>
          <w:szCs w:val="21"/>
        </w:rPr>
      </w:pPr>
      <w:sdt>
        <w:sdtPr>
          <w:rPr>
            <w:rFonts w:hint="eastAsia" w:ascii="宋体" w:hAnsi="宋体" w:cs="宋体"/>
            <w:kern w:val="0"/>
            <w:szCs w:val="21"/>
          </w:rPr>
          <w:id w:val="-2141025358"/>
        </w:sdtPr>
        <w:sdtEndPr>
          <w:rPr>
            <w:rFonts w:hint="eastAsia" w:ascii="宋体" w:hAnsi="宋体" w:cs="宋体"/>
            <w:kern w:val="0"/>
            <w:szCs w:val="21"/>
          </w:rPr>
        </w:sdtEndPr>
        <w:sdtContent>
          <w:r>
            <w:rPr>
              <w:rFonts w:hint="eastAsia" w:ascii="宋体" w:hAnsi="宋体" w:cs="宋体"/>
              <w:kern w:val="0"/>
              <w:szCs w:val="21"/>
            </w:rPr>
            <w:t>☐</w:t>
          </w:r>
        </w:sdtContent>
      </w:sdt>
      <w:r>
        <w:rPr>
          <w:rFonts w:hint="eastAsia" w:ascii="宋体" w:hAnsi="宋体" w:cs="宋体"/>
          <w:kern w:val="0"/>
          <w:szCs w:val="21"/>
        </w:rPr>
        <w:t>服务全部由符合政策要求的小微企业承接，提供中小企业声明函；</w:t>
      </w:r>
    </w:p>
    <w:p w14:paraId="7CD25AEF">
      <w:pPr>
        <w:spacing w:line="360" w:lineRule="auto"/>
        <w:ind w:firstLine="191" w:firstLineChars="91"/>
        <w:rPr>
          <w:rFonts w:ascii="宋体" w:hAnsi="宋体" w:cs="宋体"/>
          <w:kern w:val="0"/>
          <w:szCs w:val="21"/>
        </w:rPr>
      </w:pPr>
      <w:sdt>
        <w:sdtPr>
          <w:rPr>
            <w:rFonts w:hint="eastAsia" w:ascii="宋体" w:hAnsi="宋体" w:cs="宋体"/>
            <w:kern w:val="0"/>
            <w:szCs w:val="21"/>
          </w:rPr>
          <w:id w:val="-1985607795"/>
        </w:sdtPr>
        <w:sdtEndPr>
          <w:rPr>
            <w:rFonts w:hint="eastAsia" w:ascii="宋体" w:hAnsi="宋体" w:cs="宋体"/>
            <w:kern w:val="0"/>
            <w:szCs w:val="21"/>
          </w:rPr>
        </w:sdtEndPr>
        <w:sdtContent>
          <w:r>
            <w:rPr>
              <w:rFonts w:hint="eastAsia" w:ascii="宋体" w:hAnsi="宋体" w:cs="宋体"/>
              <w:kern w:val="0"/>
              <w:szCs w:val="21"/>
            </w:rPr>
            <w:t>☐</w:t>
          </w:r>
        </w:sdtContent>
      </w:sdt>
      <w:r>
        <w:rPr>
          <w:rFonts w:hint="eastAsia" w:ascii="宋体" w:hAnsi="宋体" w:cs="宋体"/>
          <w:kern w:val="0"/>
          <w:szCs w:val="21"/>
        </w:rPr>
        <w:t>要求以联合体形式参加，提供联合协议和中小企业声明函，联合协议中中小企业合同金额应当达到</w:t>
      </w:r>
      <w:r>
        <w:rPr>
          <w:rFonts w:hint="eastAsia" w:ascii="宋体" w:hAnsi="宋体" w:cs="宋体"/>
          <w:kern w:val="0"/>
          <w:szCs w:val="21"/>
          <w:u w:val="single"/>
        </w:rPr>
        <w:t xml:space="preserve">  </w:t>
      </w:r>
      <w:r>
        <w:rPr>
          <w:rFonts w:hint="eastAsia" w:ascii="宋体" w:hAnsi="宋体" w:cs="宋体"/>
          <w:kern w:val="0"/>
          <w:szCs w:val="21"/>
        </w:rPr>
        <w:t>%，其中小微企业合同金额应当达到</w:t>
      </w:r>
      <w:r>
        <w:rPr>
          <w:rFonts w:hint="eastAsia" w:ascii="宋体" w:hAnsi="宋体" w:cs="宋体"/>
          <w:kern w:val="0"/>
          <w:szCs w:val="21"/>
          <w:u w:val="single"/>
        </w:rPr>
        <w:t xml:space="preserve">  </w:t>
      </w:r>
      <w:r>
        <w:rPr>
          <w:rFonts w:hint="eastAsia" w:ascii="宋体" w:hAnsi="宋体" w:cs="宋体"/>
          <w:kern w:val="0"/>
          <w:szCs w:val="21"/>
        </w:rPr>
        <w:t>%;如果供应商本身提供所有标的均由中小企业制造、承建或承接，并相应达到了前述比例要求，视同符合了资格条件，无需再与其他中小企业组成联合体参加政府采购活动，无需提供联合协议；</w:t>
      </w:r>
    </w:p>
    <w:p w14:paraId="0B3468D5">
      <w:pPr>
        <w:spacing w:line="360" w:lineRule="auto"/>
        <w:ind w:firstLine="191" w:firstLineChars="91"/>
        <w:rPr>
          <w:rFonts w:ascii="宋体" w:hAnsi="宋体" w:cs="宋体"/>
          <w:kern w:val="0"/>
          <w:szCs w:val="21"/>
        </w:rPr>
      </w:pPr>
      <w:sdt>
        <w:sdtPr>
          <w:rPr>
            <w:rFonts w:hint="eastAsia" w:ascii="宋体" w:hAnsi="宋体" w:cs="宋体"/>
            <w:kern w:val="0"/>
            <w:szCs w:val="21"/>
          </w:rPr>
          <w:id w:val="34630645"/>
        </w:sdtPr>
        <w:sdtEndPr>
          <w:rPr>
            <w:rFonts w:hint="eastAsia" w:ascii="宋体" w:hAnsi="宋体" w:cs="宋体"/>
            <w:kern w:val="0"/>
            <w:szCs w:val="21"/>
          </w:rPr>
        </w:sdtEndPr>
        <w:sdtContent>
          <w:r>
            <w:rPr>
              <w:rFonts w:hint="eastAsia" w:ascii="宋体" w:hAnsi="宋体" w:cs="宋体"/>
              <w:kern w:val="0"/>
              <w:szCs w:val="21"/>
            </w:rPr>
            <w:t>☐</w:t>
          </w:r>
        </w:sdtContent>
      </w:sdt>
      <w:r>
        <w:rPr>
          <w:rFonts w:hint="eastAsia" w:ascii="宋体" w:hAnsi="宋体" w:cs="宋体"/>
          <w:kern w:val="0"/>
          <w:szCs w:val="21"/>
        </w:rPr>
        <w:t>要求合同分包，提供分包意向协议和中小企业声明函，分包意向协议中中小企业合同金额应当达到</w:t>
      </w:r>
      <w:r>
        <w:rPr>
          <w:rFonts w:hint="eastAsia" w:ascii="宋体" w:hAnsi="宋体" w:cs="宋体"/>
          <w:kern w:val="0"/>
          <w:szCs w:val="21"/>
          <w:u w:val="single"/>
        </w:rPr>
        <w:t xml:space="preserve">  </w:t>
      </w:r>
      <w:r>
        <w:rPr>
          <w:rFonts w:hint="eastAsia" w:ascii="宋体" w:hAnsi="宋体" w:cs="宋体"/>
          <w:kern w:val="0"/>
          <w:szCs w:val="21"/>
        </w:rPr>
        <w:t>% ，其中小微企业合同金额应当达到</w:t>
      </w:r>
      <w:r>
        <w:rPr>
          <w:rFonts w:hint="eastAsia" w:ascii="宋体" w:hAnsi="宋体" w:cs="宋体"/>
          <w:kern w:val="0"/>
          <w:szCs w:val="21"/>
          <w:u w:val="single"/>
        </w:rPr>
        <w:t xml:space="preserve">  </w:t>
      </w:r>
      <w:r>
        <w:rPr>
          <w:rFonts w:hint="eastAsia" w:ascii="宋体" w:hAnsi="宋体" w:cs="宋体"/>
          <w:kern w:val="0"/>
          <w:szCs w:val="21"/>
        </w:rPr>
        <w:t>% ;如果供应商本身提供所有标的均由中小企业制造、承建或承接，并相应达到了前述比例要求，视同符合了资格条件，无需再向中小企业分包，无需提供分包意向协议；</w:t>
      </w:r>
    </w:p>
    <w:p w14:paraId="001E449E">
      <w:pPr>
        <w:pStyle w:val="20"/>
        <w:rPr>
          <w:rFonts w:cs="宋体"/>
          <w:szCs w:val="21"/>
        </w:rPr>
      </w:pPr>
    </w:p>
    <w:p w14:paraId="45F053A6">
      <w:pPr>
        <w:pStyle w:val="20"/>
        <w:spacing w:line="360" w:lineRule="auto"/>
        <w:rPr>
          <w:rFonts w:cs="宋体"/>
          <w:szCs w:val="21"/>
        </w:rPr>
      </w:pPr>
      <w:r>
        <w:rPr>
          <w:rFonts w:hint="eastAsia" w:cs="宋体"/>
          <w:szCs w:val="21"/>
        </w:rPr>
        <w:t>3.本项目的特定资格要求：</w:t>
      </w:r>
      <w:r>
        <w:rPr>
          <w:rFonts w:hint="eastAsia" w:cs="宋体"/>
          <w:sz w:val="21"/>
          <w:szCs w:val="21"/>
        </w:rPr>
        <w:t>具有有效的食品经营许可证。该特定资格条件的依据为《食品经营许可和备案管理办法》。</w:t>
      </w:r>
      <w:r>
        <w:rPr>
          <w:rFonts w:hint="eastAsia" w:cs="宋体"/>
          <w:szCs w:val="21"/>
        </w:rPr>
        <w:t> </w:t>
      </w:r>
    </w:p>
    <w:p w14:paraId="4C9BCF07">
      <w:pPr>
        <w:pStyle w:val="43"/>
        <w:spacing w:before="204" w:beforeAutospacing="0" w:after="204" w:afterAutospacing="0" w:line="360" w:lineRule="auto"/>
        <w:jc w:val="both"/>
        <w:rPr>
          <w:rFonts w:cs="宋体"/>
          <w:sz w:val="21"/>
          <w:szCs w:val="21"/>
        </w:rPr>
      </w:pPr>
      <w:r>
        <w:rPr>
          <w:rStyle w:val="51"/>
          <w:rFonts w:hint="eastAsia" w:cs="宋体"/>
          <w:sz w:val="21"/>
          <w:szCs w:val="21"/>
        </w:rPr>
        <w:t>三、获取招标文件方式</w:t>
      </w:r>
      <w:r>
        <w:rPr>
          <w:rFonts w:hint="eastAsia" w:cs="宋体"/>
          <w:sz w:val="21"/>
          <w:szCs w:val="21"/>
        </w:rPr>
        <w:t> </w:t>
      </w:r>
    </w:p>
    <w:p w14:paraId="6D9184F5">
      <w:pPr>
        <w:pStyle w:val="43"/>
        <w:spacing w:before="60" w:beforeAutospacing="0" w:after="60" w:afterAutospacing="0" w:line="360" w:lineRule="auto"/>
        <w:rPr>
          <w:rFonts w:cs="宋体"/>
          <w:sz w:val="21"/>
          <w:szCs w:val="21"/>
        </w:rPr>
      </w:pPr>
      <w:r>
        <w:rPr>
          <w:rFonts w:hint="eastAsia" w:cs="宋体"/>
          <w:sz w:val="21"/>
          <w:szCs w:val="21"/>
        </w:rPr>
        <w:t>   1.时间：</w:t>
      </w:r>
      <w:r>
        <w:rPr>
          <w:rFonts w:hint="eastAsia" w:cs="宋体"/>
          <w:sz w:val="21"/>
          <w:szCs w:val="21"/>
          <w:highlight w:val="yellow"/>
        </w:rPr>
        <w:t>202</w:t>
      </w:r>
      <w:r>
        <w:rPr>
          <w:rFonts w:hint="eastAsia" w:cs="宋体"/>
          <w:sz w:val="21"/>
          <w:szCs w:val="21"/>
          <w:highlight w:val="yellow"/>
          <w:lang w:val="en-US" w:eastAsia="zh-CN"/>
        </w:rPr>
        <w:t>4</w:t>
      </w:r>
      <w:r>
        <w:rPr>
          <w:rFonts w:hint="eastAsia" w:cs="宋体"/>
          <w:sz w:val="21"/>
          <w:szCs w:val="21"/>
          <w:highlight w:val="yellow"/>
        </w:rPr>
        <w:t>年</w:t>
      </w:r>
      <w:r>
        <w:rPr>
          <w:rFonts w:hint="eastAsia" w:cs="宋体"/>
          <w:sz w:val="21"/>
          <w:szCs w:val="21"/>
          <w:highlight w:val="yellow"/>
          <w:lang w:val="en-US" w:eastAsia="zh-CN"/>
        </w:rPr>
        <w:t xml:space="preserve"> </w:t>
      </w:r>
      <w:r>
        <w:rPr>
          <w:rFonts w:hint="eastAsia" w:cs="宋体"/>
          <w:sz w:val="21"/>
          <w:szCs w:val="21"/>
          <w:highlight w:val="yellow"/>
        </w:rPr>
        <w:t>月</w:t>
      </w:r>
      <w:r>
        <w:rPr>
          <w:rFonts w:hint="eastAsia" w:cs="宋体"/>
          <w:sz w:val="21"/>
          <w:szCs w:val="21"/>
          <w:highlight w:val="yellow"/>
          <w:lang w:val="en-US" w:eastAsia="zh-CN"/>
        </w:rPr>
        <w:t xml:space="preserve"> </w:t>
      </w:r>
      <w:r>
        <w:rPr>
          <w:rFonts w:hint="eastAsia" w:cs="宋体"/>
          <w:sz w:val="21"/>
          <w:szCs w:val="21"/>
          <w:highlight w:val="yellow"/>
        </w:rPr>
        <w:t>日至202</w:t>
      </w:r>
      <w:r>
        <w:rPr>
          <w:rFonts w:hint="eastAsia" w:cs="宋体"/>
          <w:sz w:val="21"/>
          <w:szCs w:val="21"/>
          <w:highlight w:val="yellow"/>
          <w:lang w:val="en-US" w:eastAsia="zh-CN"/>
        </w:rPr>
        <w:t>4</w:t>
      </w:r>
      <w:r>
        <w:rPr>
          <w:rFonts w:hint="eastAsia" w:cs="宋体"/>
          <w:sz w:val="21"/>
          <w:szCs w:val="21"/>
          <w:highlight w:val="yellow"/>
        </w:rPr>
        <w:t>年</w:t>
      </w:r>
      <w:r>
        <w:rPr>
          <w:rFonts w:hint="eastAsia" w:cs="宋体"/>
          <w:sz w:val="21"/>
          <w:szCs w:val="21"/>
          <w:highlight w:val="yellow"/>
          <w:lang w:val="en-US" w:eastAsia="zh-CN"/>
        </w:rPr>
        <w:t xml:space="preserve"> </w:t>
      </w:r>
      <w:r>
        <w:rPr>
          <w:rFonts w:hint="eastAsia" w:cs="宋体"/>
          <w:sz w:val="21"/>
          <w:szCs w:val="21"/>
          <w:highlight w:val="yellow"/>
        </w:rPr>
        <w:t>月</w:t>
      </w:r>
      <w:r>
        <w:rPr>
          <w:rFonts w:hint="eastAsia" w:cs="宋体"/>
          <w:sz w:val="21"/>
          <w:szCs w:val="21"/>
          <w:highlight w:val="yellow"/>
          <w:lang w:val="en-US" w:eastAsia="zh-CN"/>
        </w:rPr>
        <w:t xml:space="preserve"> </w:t>
      </w:r>
      <w:r>
        <w:rPr>
          <w:rFonts w:hint="eastAsia" w:cs="宋体"/>
          <w:sz w:val="21"/>
          <w:szCs w:val="21"/>
          <w:highlight w:val="yellow"/>
        </w:rPr>
        <w:t>日</w:t>
      </w:r>
      <w:r>
        <w:rPr>
          <w:rFonts w:hint="eastAsia" w:cs="宋体"/>
          <w:sz w:val="21"/>
          <w:szCs w:val="21"/>
        </w:rPr>
        <w:t> ，每天9：00—17：00（北京时间，法定节假日除外）</w:t>
      </w:r>
    </w:p>
    <w:p w14:paraId="31103761">
      <w:pPr>
        <w:pStyle w:val="43"/>
        <w:spacing w:before="60" w:beforeAutospacing="0" w:after="60" w:afterAutospacing="0" w:line="360" w:lineRule="auto"/>
        <w:ind w:firstLine="630" w:firstLineChars="300"/>
        <w:rPr>
          <w:rFonts w:cs="宋体"/>
          <w:sz w:val="21"/>
          <w:szCs w:val="21"/>
        </w:rPr>
      </w:pPr>
      <w:r>
        <w:rPr>
          <w:rFonts w:hint="eastAsia" w:cs="宋体"/>
          <w:sz w:val="21"/>
          <w:szCs w:val="21"/>
        </w:rPr>
        <w:t>2.获取地点：浙江省房地产管理咨询有限公司嘉兴分公司（嘉兴智慧产业创新园智慧大厦B座402室）</w:t>
      </w:r>
    </w:p>
    <w:p w14:paraId="5CA5C104">
      <w:pPr>
        <w:pStyle w:val="43"/>
        <w:spacing w:before="60" w:beforeAutospacing="0" w:after="60" w:afterAutospacing="0" w:line="360" w:lineRule="auto"/>
        <w:ind w:firstLine="630"/>
        <w:rPr>
          <w:rFonts w:cs="宋体"/>
          <w:sz w:val="21"/>
          <w:szCs w:val="21"/>
        </w:rPr>
      </w:pPr>
      <w:r>
        <w:rPr>
          <w:rFonts w:hint="eastAsia" w:cs="宋体"/>
          <w:b/>
          <w:bCs/>
          <w:sz w:val="21"/>
          <w:szCs w:val="21"/>
        </w:rPr>
        <w:t>3.方式：本项目采用网上申领招标文件（将申领招标文件资料扫描后发送至</w:t>
      </w:r>
      <w:r>
        <w:rPr>
          <w:rFonts w:hint="eastAsia" w:cs="宋体"/>
          <w:sz w:val="21"/>
          <w:szCs w:val="21"/>
        </w:rPr>
        <w:t>82261453@qq.com</w:t>
      </w:r>
      <w:r>
        <w:rPr>
          <w:rFonts w:hint="eastAsia" w:cs="宋体"/>
          <w:b/>
          <w:bCs/>
          <w:sz w:val="21"/>
          <w:szCs w:val="21"/>
        </w:rPr>
        <w:t>，发送申领招标文件资料后请致电</w:t>
      </w:r>
      <w:r>
        <w:rPr>
          <w:rFonts w:hint="eastAsia" w:cs="宋体"/>
          <w:sz w:val="21"/>
          <w:szCs w:val="21"/>
        </w:rPr>
        <w:t>13656665283</w:t>
      </w:r>
      <w:r>
        <w:rPr>
          <w:rFonts w:hint="eastAsia" w:cs="宋体"/>
          <w:b/>
          <w:bCs/>
          <w:sz w:val="21"/>
          <w:szCs w:val="21"/>
        </w:rPr>
        <w:t>确认）。</w:t>
      </w:r>
      <w:r>
        <w:rPr>
          <w:rFonts w:hint="eastAsia" w:cs="宋体"/>
          <w:sz w:val="21"/>
          <w:szCs w:val="21"/>
        </w:rPr>
        <w:t>申请招标时提供以下资料：（1）法人营业执照副本复印件；（</w:t>
      </w:r>
      <w:r>
        <w:rPr>
          <w:rFonts w:cs="宋体"/>
          <w:sz w:val="21"/>
          <w:szCs w:val="21"/>
        </w:rPr>
        <w:t>2</w:t>
      </w:r>
      <w:r>
        <w:rPr>
          <w:rFonts w:hint="eastAsia" w:cs="宋体"/>
          <w:sz w:val="21"/>
          <w:szCs w:val="21"/>
        </w:rPr>
        <w:t>）法人代表身份证复印件及授权书（若为法人报名的则无需提供）；（3）工本费汇款底单 ；（4）其他资质证明材料（如需）</w:t>
      </w:r>
    </w:p>
    <w:p w14:paraId="7D4DBCDE">
      <w:pPr>
        <w:pStyle w:val="43"/>
        <w:spacing w:before="60" w:beforeAutospacing="0" w:after="60" w:afterAutospacing="0" w:line="360" w:lineRule="auto"/>
        <w:rPr>
          <w:rFonts w:cs="宋体"/>
          <w:sz w:val="21"/>
          <w:szCs w:val="21"/>
        </w:rPr>
      </w:pPr>
      <w:r>
        <w:rPr>
          <w:rFonts w:hint="eastAsia" w:cs="宋体"/>
          <w:sz w:val="21"/>
          <w:szCs w:val="21"/>
        </w:rPr>
        <w:t>    4.售价（元）：500元/份 ，收款账户：支付宝账号：13656665283</w:t>
      </w:r>
    </w:p>
    <w:p w14:paraId="7F891615">
      <w:pPr>
        <w:pStyle w:val="43"/>
        <w:spacing w:before="204" w:beforeAutospacing="0" w:after="204" w:afterAutospacing="0" w:line="360" w:lineRule="auto"/>
        <w:jc w:val="both"/>
        <w:rPr>
          <w:rFonts w:cs="宋体"/>
          <w:sz w:val="21"/>
          <w:szCs w:val="21"/>
        </w:rPr>
      </w:pPr>
      <w:r>
        <w:rPr>
          <w:rStyle w:val="51"/>
          <w:rFonts w:hint="eastAsia" w:cs="宋体"/>
          <w:sz w:val="21"/>
          <w:szCs w:val="21"/>
        </w:rPr>
        <w:t>四、提交投标文件截止时间、开标时间和地点</w:t>
      </w:r>
    </w:p>
    <w:p w14:paraId="72BB03D1">
      <w:pPr>
        <w:pStyle w:val="43"/>
        <w:spacing w:before="60" w:beforeAutospacing="0" w:after="60" w:afterAutospacing="0" w:line="360" w:lineRule="auto"/>
        <w:rPr>
          <w:rFonts w:cs="宋体"/>
          <w:sz w:val="21"/>
          <w:szCs w:val="21"/>
        </w:rPr>
      </w:pPr>
      <w:r>
        <w:rPr>
          <w:rFonts w:hint="eastAsia" w:cs="宋体"/>
          <w:sz w:val="21"/>
          <w:szCs w:val="21"/>
        </w:rPr>
        <w:t>   1.提交投标文件截止时间及地点：投标人应于</w:t>
      </w:r>
      <w:r>
        <w:rPr>
          <w:rFonts w:hint="eastAsia" w:cs="宋体"/>
          <w:sz w:val="21"/>
          <w:szCs w:val="21"/>
          <w:highlight w:val="yellow"/>
        </w:rPr>
        <w:t>202</w:t>
      </w:r>
      <w:r>
        <w:rPr>
          <w:rFonts w:hint="eastAsia" w:cs="宋体"/>
          <w:sz w:val="21"/>
          <w:szCs w:val="21"/>
          <w:highlight w:val="yellow"/>
          <w:lang w:val="en-US" w:eastAsia="zh-CN"/>
        </w:rPr>
        <w:t>4</w:t>
      </w:r>
      <w:r>
        <w:rPr>
          <w:rFonts w:hint="eastAsia" w:cs="宋体"/>
          <w:sz w:val="21"/>
          <w:szCs w:val="21"/>
          <w:highlight w:val="yellow"/>
        </w:rPr>
        <w:t>年</w:t>
      </w:r>
      <w:r>
        <w:rPr>
          <w:rFonts w:hint="eastAsia" w:cs="宋体"/>
          <w:sz w:val="21"/>
          <w:szCs w:val="21"/>
          <w:highlight w:val="yellow"/>
          <w:lang w:val="en-US" w:eastAsia="zh-CN"/>
        </w:rPr>
        <w:t xml:space="preserve"> </w:t>
      </w:r>
      <w:r>
        <w:rPr>
          <w:rFonts w:hint="eastAsia" w:cs="宋体"/>
          <w:sz w:val="21"/>
          <w:szCs w:val="21"/>
          <w:highlight w:val="yellow"/>
        </w:rPr>
        <w:t>月</w:t>
      </w:r>
      <w:r>
        <w:rPr>
          <w:rFonts w:hint="eastAsia" w:cs="宋体"/>
          <w:sz w:val="21"/>
          <w:szCs w:val="21"/>
          <w:highlight w:val="yellow"/>
          <w:lang w:val="en-US" w:eastAsia="zh-CN"/>
        </w:rPr>
        <w:t xml:space="preserve"> </w:t>
      </w:r>
      <w:r>
        <w:rPr>
          <w:rFonts w:hint="eastAsia" w:cs="宋体"/>
          <w:sz w:val="21"/>
          <w:szCs w:val="21"/>
          <w:highlight w:val="yellow"/>
        </w:rPr>
        <w:t>日14:30分</w:t>
      </w:r>
      <w:r>
        <w:rPr>
          <w:rFonts w:hint="eastAsia" w:cs="宋体"/>
          <w:sz w:val="21"/>
          <w:szCs w:val="21"/>
        </w:rPr>
        <w:t>（北京时间）前将投标文件密封送交到嘉兴市消防救援支队4楼开标室（嘉兴市长水路1500号）或浙江省房地产管理咨询有限公司嘉兴分公司（嘉兴智慧产业创新园智慧大厦B座402室），逾期送达不予接收。</w:t>
      </w:r>
    </w:p>
    <w:p w14:paraId="45C0D66F">
      <w:pPr>
        <w:widowControl/>
        <w:spacing w:before="60" w:after="60" w:line="360" w:lineRule="auto"/>
        <w:ind w:firstLine="630"/>
        <w:jc w:val="left"/>
        <w:rPr>
          <w:rFonts w:ascii="宋体" w:hAnsi="宋体" w:cs="宋体"/>
          <w:kern w:val="0"/>
          <w:szCs w:val="21"/>
        </w:rPr>
      </w:pPr>
      <w:r>
        <w:rPr>
          <w:rFonts w:hint="eastAsia" w:ascii="宋体" w:hAnsi="宋体" w:cs="宋体"/>
          <w:kern w:val="0"/>
          <w:szCs w:val="21"/>
        </w:rPr>
        <w:t>2.开标时间：</w:t>
      </w:r>
      <w:r>
        <w:rPr>
          <w:rFonts w:hint="eastAsia" w:ascii="宋体" w:hAnsi="宋体" w:cs="宋体"/>
          <w:kern w:val="0"/>
          <w:szCs w:val="21"/>
          <w:highlight w:val="yellow"/>
        </w:rPr>
        <w:t>202</w:t>
      </w:r>
      <w:r>
        <w:rPr>
          <w:rFonts w:hint="eastAsia" w:ascii="宋体" w:hAnsi="宋体" w:cs="宋体"/>
          <w:kern w:val="0"/>
          <w:szCs w:val="21"/>
          <w:highlight w:val="yellow"/>
          <w:lang w:val="en-US" w:eastAsia="zh-CN"/>
        </w:rPr>
        <w:t>4</w:t>
      </w:r>
      <w:r>
        <w:rPr>
          <w:rFonts w:hint="eastAsia" w:ascii="宋体" w:hAnsi="宋体" w:cs="宋体"/>
          <w:kern w:val="0"/>
          <w:szCs w:val="21"/>
          <w:highlight w:val="yellow"/>
        </w:rPr>
        <w:t>年</w:t>
      </w:r>
      <w:r>
        <w:rPr>
          <w:rFonts w:hint="eastAsia" w:ascii="宋体" w:hAnsi="宋体" w:cs="宋体"/>
          <w:kern w:val="0"/>
          <w:szCs w:val="21"/>
          <w:highlight w:val="yellow"/>
          <w:lang w:val="en-US" w:eastAsia="zh-CN"/>
        </w:rPr>
        <w:t xml:space="preserve"> </w:t>
      </w:r>
      <w:r>
        <w:rPr>
          <w:rFonts w:hint="eastAsia" w:ascii="宋体" w:hAnsi="宋体" w:cs="宋体"/>
          <w:kern w:val="0"/>
          <w:szCs w:val="21"/>
          <w:highlight w:val="yellow"/>
        </w:rPr>
        <w:t>月</w:t>
      </w:r>
      <w:r>
        <w:rPr>
          <w:rFonts w:hint="eastAsia" w:ascii="宋体" w:hAnsi="宋体" w:cs="宋体"/>
          <w:kern w:val="0"/>
          <w:szCs w:val="21"/>
          <w:highlight w:val="yellow"/>
          <w:lang w:val="en-US" w:eastAsia="zh-CN"/>
        </w:rPr>
        <w:t xml:space="preserve"> </w:t>
      </w:r>
      <w:r>
        <w:rPr>
          <w:rFonts w:hint="eastAsia" w:ascii="宋体" w:hAnsi="宋体" w:cs="宋体"/>
          <w:kern w:val="0"/>
          <w:szCs w:val="21"/>
          <w:highlight w:val="yellow"/>
        </w:rPr>
        <w:t>日14:30分</w:t>
      </w:r>
    </w:p>
    <w:p w14:paraId="00B52663">
      <w:pPr>
        <w:widowControl/>
        <w:spacing w:before="60" w:after="60" w:line="360" w:lineRule="auto"/>
        <w:ind w:firstLine="630"/>
        <w:jc w:val="left"/>
        <w:rPr>
          <w:rFonts w:ascii="宋体" w:hAnsi="宋体" w:cs="宋体"/>
          <w:kern w:val="0"/>
          <w:szCs w:val="21"/>
        </w:rPr>
      </w:pPr>
      <w:r>
        <w:rPr>
          <w:rFonts w:hint="eastAsia" w:ascii="宋体" w:hAnsi="宋体" w:cs="宋体"/>
          <w:kern w:val="0"/>
          <w:szCs w:val="21"/>
        </w:rPr>
        <w:t>3.开标地点：在嘉兴市消防救援支队4楼开标室（嘉兴市长水路1500号）开标，</w:t>
      </w:r>
      <w:r>
        <w:rPr>
          <w:rFonts w:hint="eastAsia" w:ascii="宋体" w:hAnsi="宋体" w:cs="宋体"/>
          <w:b/>
          <w:bCs/>
          <w:szCs w:val="21"/>
        </w:rPr>
        <w:t>请投标单位派1名授权代表前往参加</w:t>
      </w:r>
      <w:r>
        <w:rPr>
          <w:rFonts w:hint="eastAsia" w:ascii="宋体" w:hAnsi="宋体" w:cs="宋体"/>
          <w:kern w:val="0"/>
          <w:szCs w:val="21"/>
        </w:rPr>
        <w:t>。</w:t>
      </w:r>
    </w:p>
    <w:p w14:paraId="00047E26">
      <w:pPr>
        <w:pStyle w:val="43"/>
        <w:spacing w:before="60" w:beforeAutospacing="0" w:after="60" w:afterAutospacing="0" w:line="360" w:lineRule="auto"/>
        <w:rPr>
          <w:rFonts w:cs="宋体"/>
          <w:sz w:val="21"/>
          <w:szCs w:val="21"/>
        </w:rPr>
      </w:pPr>
      <w:r>
        <w:rPr>
          <w:rFonts w:hint="eastAsia" w:cs="宋体"/>
          <w:sz w:val="21"/>
          <w:szCs w:val="21"/>
        </w:rPr>
        <w:t> </w:t>
      </w:r>
    </w:p>
    <w:p w14:paraId="26BCCC90">
      <w:pPr>
        <w:snapToGrid w:val="0"/>
        <w:spacing w:before="204" w:after="204" w:line="360" w:lineRule="auto"/>
        <w:contextualSpacing/>
        <w:rPr>
          <w:rFonts w:ascii="宋体" w:hAnsi="宋体" w:cs="宋体"/>
          <w:szCs w:val="21"/>
        </w:rPr>
      </w:pPr>
      <w:r>
        <w:rPr>
          <w:rStyle w:val="51"/>
          <w:rFonts w:hint="eastAsia" w:cs="宋体"/>
          <w:szCs w:val="21"/>
        </w:rPr>
        <w:t>五、</w:t>
      </w:r>
      <w:r>
        <w:rPr>
          <w:rFonts w:hint="eastAsia" w:ascii="宋体" w:hAnsi="宋体" w:cs="Arial"/>
          <w:b/>
          <w:szCs w:val="21"/>
        </w:rPr>
        <w:t>公告期限</w:t>
      </w:r>
    </w:p>
    <w:p w14:paraId="7A65162E">
      <w:pPr>
        <w:ind w:firstLine="420" w:firstLineChars="200"/>
        <w:rPr>
          <w:rFonts w:ascii="仿宋" w:hAnsi="仿宋" w:eastAsia="仿宋" w:cs="宋体"/>
          <w:kern w:val="0"/>
          <w:sz w:val="28"/>
          <w:szCs w:val="28"/>
        </w:rPr>
      </w:pPr>
      <w:r>
        <w:rPr>
          <w:rFonts w:ascii="宋体" w:hAnsi="宋体" w:cs="宋体"/>
          <w:szCs w:val="21"/>
        </w:rPr>
        <w:t> </w:t>
      </w:r>
      <w:r>
        <w:rPr>
          <w:rFonts w:hint="eastAsia" w:ascii="宋体" w:hAnsi="宋体" w:cs="宋体"/>
          <w:kern w:val="0"/>
          <w:szCs w:val="21"/>
        </w:rPr>
        <w:t xml:space="preserve"> 自本公告发布之日起5个工作日。</w:t>
      </w:r>
    </w:p>
    <w:p w14:paraId="067BB2A2">
      <w:pPr>
        <w:pStyle w:val="43"/>
        <w:spacing w:before="204" w:beforeAutospacing="0" w:after="204" w:afterAutospacing="0" w:line="360" w:lineRule="auto"/>
        <w:jc w:val="both"/>
        <w:rPr>
          <w:rFonts w:cs="宋体"/>
          <w:sz w:val="21"/>
          <w:szCs w:val="21"/>
        </w:rPr>
      </w:pPr>
      <w:r>
        <w:rPr>
          <w:rStyle w:val="51"/>
          <w:rFonts w:hint="eastAsia" w:cs="宋体"/>
          <w:sz w:val="21"/>
          <w:szCs w:val="21"/>
        </w:rPr>
        <w:t>六、其他补充事宜</w:t>
      </w:r>
    </w:p>
    <w:p w14:paraId="535CB3E6">
      <w:pPr>
        <w:pStyle w:val="43"/>
        <w:spacing w:before="60" w:beforeAutospacing="0" w:after="60" w:afterAutospacing="0" w:line="360" w:lineRule="auto"/>
        <w:ind w:firstLine="420" w:firstLineChars="200"/>
        <w:rPr>
          <w:rFonts w:cs="宋体"/>
          <w:sz w:val="21"/>
          <w:szCs w:val="21"/>
        </w:rPr>
      </w:pPr>
      <w:r>
        <w:rPr>
          <w:rFonts w:hint="eastAsia" w:cs="宋体"/>
          <w:sz w:val="21"/>
          <w:szCs w:val="21"/>
        </w:rPr>
        <w:t>1、供应商认为采购文件使自己的权益受到损害的，可以自获取采购文件之日或者采购文件公告期限届满之日（公告期限届满后获取采购文件的，以公告期限届满之日为准）起 7 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w:t>
      </w:r>
    </w:p>
    <w:p w14:paraId="3E566F60">
      <w:pPr>
        <w:pStyle w:val="43"/>
        <w:spacing w:before="60" w:beforeAutospacing="0" w:after="60" w:afterAutospacing="0" w:line="360" w:lineRule="auto"/>
        <w:ind w:firstLine="420" w:firstLineChars="200"/>
        <w:rPr>
          <w:rFonts w:cs="宋体"/>
          <w:sz w:val="21"/>
          <w:szCs w:val="21"/>
        </w:rPr>
      </w:pPr>
      <w:r>
        <w:rPr>
          <w:rFonts w:hint="eastAsia" w:cs="宋体"/>
          <w:sz w:val="21"/>
          <w:szCs w:val="21"/>
        </w:rPr>
        <w:t>2.单位负责人为同一人或者存在直接控股、管理关系的不同供应商，不得同时参加同一合同项下的投标。</w:t>
      </w:r>
    </w:p>
    <w:p w14:paraId="5234785F">
      <w:pPr>
        <w:pStyle w:val="43"/>
        <w:spacing w:before="60" w:beforeAutospacing="0" w:after="60" w:afterAutospacing="0" w:line="360" w:lineRule="auto"/>
        <w:ind w:firstLine="420" w:firstLineChars="200"/>
        <w:rPr>
          <w:rFonts w:cs="宋体"/>
          <w:sz w:val="21"/>
          <w:szCs w:val="21"/>
        </w:rPr>
      </w:pPr>
      <w:r>
        <w:rPr>
          <w:rFonts w:hint="eastAsia" w:cs="宋体"/>
          <w:sz w:val="21"/>
          <w:szCs w:val="21"/>
        </w:rPr>
        <w:t>3.为项目提供整体设计、规范编制或者项目管理、监理、检测等服务的供应商，不得再参加该采购项目的其他采购活动。</w:t>
      </w:r>
    </w:p>
    <w:p w14:paraId="1D08DD9B">
      <w:pPr>
        <w:pStyle w:val="43"/>
        <w:spacing w:before="60" w:beforeAutospacing="0" w:after="60" w:afterAutospacing="0" w:line="360" w:lineRule="auto"/>
        <w:ind w:firstLine="420" w:firstLineChars="200"/>
        <w:rPr>
          <w:rFonts w:cs="宋体"/>
          <w:sz w:val="21"/>
          <w:szCs w:val="21"/>
        </w:rPr>
      </w:pPr>
      <w:r>
        <w:rPr>
          <w:rFonts w:hint="eastAsia" w:cs="宋体"/>
          <w:sz w:val="21"/>
          <w:szCs w:val="21"/>
        </w:rPr>
        <w:t xml:space="preserve">4.投标人不得为列入失信被执行人、重大税收违法案件当事人名单、政府采购严重违法失信行为记录名单的供应商。 </w:t>
      </w:r>
    </w:p>
    <w:p w14:paraId="6AC71778">
      <w:pPr>
        <w:pStyle w:val="43"/>
        <w:spacing w:before="60" w:beforeAutospacing="0" w:after="60" w:afterAutospacing="0" w:line="360" w:lineRule="auto"/>
        <w:ind w:firstLine="420" w:firstLineChars="200"/>
        <w:rPr>
          <w:rFonts w:cs="宋体"/>
          <w:sz w:val="21"/>
          <w:szCs w:val="21"/>
        </w:rPr>
      </w:pPr>
      <w:r>
        <w:rPr>
          <w:rFonts w:hint="eastAsia" w:cs="宋体"/>
          <w:sz w:val="21"/>
          <w:szCs w:val="21"/>
        </w:rPr>
        <w:t xml:space="preserve">（1）信用信息查询渠道：“信用中国”网站（www.creditchina.gov.cn）、中国政府采购网（www.ccgp.gov.cn）。 </w:t>
      </w:r>
    </w:p>
    <w:p w14:paraId="5E364910">
      <w:pPr>
        <w:pStyle w:val="43"/>
        <w:spacing w:before="60" w:beforeAutospacing="0" w:after="60" w:afterAutospacing="0" w:line="360" w:lineRule="auto"/>
        <w:ind w:firstLine="420" w:firstLineChars="200"/>
        <w:rPr>
          <w:rFonts w:cs="宋体"/>
          <w:sz w:val="21"/>
          <w:szCs w:val="21"/>
        </w:rPr>
      </w:pPr>
      <w:r>
        <w:rPr>
          <w:rFonts w:hint="eastAsia" w:cs="宋体"/>
          <w:sz w:val="21"/>
          <w:szCs w:val="21"/>
        </w:rPr>
        <w:t>（2）信用信息查询截止时点：开标日由采购人或采购代理查询投标人的信用信息记录。</w:t>
      </w:r>
    </w:p>
    <w:p w14:paraId="6DE18B5D">
      <w:pPr>
        <w:pStyle w:val="43"/>
        <w:spacing w:before="60" w:beforeAutospacing="0" w:after="60" w:afterAutospacing="0" w:line="360" w:lineRule="auto"/>
        <w:ind w:firstLine="420" w:firstLineChars="200"/>
        <w:rPr>
          <w:rFonts w:cs="宋体"/>
          <w:sz w:val="21"/>
          <w:szCs w:val="21"/>
        </w:rPr>
      </w:pPr>
      <w:r>
        <w:rPr>
          <w:rFonts w:hint="eastAsia" w:cs="宋体"/>
          <w:sz w:val="21"/>
          <w:szCs w:val="21"/>
        </w:rPr>
        <w:t xml:space="preserve">（3）信用信息查询记录和证据留存的具体方式：信用信息查询记录将以网站截图打印稿形式与其他采购文件一并保存。 </w:t>
      </w:r>
    </w:p>
    <w:p w14:paraId="74549A83">
      <w:pPr>
        <w:pStyle w:val="43"/>
        <w:spacing w:before="60" w:beforeAutospacing="0" w:after="60" w:afterAutospacing="0" w:line="360" w:lineRule="auto"/>
        <w:ind w:firstLine="420" w:firstLineChars="200"/>
        <w:rPr>
          <w:rFonts w:cs="宋体"/>
          <w:sz w:val="21"/>
          <w:szCs w:val="21"/>
        </w:rPr>
      </w:pPr>
      <w:r>
        <w:rPr>
          <w:rFonts w:hint="eastAsia" w:cs="宋体"/>
          <w:sz w:val="21"/>
          <w:szCs w:val="21"/>
        </w:rPr>
        <w:t xml:space="preserve">（4） 信 用 信 息 的 使 用 规 则 ： 如 投 标 人 为 “ 信 用 中 国 ” 网 站（www.creditchina.gov.cn）中列入失信被执行人或重大税收违法案件当事人名单的供应商，或为中国政府采购网（www.ccgp.gov.cn）政府采购严重违法失信行为记录名单中被财政部门禁止参加政府采购活动的供应商，则其投标将被拒绝。 </w:t>
      </w:r>
    </w:p>
    <w:p w14:paraId="20B8FEC0">
      <w:pPr>
        <w:pStyle w:val="43"/>
        <w:spacing w:before="60" w:beforeAutospacing="0" w:after="60" w:afterAutospacing="0" w:line="360" w:lineRule="auto"/>
        <w:ind w:firstLine="420" w:firstLineChars="200"/>
        <w:rPr>
          <w:rFonts w:cs="宋体"/>
          <w:sz w:val="21"/>
          <w:szCs w:val="21"/>
        </w:rPr>
      </w:pPr>
      <w:r>
        <w:rPr>
          <w:rFonts w:hint="eastAsia" w:cs="宋体"/>
          <w:sz w:val="21"/>
          <w:szCs w:val="21"/>
        </w:rPr>
        <w:t>5.本项目不收取投标保证金。</w:t>
      </w:r>
    </w:p>
    <w:p w14:paraId="5ECE9C02">
      <w:pPr>
        <w:pStyle w:val="43"/>
        <w:spacing w:before="60" w:beforeAutospacing="0" w:after="60" w:afterAutospacing="0" w:line="360" w:lineRule="auto"/>
        <w:ind w:firstLine="420" w:firstLineChars="200"/>
        <w:rPr>
          <w:rFonts w:cs="宋体"/>
          <w:sz w:val="21"/>
          <w:szCs w:val="21"/>
        </w:rPr>
      </w:pPr>
      <w:r>
        <w:rPr>
          <w:rFonts w:hint="eastAsia" w:cs="宋体"/>
          <w:sz w:val="21"/>
          <w:szCs w:val="21"/>
        </w:rPr>
        <w:t>6.本项目执行促进中小企业发展、优先采购节能产品、优先采购环境标志产品政策。</w:t>
      </w:r>
    </w:p>
    <w:p w14:paraId="46812CF4">
      <w:pPr>
        <w:pStyle w:val="43"/>
        <w:spacing w:before="60" w:beforeAutospacing="0" w:after="60" w:afterAutospacing="0" w:line="360" w:lineRule="auto"/>
        <w:ind w:firstLine="420" w:firstLineChars="200"/>
        <w:rPr>
          <w:rFonts w:cs="宋体"/>
          <w:szCs w:val="21"/>
        </w:rPr>
      </w:pPr>
      <w:r>
        <w:rPr>
          <w:rFonts w:hint="eastAsia" w:cs="宋体"/>
          <w:sz w:val="21"/>
          <w:szCs w:val="21"/>
        </w:rPr>
        <w:t>7、本项目的采购公告、补充（答疑、澄清）文件及中标公告等需公告的有关信息均在中国政府采购网(http://www.ccgp.gov.cn/)、浙江政府采购网(</w:t>
      </w:r>
      <w:r>
        <w:fldChar w:fldCharType="begin"/>
      </w:r>
      <w:r>
        <w:instrText xml:space="preserve"> HYPERLINK "http://zfcg.czt.zj.gov.cn/" </w:instrText>
      </w:r>
      <w:r>
        <w:fldChar w:fldCharType="separate"/>
      </w:r>
      <w:r>
        <w:rPr>
          <w:rFonts w:hint="eastAsia" w:cs="宋体"/>
          <w:sz w:val="21"/>
          <w:szCs w:val="21"/>
        </w:rPr>
        <w:t>http://zfcg.czt.zj.gov.cn/</w:t>
      </w:r>
      <w:r>
        <w:rPr>
          <w:rFonts w:hint="eastAsia" w:cs="宋体"/>
          <w:sz w:val="21"/>
          <w:szCs w:val="21"/>
        </w:rPr>
        <w:fldChar w:fldCharType="end"/>
      </w:r>
      <w:r>
        <w:rPr>
          <w:rFonts w:hint="eastAsia" w:cs="宋体"/>
          <w:sz w:val="21"/>
          <w:szCs w:val="21"/>
        </w:rPr>
        <w:t>)、嘉兴市公共资源交易网（http://jxszwsjb.jiaxing.gov.cn/）上发布信息，请投标人自行及时关注，采购人及采购代理机构可不再另行通知相关情况，投标人因自身贻误行为导致响应失败的，责任自负。</w:t>
      </w:r>
    </w:p>
    <w:p w14:paraId="66663178">
      <w:pPr>
        <w:pStyle w:val="43"/>
        <w:spacing w:before="204" w:beforeAutospacing="0" w:after="204" w:afterAutospacing="0" w:line="360" w:lineRule="auto"/>
        <w:jc w:val="both"/>
        <w:rPr>
          <w:rFonts w:cs="宋体"/>
          <w:sz w:val="21"/>
          <w:szCs w:val="21"/>
        </w:rPr>
      </w:pPr>
      <w:r>
        <w:rPr>
          <w:rStyle w:val="51"/>
          <w:rFonts w:hint="eastAsia" w:cs="宋体"/>
          <w:sz w:val="21"/>
          <w:szCs w:val="21"/>
        </w:rPr>
        <w:t>七、对本次采购提出询问、质疑、投诉，请按以下方式联系</w:t>
      </w:r>
    </w:p>
    <w:p w14:paraId="199AFD5D">
      <w:pPr>
        <w:pStyle w:val="43"/>
        <w:spacing w:before="60" w:beforeAutospacing="0" w:after="60" w:afterAutospacing="0" w:line="360" w:lineRule="auto"/>
        <w:rPr>
          <w:rFonts w:cs="宋体"/>
          <w:sz w:val="21"/>
          <w:szCs w:val="21"/>
        </w:rPr>
      </w:pPr>
      <w:r>
        <w:rPr>
          <w:rFonts w:hint="eastAsia" w:cs="宋体"/>
          <w:sz w:val="21"/>
          <w:szCs w:val="21"/>
        </w:rPr>
        <w:t>   1.采购人信息</w:t>
      </w:r>
    </w:p>
    <w:p w14:paraId="6C548D1B">
      <w:pPr>
        <w:pStyle w:val="43"/>
        <w:spacing w:before="60" w:beforeAutospacing="0" w:after="60" w:afterAutospacing="0" w:line="360" w:lineRule="auto"/>
        <w:rPr>
          <w:rFonts w:cs="宋体"/>
          <w:sz w:val="21"/>
          <w:szCs w:val="21"/>
        </w:rPr>
      </w:pPr>
      <w:r>
        <w:rPr>
          <w:rFonts w:hint="eastAsia" w:cs="宋体"/>
          <w:sz w:val="21"/>
          <w:szCs w:val="21"/>
        </w:rPr>
        <w:t>    名   称：嘉兴经济技术开发区消防救援大队  </w:t>
      </w:r>
    </w:p>
    <w:p w14:paraId="29F45958">
      <w:pPr>
        <w:pStyle w:val="43"/>
        <w:spacing w:before="60" w:beforeAutospacing="0" w:after="60" w:afterAutospacing="0" w:line="360" w:lineRule="auto"/>
        <w:rPr>
          <w:rFonts w:cs="宋体"/>
          <w:sz w:val="21"/>
          <w:szCs w:val="21"/>
        </w:rPr>
      </w:pPr>
      <w:r>
        <w:rPr>
          <w:rFonts w:hint="eastAsia" w:cs="宋体"/>
          <w:sz w:val="21"/>
          <w:szCs w:val="21"/>
        </w:rPr>
        <w:t>    地  址： 嘉兴经济技术开发区月溪路242号</w:t>
      </w:r>
    </w:p>
    <w:p w14:paraId="6A23281E">
      <w:pPr>
        <w:pStyle w:val="43"/>
        <w:spacing w:before="60" w:beforeAutospacing="0" w:after="60" w:afterAutospacing="0" w:line="360" w:lineRule="auto"/>
        <w:rPr>
          <w:rFonts w:cs="宋体"/>
          <w:sz w:val="21"/>
          <w:szCs w:val="21"/>
        </w:rPr>
      </w:pPr>
      <w:r>
        <w:rPr>
          <w:rFonts w:hint="eastAsia" w:cs="宋体"/>
          <w:sz w:val="21"/>
          <w:szCs w:val="21"/>
        </w:rPr>
        <w:t>    传   真：  /</w:t>
      </w:r>
    </w:p>
    <w:p w14:paraId="64158F91">
      <w:pPr>
        <w:pStyle w:val="43"/>
        <w:spacing w:before="60" w:beforeAutospacing="0" w:after="60" w:afterAutospacing="0" w:line="360" w:lineRule="auto"/>
        <w:rPr>
          <w:rFonts w:cs="宋体"/>
          <w:sz w:val="21"/>
          <w:szCs w:val="21"/>
        </w:rPr>
      </w:pPr>
      <w:r>
        <w:rPr>
          <w:rFonts w:hint="eastAsia" w:cs="宋体"/>
          <w:sz w:val="21"/>
          <w:szCs w:val="21"/>
        </w:rPr>
        <w:t>    项目联系人（询问）：张先生  </w:t>
      </w:r>
    </w:p>
    <w:p w14:paraId="203E3727">
      <w:pPr>
        <w:pStyle w:val="43"/>
        <w:spacing w:before="60" w:beforeAutospacing="0" w:after="60" w:afterAutospacing="0" w:line="360" w:lineRule="auto"/>
        <w:rPr>
          <w:rFonts w:cs="宋体"/>
          <w:sz w:val="21"/>
          <w:szCs w:val="21"/>
        </w:rPr>
      </w:pPr>
      <w:r>
        <w:rPr>
          <w:rFonts w:hint="eastAsia" w:cs="宋体"/>
          <w:sz w:val="21"/>
          <w:szCs w:val="21"/>
        </w:rPr>
        <w:t xml:space="preserve">    项目联系方式（询问）：15968312750 </w:t>
      </w:r>
    </w:p>
    <w:p w14:paraId="227C877C">
      <w:pPr>
        <w:pStyle w:val="43"/>
        <w:spacing w:before="60" w:beforeAutospacing="0" w:after="60" w:afterAutospacing="0" w:line="360" w:lineRule="auto"/>
        <w:rPr>
          <w:rFonts w:cs="宋体"/>
          <w:sz w:val="21"/>
          <w:szCs w:val="21"/>
        </w:rPr>
      </w:pPr>
      <w:r>
        <w:rPr>
          <w:rFonts w:hint="eastAsia" w:cs="宋体"/>
          <w:sz w:val="21"/>
          <w:szCs w:val="21"/>
        </w:rPr>
        <w:t>    质疑联系人： 嘉兴市消防救援支队采购办公室</w:t>
      </w:r>
    </w:p>
    <w:p w14:paraId="05E352D9">
      <w:pPr>
        <w:pStyle w:val="43"/>
        <w:spacing w:before="60" w:beforeAutospacing="0" w:after="60" w:afterAutospacing="0" w:line="360" w:lineRule="auto"/>
        <w:rPr>
          <w:rFonts w:cs="宋体"/>
          <w:sz w:val="21"/>
          <w:szCs w:val="21"/>
        </w:rPr>
      </w:pPr>
      <w:r>
        <w:rPr>
          <w:rFonts w:hint="eastAsia" w:cs="宋体"/>
          <w:sz w:val="21"/>
          <w:szCs w:val="21"/>
        </w:rPr>
        <w:t>    质疑联系方式：0573-82630533    </w:t>
      </w:r>
    </w:p>
    <w:p w14:paraId="1B96628F">
      <w:pPr>
        <w:pStyle w:val="43"/>
        <w:spacing w:before="60" w:beforeAutospacing="0" w:after="60" w:afterAutospacing="0" w:line="360" w:lineRule="auto"/>
        <w:rPr>
          <w:rFonts w:cs="宋体"/>
          <w:sz w:val="21"/>
          <w:szCs w:val="21"/>
        </w:rPr>
      </w:pPr>
      <w:r>
        <w:rPr>
          <w:rFonts w:hint="eastAsia" w:cs="宋体"/>
          <w:sz w:val="21"/>
          <w:szCs w:val="21"/>
        </w:rPr>
        <w:t>    2.采购代理机构信息            </w:t>
      </w:r>
    </w:p>
    <w:p w14:paraId="21AC6409">
      <w:pPr>
        <w:pStyle w:val="43"/>
        <w:spacing w:before="60" w:beforeAutospacing="0" w:after="60" w:afterAutospacing="0" w:line="360" w:lineRule="auto"/>
        <w:rPr>
          <w:rFonts w:cs="宋体"/>
          <w:sz w:val="21"/>
          <w:szCs w:val="21"/>
        </w:rPr>
      </w:pPr>
      <w:r>
        <w:rPr>
          <w:rFonts w:hint="eastAsia" w:cs="宋体"/>
          <w:sz w:val="21"/>
          <w:szCs w:val="21"/>
        </w:rPr>
        <w:t>    名   称：浙江省房地产管理咨询有限公司             </w:t>
      </w:r>
    </w:p>
    <w:p w14:paraId="5BA543AB">
      <w:pPr>
        <w:pStyle w:val="43"/>
        <w:spacing w:before="60" w:beforeAutospacing="0" w:after="60" w:afterAutospacing="0" w:line="360" w:lineRule="auto"/>
        <w:ind w:left="210" w:hanging="210" w:hangingChars="100"/>
        <w:rPr>
          <w:rFonts w:cs="宋体"/>
          <w:sz w:val="21"/>
          <w:szCs w:val="21"/>
        </w:rPr>
      </w:pPr>
      <w:r>
        <w:rPr>
          <w:rFonts w:hint="eastAsia" w:cs="宋体"/>
          <w:sz w:val="21"/>
          <w:szCs w:val="21"/>
        </w:rPr>
        <w:t>    地   址：嘉兴智慧产业创新园智慧大厦B座402室             </w:t>
      </w:r>
    </w:p>
    <w:p w14:paraId="2D1CFE13">
      <w:pPr>
        <w:pStyle w:val="43"/>
        <w:spacing w:before="60" w:beforeAutospacing="0" w:after="60" w:afterAutospacing="0" w:line="360" w:lineRule="auto"/>
        <w:rPr>
          <w:rFonts w:cs="宋体"/>
          <w:sz w:val="21"/>
          <w:szCs w:val="21"/>
        </w:rPr>
      </w:pPr>
      <w:r>
        <w:rPr>
          <w:rFonts w:hint="eastAsia" w:cs="宋体"/>
          <w:sz w:val="21"/>
          <w:szCs w:val="21"/>
        </w:rPr>
        <w:t>    传   真： /            </w:t>
      </w:r>
    </w:p>
    <w:p w14:paraId="621781A6">
      <w:pPr>
        <w:pStyle w:val="43"/>
        <w:spacing w:before="60" w:beforeAutospacing="0" w:after="60" w:afterAutospacing="0" w:line="360" w:lineRule="auto"/>
        <w:rPr>
          <w:rFonts w:cs="宋体"/>
          <w:sz w:val="21"/>
          <w:szCs w:val="21"/>
        </w:rPr>
      </w:pPr>
      <w:r>
        <w:rPr>
          <w:rFonts w:hint="eastAsia" w:cs="宋体"/>
          <w:sz w:val="21"/>
          <w:szCs w:val="21"/>
        </w:rPr>
        <w:t>    项目联系人（询问）：单利策              </w:t>
      </w:r>
    </w:p>
    <w:p w14:paraId="5750E1EA">
      <w:pPr>
        <w:pStyle w:val="43"/>
        <w:spacing w:before="60" w:beforeAutospacing="0" w:after="60" w:afterAutospacing="0" w:line="360" w:lineRule="auto"/>
        <w:rPr>
          <w:rFonts w:cs="宋体"/>
          <w:sz w:val="21"/>
          <w:szCs w:val="21"/>
        </w:rPr>
      </w:pPr>
      <w:r>
        <w:rPr>
          <w:rFonts w:hint="eastAsia" w:cs="宋体"/>
          <w:sz w:val="21"/>
          <w:szCs w:val="21"/>
        </w:rPr>
        <w:t>    项目联系方式（询问）：13656665283 </w:t>
      </w:r>
    </w:p>
    <w:p w14:paraId="7D3566C8">
      <w:pPr>
        <w:pStyle w:val="43"/>
        <w:spacing w:before="60" w:beforeAutospacing="0" w:after="60" w:afterAutospacing="0" w:line="360" w:lineRule="auto"/>
        <w:rPr>
          <w:rFonts w:cs="宋体"/>
          <w:sz w:val="21"/>
          <w:szCs w:val="21"/>
        </w:rPr>
      </w:pPr>
      <w:r>
        <w:rPr>
          <w:rFonts w:hint="eastAsia" w:cs="宋体"/>
          <w:sz w:val="21"/>
          <w:szCs w:val="21"/>
        </w:rPr>
        <w:t>    质疑联系人：单承青             </w:t>
      </w:r>
    </w:p>
    <w:p w14:paraId="38F6C6D4">
      <w:pPr>
        <w:pStyle w:val="43"/>
        <w:spacing w:before="60" w:beforeAutospacing="0" w:after="60" w:afterAutospacing="0" w:line="360" w:lineRule="auto"/>
        <w:rPr>
          <w:rFonts w:cs="宋体"/>
          <w:sz w:val="21"/>
          <w:szCs w:val="21"/>
        </w:rPr>
      </w:pPr>
      <w:r>
        <w:rPr>
          <w:rFonts w:hint="eastAsia" w:cs="宋体"/>
          <w:sz w:val="21"/>
          <w:szCs w:val="21"/>
        </w:rPr>
        <w:t>     质疑联系方式：13588003680 　　</w:t>
      </w:r>
    </w:p>
    <w:p w14:paraId="3FBDFDC9">
      <w:pPr>
        <w:pStyle w:val="43"/>
        <w:spacing w:before="60" w:beforeAutospacing="0" w:after="60" w:afterAutospacing="0" w:line="360" w:lineRule="auto"/>
        <w:ind w:firstLine="630" w:firstLineChars="300"/>
        <w:rPr>
          <w:rFonts w:cs="宋体"/>
          <w:sz w:val="21"/>
          <w:szCs w:val="21"/>
        </w:rPr>
      </w:pPr>
    </w:p>
    <w:p w14:paraId="61DCD57E">
      <w:pPr>
        <w:pStyle w:val="43"/>
        <w:spacing w:before="60" w:beforeAutospacing="0" w:after="60" w:afterAutospacing="0" w:line="360" w:lineRule="auto"/>
        <w:ind w:firstLine="630" w:firstLineChars="300"/>
        <w:rPr>
          <w:rFonts w:cs="宋体"/>
          <w:sz w:val="21"/>
          <w:szCs w:val="21"/>
        </w:rPr>
      </w:pPr>
    </w:p>
    <w:p w14:paraId="634BE5FE">
      <w:pPr>
        <w:pStyle w:val="43"/>
        <w:spacing w:before="60" w:beforeAutospacing="0" w:after="60" w:afterAutospacing="0" w:line="360" w:lineRule="auto"/>
        <w:ind w:firstLine="630" w:firstLineChars="300"/>
        <w:rPr>
          <w:rFonts w:cs="宋体"/>
          <w:sz w:val="21"/>
          <w:szCs w:val="21"/>
        </w:rPr>
      </w:pPr>
      <w:r>
        <w:rPr>
          <w:rFonts w:hint="eastAsia" w:cs="宋体"/>
          <w:sz w:val="21"/>
          <w:szCs w:val="21"/>
        </w:rPr>
        <w:t>　　　　　　　　　　　</w:t>
      </w:r>
    </w:p>
    <w:p w14:paraId="4E9F2812">
      <w:pPr>
        <w:pStyle w:val="43"/>
        <w:spacing w:before="60" w:beforeAutospacing="0" w:after="60" w:afterAutospacing="0" w:line="360" w:lineRule="auto"/>
        <w:ind w:firstLine="735" w:firstLineChars="350"/>
        <w:rPr>
          <w:rFonts w:cs="宋体"/>
          <w:sz w:val="21"/>
          <w:szCs w:val="21"/>
        </w:rPr>
      </w:pPr>
      <w:r>
        <w:rPr>
          <w:rFonts w:hint="eastAsia" w:cs="宋体"/>
          <w:sz w:val="21"/>
          <w:szCs w:val="21"/>
        </w:rPr>
        <w:t>　　　　     </w:t>
      </w:r>
    </w:p>
    <w:p w14:paraId="7826A77C">
      <w:pPr>
        <w:pStyle w:val="43"/>
        <w:spacing w:before="60" w:beforeAutospacing="0" w:after="60" w:afterAutospacing="0" w:line="360" w:lineRule="auto"/>
        <w:ind w:firstLine="735" w:firstLineChars="350"/>
        <w:rPr>
          <w:rFonts w:cs="宋体"/>
          <w:sz w:val="21"/>
          <w:szCs w:val="21"/>
        </w:rPr>
        <w:sectPr>
          <w:headerReference r:id="rId3" w:type="default"/>
          <w:footerReference r:id="rId4" w:type="default"/>
          <w:pgSz w:w="11906" w:h="16838"/>
          <w:pgMar w:top="1474" w:right="1797" w:bottom="1247" w:left="1797" w:header="851" w:footer="851" w:gutter="0"/>
          <w:cols w:space="720" w:num="1"/>
          <w:docGrid w:linePitch="312" w:charSpace="0"/>
        </w:sectPr>
      </w:pPr>
      <w:r>
        <w:rPr>
          <w:rFonts w:hint="eastAsia" w:cs="宋体"/>
          <w:sz w:val="21"/>
          <w:szCs w:val="21"/>
        </w:rPr>
        <w:t xml:space="preserve">  </w:t>
      </w:r>
    </w:p>
    <w:bookmarkEnd w:id="4"/>
    <w:bookmarkEnd w:id="5"/>
    <w:p w14:paraId="238F3ADF">
      <w:pPr>
        <w:pStyle w:val="43"/>
        <w:spacing w:before="60" w:after="60"/>
        <w:jc w:val="center"/>
        <w:rPr>
          <w:rStyle w:val="132"/>
          <w:rFonts w:ascii="宋体" w:hAnsi="Times New Roman" w:eastAsia="宋体" w:cs="微软雅黑"/>
          <w:bCs/>
          <w:kern w:val="2"/>
          <w:szCs w:val="52"/>
        </w:rPr>
      </w:pPr>
      <w:bookmarkStart w:id="6" w:name="_Toc493511542"/>
      <w:bookmarkStart w:id="7" w:name="_Toc31093"/>
      <w:bookmarkStart w:id="8" w:name="_Toc177870534"/>
      <w:r>
        <w:rPr>
          <w:rStyle w:val="132"/>
          <w:rFonts w:hint="eastAsia" w:ascii="宋体" w:hAnsi="Times New Roman" w:eastAsia="宋体" w:cs="微软雅黑"/>
          <w:bCs/>
          <w:kern w:val="2"/>
          <w:szCs w:val="52"/>
        </w:rPr>
        <w:t>第二章  采购需求</w:t>
      </w:r>
    </w:p>
    <w:p w14:paraId="6FDF00F7">
      <w:pPr>
        <w:spacing w:line="344" w:lineRule="auto"/>
        <w:ind w:firstLine="422" w:firstLineChars="200"/>
        <w:outlineLvl w:val="0"/>
        <w:rPr>
          <w:rFonts w:ascii="宋体" w:hAnsi="宋体" w:cs="宋体"/>
          <w:b/>
          <w:szCs w:val="21"/>
        </w:rPr>
      </w:pPr>
      <w:r>
        <w:rPr>
          <w:rFonts w:hint="eastAsia" w:ascii="宋体" w:hAnsi="宋体" w:cs="宋体"/>
          <w:b/>
          <w:szCs w:val="21"/>
        </w:rPr>
        <w:t>一、项目概况</w:t>
      </w:r>
    </w:p>
    <w:p w14:paraId="20CCFEE1">
      <w:pPr>
        <w:ind w:firstLine="420" w:firstLineChars="200"/>
      </w:pPr>
      <w:r>
        <w:rPr>
          <w:rFonts w:hint="eastAsia"/>
        </w:rPr>
        <w:t>浙江省嘉兴支队开发区消防救援大队2024-2025年度食堂大宗物品配送采购项目，大队用餐人数约为140人，该服务为经开大队提供全年的食堂物品采购配送服务（实际配送物品以采购人实际需求为准）。因采购人食堂大宗物品采购量大，涉及广大指战员的饮食安全，为了保证采购配送物的质量，依据《中华人民共和国食品安全法》、《食品安全法实施条例》、《餐饮服务食品安全监督管理法》、《中华人民共和国农产品质量安全法》、《中华人民共和国产品质量法》等相关规定进行公开招标。配送供货企业需采购如下菜品（包括但不限于）：</w:t>
      </w:r>
    </w:p>
    <w:p w14:paraId="47169F59"/>
    <w:p w14:paraId="3004D76F">
      <w:r>
        <w:rPr>
          <w:rFonts w:hint="eastAsia"/>
        </w:rPr>
        <w:t>蔬菜类：大白菜、包心菜、胡萝卜、山药、冬瓜等其他蔬菜</w:t>
      </w:r>
    </w:p>
    <w:p w14:paraId="04868EB1">
      <w:r>
        <w:rPr>
          <w:rFonts w:hint="eastAsia"/>
        </w:rPr>
        <w:t>饮品类：凉茶、果汁、汽水、椰汁等</w:t>
      </w:r>
    </w:p>
    <w:p w14:paraId="60FBA91E">
      <w:r>
        <w:rPr>
          <w:rFonts w:hint="eastAsia"/>
        </w:rPr>
        <w:t>肉类：猪肉、牛肉、羊肉、鸡肉、鸭肉等其他肉类</w:t>
      </w:r>
    </w:p>
    <w:p w14:paraId="0CE89674">
      <w:r>
        <w:rPr>
          <w:rFonts w:hint="eastAsia"/>
        </w:rPr>
        <w:t>冷冻食品类：鸡腿、鸡翅、牛肋骨、虾仁等其他冷冻食品</w:t>
      </w:r>
    </w:p>
    <w:p w14:paraId="674E5EE9">
      <w:r>
        <w:rPr>
          <w:rFonts w:hint="eastAsia"/>
        </w:rPr>
        <w:t>干货类：黑木耳、干香菇、笋干、榨菜、紫菜等其他干货</w:t>
      </w:r>
    </w:p>
    <w:p w14:paraId="0F109C4B">
      <w:r>
        <w:rPr>
          <w:rFonts w:hint="eastAsia"/>
        </w:rPr>
        <w:t>豆制品类:豆腐干、油豆腐、千张、素鸡、面筋等其他豆制品</w:t>
      </w:r>
    </w:p>
    <w:p w14:paraId="1DE69CB1">
      <w:r>
        <w:rPr>
          <w:rFonts w:hint="eastAsia"/>
        </w:rPr>
        <w:t>水产品类：淡水鱼、海水鱼、河鲜、海鲜等其他水产品</w:t>
      </w:r>
    </w:p>
    <w:p w14:paraId="16A54BE8">
      <w:r>
        <w:rPr>
          <w:rFonts w:hint="eastAsia"/>
        </w:rPr>
        <w:t>禽蛋类：鸡蛋、鸭蛋、鹌鹑蛋等其他蛋类</w:t>
      </w:r>
    </w:p>
    <w:p w14:paraId="4876F8D0">
      <w:pPr>
        <w:rPr>
          <w:rFonts w:ascii="宋体" w:hAnsi="宋体" w:cs="宋体"/>
          <w:color w:val="000000"/>
          <w:kern w:val="0"/>
          <w:szCs w:val="21"/>
        </w:rPr>
      </w:pPr>
      <w:r>
        <w:rPr>
          <w:rFonts w:hint="eastAsia"/>
        </w:rPr>
        <w:t>其他类：其他农副产品等与食品安全密切相关的原辅材料</w:t>
      </w:r>
    </w:p>
    <w:p w14:paraId="563D14CD">
      <w:pPr>
        <w:spacing w:line="344" w:lineRule="auto"/>
        <w:ind w:firstLine="420" w:firstLineChars="200"/>
        <w:outlineLvl w:val="0"/>
        <w:rPr>
          <w:rFonts w:ascii="宋体" w:hAnsi="宋体" w:cs="宋体"/>
          <w:kern w:val="0"/>
          <w:szCs w:val="21"/>
        </w:rPr>
      </w:pPr>
    </w:p>
    <w:p w14:paraId="06465376">
      <w:pPr>
        <w:spacing w:line="344" w:lineRule="auto"/>
        <w:ind w:firstLine="422" w:firstLineChars="200"/>
        <w:outlineLvl w:val="0"/>
        <w:rPr>
          <w:rFonts w:ascii="宋体" w:hAnsi="宋体" w:cs="宋体"/>
          <w:b/>
          <w:szCs w:val="21"/>
        </w:rPr>
      </w:pPr>
      <w:r>
        <w:rPr>
          <w:rFonts w:hint="eastAsia" w:ascii="宋体" w:hAnsi="宋体" w:cs="宋体"/>
          <w:b/>
          <w:szCs w:val="21"/>
        </w:rPr>
        <w:t>二、服务范围及要求</w:t>
      </w:r>
    </w:p>
    <w:p w14:paraId="7D46F8D1">
      <w:pPr>
        <w:spacing w:line="344" w:lineRule="auto"/>
        <w:ind w:firstLine="420" w:firstLineChars="200"/>
        <w:outlineLvl w:val="0"/>
        <w:rPr>
          <w:rFonts w:ascii="宋体" w:hAnsi="宋体" w:cs="宋体"/>
          <w:kern w:val="0"/>
          <w:szCs w:val="21"/>
        </w:rPr>
      </w:pPr>
      <w:r>
        <w:rPr>
          <w:rFonts w:hint="eastAsia" w:ascii="宋体" w:hAnsi="宋体" w:cs="宋体"/>
          <w:kern w:val="0"/>
          <w:szCs w:val="21"/>
        </w:rPr>
        <w:t>开发区消防救援大队城南站、嘉北站及长水站，如遇采购人要求需要紧急临时增加配送食材时，按照采购人要求时限提供配送。</w:t>
      </w:r>
    </w:p>
    <w:p w14:paraId="47E03E0F"/>
    <w:p w14:paraId="21732E1A">
      <w:pPr>
        <w:spacing w:line="344" w:lineRule="auto"/>
        <w:ind w:firstLine="422" w:firstLineChars="200"/>
        <w:outlineLvl w:val="0"/>
        <w:rPr>
          <w:rFonts w:ascii="宋体" w:hAnsi="宋体" w:cs="宋体"/>
          <w:b/>
          <w:szCs w:val="21"/>
        </w:rPr>
      </w:pPr>
      <w:r>
        <w:rPr>
          <w:rFonts w:hint="eastAsia" w:ascii="宋体" w:hAnsi="宋体" w:cs="宋体"/>
          <w:b/>
          <w:szCs w:val="21"/>
        </w:rPr>
        <w:t>三、服务质量标准</w:t>
      </w:r>
    </w:p>
    <w:p w14:paraId="13EE4EE5">
      <w:pPr>
        <w:spacing w:line="344" w:lineRule="auto"/>
        <w:ind w:firstLine="420" w:firstLineChars="200"/>
        <w:outlineLvl w:val="0"/>
        <w:rPr>
          <w:rFonts w:hint="eastAsia" w:ascii="宋体" w:hAnsi="宋体" w:cs="宋体"/>
          <w:kern w:val="0"/>
          <w:szCs w:val="21"/>
        </w:rPr>
      </w:pPr>
      <w:r>
        <w:rPr>
          <w:rFonts w:hint="eastAsia" w:ascii="宋体" w:hAnsi="宋体" w:cs="宋体"/>
          <w:kern w:val="0"/>
          <w:szCs w:val="21"/>
        </w:rPr>
        <w:t>1.服务要求</w:t>
      </w:r>
    </w:p>
    <w:p w14:paraId="2812883A">
      <w:pPr>
        <w:spacing w:line="344" w:lineRule="auto"/>
        <w:ind w:firstLine="420" w:firstLineChars="200"/>
        <w:outlineLvl w:val="0"/>
        <w:rPr>
          <w:rFonts w:eastAsia="仿宋_GB2312"/>
          <w:color w:val="000000"/>
          <w:kern w:val="0"/>
          <w:sz w:val="24"/>
        </w:rPr>
      </w:pPr>
      <w:r>
        <w:rPr>
          <w:rFonts w:hint="eastAsia" w:ascii="宋体" w:hAnsi="宋体" w:cs="宋体"/>
          <w:kern w:val="0"/>
          <w:szCs w:val="21"/>
        </w:rPr>
        <w:t xml:space="preserve">1.1投标人严格执行《中华人民共和国食品卫生法》、《中华人民共和国食品安全法实施条例》等所有相关法律法规及规定的要求采购，并建立采购台账。投标人供应的各类副食品，需符合国家《产品质量法》、《食品安全法》等相关法律法规的要求，确保所供副食品优质新鲜，符合卫生防疫部门、检验检疫部门的各项合格指标，并有完整的销售合格标注或证书，所有的货品应可追溯供货源头。供应的蔬菜食品，需符合国家《农产品安全质量无公害蔬菜安全要求》、《食品中污染限量》、《食品中农药最大残留限量》等规定和采购人有关的质量要求，严格遵守《无公害农产品管理办法》，供应质量需经过粗加工，食用率达 95％以上。供应的肉类、禽蛋类、水产类食 品，需符合相关环境保护、知识产权等方面的法律要求，符合采购人提出的有关特殊要求和质量标准。 </w:t>
      </w:r>
    </w:p>
    <w:p w14:paraId="1AA48915">
      <w:pPr>
        <w:spacing w:line="344" w:lineRule="auto"/>
        <w:ind w:firstLine="420" w:firstLineChars="200"/>
        <w:outlineLvl w:val="0"/>
        <w:rPr>
          <w:rFonts w:hint="eastAsia" w:ascii="宋体" w:hAnsi="宋体" w:cs="宋体"/>
          <w:kern w:val="0"/>
          <w:szCs w:val="21"/>
        </w:rPr>
      </w:pPr>
      <w:r>
        <w:rPr>
          <w:rFonts w:hint="eastAsia" w:ascii="宋体" w:hAnsi="宋体" w:cs="宋体"/>
          <w:kern w:val="0"/>
          <w:szCs w:val="21"/>
        </w:rPr>
        <w:t>1.2中标人应严格遵守相关法律法规的相关规定，一经发现供应以下食品，除全部退货外，将取消中标人的供货资格，未结清款项不再支付，中标人承担由此造成的经济责任和法律责任：</w:t>
      </w:r>
    </w:p>
    <w:p w14:paraId="33F786F2">
      <w:pPr>
        <w:spacing w:line="344" w:lineRule="auto"/>
        <w:ind w:firstLine="420" w:firstLineChars="200"/>
        <w:outlineLvl w:val="0"/>
        <w:rPr>
          <w:rFonts w:hint="eastAsia" w:ascii="宋体" w:hAnsi="宋体" w:cs="宋体"/>
          <w:kern w:val="0"/>
          <w:szCs w:val="21"/>
        </w:rPr>
      </w:pPr>
      <w:r>
        <w:rPr>
          <w:rFonts w:hint="eastAsia" w:ascii="宋体" w:hAnsi="宋体" w:cs="宋体"/>
          <w:kern w:val="0"/>
          <w:szCs w:val="21"/>
        </w:rPr>
        <w:t>（1）腐败变质、油脂酸败、霉变、生虫、污秽不洁、混有异物或者其他感官性状异常，对人体健康有害的；</w:t>
      </w:r>
    </w:p>
    <w:p w14:paraId="4211B47A">
      <w:pPr>
        <w:spacing w:line="344" w:lineRule="auto"/>
        <w:ind w:firstLine="420" w:firstLineChars="200"/>
        <w:outlineLvl w:val="0"/>
        <w:rPr>
          <w:rFonts w:hint="eastAsia" w:ascii="宋体" w:hAnsi="宋体" w:cs="宋体"/>
          <w:kern w:val="0"/>
          <w:szCs w:val="21"/>
        </w:rPr>
      </w:pPr>
      <w:r>
        <w:rPr>
          <w:rFonts w:hint="eastAsia" w:ascii="宋体" w:hAnsi="宋体" w:cs="宋体"/>
          <w:kern w:val="0"/>
          <w:szCs w:val="21"/>
        </w:rPr>
        <w:t>（2）含有毒、有害物质或者被有害物质污染，对人体健康有害的；</w:t>
      </w:r>
    </w:p>
    <w:p w14:paraId="2EBDD909">
      <w:pPr>
        <w:spacing w:line="344" w:lineRule="auto"/>
        <w:ind w:firstLine="420" w:firstLineChars="200"/>
        <w:outlineLvl w:val="0"/>
        <w:rPr>
          <w:rFonts w:hint="eastAsia" w:ascii="宋体" w:hAnsi="宋体" w:cs="宋体"/>
          <w:kern w:val="0"/>
          <w:szCs w:val="21"/>
        </w:rPr>
      </w:pPr>
      <w:r>
        <w:rPr>
          <w:rFonts w:hint="eastAsia" w:ascii="宋体" w:hAnsi="宋体" w:cs="宋体"/>
          <w:kern w:val="0"/>
          <w:szCs w:val="21"/>
        </w:rPr>
        <w:t>（3）含有致病性寄生虫、微生物或者微生物含量超过国家限定标准的；</w:t>
      </w:r>
    </w:p>
    <w:p w14:paraId="145F79A5">
      <w:pPr>
        <w:spacing w:line="344" w:lineRule="auto"/>
        <w:ind w:firstLine="420" w:firstLineChars="200"/>
        <w:outlineLvl w:val="0"/>
        <w:rPr>
          <w:rFonts w:hint="eastAsia" w:ascii="宋体" w:hAnsi="宋体" w:cs="宋体"/>
          <w:kern w:val="0"/>
          <w:szCs w:val="21"/>
        </w:rPr>
      </w:pPr>
      <w:r>
        <w:rPr>
          <w:rFonts w:hint="eastAsia" w:ascii="宋体" w:hAnsi="宋体" w:cs="宋体"/>
          <w:kern w:val="0"/>
          <w:szCs w:val="21"/>
        </w:rPr>
        <w:t>（4）未经动物检疫部门检疫、检验或者检疫、检验不合格的肉类及其制品；</w:t>
      </w:r>
    </w:p>
    <w:p w14:paraId="2ABAD78D">
      <w:pPr>
        <w:spacing w:line="344" w:lineRule="auto"/>
        <w:ind w:firstLine="420" w:firstLineChars="200"/>
        <w:outlineLvl w:val="0"/>
        <w:rPr>
          <w:rFonts w:hint="eastAsia" w:ascii="宋体" w:hAnsi="宋体" w:cs="宋体"/>
          <w:kern w:val="0"/>
          <w:szCs w:val="21"/>
        </w:rPr>
      </w:pPr>
      <w:r>
        <w:rPr>
          <w:rFonts w:hint="eastAsia" w:ascii="宋体" w:hAnsi="宋体" w:cs="宋体"/>
          <w:kern w:val="0"/>
          <w:szCs w:val="21"/>
        </w:rPr>
        <w:t>（5）病死、毒死或者死因不明的禽、蓄、兽、水产动物等及其制品；</w:t>
      </w:r>
    </w:p>
    <w:p w14:paraId="3BACF33A">
      <w:pPr>
        <w:spacing w:line="344" w:lineRule="auto"/>
        <w:ind w:firstLine="420" w:firstLineChars="200"/>
        <w:outlineLvl w:val="0"/>
        <w:rPr>
          <w:rFonts w:hint="eastAsia" w:ascii="宋体" w:hAnsi="宋体" w:cs="宋体"/>
          <w:kern w:val="0"/>
          <w:szCs w:val="21"/>
        </w:rPr>
      </w:pPr>
      <w:r>
        <w:rPr>
          <w:rFonts w:hint="eastAsia" w:ascii="宋体" w:hAnsi="宋体" w:cs="宋体"/>
          <w:kern w:val="0"/>
          <w:szCs w:val="21"/>
        </w:rPr>
        <w:t>（6）掺假、掺杂、伪造，影响营养、卫生的；</w:t>
      </w:r>
    </w:p>
    <w:p w14:paraId="12FE1335">
      <w:pPr>
        <w:spacing w:line="344" w:lineRule="auto"/>
        <w:ind w:firstLine="420" w:firstLineChars="200"/>
        <w:outlineLvl w:val="0"/>
        <w:rPr>
          <w:rFonts w:hint="eastAsia" w:ascii="宋体" w:hAnsi="宋体" w:cs="宋体"/>
          <w:kern w:val="0"/>
          <w:szCs w:val="21"/>
        </w:rPr>
      </w:pPr>
      <w:r>
        <w:rPr>
          <w:rFonts w:hint="eastAsia" w:ascii="宋体" w:hAnsi="宋体" w:cs="宋体"/>
          <w:kern w:val="0"/>
          <w:szCs w:val="21"/>
        </w:rPr>
        <w:t>（7）用非食品原料加工的，加入非食品用化学物质或者将非食品当作食品的；</w:t>
      </w:r>
    </w:p>
    <w:p w14:paraId="7B96B2D9">
      <w:pPr>
        <w:spacing w:line="344" w:lineRule="auto"/>
        <w:ind w:firstLine="420" w:firstLineChars="200"/>
        <w:outlineLvl w:val="0"/>
        <w:rPr>
          <w:rFonts w:hint="eastAsia" w:ascii="宋体" w:hAnsi="宋体" w:cs="宋体"/>
          <w:kern w:val="0"/>
          <w:szCs w:val="21"/>
        </w:rPr>
      </w:pPr>
      <w:r>
        <w:rPr>
          <w:rFonts w:hint="eastAsia" w:ascii="宋体" w:hAnsi="宋体" w:cs="宋体"/>
          <w:kern w:val="0"/>
          <w:szCs w:val="21"/>
        </w:rPr>
        <w:t>（8）超过保质期限的；</w:t>
      </w:r>
    </w:p>
    <w:p w14:paraId="67A4F492">
      <w:pPr>
        <w:spacing w:line="344" w:lineRule="auto"/>
        <w:ind w:firstLine="420" w:firstLineChars="200"/>
        <w:outlineLvl w:val="0"/>
        <w:rPr>
          <w:rFonts w:hint="eastAsia" w:ascii="宋体" w:hAnsi="宋体" w:cs="宋体"/>
          <w:kern w:val="0"/>
          <w:szCs w:val="21"/>
        </w:rPr>
      </w:pPr>
      <w:r>
        <w:rPr>
          <w:rFonts w:hint="eastAsia" w:ascii="宋体" w:hAnsi="宋体" w:cs="宋体"/>
          <w:kern w:val="0"/>
          <w:szCs w:val="21"/>
        </w:rPr>
        <w:t>（9）使用有毒塑料制品包装食材的。</w:t>
      </w:r>
    </w:p>
    <w:p w14:paraId="0BE954F8">
      <w:pPr>
        <w:widowControl/>
        <w:spacing w:line="360" w:lineRule="auto"/>
        <w:ind w:firstLine="420" w:firstLineChars="200"/>
        <w:contextualSpacing/>
        <w:rPr>
          <w:rFonts w:eastAsia="仿宋_GB2312"/>
          <w:color w:val="000000"/>
          <w:kern w:val="0"/>
          <w:sz w:val="24"/>
        </w:rPr>
      </w:pPr>
      <w:r>
        <w:rPr>
          <w:rFonts w:hint="eastAsia" w:ascii="宋体" w:hAnsi="宋体" w:cs="宋体"/>
          <w:kern w:val="0"/>
          <w:szCs w:val="21"/>
        </w:rPr>
        <w:t>1.3货物有合法的产品溯源性；供货时提供应相关部门出具的食材检测报告、食品检验合格证、检验检疫证明等；禽蛋类产品、肉类产品需提供营业执照、《动物防疫条件合格证》、《生猪定点屠宰许可证》等；对实行食品质量（QS）（以SC编码作为标准，取代QS）安全市场准入制的食品，须提供QS 认证的相关证明资料。目前国家实行食品质量（QS）安全市场准入制的食品共28 类：大米、小麦粉、酱油、醋、食用植物油、肉制品、乳制品、饮料、味精、方便面、饼干、罐头食品、冷冻饮品、速冻面米食品、膨化食品、糖果制品、茶叶、葡萄酒、果酒、啤酒、黄酒、白酒、酱腌菜、蜜饯、炒货食品、蛋制品、可可制品、水产加工品、淀粉及淀粉制品（包括粉丝、粉条）（以最新现行清单为准）。投标人配送食材送达时，不得超过食材生产日期至保质期限日的 1/3，（例如：食材保质期限为 10 天以内的，送达时间不能超过 3 天；食材保质期为 6 个月以内的，送达时间不能超过 2 个月，其他同理以此类推）。超过以上保质期规定送达的，采购人有权拒收并实施无条件退货。</w:t>
      </w:r>
    </w:p>
    <w:p w14:paraId="630AC2BF">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1.4中标人不管远近，必须做到鲜肉类、蔬菜类实行每天配送，粮油类等耐储存的大宗物品按照采购人需要按时配送。</w:t>
      </w:r>
    </w:p>
    <w:p w14:paraId="481C9210">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1.5中标人尽量满足采购人合理的其他需求（如采购人有特殊紧急情况下，能确保在半小时内响应采购人需求等）。</w:t>
      </w:r>
    </w:p>
    <w:p w14:paraId="29FFEFAA">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2.运输及配送要求</w:t>
      </w:r>
    </w:p>
    <w:p w14:paraId="3B791E1D">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2.1运输要求：做到配送人员和机动车辆固定。提供的冷链装置要达到冻品的标准温度和冷藏保鲜温度。食品运输必须采用符合卫生要求的外包装和运载工具，并且要保持清洁和定期消毒，保持性能稳定，符合规定的温度要求；运输工具应清洁卫生无污染，运输车厢的内仓，包括地面、墙面和顶，应为抗腐蚀、防潮，防虫、防鼠的设计，车厢内无不良气味、异味；运输途中严防日晒、雨淋，注意通风散热；蔬菜瓜果类蔬菜应小心轻卸，严防机械损伤；冷藏、冷冻食品必须用专用冷藏、冷冻载具运输在整个运输过程中保持安全的冷藏，保证食品在运输全过程符合储存温度要求，并记录存档；肉类送货车辆实行1小时配送圈运作，1小时以外的用制冷车配送，保证肉类中心温度控制在-2-7℃的范围之内，保证运输过程冷链不中断；整个运输过程应科学合理。</w:t>
      </w:r>
    </w:p>
    <w:p w14:paraId="65A502E9">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2.2配送方式：专人专车，严格履行采购人进出门岗要求。</w:t>
      </w:r>
    </w:p>
    <w:p w14:paraId="223C5898">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2.3配送服务需求：配送时必须进行三次消毒，（库房消毒、进入采购人单位前消毒、到达卸货位置消毒），消毒视频上传至采购人，必须全程佩戴口罩、手套。需有较强的货源组织和配送保障能力，全力保障和满足招标人的食材供应需求。同时按照当地政府要求，做好工作人员的自我管控、食材检测和质量把关，对仓储配送场地、设施、车辆进行清洁消毒，确保食材和人员安全。</w:t>
      </w:r>
    </w:p>
    <w:p w14:paraId="45B13686">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2.4配送时间要求：采购人每天下午17点前将次日需要配送的食材名称、数量提供给中标人，中标人根据采购人的要求，必须在指定时间（每日7点半之前）把食材送达采购人指定地点。采购人因需要临时订货的，有权随时向中标人发送订单，中标人应按照采购人订单要求的配送时间、地点、食材名称、品牌和数量配送。</w:t>
      </w:r>
    </w:p>
    <w:p w14:paraId="6023903B">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3.验收要求</w:t>
      </w:r>
    </w:p>
    <w:p w14:paraId="1E51399D">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3.1采购人有权按照中标人提供食品的数量、质量、卫生、新鲜程度及相关检验文件（动物检疫证明、农产品农药残留证明）等进行验收。</w:t>
      </w:r>
    </w:p>
    <w:p w14:paraId="31AE248D">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3.2采购人有权指定中标人在规定时间、地点将配送品种送达，中标人没有按照采购人提出的要求落实，采购人有权拒收、退货且不承担任何责任。</w:t>
      </w:r>
    </w:p>
    <w:p w14:paraId="0E1F8BD8">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3.3采购人有权对不符合标准要求的农副产品作退货处理，中标人在规定时限内补货。</w:t>
      </w:r>
    </w:p>
    <w:p w14:paraId="164C1A96">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3.4采购品种发生变化时，采购人应第一时间告知中标人，中标人根据通知进行调整和配送。</w:t>
      </w:r>
    </w:p>
    <w:p w14:paraId="2589E664">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3.5中标人在送货过程中出现错送、漏送、少送、多送， 采购人有权要求中标人按照采购人提出的要求，立即整改并在2小时内更换、补充到位，造成的损失由中标人承担。</w:t>
      </w:r>
    </w:p>
    <w:p w14:paraId="5D11BA8A">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3.6退货依据</w:t>
      </w:r>
    </w:p>
    <w:tbl>
      <w:tblPr>
        <w:tblStyle w:val="47"/>
        <w:tblW w:w="4998" w:type="pct"/>
        <w:jc w:val="center"/>
        <w:tblLayout w:type="autofit"/>
        <w:tblCellMar>
          <w:top w:w="0" w:type="dxa"/>
          <w:left w:w="108" w:type="dxa"/>
          <w:bottom w:w="0" w:type="dxa"/>
          <w:right w:w="108" w:type="dxa"/>
        </w:tblCellMar>
      </w:tblPr>
      <w:tblGrid>
        <w:gridCol w:w="1445"/>
        <w:gridCol w:w="3930"/>
        <w:gridCol w:w="3144"/>
      </w:tblGrid>
      <w:tr w14:paraId="30D6ECDE">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bottom"/>
          </w:tcPr>
          <w:p w14:paraId="6F40991D">
            <w:pPr>
              <w:spacing w:line="460" w:lineRule="exact"/>
              <w:jc w:val="center"/>
              <w:rPr>
                <w:rFonts w:ascii="宋体" w:hAnsi="宋体" w:cs="宋体"/>
                <w:b/>
                <w:bCs/>
                <w:szCs w:val="21"/>
                <w:lang w:val="zh-CN"/>
              </w:rPr>
            </w:pPr>
            <w:r>
              <w:rPr>
                <w:rFonts w:hint="eastAsia" w:ascii="宋体" w:hAnsi="宋体" w:cs="宋体"/>
                <w:b/>
                <w:bCs/>
                <w:szCs w:val="21"/>
                <w:lang w:val="zh-CN"/>
              </w:rPr>
              <w:t>种类</w:t>
            </w:r>
          </w:p>
        </w:tc>
        <w:tc>
          <w:tcPr>
            <w:tcW w:w="2306" w:type="pct"/>
            <w:tcBorders>
              <w:top w:val="single" w:color="000000" w:sz="2" w:space="0"/>
              <w:left w:val="single" w:color="000000" w:sz="2" w:space="0"/>
              <w:bottom w:val="single" w:color="000000" w:sz="2" w:space="0"/>
              <w:right w:val="single" w:color="000000" w:sz="2" w:space="0"/>
            </w:tcBorders>
            <w:vAlign w:val="bottom"/>
          </w:tcPr>
          <w:p w14:paraId="7A7BE127">
            <w:pPr>
              <w:spacing w:line="460" w:lineRule="exact"/>
              <w:jc w:val="center"/>
              <w:rPr>
                <w:rFonts w:ascii="宋体" w:hAnsi="宋体" w:cs="宋体"/>
                <w:b/>
                <w:bCs/>
                <w:szCs w:val="21"/>
                <w:lang w:val="zh-CN"/>
              </w:rPr>
            </w:pPr>
            <w:r>
              <w:rPr>
                <w:rFonts w:hint="eastAsia" w:ascii="宋体" w:hAnsi="宋体" w:cs="宋体"/>
                <w:b/>
                <w:bCs/>
                <w:szCs w:val="21"/>
                <w:lang w:val="zh-CN"/>
              </w:rPr>
              <w:t>验收标准</w:t>
            </w:r>
          </w:p>
        </w:tc>
        <w:tc>
          <w:tcPr>
            <w:tcW w:w="1845" w:type="pct"/>
            <w:tcBorders>
              <w:top w:val="single" w:color="000000" w:sz="2" w:space="0"/>
              <w:left w:val="single" w:color="000000" w:sz="2" w:space="0"/>
              <w:bottom w:val="single" w:color="000000" w:sz="2" w:space="0"/>
              <w:right w:val="single" w:color="000000" w:sz="2" w:space="0"/>
            </w:tcBorders>
            <w:vAlign w:val="bottom"/>
          </w:tcPr>
          <w:p w14:paraId="7068E8FE">
            <w:pPr>
              <w:spacing w:line="460" w:lineRule="exact"/>
              <w:jc w:val="center"/>
              <w:rPr>
                <w:rFonts w:ascii="宋体" w:hAnsi="宋体" w:cs="宋体"/>
                <w:b/>
                <w:bCs/>
                <w:szCs w:val="21"/>
                <w:lang w:val="zh-CN"/>
              </w:rPr>
            </w:pPr>
            <w:r>
              <w:rPr>
                <w:rFonts w:hint="eastAsia" w:ascii="宋体" w:hAnsi="宋体" w:cs="宋体"/>
                <w:b/>
                <w:bCs/>
                <w:szCs w:val="21"/>
                <w:lang w:val="zh-CN"/>
              </w:rPr>
              <w:t>退货依据</w:t>
            </w:r>
          </w:p>
        </w:tc>
      </w:tr>
      <w:tr w14:paraId="0D1B1F47">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484D82C5">
            <w:pPr>
              <w:widowControl/>
              <w:spacing w:line="360" w:lineRule="auto"/>
              <w:ind w:firstLine="420" w:firstLineChars="200"/>
              <w:contextualSpacing/>
              <w:jc w:val="left"/>
              <w:rPr>
                <w:rFonts w:hint="eastAsia" w:ascii="宋体" w:hAnsi="宋体" w:cs="宋体"/>
                <w:kern w:val="0"/>
                <w:szCs w:val="21"/>
                <w:lang w:val="zh-CN"/>
              </w:rPr>
            </w:pPr>
            <w:r>
              <w:rPr>
                <w:rFonts w:hint="eastAsia" w:ascii="宋体" w:hAnsi="宋体" w:cs="宋体"/>
                <w:kern w:val="0"/>
                <w:szCs w:val="21"/>
                <w:lang w:val="zh-CN"/>
              </w:rPr>
              <w:t>叶菜类</w:t>
            </w:r>
          </w:p>
        </w:tc>
        <w:tc>
          <w:tcPr>
            <w:tcW w:w="2306" w:type="pct"/>
            <w:tcBorders>
              <w:top w:val="single" w:color="000000" w:sz="2" w:space="0"/>
              <w:left w:val="single" w:color="000000" w:sz="2" w:space="0"/>
              <w:bottom w:val="single" w:color="000000" w:sz="2" w:space="0"/>
              <w:right w:val="single" w:color="000000" w:sz="2" w:space="0"/>
            </w:tcBorders>
            <w:vAlign w:val="center"/>
          </w:tcPr>
          <w:p w14:paraId="42E21887">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外形正常，叶梗光滑幼嫩，不干瘪凋萎，无过多黄叶，色泽正常。去除根须，不含土，无虫害，大白菜、卷心菜切开心不变黑，无腐烂情形，无明显浸水现象；农药残留不超标。</w:t>
            </w:r>
          </w:p>
        </w:tc>
        <w:tc>
          <w:tcPr>
            <w:tcW w:w="1845" w:type="pct"/>
            <w:tcBorders>
              <w:top w:val="single" w:color="000000" w:sz="2" w:space="0"/>
              <w:left w:val="single" w:color="000000" w:sz="2" w:space="0"/>
              <w:bottom w:val="single" w:color="000000" w:sz="2" w:space="0"/>
              <w:right w:val="single" w:color="000000" w:sz="2" w:space="0"/>
            </w:tcBorders>
            <w:vAlign w:val="center"/>
          </w:tcPr>
          <w:p w14:paraId="771C62AE">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味苦，鲜度嫩度明显不佳，含黄叶须根，泥土、虫害严重，萎捏严重，浸水后仍不可恢复；农药残留超标。</w:t>
            </w:r>
          </w:p>
        </w:tc>
      </w:tr>
      <w:tr w14:paraId="1175E6F4">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54773C64">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根茎类（如香芋、土豆、莴笋等）</w:t>
            </w:r>
          </w:p>
        </w:tc>
        <w:tc>
          <w:tcPr>
            <w:tcW w:w="2306" w:type="pct"/>
            <w:tcBorders>
              <w:top w:val="single" w:color="000000" w:sz="2" w:space="0"/>
              <w:left w:val="single" w:color="000000" w:sz="2" w:space="0"/>
              <w:bottom w:val="single" w:color="000000" w:sz="2" w:space="0"/>
              <w:right w:val="single" w:color="000000" w:sz="2" w:space="0"/>
            </w:tcBorders>
            <w:vAlign w:val="center"/>
          </w:tcPr>
          <w:p w14:paraId="087CBF36">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无虫咬、发芽、发霉现象，新鲜，形态大小与采购人自购标准相当。农药残留不超标。</w:t>
            </w:r>
          </w:p>
        </w:tc>
        <w:tc>
          <w:tcPr>
            <w:tcW w:w="1845" w:type="pct"/>
            <w:tcBorders>
              <w:top w:val="single" w:color="000000" w:sz="2" w:space="0"/>
              <w:left w:val="single" w:color="000000" w:sz="2" w:space="0"/>
              <w:bottom w:val="single" w:color="000000" w:sz="2" w:space="0"/>
              <w:right w:val="single" w:color="000000" w:sz="2" w:space="0"/>
            </w:tcBorders>
            <w:vAlign w:val="center"/>
          </w:tcPr>
          <w:p w14:paraId="1235EB46">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发芽严重、发霉，新鲜度不佳，形态大小与采购人自购标准存在较大负偏差。农药残留超标。</w:t>
            </w:r>
          </w:p>
        </w:tc>
      </w:tr>
      <w:tr w14:paraId="5B4B5960">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752919D2">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花果类，如西兰花、白菜花</w:t>
            </w:r>
          </w:p>
        </w:tc>
        <w:tc>
          <w:tcPr>
            <w:tcW w:w="2306" w:type="pct"/>
            <w:tcBorders>
              <w:top w:val="single" w:color="000000" w:sz="2" w:space="0"/>
              <w:left w:val="single" w:color="000000" w:sz="2" w:space="0"/>
              <w:bottom w:val="single" w:color="000000" w:sz="2" w:space="0"/>
              <w:right w:val="single" w:color="000000" w:sz="2" w:space="0"/>
            </w:tcBorders>
            <w:vAlign w:val="center"/>
          </w:tcPr>
          <w:p w14:paraId="077B0EB9">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无虫害，成熟度良好，新鲜固有的色泽鲜明，无发霉发黄，农药残留不超标。</w:t>
            </w:r>
          </w:p>
        </w:tc>
        <w:tc>
          <w:tcPr>
            <w:tcW w:w="1845" w:type="pct"/>
            <w:tcBorders>
              <w:top w:val="single" w:color="000000" w:sz="2" w:space="0"/>
              <w:left w:val="single" w:color="000000" w:sz="2" w:space="0"/>
              <w:bottom w:val="single" w:color="000000" w:sz="2" w:space="0"/>
              <w:right w:val="single" w:color="000000" w:sz="2" w:space="0"/>
            </w:tcBorders>
            <w:vAlign w:val="center"/>
          </w:tcPr>
          <w:p w14:paraId="7ABBD85F">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不新鲜，发霉，虫害过多。农药残留超标。</w:t>
            </w:r>
          </w:p>
        </w:tc>
      </w:tr>
      <w:tr w14:paraId="1B15E2A8">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4195583E">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瓜果类</w:t>
            </w:r>
          </w:p>
        </w:tc>
        <w:tc>
          <w:tcPr>
            <w:tcW w:w="2306" w:type="pct"/>
            <w:tcBorders>
              <w:top w:val="single" w:color="000000" w:sz="2" w:space="0"/>
              <w:left w:val="single" w:color="000000" w:sz="2" w:space="0"/>
              <w:bottom w:val="single" w:color="000000" w:sz="2" w:space="0"/>
              <w:right w:val="single" w:color="000000" w:sz="2" w:space="0"/>
            </w:tcBorders>
            <w:vAlign w:val="center"/>
          </w:tcPr>
          <w:p w14:paraId="27EFFB6F">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外表光亮无斑点，有新鲜连接的秧，形状正常、大小均匀，无软塌，成熟度适度。无腐烂，无污染，清洁、新鲜，无异味、无病虫损害。农药残留不超标。</w:t>
            </w:r>
          </w:p>
        </w:tc>
        <w:tc>
          <w:tcPr>
            <w:tcW w:w="1845" w:type="pct"/>
            <w:tcBorders>
              <w:top w:val="single" w:color="000000" w:sz="2" w:space="0"/>
              <w:left w:val="single" w:color="000000" w:sz="2" w:space="0"/>
              <w:bottom w:val="single" w:color="000000" w:sz="2" w:space="0"/>
              <w:right w:val="single" w:color="000000" w:sz="2" w:space="0"/>
            </w:tcBorders>
            <w:vAlign w:val="center"/>
          </w:tcPr>
          <w:p w14:paraId="0DBA71B2">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不新鲜、软塌、腐烂，有异味。病虫损害严重，形状不太正常，大小不适中。农药残留超标。</w:t>
            </w:r>
          </w:p>
        </w:tc>
      </w:tr>
      <w:tr w14:paraId="2FFDFF25">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5F22DC0A">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豆制品</w:t>
            </w:r>
          </w:p>
        </w:tc>
        <w:tc>
          <w:tcPr>
            <w:tcW w:w="2306" w:type="pct"/>
            <w:tcBorders>
              <w:top w:val="single" w:color="000000" w:sz="2" w:space="0"/>
              <w:left w:val="single" w:color="000000" w:sz="2" w:space="0"/>
              <w:bottom w:val="single" w:color="000000" w:sz="2" w:space="0"/>
              <w:right w:val="single" w:color="000000" w:sz="2" w:space="0"/>
            </w:tcBorders>
            <w:vAlign w:val="center"/>
          </w:tcPr>
          <w:p w14:paraId="1B58DD2E">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品牌产品，保质期限内，包装无破损，感官上色泽正常，硬度弹性正常，无异味。</w:t>
            </w:r>
          </w:p>
        </w:tc>
        <w:tc>
          <w:tcPr>
            <w:tcW w:w="1845" w:type="pct"/>
            <w:tcBorders>
              <w:top w:val="single" w:color="000000" w:sz="2" w:space="0"/>
              <w:left w:val="single" w:color="000000" w:sz="2" w:space="0"/>
              <w:bottom w:val="single" w:color="000000" w:sz="2" w:space="0"/>
              <w:right w:val="single" w:color="000000" w:sz="2" w:space="0"/>
            </w:tcBorders>
            <w:vAlign w:val="center"/>
          </w:tcPr>
          <w:p w14:paraId="0A6C5972">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由于蛋白质的分解等原因，豆制品硬度和弹性下降，表面发粘，颜色发暗、发红、或变黄，或表面出现各种颜色的霉斑，产生酸馊气味或异味，有黄色液体流出等。</w:t>
            </w:r>
          </w:p>
        </w:tc>
      </w:tr>
      <w:tr w14:paraId="5F5383DE">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6BD2320F">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鱼类</w:t>
            </w:r>
          </w:p>
        </w:tc>
        <w:tc>
          <w:tcPr>
            <w:tcW w:w="2306" w:type="pct"/>
            <w:tcBorders>
              <w:top w:val="single" w:color="000000" w:sz="2" w:space="0"/>
              <w:left w:val="single" w:color="000000" w:sz="2" w:space="0"/>
              <w:bottom w:val="single" w:color="000000" w:sz="2" w:space="0"/>
              <w:right w:val="single" w:color="000000" w:sz="2" w:space="0"/>
            </w:tcBorders>
            <w:vAlign w:val="center"/>
          </w:tcPr>
          <w:p w14:paraId="01CC8110">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具有鲜鱼固有的鲜明体色与光泽，粘度透明；鳞完整或稍有花鳞，紧贴鱼体不易剥落，有透明黏液；鳃盖紧合，鳃丝鲜红或紫红，色清晰，黏液透明无异味；鱼眼饱满，角膜光亮透明；腹部呈白色或淡玫瑰红色，破肚率小于等于5%；肌肉结实或富有弹性，无风干、异味现象。</w:t>
            </w:r>
          </w:p>
        </w:tc>
        <w:tc>
          <w:tcPr>
            <w:tcW w:w="1845" w:type="pct"/>
            <w:tcBorders>
              <w:top w:val="single" w:color="000000" w:sz="2" w:space="0"/>
              <w:left w:val="single" w:color="000000" w:sz="2" w:space="0"/>
              <w:bottom w:val="single" w:color="000000" w:sz="2" w:space="0"/>
              <w:right w:val="single" w:color="000000" w:sz="2" w:space="0"/>
            </w:tcBorders>
            <w:vAlign w:val="center"/>
          </w:tcPr>
          <w:p w14:paraId="5FC24E66">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体表色暗淡无光黏液透明度较差、浑浊且有腐败味；鳞不完整松弛、易剥落；鳃盖松弛，鳃丝粘连，呈淡红暗红或灰红褐色，有显著腥味；眼球凹陷，角膜混沌或发糊；腹部膨胀或变软，表面发暗色或淡绿色斑点；肌肉松弛，弹性差。</w:t>
            </w:r>
          </w:p>
        </w:tc>
      </w:tr>
      <w:tr w14:paraId="29146D82">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67589DAC">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虾类</w:t>
            </w:r>
          </w:p>
        </w:tc>
        <w:tc>
          <w:tcPr>
            <w:tcW w:w="2306" w:type="pct"/>
            <w:tcBorders>
              <w:top w:val="single" w:color="000000" w:sz="2" w:space="0"/>
              <w:left w:val="single" w:color="000000" w:sz="2" w:space="0"/>
              <w:bottom w:val="single" w:color="000000" w:sz="2" w:space="0"/>
              <w:right w:val="single" w:color="000000" w:sz="2" w:space="0"/>
            </w:tcBorders>
            <w:vAlign w:val="center"/>
          </w:tcPr>
          <w:p w14:paraId="3E9CF320">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体表色泽正常，甲壳无“黑变”或轻度“黑变”，无破损或脱节；虾肉组织紧密有弹性，无异味；肉质清洁完整。</w:t>
            </w:r>
          </w:p>
        </w:tc>
        <w:tc>
          <w:tcPr>
            <w:tcW w:w="1845" w:type="pct"/>
            <w:tcBorders>
              <w:top w:val="single" w:color="000000" w:sz="2" w:space="0"/>
              <w:left w:val="single" w:color="000000" w:sz="2" w:space="0"/>
              <w:bottom w:val="single" w:color="000000" w:sz="2" w:space="0"/>
              <w:right w:val="single" w:color="000000" w:sz="2" w:space="0"/>
            </w:tcBorders>
            <w:vAlign w:val="center"/>
          </w:tcPr>
          <w:p w14:paraId="51E1F856">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虾体色泽及光泽褪色，甲壳“黑变”严重，外表暗淡无光泽；虾肉组织韧性差，肉质松软，甲壳与虾体分离；有异味、氨味、腥臭。</w:t>
            </w:r>
          </w:p>
        </w:tc>
      </w:tr>
      <w:tr w14:paraId="104C6814">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0702CEE3">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软体动物（章鱼、鱿鱼等）</w:t>
            </w:r>
          </w:p>
        </w:tc>
        <w:tc>
          <w:tcPr>
            <w:tcW w:w="2306" w:type="pct"/>
            <w:tcBorders>
              <w:top w:val="single" w:color="000000" w:sz="2" w:space="0"/>
              <w:left w:val="single" w:color="000000" w:sz="2" w:space="0"/>
              <w:bottom w:val="single" w:color="000000" w:sz="2" w:space="0"/>
              <w:right w:val="single" w:color="000000" w:sz="2" w:space="0"/>
            </w:tcBorders>
            <w:vAlign w:val="center"/>
          </w:tcPr>
          <w:p w14:paraId="2D0443E1">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体表具有本品种固有新鲜色泽，色素斑清晰，黏液多而清亮；眼球饱满；肌肉柔软，有弹性。</w:t>
            </w:r>
          </w:p>
        </w:tc>
        <w:tc>
          <w:tcPr>
            <w:tcW w:w="1845" w:type="pct"/>
            <w:tcBorders>
              <w:top w:val="single" w:color="000000" w:sz="2" w:space="0"/>
              <w:left w:val="single" w:color="000000" w:sz="2" w:space="0"/>
              <w:bottom w:val="single" w:color="000000" w:sz="2" w:space="0"/>
              <w:right w:val="single" w:color="000000" w:sz="2" w:space="0"/>
            </w:tcBorders>
            <w:vAlign w:val="center"/>
          </w:tcPr>
          <w:p w14:paraId="56D88085">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体表色泽较差，黏液浑浊、有味，体表僵硬发红；眼球凹陷；肌肉弹性差；切面颜色发暗，有异味。</w:t>
            </w:r>
          </w:p>
        </w:tc>
      </w:tr>
      <w:tr w14:paraId="3A6AC2BA">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6686164A">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生鲜牡蛎肉</w:t>
            </w:r>
          </w:p>
        </w:tc>
        <w:tc>
          <w:tcPr>
            <w:tcW w:w="2306" w:type="pct"/>
            <w:tcBorders>
              <w:top w:val="single" w:color="000000" w:sz="2" w:space="0"/>
              <w:left w:val="single" w:color="000000" w:sz="2" w:space="0"/>
              <w:bottom w:val="single" w:color="000000" w:sz="2" w:space="0"/>
              <w:right w:val="single" w:color="000000" w:sz="2" w:space="0"/>
            </w:tcBorders>
            <w:vAlign w:val="center"/>
          </w:tcPr>
          <w:p w14:paraId="40F792CE">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牡蛎饱满或稍软，呈乳白色，体液澄清，无色或淡灰色，有牡蛎固有气味，无杂质。</w:t>
            </w:r>
          </w:p>
        </w:tc>
        <w:tc>
          <w:tcPr>
            <w:tcW w:w="1845" w:type="pct"/>
            <w:tcBorders>
              <w:top w:val="single" w:color="000000" w:sz="2" w:space="0"/>
              <w:left w:val="single" w:color="000000" w:sz="2" w:space="0"/>
              <w:bottom w:val="single" w:color="000000" w:sz="2" w:space="0"/>
              <w:right w:val="single" w:color="000000" w:sz="2" w:space="0"/>
            </w:tcBorders>
            <w:vAlign w:val="center"/>
          </w:tcPr>
          <w:p w14:paraId="6D11C290">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牡蛎杂质多，色泽异常，体液浑浊等。</w:t>
            </w:r>
          </w:p>
        </w:tc>
      </w:tr>
      <w:tr w14:paraId="100F7FB5">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2D13C422">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海螺肉</w:t>
            </w:r>
          </w:p>
        </w:tc>
        <w:tc>
          <w:tcPr>
            <w:tcW w:w="2306" w:type="pct"/>
            <w:tcBorders>
              <w:top w:val="single" w:color="000000" w:sz="2" w:space="0"/>
              <w:left w:val="single" w:color="000000" w:sz="2" w:space="0"/>
              <w:bottom w:val="single" w:color="000000" w:sz="2" w:space="0"/>
              <w:right w:val="single" w:color="000000" w:sz="2" w:space="0"/>
            </w:tcBorders>
            <w:vAlign w:val="center"/>
          </w:tcPr>
          <w:p w14:paraId="1644AB44">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海螺肉呈乳黄色或浅黄色，有光泽有弹性，局部有玫瑰紫色斑点。</w:t>
            </w:r>
          </w:p>
        </w:tc>
        <w:tc>
          <w:tcPr>
            <w:tcW w:w="1845" w:type="pct"/>
            <w:tcBorders>
              <w:top w:val="single" w:color="000000" w:sz="2" w:space="0"/>
              <w:left w:val="single" w:color="000000" w:sz="2" w:space="0"/>
              <w:bottom w:val="single" w:color="000000" w:sz="2" w:space="0"/>
              <w:right w:val="single" w:color="000000" w:sz="2" w:space="0"/>
            </w:tcBorders>
            <w:vAlign w:val="center"/>
          </w:tcPr>
          <w:p w14:paraId="0976D280">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海螺肉呈白色或灰白色，无光泽，无弹性。</w:t>
            </w:r>
          </w:p>
        </w:tc>
      </w:tr>
      <w:tr w14:paraId="7841C979">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016613B0">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海带</w:t>
            </w:r>
          </w:p>
        </w:tc>
        <w:tc>
          <w:tcPr>
            <w:tcW w:w="2306" w:type="pct"/>
            <w:tcBorders>
              <w:top w:val="single" w:color="000000" w:sz="2" w:space="0"/>
              <w:left w:val="single" w:color="000000" w:sz="2" w:space="0"/>
              <w:bottom w:val="single" w:color="000000" w:sz="2" w:space="0"/>
              <w:right w:val="single" w:color="000000" w:sz="2" w:space="0"/>
            </w:tcBorders>
            <w:vAlign w:val="center"/>
          </w:tcPr>
          <w:p w14:paraId="5BE04D7C">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色泽深褐色或褐绿色，叶片长而宽阔，肉厚且不带根；表面有微呈白色粉状的甘露醇，含砂量和杂质量少。</w:t>
            </w:r>
          </w:p>
        </w:tc>
        <w:tc>
          <w:tcPr>
            <w:tcW w:w="1845" w:type="pct"/>
            <w:tcBorders>
              <w:top w:val="single" w:color="000000" w:sz="2" w:space="0"/>
              <w:left w:val="single" w:color="000000" w:sz="2" w:space="0"/>
              <w:bottom w:val="single" w:color="000000" w:sz="2" w:space="0"/>
              <w:right w:val="single" w:color="000000" w:sz="2" w:space="0"/>
            </w:tcBorders>
            <w:vAlign w:val="center"/>
          </w:tcPr>
          <w:p w14:paraId="0820B1B3">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色泽呈黄绿色，叶片短狭而肉薄，含砂量高。</w:t>
            </w:r>
          </w:p>
        </w:tc>
      </w:tr>
      <w:tr w14:paraId="2994A6DD">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4D1DA3B3">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畜肉类</w:t>
            </w:r>
          </w:p>
        </w:tc>
        <w:tc>
          <w:tcPr>
            <w:tcW w:w="2306" w:type="pct"/>
            <w:tcBorders>
              <w:top w:val="single" w:color="000000" w:sz="2" w:space="0"/>
              <w:left w:val="single" w:color="000000" w:sz="2" w:space="0"/>
              <w:bottom w:val="single" w:color="000000" w:sz="2" w:space="0"/>
              <w:right w:val="single" w:color="000000" w:sz="2" w:space="0"/>
            </w:tcBorders>
            <w:vAlign w:val="center"/>
          </w:tcPr>
          <w:p w14:paraId="10679669">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放血刀口粗糙、切而外翻、刀口周围的血液浸润；血管口无残留或少残留血液；皮肤呈白色或淡黄色，畜肉脂肪呈白色或乳白色；畜肉有弹性、有光泽。</w:t>
            </w:r>
          </w:p>
        </w:tc>
        <w:tc>
          <w:tcPr>
            <w:tcW w:w="1845" w:type="pct"/>
            <w:tcBorders>
              <w:top w:val="single" w:color="000000" w:sz="2" w:space="0"/>
              <w:left w:val="single" w:color="000000" w:sz="2" w:space="0"/>
              <w:bottom w:val="single" w:color="000000" w:sz="2" w:space="0"/>
              <w:right w:val="single" w:color="000000" w:sz="2" w:space="0"/>
            </w:tcBorders>
            <w:vAlign w:val="center"/>
          </w:tcPr>
          <w:p w14:paraId="7F7442BF">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放血刀口切线平整、切面整齐、无血液浸润；血管内有较多血液，呈紫红色，血液中可见气泡；皮肤有出血、充血点和黄染等病理变化，畜肉脂肪由于放血不全呈粉红色、黄色或绿色；畜肉无弹性、暗紫色，昏暗甚至粘软，有异味。</w:t>
            </w:r>
          </w:p>
        </w:tc>
      </w:tr>
      <w:tr w14:paraId="04908FC2">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1FC660A0">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猪肉类</w:t>
            </w:r>
          </w:p>
        </w:tc>
        <w:tc>
          <w:tcPr>
            <w:tcW w:w="2306" w:type="pct"/>
            <w:tcBorders>
              <w:top w:val="single" w:color="000000" w:sz="2" w:space="0"/>
              <w:left w:val="single" w:color="000000" w:sz="2" w:space="0"/>
              <w:bottom w:val="single" w:color="000000" w:sz="2" w:space="0"/>
              <w:right w:val="single" w:color="000000" w:sz="2" w:space="0"/>
            </w:tcBorders>
            <w:vAlign w:val="center"/>
          </w:tcPr>
          <w:p w14:paraId="2A204513">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净仔排：仔排上肉厚度不超过2公分左右，不带老骨、边角、脆骨等，肉色鲜艳、注意母猪肉；仔排：仔排上肉厚度不超过2公分左右，老骨不超过4公分不带边角，肉色鲜艳，注意母猪肉；后腿净肉：不带碎骨、不带肥肉，肉色鲜艳，无病变、不打水；猪肉：不带碎骨（一斤猪肉，三两肥肉七两瘦肉），肉色鲜艳，不打水；带皮五花肉：要求中肋部分整方形，不带腩肉，带少量排骨，肉色鲜艳，层次分明，猪皮干净，无刀口；无皮五花肉：（上同带皮五花肉）不带排骨、腩肉；中肋五花肉：要求中肋部分整方形，不带排骨、腩肉，层次分明（一般为三至五成夹花）；心、肝、腰：个形整齐、无打水、无病态、无异味、肉色鲜艳，注意粉肝；净猪肚：不带油，不带小肠，无粘液。</w:t>
            </w:r>
          </w:p>
        </w:tc>
        <w:tc>
          <w:tcPr>
            <w:tcW w:w="1845" w:type="pct"/>
            <w:tcBorders>
              <w:top w:val="single" w:color="000000" w:sz="2" w:space="0"/>
              <w:left w:val="single" w:color="000000" w:sz="2" w:space="0"/>
              <w:bottom w:val="single" w:color="000000" w:sz="2" w:space="0"/>
              <w:right w:val="single" w:color="000000" w:sz="2" w:space="0"/>
            </w:tcBorders>
            <w:vAlign w:val="center"/>
          </w:tcPr>
          <w:p w14:paraId="33A10E73">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与验收标准不符，病死或者死因不明的畜禽及其制品等。</w:t>
            </w:r>
          </w:p>
        </w:tc>
      </w:tr>
      <w:tr w14:paraId="140A277C">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5388D26A">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牛肉类</w:t>
            </w:r>
          </w:p>
        </w:tc>
        <w:tc>
          <w:tcPr>
            <w:tcW w:w="2306" w:type="pct"/>
            <w:tcBorders>
              <w:top w:val="single" w:color="000000" w:sz="2" w:space="0"/>
              <w:left w:val="single" w:color="000000" w:sz="2" w:space="0"/>
              <w:bottom w:val="single" w:color="000000" w:sz="2" w:space="0"/>
              <w:right w:val="single" w:color="000000" w:sz="2" w:space="0"/>
            </w:tcBorders>
            <w:vAlign w:val="center"/>
          </w:tcPr>
          <w:p w14:paraId="61714950">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牛腩：无杂碎、不带骨、无病变、块形整齐、无注水、色泽新鲜；牛排：整块、头尾带肉不能过多，排骨带肉约一寸厚。</w:t>
            </w:r>
          </w:p>
        </w:tc>
        <w:tc>
          <w:tcPr>
            <w:tcW w:w="1845" w:type="pct"/>
            <w:tcBorders>
              <w:top w:val="single" w:color="000000" w:sz="2" w:space="0"/>
              <w:left w:val="single" w:color="000000" w:sz="2" w:space="0"/>
              <w:bottom w:val="single" w:color="000000" w:sz="2" w:space="0"/>
              <w:right w:val="single" w:color="000000" w:sz="2" w:space="0"/>
            </w:tcBorders>
            <w:vAlign w:val="center"/>
          </w:tcPr>
          <w:p w14:paraId="58DBEAFB">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与验收标准不符，病死或者死因不明的畜禽及其制品等。</w:t>
            </w:r>
          </w:p>
        </w:tc>
      </w:tr>
      <w:tr w14:paraId="5F1A0543">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13A5C3B4">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禽畜类</w:t>
            </w:r>
          </w:p>
        </w:tc>
        <w:tc>
          <w:tcPr>
            <w:tcW w:w="2306" w:type="pct"/>
            <w:tcBorders>
              <w:top w:val="single" w:color="000000" w:sz="2" w:space="0"/>
              <w:left w:val="single" w:color="000000" w:sz="2" w:space="0"/>
              <w:bottom w:val="single" w:color="000000" w:sz="2" w:space="0"/>
              <w:right w:val="single" w:color="000000" w:sz="2" w:space="0"/>
            </w:tcBorders>
            <w:vAlign w:val="center"/>
          </w:tcPr>
          <w:p w14:paraId="465F2EA7">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光土鸡：个体均匀、肉色正常、无病变、无破皮、无油斑、内脏食袋掏空，表皮光滑、无鸡毛、鸡身肥短圆润，爪细小、无注水；老鸡：无破皮、无油斑、内脏掏空、表皮光滑无鸡毛、鸡身肥圆、不带鸡油、无注水；子鸭：无破皮、无血斑、内脏掏净、肉色鲜艳，净重2.8-2.0公斤，无注水；老鸭：皮黄、肉肥、骨头硬、肉色鲜艳、无血斑、无注水。</w:t>
            </w:r>
          </w:p>
        </w:tc>
        <w:tc>
          <w:tcPr>
            <w:tcW w:w="1845" w:type="pct"/>
            <w:tcBorders>
              <w:top w:val="single" w:color="000000" w:sz="2" w:space="0"/>
              <w:left w:val="single" w:color="000000" w:sz="2" w:space="0"/>
              <w:bottom w:val="single" w:color="000000" w:sz="2" w:space="0"/>
              <w:right w:val="single" w:color="000000" w:sz="2" w:space="0"/>
            </w:tcBorders>
            <w:vAlign w:val="center"/>
          </w:tcPr>
          <w:p w14:paraId="3AB5B2FD">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与验收标准不符，病死或者死因不明的畜禽及其制品等。</w:t>
            </w:r>
          </w:p>
        </w:tc>
      </w:tr>
      <w:tr w14:paraId="18FA7E87">
        <w:tblPrEx>
          <w:tblCellMar>
            <w:top w:w="0" w:type="dxa"/>
            <w:left w:w="108" w:type="dxa"/>
            <w:bottom w:w="0" w:type="dxa"/>
            <w:right w:w="108" w:type="dxa"/>
          </w:tblCellMar>
        </w:tblPrEx>
        <w:trPr>
          <w:trHeight w:val="567" w:hRule="atLeast"/>
          <w:jc w:val="center"/>
        </w:trPr>
        <w:tc>
          <w:tcPr>
            <w:tcW w:w="848" w:type="pct"/>
            <w:tcBorders>
              <w:top w:val="single" w:color="000000" w:sz="2" w:space="0"/>
              <w:left w:val="single" w:color="000000" w:sz="2" w:space="0"/>
              <w:bottom w:val="single" w:color="000000" w:sz="2" w:space="0"/>
              <w:right w:val="single" w:color="000000" w:sz="2" w:space="0"/>
            </w:tcBorders>
            <w:vAlign w:val="center"/>
          </w:tcPr>
          <w:p w14:paraId="00A1BE2C">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辅料及其他</w:t>
            </w:r>
          </w:p>
        </w:tc>
        <w:tc>
          <w:tcPr>
            <w:tcW w:w="2306" w:type="pct"/>
            <w:tcBorders>
              <w:top w:val="single" w:color="000000" w:sz="2" w:space="0"/>
              <w:left w:val="single" w:color="000000" w:sz="2" w:space="0"/>
              <w:bottom w:val="single" w:color="000000" w:sz="2" w:space="0"/>
              <w:right w:val="single" w:color="000000" w:sz="2" w:space="0"/>
            </w:tcBorders>
            <w:vAlign w:val="center"/>
          </w:tcPr>
          <w:p w14:paraId="37E46F1A">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根据采购人要求提供各类货品，保证新鲜度，注意保质期，外包装清洁卫生，完整坚固，且包装上的商品名称、厂址、规格等与内容物相符，标识清晰，批次清楚等</w:t>
            </w:r>
          </w:p>
        </w:tc>
        <w:tc>
          <w:tcPr>
            <w:tcW w:w="1845" w:type="pct"/>
            <w:tcBorders>
              <w:top w:val="single" w:color="000000" w:sz="2" w:space="0"/>
              <w:left w:val="single" w:color="000000" w:sz="2" w:space="0"/>
              <w:bottom w:val="single" w:color="000000" w:sz="2" w:space="0"/>
              <w:right w:val="single" w:color="000000" w:sz="2" w:space="0"/>
            </w:tcBorders>
            <w:vAlign w:val="center"/>
          </w:tcPr>
          <w:p w14:paraId="4E86334B">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(1)不符合验收标准的、无“SC”标志的产品。</w:t>
            </w:r>
          </w:p>
          <w:p w14:paraId="4EC38142">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(2)无品名、产地、厂名、生产日期、保质期及中文标识及原料说明的定型包装食品.</w:t>
            </w:r>
          </w:p>
          <w:p w14:paraId="2116043A">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(3)超过保质期限或不符合食品标签规定的定型包装食品.</w:t>
            </w:r>
          </w:p>
          <w:p w14:paraId="57D660A8">
            <w:pPr>
              <w:widowControl/>
              <w:spacing w:line="360" w:lineRule="auto"/>
              <w:ind w:firstLine="420" w:firstLineChars="200"/>
              <w:contextualSpacing/>
              <w:jc w:val="left"/>
              <w:rPr>
                <w:rFonts w:hint="eastAsia" w:ascii="宋体" w:hAnsi="宋体" w:cs="宋体"/>
                <w:kern w:val="0"/>
                <w:szCs w:val="21"/>
              </w:rPr>
            </w:pPr>
            <w:r>
              <w:rPr>
                <w:rFonts w:hint="eastAsia" w:ascii="宋体" w:hAnsi="宋体" w:cs="宋体"/>
                <w:kern w:val="0"/>
                <w:szCs w:val="21"/>
              </w:rPr>
              <w:t>(4)腐败变质,油脂酸败,霉变,生虫,污秽不洁,混有异物或者其他感官性状异常,有害物质污染,可能对人体健康有害的食品.</w:t>
            </w:r>
          </w:p>
        </w:tc>
      </w:tr>
    </w:tbl>
    <w:p w14:paraId="0293DFBC">
      <w:pPr>
        <w:pStyle w:val="2"/>
        <w:ind w:firstLine="211"/>
      </w:pPr>
      <w:r>
        <w:rPr>
          <w:rFonts w:hint="eastAsia" w:hAnsi="宋体" w:cs="宋体"/>
          <w:b/>
          <w:bCs/>
          <w:szCs w:val="21"/>
        </w:rPr>
        <w:t>注：冷冻产品到货时产品表面温度不高于-9℃，冷藏产品到货时产品表面温度不高于12℃。</w:t>
      </w:r>
    </w:p>
    <w:p w14:paraId="279E7A8D">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4.采购配送方案合理完善</w:t>
      </w:r>
    </w:p>
    <w:p w14:paraId="5E8CA552">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本次采购配送的内容为采购人食堂所需的九大类大宗物品（实际配送物品以业主实际需求为准进行调整），因此配送供货企业除了自己生产的食品原料，还需要大量采购的物品。配送供货企业制定采购配送方案应合理完善。</w:t>
      </w:r>
    </w:p>
    <w:p w14:paraId="48285609">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5.采购配送方案确保安全</w:t>
      </w:r>
    </w:p>
    <w:p w14:paraId="5244212E">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5.1大宗物品配送涉及饮食安全。确保食品安全是配送供货企业的主要职责。配送供货企业应有质量保证体系、必要的硬件设备，确保到食堂的大宗物品符合食品安全要求。</w:t>
      </w:r>
    </w:p>
    <w:p w14:paraId="5133493A">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5.2供应商必须保证对每批次配送的食品出具相应的食品检测合格报告，索证有效率应达到100%。凡是《食品安全法》禁止经营的食品，供应商一律不得采购和使用。严格禁止向采购方配送“三无”食品、有毒有害、过期变质、假冒伪劣等不合格产品。</w:t>
      </w:r>
    </w:p>
    <w:p w14:paraId="64632B04">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①供应商所经营的食品是工业化生产的食品，均应按规定索取生产企业的营业执照、生产许可证、食品质量安全定点检测有效检验报告、食品包装上所示的各类荣誉证书等各种有效证明，其索证有效率应达到100%。在市场上采购的食品也应向供应商索取有效凭证。</w:t>
      </w:r>
    </w:p>
    <w:p w14:paraId="63F3D2C0">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②供应商所经销的食品是农产品，如蔬菜、干货类、豆制品类等，供应商应进行检测并提供合格有效凭证，保证提供食品“安全、卫生、健康、放心”。</w:t>
      </w:r>
    </w:p>
    <w:p w14:paraId="79AA91CE">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③所有蔬菜等食品必须以正规渠道采购（如蔬菜生产基地等），确保安全、放心食用。</w:t>
      </w:r>
    </w:p>
    <w:p w14:paraId="6D08CAFE">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④所供蔬菜无枯萎黄叶、清洁新鲜、品质优良。干货类清洁新鲜、无变质，符合国家有关卫生标准，并做到每批次均经检验，四十八小时留样备查。</w:t>
      </w:r>
    </w:p>
    <w:p w14:paraId="02B718C2">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⑤鲜猪肉的要求及标准：供应商提供的猪肉必须经国家检疫部门检疫，送货时要提供经过检疫部门检疫的有关证明。质量应符合国家有关单位及行业制订的一级鲜猪肉标准。</w:t>
      </w:r>
    </w:p>
    <w:p w14:paraId="7124FB15">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⑥冷冻品、调味品等，必须严格按要求指定的品牌以正规单位采购，品牌要正宗并进行认真验收，杜绝假冒、变质、过期的食品配送到采购方。</w:t>
      </w:r>
    </w:p>
    <w:p w14:paraId="6536E37A">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⑦其他食品也必须确保“安全、卫生、健康、放心”。</w:t>
      </w:r>
    </w:p>
    <w:p w14:paraId="6252BBA1">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5.3供应商必须做到服务态度良好、配送及时。所有的食品应严格检测及验收，确保食品安全。同时供应商要确保进货源头安全，建立进货台账，确保食品质量。</w:t>
      </w:r>
    </w:p>
    <w:p w14:paraId="537AE9B9">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5.4供应商必须及时向采购人保质、按量配送食品，并附有该食品安全检测报告，不无故推诿或缓送，并自觉接受各职能部门的检查。</w:t>
      </w:r>
    </w:p>
    <w:p w14:paraId="04DDDE3D">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5.5采购人对供应商实行动态管理。采购人及相关部门代表将成立食堂食品配送工作考评小组，对照招标文件及投标文件要求，根据部门工作人员、机关监管人员的反馈情况和日常监督、检查情况，对供应商的食品配送工作进行考核评估。供应商在食品配送过程中，如果出现下列情形之一的，将取消配送资格，并赔偿由此造成的所有经济损失，触犯法律的，将追究法律责任：</w:t>
      </w:r>
    </w:p>
    <w:p w14:paraId="68155463">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①所供的蔬菜等食品中含有毒有害物质等原因引发安全事故的；</w:t>
      </w:r>
    </w:p>
    <w:p w14:paraId="583AA559">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②经营场地、设施设备、从业人员弄虚作假；生产、经营者的生产经营条件发生变化，不符合食品生产经营要求，有发生食品安全事故的潜在风险，所供应产品不符合食品安全标准；</w:t>
      </w:r>
    </w:p>
    <w:p w14:paraId="4F85319B">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③未按相关要求按时向采购人提供相关证件、产品年度质检部门抽检报告、分批次厂内自检报告、销售凭证等资料；未建立进销台账或台帐资料与采购人台帐不符；</w:t>
      </w:r>
    </w:p>
    <w:p w14:paraId="7F30E85F">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④违法违规经营，受到市场监督、卫生、物价等职能部门行政处罚，并认定为情节严重的；向监督管理部门、采购人的采购工作人员行贿或提供其他不正当利益；向采购方虚开销售凭证；</w:t>
      </w:r>
    </w:p>
    <w:p w14:paraId="477D7430">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⑤送货不及时，影响正常用餐，社会影响较大的；履约服务承诺差，投诉多，反映问题集中；在食堂食品配送工作考评中考评不合格的；</w:t>
      </w:r>
    </w:p>
    <w:p w14:paraId="02FA2A6C">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⑥涉嫌垄断经营，故意串通哄抬价格的；</w:t>
      </w:r>
    </w:p>
    <w:p w14:paraId="14E5E4FC">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⑦发现并查实中标供应商转包或委托他人经营的；</w:t>
      </w:r>
    </w:p>
    <w:p w14:paraId="5C262926">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⑧有其他违反《中华人民共和国食品安全法》、《中华人民共和国食品安全法实施条例》相关条款行为。</w:t>
      </w:r>
    </w:p>
    <w:p w14:paraId="6820D264">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6.采购配送物品合理低价</w:t>
      </w:r>
    </w:p>
    <w:p w14:paraId="40BF6A79">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食堂大宗物品采购量大，但配送要求较高。采购人也要出台验收结算制度，控制物品采购价格。配送供货企业的采购配送方案在确保质量的前提下尽量低价并做好台账记录。</w:t>
      </w:r>
    </w:p>
    <w:p w14:paraId="70DC55AD">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7.服务质量标准</w:t>
      </w:r>
    </w:p>
    <w:p w14:paraId="76AF1685">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采购配送食品安全要求：农产品、副食产品等货物配送必须依托采购人食堂菜谱餐单信息，严格遵守采购人《食品安全管理规定》，做好以下几个方面工作：</w:t>
      </w:r>
    </w:p>
    <w:p w14:paraId="2165219F">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7.1蔬菜类：蔬菜必须根据季节变换实时跟进，购买新鲜应季蔬菜，严禁购买生、烂、过季的蔬菜，符合《中华人民共和国农产品质量安全法》的基本要求,不能配送带有农药、粪便等不卫生蔬菜。根茎食材应头尾粗细均匀，表皮完整，水分充足，无泥土；叶类食材叶片应肥厚、嫩滑无虫害，农药残留符合国家检验标准。</w:t>
      </w:r>
    </w:p>
    <w:p w14:paraId="2DA76088">
      <w:pPr>
        <w:widowControl/>
        <w:spacing w:line="360" w:lineRule="auto"/>
        <w:ind w:firstLine="420" w:firstLineChars="200"/>
        <w:contextualSpacing/>
        <w:rPr>
          <w:rFonts w:ascii="宋体" w:hAnsi="宋体" w:cs="宋体"/>
          <w:color w:val="000000"/>
          <w:kern w:val="0"/>
          <w:szCs w:val="21"/>
        </w:rPr>
      </w:pPr>
    </w:p>
    <w:p w14:paraId="6800582C">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7.2饮品类：饮品类必须从正规的商场、超市及专门的正规饮品厂家购买，购买符合产品的质量标准，必须在有效生产周期内。</w:t>
      </w:r>
    </w:p>
    <w:p w14:paraId="6B374970">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7.3肉类：必须从正规肉联厂购买新鲜肉食，必须有正规卫生防疫检疫部门的盖章标志，有厂家提供的卫生防疫证明，符合国际质检部门规定的上限，不能从无正规手续、黑市、肉贩子手中购买。肉品须表皮洁净、膘厚适中、色泽鲜亮、纹理清晰、肉质细腻、无异味、去骨、无毛、按压无水迹。盐酸克伦特罗和莱克多巴胺含量不得超过国家限定标准，感官质量要求 ①猪肉（含猪排骨）：有可溯源，非疫区（如猪瘟期间需要提供非洲猪瘟检测的阴性结果）；并有动物检验检疫票（票据上的数量需要大于等于采购方当天采购的数量）；不得有公、母、病等异常猪肉。外观：无奶头、无色素沉着物、不带黄汁，无甲状腺和肾上腺，无病变巴结，无淤血，碎骨、软骨≤4粒/10kg。外表及其切面微微湿润，不粘手；无臭味、无异味、无氨味及酸味儿，无注水、无寄生虫、脂肪无氧化味，有新鲜猪肉的轻微血腥气，肉质紧密，有坚实感，用手按压凹陷后能立即复原；肉汤透明，芳香，气味和滋味鲜美。猪排骨：带肉不带肥油，厚实、完整，不得剔除，骨肉不分离。汤骨：骨头洁白有光亮，附着在上面得肉和筋腱有弹性，有生肉固有得气味，无异味。可以圆管形，浅黄骨髓充满全部管状骨腔，带部分肌肉。猪肘：皮肉白净，无毛，脂肪洁白，肌肉红润，肥瘦比例适中，外表湿润，不粘手，弹性良好，气味正常，无血污，肉边整齐，无碎肉，碎骨。②鲜牛肉：肉色深红，肉质有弹性，指压凹陷部分会立即恢复，切面有光泽及微微湿润，极少渗出物；具有浓郁得牛肉气味儿，脂肪白色或者乳白色，无寄生虫，无注水。③鲜羊肉： 肉色为均匀的红色，有光泽，肉质紧密而细腻，有弹性，外表微干，不粘手，无注水。</w:t>
      </w:r>
      <w:r>
        <w:rPr>
          <w:rFonts w:hint="eastAsia" w:ascii="宋体" w:hAnsi="宋体" w:cs="宋体"/>
          <w:kern w:val="0"/>
          <w:szCs w:val="21"/>
        </w:rPr>
        <w:fldChar w:fldCharType="begin"/>
      </w:r>
      <w:r>
        <w:rPr>
          <w:rFonts w:hint="eastAsia" w:ascii="宋体" w:hAnsi="宋体" w:cs="宋体"/>
          <w:kern w:val="0"/>
          <w:szCs w:val="21"/>
        </w:rPr>
        <w:instrText xml:space="preserve"> = 4 \* GB3 \* MERGEFORMAT </w:instrText>
      </w:r>
      <w:r>
        <w:rPr>
          <w:rFonts w:hint="eastAsia" w:ascii="宋体" w:hAnsi="宋体" w:cs="宋体"/>
          <w:kern w:val="0"/>
          <w:szCs w:val="21"/>
        </w:rPr>
        <w:fldChar w:fldCharType="separate"/>
      </w:r>
      <w:r>
        <w:rPr>
          <w:rFonts w:hint="eastAsia" w:ascii="宋体" w:hAnsi="宋体" w:cs="宋体"/>
          <w:kern w:val="0"/>
          <w:szCs w:val="21"/>
        </w:rPr>
        <w:t>④</w:t>
      </w:r>
      <w:r>
        <w:rPr>
          <w:rFonts w:hint="eastAsia" w:ascii="宋体" w:hAnsi="宋体" w:cs="宋体"/>
          <w:kern w:val="0"/>
          <w:szCs w:val="21"/>
        </w:rPr>
        <w:fldChar w:fldCharType="end"/>
      </w:r>
      <w:r>
        <w:rPr>
          <w:rFonts w:hint="eastAsia" w:ascii="宋体" w:hAnsi="宋体" w:cs="宋体"/>
          <w:kern w:val="0"/>
          <w:szCs w:val="21"/>
        </w:rPr>
        <w:t>鲜鸡肉类：具有该品种具有的外形特征，大小符合要求，肌肉切而发光，外表微干或者微湿润，不粘手；指压后的凹陷立即恢复，具有鲜鸡肉正常的气味儿，无打水。</w:t>
      </w:r>
      <w:r>
        <w:rPr>
          <w:rFonts w:hint="eastAsia" w:ascii="宋体" w:hAnsi="宋体" w:cs="宋体"/>
          <w:kern w:val="0"/>
          <w:szCs w:val="21"/>
        </w:rPr>
        <w:fldChar w:fldCharType="begin"/>
      </w:r>
      <w:r>
        <w:rPr>
          <w:rFonts w:hint="eastAsia" w:ascii="宋体" w:hAnsi="宋体" w:cs="宋体"/>
          <w:kern w:val="0"/>
          <w:szCs w:val="21"/>
        </w:rPr>
        <w:instrText xml:space="preserve"> = 5 \* GB3 \* MERGEFORMAT </w:instrText>
      </w:r>
      <w:r>
        <w:rPr>
          <w:rFonts w:hint="eastAsia" w:ascii="宋体" w:hAnsi="宋体" w:cs="宋体"/>
          <w:kern w:val="0"/>
          <w:szCs w:val="21"/>
        </w:rPr>
        <w:fldChar w:fldCharType="separate"/>
      </w:r>
      <w:r>
        <w:rPr>
          <w:rFonts w:hint="eastAsia" w:ascii="宋体" w:hAnsi="宋体" w:cs="宋体"/>
          <w:kern w:val="0"/>
          <w:szCs w:val="21"/>
        </w:rPr>
        <w:t>⑤</w:t>
      </w:r>
      <w:r>
        <w:rPr>
          <w:rFonts w:hint="eastAsia" w:ascii="宋体" w:hAnsi="宋体" w:cs="宋体"/>
          <w:kern w:val="0"/>
          <w:szCs w:val="21"/>
        </w:rPr>
        <w:fldChar w:fldCharType="end"/>
      </w:r>
      <w:r>
        <w:rPr>
          <w:rFonts w:hint="eastAsia" w:ascii="宋体" w:hAnsi="宋体" w:cs="宋体"/>
          <w:kern w:val="0"/>
          <w:szCs w:val="21"/>
        </w:rPr>
        <w:t>鲜鸭肉：表皮光滑而有光泽，肉质弹性好且丰满，表皮无破损，无花皮，无显眼淤块；无注水，无血水，无异味。</w:t>
      </w:r>
      <w:r>
        <w:rPr>
          <w:rFonts w:hint="eastAsia" w:ascii="宋体" w:hAnsi="宋体" w:cs="宋体"/>
          <w:kern w:val="0"/>
          <w:szCs w:val="21"/>
        </w:rPr>
        <w:fldChar w:fldCharType="begin"/>
      </w:r>
      <w:r>
        <w:rPr>
          <w:rFonts w:hint="eastAsia" w:ascii="宋体" w:hAnsi="宋体" w:cs="宋体"/>
          <w:kern w:val="0"/>
          <w:szCs w:val="21"/>
        </w:rPr>
        <w:instrText xml:space="preserve"> = 6 \* GB3 \* MERGEFORMAT </w:instrText>
      </w:r>
      <w:r>
        <w:rPr>
          <w:rFonts w:hint="eastAsia" w:ascii="宋体" w:hAnsi="宋体" w:cs="宋体"/>
          <w:kern w:val="0"/>
          <w:szCs w:val="21"/>
        </w:rPr>
        <w:fldChar w:fldCharType="separate"/>
      </w:r>
      <w:r>
        <w:rPr>
          <w:rFonts w:hint="eastAsia" w:ascii="宋体" w:hAnsi="宋体" w:cs="宋体"/>
          <w:kern w:val="0"/>
          <w:szCs w:val="21"/>
        </w:rPr>
        <w:t>⑥</w:t>
      </w:r>
      <w:r>
        <w:rPr>
          <w:rFonts w:hint="eastAsia" w:ascii="宋体" w:hAnsi="宋体" w:cs="宋体"/>
          <w:kern w:val="0"/>
          <w:szCs w:val="21"/>
        </w:rPr>
        <w:fldChar w:fldCharType="end"/>
      </w:r>
      <w:r>
        <w:rPr>
          <w:rFonts w:hint="eastAsia" w:ascii="宋体" w:hAnsi="宋体" w:cs="宋体"/>
          <w:kern w:val="0"/>
          <w:szCs w:val="21"/>
        </w:rPr>
        <w:t>鹅肉：眼球平坦或稍有凹陷；皮肤有光泽，呈淡黄色、乳白色、淡红色，肌肉切面有光泽；皮肤湿润不黏手，肌肉有弹性，指压后凹陷不明显；有鹅固有的气味。</w:t>
      </w:r>
      <w:r>
        <w:rPr>
          <w:rFonts w:hint="eastAsia" w:ascii="宋体" w:hAnsi="宋体" w:cs="宋体"/>
          <w:kern w:val="0"/>
          <w:szCs w:val="21"/>
        </w:rPr>
        <w:fldChar w:fldCharType="begin"/>
      </w:r>
      <w:r>
        <w:rPr>
          <w:rFonts w:hint="eastAsia" w:ascii="宋体" w:hAnsi="宋体" w:cs="宋体"/>
          <w:kern w:val="0"/>
          <w:szCs w:val="21"/>
        </w:rPr>
        <w:instrText xml:space="preserve"> = 7 \* GB3 \* MERGEFORMAT </w:instrText>
      </w:r>
      <w:r>
        <w:rPr>
          <w:rFonts w:hint="eastAsia" w:ascii="宋体" w:hAnsi="宋体" w:cs="宋体"/>
          <w:kern w:val="0"/>
          <w:szCs w:val="21"/>
        </w:rPr>
        <w:fldChar w:fldCharType="separate"/>
      </w:r>
      <w:r>
        <w:rPr>
          <w:rFonts w:hint="eastAsia" w:ascii="宋体" w:hAnsi="宋体" w:cs="宋体"/>
          <w:kern w:val="0"/>
          <w:szCs w:val="21"/>
        </w:rPr>
        <w:t>⑦</w:t>
      </w:r>
      <w:r>
        <w:rPr>
          <w:rFonts w:hint="eastAsia" w:ascii="宋体" w:hAnsi="宋体" w:cs="宋体"/>
          <w:kern w:val="0"/>
          <w:szCs w:val="21"/>
        </w:rPr>
        <w:fldChar w:fldCharType="end"/>
      </w:r>
      <w:r>
        <w:rPr>
          <w:rFonts w:hint="eastAsia" w:ascii="宋体" w:hAnsi="宋体" w:cs="宋体"/>
          <w:kern w:val="0"/>
          <w:szCs w:val="21"/>
        </w:rPr>
        <w:t>驴肉：色泽须呈红褐色,脂肪颜色淡黄,富有光泽,肌肉组织应结实富有弹性。外表微干，不粘手，无注水。</w:t>
      </w:r>
      <w:r>
        <w:rPr>
          <w:rFonts w:hint="eastAsia" w:ascii="宋体" w:hAnsi="宋体" w:cs="宋体"/>
          <w:kern w:val="0"/>
          <w:szCs w:val="21"/>
        </w:rPr>
        <w:fldChar w:fldCharType="begin"/>
      </w:r>
      <w:r>
        <w:rPr>
          <w:rFonts w:hint="eastAsia" w:ascii="宋体" w:hAnsi="宋体" w:cs="宋体"/>
          <w:kern w:val="0"/>
          <w:szCs w:val="21"/>
        </w:rPr>
        <w:instrText xml:space="preserve"> = 8 \* GB3 \* MERGEFORMAT </w:instrText>
      </w:r>
      <w:r>
        <w:rPr>
          <w:rFonts w:hint="eastAsia" w:ascii="宋体" w:hAnsi="宋体" w:cs="宋体"/>
          <w:kern w:val="0"/>
          <w:szCs w:val="21"/>
        </w:rPr>
        <w:fldChar w:fldCharType="separate"/>
      </w:r>
      <w:r>
        <w:rPr>
          <w:rFonts w:hint="eastAsia" w:ascii="宋体" w:hAnsi="宋体" w:cs="宋体"/>
          <w:kern w:val="0"/>
          <w:szCs w:val="21"/>
        </w:rPr>
        <w:t>⑧</w:t>
      </w:r>
      <w:r>
        <w:rPr>
          <w:rFonts w:hint="eastAsia" w:ascii="宋体" w:hAnsi="宋体" w:cs="宋体"/>
          <w:kern w:val="0"/>
          <w:szCs w:val="21"/>
        </w:rPr>
        <w:fldChar w:fldCharType="end"/>
      </w:r>
      <w:r>
        <w:rPr>
          <w:rFonts w:hint="eastAsia" w:ascii="宋体" w:hAnsi="宋体" w:cs="宋体"/>
          <w:kern w:val="0"/>
          <w:szCs w:val="21"/>
        </w:rPr>
        <w:t>兔肉：具有该品种的外形特征，大小符合要求，切而发光，外表微干或者微湿润，不粘手；指压后的凹陷立即恢复，具有鲜兔肉正常的气味儿，无打水。</w:t>
      </w:r>
    </w:p>
    <w:p w14:paraId="3BC2DF85">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7.4冷冻食品类：具有动物检验检疫合格证明、“QS”或“SC”食品质量认证标志。品质良好、包装完好、无异味、无病毒，有生产日期和保质期，且在保质期内，来自非疫区。冷藏或冷冻储存，保质期12个月。外观检查无异味无酸败味。内衬食品袋包装，冷藏车或冷冻车运输交付。感官质量要求①鸡类：去皮称重。②鸭类：去皮称重。③冷冻鸡（解冻后）： 眼球饱满或平坦；皮肤有光泽，呈淡黄、淡红、灰白色等，肌肉切面有光泽；指压后凹陷恢复的慢，且不能完全恢复；鸡肉的正常气味。</w:t>
      </w:r>
      <w:r>
        <w:rPr>
          <w:rFonts w:hint="eastAsia" w:ascii="宋体" w:hAnsi="宋体" w:cs="宋体"/>
          <w:kern w:val="0"/>
          <w:szCs w:val="21"/>
        </w:rPr>
        <w:fldChar w:fldCharType="begin"/>
      </w:r>
      <w:r>
        <w:rPr>
          <w:rFonts w:hint="eastAsia" w:ascii="宋体" w:hAnsi="宋体" w:cs="宋体"/>
          <w:kern w:val="0"/>
          <w:szCs w:val="21"/>
        </w:rPr>
        <w:instrText xml:space="preserve"> = 4 \* GB3 \* MERGEFORMAT </w:instrText>
      </w:r>
      <w:r>
        <w:rPr>
          <w:rFonts w:hint="eastAsia" w:ascii="宋体" w:hAnsi="宋体" w:cs="宋体"/>
          <w:kern w:val="0"/>
          <w:szCs w:val="21"/>
        </w:rPr>
        <w:fldChar w:fldCharType="separate"/>
      </w:r>
      <w:r>
        <w:rPr>
          <w:rFonts w:hint="eastAsia" w:ascii="宋体" w:hAnsi="宋体" w:cs="宋体"/>
          <w:kern w:val="0"/>
          <w:szCs w:val="21"/>
        </w:rPr>
        <w:t>④</w:t>
      </w:r>
      <w:r>
        <w:rPr>
          <w:rFonts w:hint="eastAsia" w:ascii="宋体" w:hAnsi="宋体" w:cs="宋体"/>
          <w:kern w:val="0"/>
          <w:szCs w:val="21"/>
        </w:rPr>
        <w:fldChar w:fldCharType="end"/>
      </w:r>
      <w:r>
        <w:rPr>
          <w:rFonts w:hint="eastAsia" w:ascii="宋体" w:hAnsi="宋体" w:cs="宋体"/>
          <w:kern w:val="0"/>
          <w:szCs w:val="21"/>
        </w:rPr>
        <w:t>冷冻鸭、鹅（解冻后）： 眼球平坦或稍有凹陷；皮肤有光泽，呈淡黄色、乳白色、淡红色，肌肉切面有光泽；皮肤湿润不黏手，肌肉有弹性，指压后凹陷不明显；有鸭、鹅固有的气味。</w:t>
      </w:r>
      <w:r>
        <w:rPr>
          <w:rFonts w:hint="eastAsia" w:ascii="宋体" w:hAnsi="宋体" w:cs="宋体"/>
          <w:kern w:val="0"/>
          <w:szCs w:val="21"/>
        </w:rPr>
        <w:fldChar w:fldCharType="begin"/>
      </w:r>
      <w:r>
        <w:rPr>
          <w:rFonts w:hint="eastAsia" w:ascii="宋体" w:hAnsi="宋体" w:cs="宋体"/>
          <w:kern w:val="0"/>
          <w:szCs w:val="21"/>
        </w:rPr>
        <w:instrText xml:space="preserve"> = 5 \* GB3 \* MERGEFORMAT </w:instrText>
      </w:r>
      <w:r>
        <w:rPr>
          <w:rFonts w:hint="eastAsia" w:ascii="宋体" w:hAnsi="宋体" w:cs="宋体"/>
          <w:kern w:val="0"/>
          <w:szCs w:val="21"/>
        </w:rPr>
        <w:fldChar w:fldCharType="separate"/>
      </w:r>
      <w:r>
        <w:rPr>
          <w:rFonts w:hint="eastAsia" w:ascii="宋体" w:hAnsi="宋体" w:cs="宋体"/>
          <w:kern w:val="0"/>
          <w:szCs w:val="21"/>
        </w:rPr>
        <w:t>⑤</w:t>
      </w:r>
      <w:r>
        <w:rPr>
          <w:rFonts w:hint="eastAsia" w:ascii="宋体" w:hAnsi="宋体" w:cs="宋体"/>
          <w:kern w:val="0"/>
          <w:szCs w:val="21"/>
        </w:rPr>
        <w:fldChar w:fldCharType="end"/>
      </w:r>
      <w:r>
        <w:rPr>
          <w:rFonts w:hint="eastAsia" w:ascii="宋体" w:hAnsi="宋体" w:cs="宋体"/>
          <w:kern w:val="0"/>
          <w:szCs w:val="21"/>
        </w:rPr>
        <w:t>鸡腿：皮颜色淡黄，肉颜色鲜红，有光泽，皮光洁紧缩，肉与皮结合紧密，弹性好，无异味。</w:t>
      </w:r>
      <w:r>
        <w:rPr>
          <w:rFonts w:hint="eastAsia" w:ascii="宋体" w:hAnsi="宋体" w:cs="宋体"/>
          <w:kern w:val="0"/>
          <w:szCs w:val="21"/>
        </w:rPr>
        <w:fldChar w:fldCharType="begin"/>
      </w:r>
      <w:r>
        <w:rPr>
          <w:rFonts w:hint="eastAsia" w:ascii="宋体" w:hAnsi="宋体" w:cs="宋体"/>
          <w:kern w:val="0"/>
          <w:szCs w:val="21"/>
        </w:rPr>
        <w:instrText xml:space="preserve"> = 6 \* GB3 \* MERGEFORMAT </w:instrText>
      </w:r>
      <w:r>
        <w:rPr>
          <w:rFonts w:hint="eastAsia" w:ascii="宋体" w:hAnsi="宋体" w:cs="宋体"/>
          <w:kern w:val="0"/>
          <w:szCs w:val="21"/>
        </w:rPr>
        <w:fldChar w:fldCharType="separate"/>
      </w:r>
      <w:r>
        <w:rPr>
          <w:rFonts w:hint="eastAsia" w:ascii="宋体" w:hAnsi="宋体" w:cs="宋体"/>
          <w:kern w:val="0"/>
          <w:szCs w:val="21"/>
        </w:rPr>
        <w:t>⑥</w:t>
      </w:r>
      <w:r>
        <w:rPr>
          <w:rFonts w:hint="eastAsia" w:ascii="宋体" w:hAnsi="宋体" w:cs="宋体"/>
          <w:kern w:val="0"/>
          <w:szCs w:val="21"/>
        </w:rPr>
        <w:fldChar w:fldCharType="end"/>
      </w:r>
      <w:r>
        <w:rPr>
          <w:rFonts w:hint="eastAsia" w:ascii="宋体" w:hAnsi="宋体" w:cs="宋体"/>
          <w:kern w:val="0"/>
          <w:szCs w:val="21"/>
        </w:rPr>
        <w:t>鸡翅： 颜色淡黄有光泽，皮光洁紧缩，肉与皮结合紧密，无异味。</w:t>
      </w:r>
      <w:r>
        <w:rPr>
          <w:rFonts w:hint="eastAsia" w:ascii="宋体" w:hAnsi="宋体" w:cs="宋体"/>
          <w:kern w:val="0"/>
          <w:szCs w:val="21"/>
        </w:rPr>
        <w:fldChar w:fldCharType="begin"/>
      </w:r>
      <w:r>
        <w:rPr>
          <w:rFonts w:hint="eastAsia" w:ascii="宋体" w:hAnsi="宋体" w:cs="宋体"/>
          <w:kern w:val="0"/>
          <w:szCs w:val="21"/>
        </w:rPr>
        <w:instrText xml:space="preserve"> = 7 \* GB3 \* MERGEFORMAT </w:instrText>
      </w:r>
      <w:r>
        <w:rPr>
          <w:rFonts w:hint="eastAsia" w:ascii="宋体" w:hAnsi="宋体" w:cs="宋体"/>
          <w:kern w:val="0"/>
          <w:szCs w:val="21"/>
        </w:rPr>
        <w:fldChar w:fldCharType="separate"/>
      </w:r>
      <w:r>
        <w:rPr>
          <w:rFonts w:hint="eastAsia" w:ascii="宋体" w:hAnsi="宋体" w:cs="宋体"/>
          <w:kern w:val="0"/>
          <w:szCs w:val="21"/>
        </w:rPr>
        <w:t>⑦</w:t>
      </w:r>
      <w:r>
        <w:rPr>
          <w:rFonts w:hint="eastAsia" w:ascii="宋体" w:hAnsi="宋体" w:cs="宋体"/>
          <w:kern w:val="0"/>
          <w:szCs w:val="21"/>
        </w:rPr>
        <w:fldChar w:fldCharType="end"/>
      </w:r>
      <w:r>
        <w:rPr>
          <w:rFonts w:hint="eastAsia" w:ascii="宋体" w:hAnsi="宋体" w:cs="宋体"/>
          <w:kern w:val="0"/>
          <w:szCs w:val="21"/>
        </w:rPr>
        <w:t>禽心： 颜色紫褐色，形状完整、紧密结实，弹性好。</w:t>
      </w:r>
      <w:r>
        <w:rPr>
          <w:rFonts w:hint="eastAsia" w:ascii="宋体" w:hAnsi="宋体" w:cs="宋体"/>
          <w:kern w:val="0"/>
          <w:szCs w:val="21"/>
        </w:rPr>
        <w:fldChar w:fldCharType="begin"/>
      </w:r>
      <w:r>
        <w:rPr>
          <w:rFonts w:hint="eastAsia" w:ascii="宋体" w:hAnsi="宋体" w:cs="宋体"/>
          <w:kern w:val="0"/>
          <w:szCs w:val="21"/>
        </w:rPr>
        <w:instrText xml:space="preserve"> = 8 \* GB3 \* MERGEFORMAT </w:instrText>
      </w:r>
      <w:r>
        <w:rPr>
          <w:rFonts w:hint="eastAsia" w:ascii="宋体" w:hAnsi="宋体" w:cs="宋体"/>
          <w:kern w:val="0"/>
          <w:szCs w:val="21"/>
        </w:rPr>
        <w:fldChar w:fldCharType="separate"/>
      </w:r>
      <w:r>
        <w:rPr>
          <w:rFonts w:hint="eastAsia" w:ascii="宋体" w:hAnsi="宋体" w:cs="宋体"/>
          <w:kern w:val="0"/>
          <w:szCs w:val="21"/>
        </w:rPr>
        <w:t>⑧</w:t>
      </w:r>
      <w:r>
        <w:rPr>
          <w:rFonts w:hint="eastAsia" w:ascii="宋体" w:hAnsi="宋体" w:cs="宋体"/>
          <w:kern w:val="0"/>
          <w:szCs w:val="21"/>
        </w:rPr>
        <w:fldChar w:fldCharType="end"/>
      </w:r>
      <w:r>
        <w:rPr>
          <w:rFonts w:hint="eastAsia" w:ascii="宋体" w:hAnsi="宋体" w:cs="宋体"/>
          <w:kern w:val="0"/>
          <w:szCs w:val="21"/>
        </w:rPr>
        <w:t>白条鸡/乌鸡： 眼睛明亮饱满，形态完整，表皮颜色因品种不同而呈乳白、淡黄、粉红色或乌黑色，有光泽且皮肉结合紧密，肉质弹性好，按之可以立即恢复，表面干湿度合适、不黏手，无异味。</w:t>
      </w:r>
      <w:r>
        <w:rPr>
          <w:rFonts w:hint="eastAsia" w:ascii="宋体" w:hAnsi="宋体" w:cs="宋体"/>
          <w:kern w:val="0"/>
          <w:szCs w:val="21"/>
        </w:rPr>
        <w:fldChar w:fldCharType="begin"/>
      </w:r>
      <w:r>
        <w:rPr>
          <w:rFonts w:hint="eastAsia" w:ascii="宋体" w:hAnsi="宋体" w:cs="宋体"/>
          <w:kern w:val="0"/>
          <w:szCs w:val="21"/>
        </w:rPr>
        <w:instrText xml:space="preserve"> = 9 \* GB3 \* MERGEFORMAT </w:instrText>
      </w:r>
      <w:r>
        <w:rPr>
          <w:rFonts w:hint="eastAsia" w:ascii="宋体" w:hAnsi="宋体" w:cs="宋体"/>
          <w:kern w:val="0"/>
          <w:szCs w:val="21"/>
        </w:rPr>
        <w:fldChar w:fldCharType="separate"/>
      </w:r>
      <w:r>
        <w:rPr>
          <w:rFonts w:hint="eastAsia" w:ascii="宋体" w:hAnsi="宋体" w:cs="宋体"/>
          <w:kern w:val="0"/>
          <w:szCs w:val="21"/>
        </w:rPr>
        <w:t>⑨</w:t>
      </w:r>
      <w:r>
        <w:rPr>
          <w:rFonts w:hint="eastAsia" w:ascii="宋体" w:hAnsi="宋体" w:cs="宋体"/>
          <w:kern w:val="0"/>
          <w:szCs w:val="21"/>
        </w:rPr>
        <w:fldChar w:fldCharType="end"/>
      </w:r>
      <w:r>
        <w:rPr>
          <w:rFonts w:hint="eastAsia" w:ascii="宋体" w:hAnsi="宋体" w:cs="宋体"/>
          <w:kern w:val="0"/>
          <w:szCs w:val="21"/>
        </w:rPr>
        <w:t>白条鸭： 眼睛明亮饱满，形态完整，表皮颜色因品种不同而呈乳白、淡黄色，有光泽且皮肉结合紧密，毛少，肉质弹性好，按之可立即恢复，表面干湿度合适，不黏手，无异味。冷冻水产类食品解冻后净重量不少于85%，（解冻方式：20℃室温解冻4小时以内）。冷冻水产品必须有包装，并清晰列出的产地、品牌、规格、类型、包装方式、包装净重、含冰量、上市期等相关参数。</w:t>
      </w:r>
    </w:p>
    <w:p w14:paraId="49D47190">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7.5干货类：无酸变、无腐烂、质优、无污染、无变质，符合食品安全要求的产品。必须具有食品质量安全认证。生产企业具有生产许可证（包括企业食品生产许可证、小作坊食品生产许可证和小作坊中心食品生产许可证），符合GB/T22106-2008、GB2712-2014标准国家标准，能提供生产商的产品执行标准。</w:t>
      </w:r>
    </w:p>
    <w:p w14:paraId="21CC0BE0">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7.6豆制品：原材料不得使用转基因大豆等非法原材料，产品质量符合国家质量检疫部门的标准。</w:t>
      </w:r>
    </w:p>
    <w:p w14:paraId="19BA211B">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7.7水产品类：鱼眼睛明亮、鱼身结实而富弹性；虾身硬挺、光滑、明亮而饱满、虾身完整，无腐臭味，必须保鲜、保质，足斤足量。对于要求提供鲜活海鲜、水产品的订单，须保证验收时是鲜活、无残缺的。如采购人有加工需求，投标人应按照采购人的使用标准给予免费加工。冰鲜水产品，要确保当日上市的新鲜水产，理化检验Ph值应保持在6.5至6.8之间。</w:t>
      </w:r>
    </w:p>
    <w:p w14:paraId="12C633F7">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7.8禽蛋类：必须有正规卫生防疫检疫部门的盖章标志，有厂家提供的卫生防疫证明，符合国际质检部门规定的上限，不能从无正规手续、黑市、肉贩子手中购买。</w:t>
      </w:r>
    </w:p>
    <w:p w14:paraId="2845C80F">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7.9其他类：</w:t>
      </w:r>
    </w:p>
    <w:p w14:paraId="256A4A8B">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7.9.1粮油类：粮油类食品必须符合卫生标准，必须从正规厂家或商家购买，必须有厂址、生产日期、批号、配料表、产品标准号、净含量、食品名称， 符合食品卫生检疫标准，必须在有效生产周期内，必须为非转基因油。</w:t>
      </w:r>
    </w:p>
    <w:p w14:paraId="1E7CF0FC">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7.9.2调料类：食品调料必须从正规的商场、超市以及调料专业机构购买，必须是合格产品，且质优、无污染、无变质、保持应有的色泽，硫等物质含量不得超过国家有关规定；包装无污染、无泄漏，无胀袋、鼓盖现象，无变质发霉现象，必须有食品质量认证标志。</w:t>
      </w:r>
    </w:p>
    <w:p w14:paraId="11978CB7">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8.人员配备</w:t>
      </w:r>
    </w:p>
    <w:p w14:paraId="4A9AF9B3">
      <w:pPr>
        <w:widowControl/>
        <w:spacing w:line="360" w:lineRule="auto"/>
        <w:ind w:firstLine="420" w:firstLineChars="200"/>
        <w:contextualSpacing/>
        <w:rPr>
          <w:rFonts w:ascii="宋体" w:hAnsi="宋体" w:cs="宋体"/>
          <w:color w:val="C00000"/>
          <w:kern w:val="0"/>
          <w:szCs w:val="21"/>
        </w:rPr>
      </w:pPr>
      <w:r>
        <w:rPr>
          <w:rFonts w:hint="eastAsia" w:ascii="宋体" w:hAnsi="宋体" w:cs="宋体"/>
          <w:kern w:val="0"/>
          <w:szCs w:val="21"/>
        </w:rPr>
        <w:t>要求人员持有有效的从业人员健康证，做到持证上岗。同时，做到配送人员和机动车辆固定。配送人员固定在  2 人以上  5 人以下（合同中需明确具体人员名单）（合同中需明确具体人员名单）。</w:t>
      </w:r>
    </w:p>
    <w:p w14:paraId="062D7358">
      <w:pPr>
        <w:snapToGrid w:val="0"/>
        <w:spacing w:line="360" w:lineRule="auto"/>
        <w:ind w:firstLine="422" w:firstLineChars="200"/>
        <w:rPr>
          <w:rFonts w:ascii="宋体" w:hAnsi="宋体" w:cs="宋体"/>
          <w:b/>
          <w:bCs/>
          <w:szCs w:val="21"/>
        </w:rPr>
      </w:pPr>
    </w:p>
    <w:p w14:paraId="4A3D07D3">
      <w:pPr>
        <w:snapToGrid w:val="0"/>
        <w:spacing w:line="360" w:lineRule="auto"/>
        <w:ind w:firstLine="422" w:firstLineChars="200"/>
        <w:rPr>
          <w:rFonts w:ascii="宋体" w:hAnsi="宋体" w:cs="宋体"/>
          <w:b/>
          <w:bCs/>
          <w:szCs w:val="21"/>
        </w:rPr>
      </w:pPr>
      <w:r>
        <w:rPr>
          <w:rFonts w:hint="eastAsia" w:ascii="宋体" w:hAnsi="宋体" w:cs="宋体"/>
          <w:b/>
          <w:bCs/>
          <w:szCs w:val="21"/>
        </w:rPr>
        <w:t>四、商务要求</w:t>
      </w:r>
    </w:p>
    <w:p w14:paraId="5CD5F43A">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1.“基准价”确认原则及报价方式：</w:t>
      </w:r>
    </w:p>
    <w:p w14:paraId="59D7724A">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投标人根据嘉兴市发展和改革委员会网站中公布的《嘉兴市主要商品和服务价格监测报表》中各产品三个菜场的平均价为基准价（查询路径：网页https://fzggw.jiaxing.gov.cn/→发改专题→成本建设与价格管理→价格监测→《嘉兴市主要商品和服务价格监测报表》→一、市区部分农贸市场食品零售价格监测表），原则上每月公布一次，投标人根据嘉兴市发展和改革委员网站中公布的价格按投标百分率进行报价（如：投标报价为90%，嘉兴市发展和改革委员会网站中7月公布的东北米（长粒香）单价平均价=（2.8+3.5+3）=3.1元/500克，则东北米（长粒香）结算单价=3.1*90%=2.79元/500克）；若嘉兴市发展和改革委员会网站上未公布的产品则根据大润发优鲜app中对应产品当日单价作为基准价（有促销价的，若中标百分率乘以原价高于该产品促销价的则按促销价结算）（如：投标报价为90%，大润发优鲜app中公布的东北米（清香稻长粒香米）单价86.9元/10000克，则东北米（清香稻长粒香米）结算单价=86.9*90%=86元/10000克，若东北米（清香稻长粒香米）结算当日促销价低于86元/10000克的则按促销价结算）；若嘉兴市发展和改革委员会网站、大润发优鲜app中均未公布的产品则中标人根据就近农贸市场的价格作为基准价，价格需经采购人确认后方可采用。（如：投标报价为90%，农贸市场的东北米（清香稻长粒香米）单价86.9元/10000克，则东北米（清香稻长粒香米）结算单价=86.9*90%=86元/10000克）</w:t>
      </w:r>
    </w:p>
    <w:p w14:paraId="0527B8EF">
      <w:pPr>
        <w:widowControl/>
        <w:spacing w:line="360" w:lineRule="auto"/>
        <w:ind w:firstLine="420" w:firstLineChars="200"/>
        <w:contextualSpacing/>
        <w:rPr>
          <w:rFonts w:hint="eastAsia" w:ascii="宋体" w:hAnsi="宋体" w:cs="宋体"/>
          <w:kern w:val="0"/>
          <w:szCs w:val="21"/>
        </w:rPr>
      </w:pPr>
    </w:p>
    <w:p w14:paraId="616F16DB">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2.结算方式：按每周对公结算一次，采购人食堂管理人员每天依据结算价统计食堂大宗物品的配送金额上报财务结算，每周由采购人食堂管理人员统计上周的发生额与中标人相关人员确认，双方核对无误，中标人开具发票。采购人在收到发票后，按照10个工作日结算期限将货款转至中标人账户（如遇节假日顺延），因中标人延迟提供发票导致采购人逾期付款的，采购人不因此承担违约责任。以嘉兴市发展和改革委员会网站中发布的为基准，原则上每月公布一次，结算时按已公布的最近一个月的单价作为结算依据，若结算当日有最新更新的则按最新单价结算；以大润发优鲜app为基准的则根据app上每日对应产品单价结算。</w:t>
      </w:r>
      <w:r>
        <w:rPr>
          <w:rFonts w:hint="eastAsia" w:ascii="宋体" w:hAnsi="宋体" w:cs="宋体"/>
          <w:kern w:val="0"/>
          <w:szCs w:val="21"/>
          <w:highlight w:val="green"/>
          <w:lang w:val="en-US" w:eastAsia="zh-CN"/>
        </w:rPr>
        <w:t>结算价计算方式：</w:t>
      </w:r>
      <w:r>
        <w:rPr>
          <w:rFonts w:hint="eastAsia"/>
          <w:highlight w:val="green"/>
          <w:lang w:val="en-US" w:eastAsia="zh-CN"/>
        </w:rPr>
        <w:t>基准价*投标报价百分率</w:t>
      </w:r>
    </w:p>
    <w:p w14:paraId="593C5856">
      <w:pPr>
        <w:widowControl/>
        <w:spacing w:line="360" w:lineRule="auto"/>
        <w:ind w:firstLine="482" w:firstLineChars="200"/>
        <w:contextualSpacing/>
        <w:rPr>
          <w:rFonts w:eastAsia="仿宋_GB2312"/>
          <w:b/>
          <w:color w:val="000000"/>
          <w:kern w:val="0"/>
          <w:sz w:val="24"/>
        </w:rPr>
      </w:pPr>
      <w:r>
        <w:rPr>
          <w:rFonts w:hint="eastAsia" w:eastAsia="仿宋_GB2312"/>
          <w:b/>
          <w:color w:val="000000"/>
          <w:kern w:val="0"/>
          <w:sz w:val="24"/>
        </w:rPr>
        <w:t>五、其他要求</w:t>
      </w:r>
    </w:p>
    <w:p w14:paraId="24DAAB0F">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1.在项目实施的阶段，中标人需确保现场有足够、合适的人员做好物品采购、整理、配送、索证索票等工作。</w:t>
      </w:r>
    </w:p>
    <w:p w14:paraId="11B31852">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2.中标人应提供一定量的培训，确保配送过程中采购方验收交接过程中的食品安全。</w:t>
      </w:r>
    </w:p>
    <w:p w14:paraId="40D9F19F">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3.采购配送单位的考核：</w:t>
      </w:r>
    </w:p>
    <w:p w14:paraId="3CA95CCD">
      <w:pPr>
        <w:widowControl/>
        <w:spacing w:line="360" w:lineRule="auto"/>
        <w:ind w:firstLine="420" w:firstLineChars="200"/>
        <w:contextualSpacing/>
        <w:rPr>
          <w:rFonts w:hint="eastAsia" w:ascii="宋体" w:hAnsi="宋体" w:cs="宋体"/>
          <w:kern w:val="0"/>
          <w:szCs w:val="21"/>
        </w:rPr>
      </w:pPr>
      <w:r>
        <w:rPr>
          <w:rFonts w:hint="eastAsia" w:ascii="宋体" w:hAnsi="宋体" w:cs="宋体"/>
          <w:kern w:val="0"/>
          <w:szCs w:val="21"/>
        </w:rPr>
        <w:t>配送任务完成后，采购人三个站点每周分别对中标人配送服务实行一次考核评分。本动态考核细则为暂定内容,采购人有权根据配送具体情况修改及添加考核条款。</w:t>
      </w:r>
    </w:p>
    <w:p w14:paraId="79555345">
      <w:pPr>
        <w:pStyle w:val="6"/>
        <w:tabs>
          <w:tab w:val="left" w:pos="1260"/>
          <w:tab w:val="left" w:pos="1575"/>
        </w:tabs>
      </w:pPr>
    </w:p>
    <w:p w14:paraId="202D383E"/>
    <w:p w14:paraId="7EFD04F2">
      <w:pPr>
        <w:snapToGrid w:val="0"/>
        <w:spacing w:line="460" w:lineRule="exact"/>
        <w:jc w:val="center"/>
        <w:rPr>
          <w:rFonts w:eastAsia="新宋体"/>
          <w:b/>
          <w:sz w:val="22"/>
          <w:szCs w:val="22"/>
        </w:rPr>
      </w:pPr>
      <w:r>
        <w:rPr>
          <w:rFonts w:eastAsia="新宋体"/>
          <w:b/>
          <w:sz w:val="22"/>
          <w:szCs w:val="22"/>
        </w:rPr>
        <w:t>食材供应商评价表</w:t>
      </w:r>
    </w:p>
    <w:p w14:paraId="63CB14C5">
      <w:pPr>
        <w:snapToGrid w:val="0"/>
        <w:spacing w:line="460" w:lineRule="exact"/>
        <w:jc w:val="left"/>
        <w:rPr>
          <w:rFonts w:hint="eastAsia" w:ascii="宋体" w:hAnsi="宋体" w:eastAsia="宋体" w:cs="宋体"/>
          <w:sz w:val="21"/>
          <w:szCs w:val="21"/>
        </w:rPr>
      </w:pPr>
      <w:r>
        <w:rPr>
          <w:rFonts w:hint="eastAsia" w:ascii="宋体" w:hAnsi="宋体" w:eastAsia="宋体" w:cs="宋体"/>
          <w:sz w:val="21"/>
          <w:szCs w:val="21"/>
        </w:rPr>
        <w:t>供应商名称：                                                        月度：</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7"/>
        <w:gridCol w:w="6371"/>
        <w:gridCol w:w="881"/>
      </w:tblGrid>
      <w:tr w14:paraId="2B90F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44" w:type="pct"/>
            <w:tcBorders>
              <w:top w:val="single" w:color="auto" w:sz="4" w:space="0"/>
              <w:left w:val="single" w:color="auto" w:sz="4" w:space="0"/>
              <w:bottom w:val="single" w:color="auto" w:sz="4" w:space="0"/>
              <w:right w:val="single" w:color="auto" w:sz="4" w:space="0"/>
            </w:tcBorders>
            <w:vAlign w:val="center"/>
          </w:tcPr>
          <w:p w14:paraId="6E456140">
            <w:pPr>
              <w:snapToGrid w:val="0"/>
              <w:spacing w:line="460" w:lineRule="exact"/>
              <w:jc w:val="center"/>
              <w:rPr>
                <w:rFonts w:hint="eastAsia" w:ascii="宋体" w:hAnsi="宋体" w:eastAsia="宋体" w:cs="宋体"/>
                <w:sz w:val="21"/>
                <w:szCs w:val="21"/>
              </w:rPr>
            </w:pPr>
            <w:r>
              <w:rPr>
                <w:rFonts w:hint="eastAsia" w:ascii="宋体" w:hAnsi="宋体" w:eastAsia="宋体" w:cs="宋体"/>
                <w:sz w:val="21"/>
                <w:szCs w:val="21"/>
              </w:rPr>
              <w:t>评价指标</w:t>
            </w:r>
          </w:p>
        </w:tc>
        <w:tc>
          <w:tcPr>
            <w:tcW w:w="3738" w:type="pct"/>
            <w:tcBorders>
              <w:top w:val="single" w:color="auto" w:sz="4" w:space="0"/>
              <w:left w:val="single" w:color="auto" w:sz="4" w:space="0"/>
              <w:bottom w:val="single" w:color="auto" w:sz="4" w:space="0"/>
              <w:right w:val="single" w:color="auto" w:sz="4" w:space="0"/>
            </w:tcBorders>
            <w:vAlign w:val="center"/>
          </w:tcPr>
          <w:p w14:paraId="0E036E67">
            <w:pPr>
              <w:snapToGrid w:val="0"/>
              <w:spacing w:line="460" w:lineRule="exact"/>
              <w:jc w:val="center"/>
              <w:rPr>
                <w:rFonts w:hint="eastAsia" w:ascii="宋体" w:hAnsi="宋体" w:eastAsia="宋体" w:cs="宋体"/>
                <w:sz w:val="21"/>
                <w:szCs w:val="21"/>
              </w:rPr>
            </w:pPr>
            <w:r>
              <w:rPr>
                <w:rFonts w:hint="eastAsia" w:ascii="宋体" w:hAnsi="宋体" w:eastAsia="宋体" w:cs="宋体"/>
                <w:sz w:val="21"/>
                <w:szCs w:val="21"/>
              </w:rPr>
              <w:t>评价细则</w:t>
            </w:r>
          </w:p>
        </w:tc>
        <w:tc>
          <w:tcPr>
            <w:tcW w:w="516" w:type="pct"/>
            <w:tcBorders>
              <w:top w:val="single" w:color="auto" w:sz="4" w:space="0"/>
              <w:left w:val="single" w:color="auto" w:sz="4" w:space="0"/>
              <w:bottom w:val="single" w:color="auto" w:sz="4" w:space="0"/>
              <w:right w:val="single" w:color="auto" w:sz="4" w:space="0"/>
            </w:tcBorders>
            <w:vAlign w:val="center"/>
          </w:tcPr>
          <w:p w14:paraId="45AA3553">
            <w:pPr>
              <w:snapToGrid w:val="0"/>
              <w:spacing w:line="460" w:lineRule="exact"/>
              <w:jc w:val="center"/>
              <w:rPr>
                <w:rFonts w:hint="eastAsia" w:ascii="宋体" w:hAnsi="宋体" w:eastAsia="宋体" w:cs="宋体"/>
                <w:sz w:val="21"/>
                <w:szCs w:val="21"/>
              </w:rPr>
            </w:pPr>
            <w:r>
              <w:rPr>
                <w:rFonts w:hint="eastAsia" w:ascii="宋体" w:hAnsi="宋体" w:eastAsia="宋体" w:cs="宋体"/>
                <w:sz w:val="21"/>
                <w:szCs w:val="21"/>
              </w:rPr>
              <w:t>扣分</w:t>
            </w:r>
          </w:p>
        </w:tc>
      </w:tr>
      <w:tr w14:paraId="1F124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44" w:type="pct"/>
            <w:vMerge w:val="restart"/>
            <w:tcBorders>
              <w:top w:val="single" w:color="auto" w:sz="4" w:space="0"/>
              <w:left w:val="single" w:color="auto" w:sz="4" w:space="0"/>
              <w:right w:val="single" w:color="auto" w:sz="4" w:space="0"/>
            </w:tcBorders>
            <w:vAlign w:val="center"/>
          </w:tcPr>
          <w:p w14:paraId="7D8FDAF6">
            <w:pPr>
              <w:snapToGrid w:val="0"/>
              <w:spacing w:line="460" w:lineRule="exact"/>
              <w:jc w:val="center"/>
              <w:rPr>
                <w:rFonts w:hint="eastAsia" w:ascii="宋体" w:hAnsi="宋体" w:eastAsia="宋体" w:cs="宋体"/>
                <w:sz w:val="21"/>
                <w:szCs w:val="21"/>
              </w:rPr>
            </w:pPr>
            <w:r>
              <w:rPr>
                <w:rFonts w:hint="eastAsia" w:ascii="宋体" w:hAnsi="宋体" w:eastAsia="宋体" w:cs="宋体"/>
                <w:sz w:val="21"/>
                <w:szCs w:val="21"/>
              </w:rPr>
              <w:t>流程管理（30分）</w:t>
            </w:r>
          </w:p>
        </w:tc>
        <w:tc>
          <w:tcPr>
            <w:tcW w:w="3738" w:type="pct"/>
            <w:tcBorders>
              <w:top w:val="single" w:color="auto" w:sz="4" w:space="0"/>
              <w:left w:val="single" w:color="auto" w:sz="4" w:space="0"/>
              <w:bottom w:val="single" w:color="auto" w:sz="4" w:space="0"/>
              <w:right w:val="single" w:color="auto" w:sz="4" w:space="0"/>
            </w:tcBorders>
            <w:vAlign w:val="center"/>
          </w:tcPr>
          <w:p w14:paraId="604A5025">
            <w:pPr>
              <w:snapToGrid w:val="0"/>
              <w:spacing w:line="460" w:lineRule="exact"/>
              <w:jc w:val="left"/>
              <w:rPr>
                <w:rFonts w:hint="eastAsia" w:ascii="宋体" w:hAnsi="宋体" w:eastAsia="宋体" w:cs="宋体"/>
                <w:sz w:val="21"/>
                <w:szCs w:val="21"/>
              </w:rPr>
            </w:pPr>
            <w:r>
              <w:rPr>
                <w:rFonts w:hint="eastAsia" w:ascii="宋体" w:hAnsi="宋体" w:eastAsia="宋体" w:cs="宋体"/>
                <w:sz w:val="21"/>
                <w:szCs w:val="21"/>
              </w:rPr>
              <w:t>准时送货（15分）：每周根据配送响应时间、应急供应情况等内容进行评价，未准时送货，非不可抗拒情况下延误一次扣3分，超出约定时间2小时以上的，或拒绝提供应急供应的，每出现一次，扣10分(以此类推，扣完为止)。</w:t>
            </w:r>
          </w:p>
        </w:tc>
        <w:tc>
          <w:tcPr>
            <w:tcW w:w="516" w:type="pct"/>
            <w:tcBorders>
              <w:top w:val="single" w:color="auto" w:sz="4" w:space="0"/>
              <w:left w:val="single" w:color="auto" w:sz="4" w:space="0"/>
              <w:right w:val="single" w:color="auto" w:sz="4" w:space="0"/>
            </w:tcBorders>
            <w:vAlign w:val="center"/>
          </w:tcPr>
          <w:p w14:paraId="76B7D7F1">
            <w:pPr>
              <w:snapToGrid w:val="0"/>
              <w:spacing w:line="460" w:lineRule="exact"/>
              <w:jc w:val="left"/>
              <w:rPr>
                <w:rFonts w:hint="eastAsia" w:ascii="宋体" w:hAnsi="宋体" w:eastAsia="宋体" w:cs="宋体"/>
                <w:sz w:val="21"/>
                <w:szCs w:val="21"/>
              </w:rPr>
            </w:pPr>
          </w:p>
        </w:tc>
      </w:tr>
      <w:tr w14:paraId="548F2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44" w:type="pct"/>
            <w:vMerge w:val="continue"/>
            <w:tcBorders>
              <w:top w:val="single" w:color="auto" w:sz="4" w:space="0"/>
              <w:left w:val="single" w:color="auto" w:sz="4" w:space="0"/>
              <w:right w:val="single" w:color="auto" w:sz="4" w:space="0"/>
            </w:tcBorders>
            <w:vAlign w:val="center"/>
          </w:tcPr>
          <w:p w14:paraId="6B3C49F6">
            <w:pPr>
              <w:snapToGrid w:val="0"/>
              <w:spacing w:line="460" w:lineRule="exact"/>
              <w:jc w:val="center"/>
              <w:rPr>
                <w:rFonts w:hint="eastAsia" w:ascii="宋体" w:hAnsi="宋体" w:eastAsia="宋体" w:cs="宋体"/>
                <w:sz w:val="21"/>
                <w:szCs w:val="21"/>
              </w:rPr>
            </w:pPr>
          </w:p>
        </w:tc>
        <w:tc>
          <w:tcPr>
            <w:tcW w:w="3738" w:type="pct"/>
            <w:tcBorders>
              <w:top w:val="single" w:color="auto" w:sz="4" w:space="0"/>
              <w:left w:val="single" w:color="auto" w:sz="4" w:space="0"/>
              <w:bottom w:val="single" w:color="auto" w:sz="4" w:space="0"/>
              <w:right w:val="single" w:color="auto" w:sz="4" w:space="0"/>
            </w:tcBorders>
            <w:vAlign w:val="center"/>
          </w:tcPr>
          <w:p w14:paraId="604F8D9B">
            <w:pPr>
              <w:snapToGrid w:val="0"/>
              <w:spacing w:line="460" w:lineRule="exact"/>
              <w:jc w:val="left"/>
              <w:rPr>
                <w:rFonts w:hint="eastAsia" w:ascii="宋体" w:hAnsi="宋体" w:eastAsia="宋体" w:cs="宋体"/>
                <w:sz w:val="21"/>
                <w:szCs w:val="21"/>
              </w:rPr>
            </w:pPr>
            <w:r>
              <w:rPr>
                <w:rFonts w:hint="eastAsia" w:ascii="宋体" w:hAnsi="宋体" w:eastAsia="宋体" w:cs="宋体"/>
                <w:sz w:val="21"/>
                <w:szCs w:val="21"/>
              </w:rPr>
              <w:t>服务态度（6分）：工作人员工作认真，服务热情周到，运送搬装文明(运送人员野蛮运装或无正当理由与食堂人员争执，每出现一次，扣3分，以此类推，扣完为止)；</w:t>
            </w:r>
          </w:p>
        </w:tc>
        <w:tc>
          <w:tcPr>
            <w:tcW w:w="516" w:type="pct"/>
            <w:tcBorders>
              <w:top w:val="single" w:color="auto" w:sz="4" w:space="0"/>
              <w:left w:val="single" w:color="auto" w:sz="4" w:space="0"/>
              <w:right w:val="single" w:color="auto" w:sz="4" w:space="0"/>
            </w:tcBorders>
            <w:vAlign w:val="center"/>
          </w:tcPr>
          <w:p w14:paraId="0AEDF981">
            <w:pPr>
              <w:snapToGrid w:val="0"/>
              <w:spacing w:line="460" w:lineRule="exact"/>
              <w:jc w:val="left"/>
              <w:rPr>
                <w:rFonts w:hint="eastAsia" w:ascii="宋体" w:hAnsi="宋体" w:eastAsia="宋体" w:cs="宋体"/>
                <w:sz w:val="21"/>
                <w:szCs w:val="21"/>
              </w:rPr>
            </w:pPr>
          </w:p>
        </w:tc>
      </w:tr>
      <w:tr w14:paraId="4F52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44" w:type="pct"/>
            <w:vMerge w:val="continue"/>
            <w:tcBorders>
              <w:top w:val="single" w:color="auto" w:sz="4" w:space="0"/>
              <w:left w:val="single" w:color="auto" w:sz="4" w:space="0"/>
              <w:right w:val="single" w:color="auto" w:sz="4" w:space="0"/>
            </w:tcBorders>
            <w:vAlign w:val="center"/>
          </w:tcPr>
          <w:p w14:paraId="084FF3A7">
            <w:pPr>
              <w:snapToGrid w:val="0"/>
              <w:spacing w:line="460" w:lineRule="exact"/>
              <w:jc w:val="center"/>
              <w:rPr>
                <w:rFonts w:hint="eastAsia" w:ascii="宋体" w:hAnsi="宋体" w:eastAsia="宋体" w:cs="宋体"/>
                <w:sz w:val="21"/>
                <w:szCs w:val="21"/>
              </w:rPr>
            </w:pPr>
          </w:p>
        </w:tc>
        <w:tc>
          <w:tcPr>
            <w:tcW w:w="3738" w:type="pct"/>
            <w:tcBorders>
              <w:top w:val="single" w:color="auto" w:sz="4" w:space="0"/>
              <w:left w:val="single" w:color="auto" w:sz="4" w:space="0"/>
              <w:bottom w:val="single" w:color="auto" w:sz="4" w:space="0"/>
              <w:right w:val="single" w:color="auto" w:sz="4" w:space="0"/>
            </w:tcBorders>
            <w:vAlign w:val="center"/>
          </w:tcPr>
          <w:p w14:paraId="00BCEB8F">
            <w:pPr>
              <w:snapToGrid w:val="0"/>
              <w:spacing w:line="460" w:lineRule="exact"/>
              <w:jc w:val="left"/>
              <w:rPr>
                <w:rFonts w:hint="eastAsia" w:ascii="宋体" w:hAnsi="宋体" w:eastAsia="宋体" w:cs="宋体"/>
                <w:sz w:val="21"/>
                <w:szCs w:val="21"/>
              </w:rPr>
            </w:pPr>
            <w:r>
              <w:rPr>
                <w:rFonts w:hint="eastAsia" w:ascii="宋体" w:hAnsi="宋体" w:eastAsia="宋体" w:cs="宋体"/>
                <w:sz w:val="21"/>
                <w:szCs w:val="21"/>
              </w:rPr>
              <w:t>工作细致（6分）：配送物品清单与实际配送无差错，出现差错一次，扣3分，以此类推，扣完为止)；</w:t>
            </w:r>
          </w:p>
        </w:tc>
        <w:tc>
          <w:tcPr>
            <w:tcW w:w="516" w:type="pct"/>
            <w:tcBorders>
              <w:top w:val="single" w:color="auto" w:sz="4" w:space="0"/>
              <w:left w:val="single" w:color="auto" w:sz="4" w:space="0"/>
              <w:right w:val="single" w:color="auto" w:sz="4" w:space="0"/>
            </w:tcBorders>
            <w:vAlign w:val="center"/>
          </w:tcPr>
          <w:p w14:paraId="5A32D544">
            <w:pPr>
              <w:snapToGrid w:val="0"/>
              <w:spacing w:line="460" w:lineRule="exact"/>
              <w:jc w:val="left"/>
              <w:rPr>
                <w:rFonts w:hint="eastAsia" w:ascii="宋体" w:hAnsi="宋体" w:eastAsia="宋体" w:cs="宋体"/>
                <w:sz w:val="21"/>
                <w:szCs w:val="21"/>
              </w:rPr>
            </w:pPr>
          </w:p>
        </w:tc>
      </w:tr>
      <w:tr w14:paraId="1329E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44" w:type="pct"/>
            <w:vMerge w:val="continue"/>
            <w:tcBorders>
              <w:top w:val="single" w:color="auto" w:sz="4" w:space="0"/>
              <w:left w:val="single" w:color="auto" w:sz="4" w:space="0"/>
              <w:right w:val="single" w:color="auto" w:sz="4" w:space="0"/>
            </w:tcBorders>
            <w:vAlign w:val="center"/>
          </w:tcPr>
          <w:p w14:paraId="05DDCEC4">
            <w:pPr>
              <w:snapToGrid w:val="0"/>
              <w:spacing w:line="460" w:lineRule="exact"/>
              <w:jc w:val="center"/>
              <w:rPr>
                <w:rFonts w:hint="eastAsia" w:ascii="宋体" w:hAnsi="宋体" w:eastAsia="宋体" w:cs="宋体"/>
                <w:sz w:val="21"/>
                <w:szCs w:val="21"/>
              </w:rPr>
            </w:pPr>
          </w:p>
        </w:tc>
        <w:tc>
          <w:tcPr>
            <w:tcW w:w="3738" w:type="pct"/>
            <w:tcBorders>
              <w:top w:val="single" w:color="auto" w:sz="4" w:space="0"/>
              <w:left w:val="single" w:color="auto" w:sz="4" w:space="0"/>
              <w:bottom w:val="single" w:color="auto" w:sz="4" w:space="0"/>
              <w:right w:val="single" w:color="auto" w:sz="4" w:space="0"/>
            </w:tcBorders>
            <w:vAlign w:val="center"/>
          </w:tcPr>
          <w:p w14:paraId="3FADE973">
            <w:pPr>
              <w:snapToGrid w:val="0"/>
              <w:spacing w:line="460" w:lineRule="exact"/>
              <w:jc w:val="left"/>
              <w:rPr>
                <w:rFonts w:hint="eastAsia" w:ascii="宋体" w:hAnsi="宋体" w:eastAsia="宋体" w:cs="宋体"/>
                <w:sz w:val="21"/>
                <w:szCs w:val="21"/>
              </w:rPr>
            </w:pPr>
            <w:r>
              <w:rPr>
                <w:rFonts w:hint="eastAsia" w:ascii="宋体" w:hAnsi="宋体" w:eastAsia="宋体" w:cs="宋体"/>
                <w:sz w:val="21"/>
                <w:szCs w:val="21"/>
              </w:rPr>
              <w:t>单据清晰（3分）：送货清单（结算凭证）项目齐全，机器打印清晰得3分，否则不得分。</w:t>
            </w:r>
          </w:p>
        </w:tc>
        <w:tc>
          <w:tcPr>
            <w:tcW w:w="516" w:type="pct"/>
            <w:tcBorders>
              <w:top w:val="single" w:color="auto" w:sz="4" w:space="0"/>
              <w:left w:val="single" w:color="auto" w:sz="4" w:space="0"/>
              <w:right w:val="single" w:color="auto" w:sz="4" w:space="0"/>
            </w:tcBorders>
            <w:vAlign w:val="center"/>
          </w:tcPr>
          <w:p w14:paraId="02ED4531">
            <w:pPr>
              <w:snapToGrid w:val="0"/>
              <w:spacing w:line="460" w:lineRule="exact"/>
              <w:jc w:val="left"/>
              <w:rPr>
                <w:rFonts w:hint="eastAsia" w:ascii="宋体" w:hAnsi="宋体" w:eastAsia="宋体" w:cs="宋体"/>
                <w:sz w:val="21"/>
                <w:szCs w:val="21"/>
              </w:rPr>
            </w:pPr>
          </w:p>
        </w:tc>
      </w:tr>
      <w:tr w14:paraId="1C2E8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744" w:type="pct"/>
            <w:tcBorders>
              <w:top w:val="single" w:color="auto" w:sz="4" w:space="0"/>
              <w:left w:val="single" w:color="auto" w:sz="4" w:space="0"/>
              <w:bottom w:val="single" w:color="auto" w:sz="4" w:space="0"/>
              <w:right w:val="single" w:color="auto" w:sz="4" w:space="0"/>
            </w:tcBorders>
            <w:vAlign w:val="center"/>
          </w:tcPr>
          <w:p w14:paraId="365B94FF">
            <w:pPr>
              <w:snapToGrid w:val="0"/>
              <w:spacing w:line="460" w:lineRule="exact"/>
              <w:jc w:val="center"/>
              <w:rPr>
                <w:rFonts w:hint="eastAsia" w:ascii="宋体" w:hAnsi="宋体" w:eastAsia="宋体" w:cs="宋体"/>
                <w:sz w:val="21"/>
                <w:szCs w:val="21"/>
              </w:rPr>
            </w:pPr>
            <w:r>
              <w:rPr>
                <w:rFonts w:hint="eastAsia" w:ascii="宋体" w:hAnsi="宋体" w:eastAsia="宋体" w:cs="宋体"/>
                <w:sz w:val="21"/>
                <w:szCs w:val="21"/>
              </w:rPr>
              <w:t>质量管理</w:t>
            </w:r>
          </w:p>
          <w:p w14:paraId="3EE2429E">
            <w:pPr>
              <w:snapToGrid w:val="0"/>
              <w:spacing w:line="460" w:lineRule="exact"/>
              <w:jc w:val="center"/>
              <w:rPr>
                <w:rFonts w:hint="eastAsia" w:ascii="宋体" w:hAnsi="宋体" w:eastAsia="宋体" w:cs="宋体"/>
                <w:sz w:val="21"/>
                <w:szCs w:val="21"/>
              </w:rPr>
            </w:pPr>
            <w:r>
              <w:rPr>
                <w:rFonts w:hint="eastAsia" w:ascii="宋体" w:hAnsi="宋体" w:eastAsia="宋体" w:cs="宋体"/>
                <w:sz w:val="21"/>
                <w:szCs w:val="21"/>
              </w:rPr>
              <w:t>（50分）</w:t>
            </w:r>
          </w:p>
        </w:tc>
        <w:tc>
          <w:tcPr>
            <w:tcW w:w="3738" w:type="pct"/>
            <w:tcBorders>
              <w:top w:val="single" w:color="auto" w:sz="4" w:space="0"/>
              <w:left w:val="single" w:color="auto" w:sz="4" w:space="0"/>
              <w:bottom w:val="single" w:color="auto" w:sz="4" w:space="0"/>
              <w:right w:val="single" w:color="auto" w:sz="4" w:space="0"/>
            </w:tcBorders>
            <w:vAlign w:val="center"/>
          </w:tcPr>
          <w:p w14:paraId="26E2870A">
            <w:pPr>
              <w:snapToGrid w:val="0"/>
              <w:spacing w:line="460" w:lineRule="exact"/>
              <w:jc w:val="left"/>
              <w:rPr>
                <w:rFonts w:hint="eastAsia" w:ascii="宋体" w:hAnsi="宋体" w:eastAsia="宋体" w:cs="宋体"/>
                <w:sz w:val="21"/>
                <w:szCs w:val="21"/>
              </w:rPr>
            </w:pPr>
            <w:r>
              <w:rPr>
                <w:rFonts w:hint="eastAsia" w:ascii="宋体" w:hAnsi="宋体" w:eastAsia="宋体" w:cs="宋体"/>
                <w:sz w:val="21"/>
                <w:szCs w:val="21"/>
              </w:rPr>
              <w:t>每日选10个菜品，发现一个菜品不新鲜度扣2分，每发现一个菜品不足量扣2分。每日进行评审每月50分，扣完为止。</w:t>
            </w:r>
          </w:p>
        </w:tc>
        <w:tc>
          <w:tcPr>
            <w:tcW w:w="516" w:type="pct"/>
            <w:tcBorders>
              <w:top w:val="single" w:color="auto" w:sz="4" w:space="0"/>
              <w:left w:val="single" w:color="auto" w:sz="4" w:space="0"/>
              <w:bottom w:val="single" w:color="auto" w:sz="4" w:space="0"/>
              <w:right w:val="single" w:color="auto" w:sz="4" w:space="0"/>
            </w:tcBorders>
            <w:vAlign w:val="center"/>
          </w:tcPr>
          <w:p w14:paraId="6F099B25">
            <w:pPr>
              <w:snapToGrid w:val="0"/>
              <w:spacing w:line="460" w:lineRule="exact"/>
              <w:jc w:val="left"/>
              <w:rPr>
                <w:rFonts w:hint="eastAsia" w:ascii="宋体" w:hAnsi="宋体" w:eastAsia="宋体" w:cs="宋体"/>
                <w:sz w:val="21"/>
                <w:szCs w:val="21"/>
              </w:rPr>
            </w:pPr>
          </w:p>
        </w:tc>
      </w:tr>
      <w:tr w14:paraId="56058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744" w:type="pct"/>
            <w:tcBorders>
              <w:top w:val="single" w:color="auto" w:sz="4" w:space="0"/>
              <w:left w:val="single" w:color="auto" w:sz="4" w:space="0"/>
              <w:bottom w:val="single" w:color="auto" w:sz="4" w:space="0"/>
              <w:right w:val="single" w:color="auto" w:sz="4" w:space="0"/>
            </w:tcBorders>
            <w:vAlign w:val="center"/>
          </w:tcPr>
          <w:p w14:paraId="20222F8D">
            <w:pPr>
              <w:snapToGrid w:val="0"/>
              <w:spacing w:line="460" w:lineRule="exact"/>
              <w:jc w:val="center"/>
              <w:rPr>
                <w:rFonts w:hint="eastAsia" w:ascii="宋体" w:hAnsi="宋体" w:eastAsia="宋体" w:cs="宋体"/>
                <w:sz w:val="21"/>
                <w:szCs w:val="21"/>
              </w:rPr>
            </w:pPr>
            <w:r>
              <w:rPr>
                <w:rFonts w:hint="eastAsia" w:ascii="宋体" w:hAnsi="宋体" w:eastAsia="宋体" w:cs="宋体"/>
                <w:sz w:val="21"/>
                <w:szCs w:val="21"/>
              </w:rPr>
              <w:t>退换货（20分）</w:t>
            </w:r>
          </w:p>
        </w:tc>
        <w:tc>
          <w:tcPr>
            <w:tcW w:w="3738" w:type="pct"/>
            <w:tcBorders>
              <w:top w:val="single" w:color="auto" w:sz="4" w:space="0"/>
              <w:left w:val="single" w:color="auto" w:sz="4" w:space="0"/>
              <w:bottom w:val="single" w:color="auto" w:sz="4" w:space="0"/>
              <w:right w:val="single" w:color="auto" w:sz="4" w:space="0"/>
            </w:tcBorders>
            <w:vAlign w:val="center"/>
          </w:tcPr>
          <w:p w14:paraId="610DD3F6">
            <w:pPr>
              <w:snapToGrid w:val="0"/>
              <w:spacing w:line="460" w:lineRule="exact"/>
              <w:jc w:val="left"/>
              <w:rPr>
                <w:rFonts w:hint="eastAsia" w:ascii="宋体" w:hAnsi="宋体" w:eastAsia="宋体" w:cs="宋体"/>
                <w:sz w:val="21"/>
                <w:szCs w:val="21"/>
              </w:rPr>
            </w:pPr>
            <w:r>
              <w:rPr>
                <w:rFonts w:hint="eastAsia" w:ascii="宋体" w:hAnsi="宋体" w:eastAsia="宋体" w:cs="宋体"/>
                <w:sz w:val="21"/>
                <w:szCs w:val="21"/>
              </w:rPr>
              <w:t>退还货未按约定时间完成的发现一次扣2分。每月20分，扣完为止。</w:t>
            </w:r>
          </w:p>
        </w:tc>
        <w:tc>
          <w:tcPr>
            <w:tcW w:w="516" w:type="pct"/>
            <w:tcBorders>
              <w:top w:val="single" w:color="auto" w:sz="4" w:space="0"/>
              <w:left w:val="single" w:color="auto" w:sz="4" w:space="0"/>
              <w:bottom w:val="single" w:color="auto" w:sz="4" w:space="0"/>
              <w:right w:val="single" w:color="auto" w:sz="4" w:space="0"/>
            </w:tcBorders>
            <w:vAlign w:val="center"/>
          </w:tcPr>
          <w:p w14:paraId="1843316C">
            <w:pPr>
              <w:snapToGrid w:val="0"/>
              <w:spacing w:line="460" w:lineRule="exact"/>
              <w:jc w:val="left"/>
              <w:rPr>
                <w:rFonts w:hint="eastAsia" w:ascii="宋体" w:hAnsi="宋体" w:eastAsia="宋体" w:cs="宋体"/>
                <w:sz w:val="21"/>
                <w:szCs w:val="21"/>
              </w:rPr>
            </w:pPr>
          </w:p>
        </w:tc>
      </w:tr>
      <w:tr w14:paraId="1AFE3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483" w:type="pct"/>
            <w:gridSpan w:val="2"/>
            <w:tcBorders>
              <w:top w:val="single" w:color="auto" w:sz="4" w:space="0"/>
              <w:left w:val="single" w:color="auto" w:sz="4" w:space="0"/>
              <w:bottom w:val="single" w:color="auto" w:sz="4" w:space="0"/>
              <w:right w:val="single" w:color="auto" w:sz="4" w:space="0"/>
            </w:tcBorders>
            <w:vAlign w:val="center"/>
          </w:tcPr>
          <w:p w14:paraId="06DEB8A0">
            <w:pPr>
              <w:snapToGrid w:val="0"/>
              <w:spacing w:line="460" w:lineRule="exact"/>
              <w:jc w:val="center"/>
              <w:rPr>
                <w:rFonts w:hint="eastAsia" w:ascii="宋体" w:hAnsi="宋体" w:eastAsia="宋体" w:cs="宋体"/>
                <w:sz w:val="21"/>
                <w:szCs w:val="21"/>
              </w:rPr>
            </w:pPr>
            <w:r>
              <w:rPr>
                <w:rFonts w:hint="eastAsia" w:ascii="宋体" w:hAnsi="宋体" w:eastAsia="宋体" w:cs="宋体"/>
                <w:sz w:val="21"/>
                <w:szCs w:val="21"/>
              </w:rPr>
              <w:t>合计得分</w:t>
            </w:r>
          </w:p>
        </w:tc>
        <w:tc>
          <w:tcPr>
            <w:tcW w:w="516" w:type="pct"/>
            <w:tcBorders>
              <w:top w:val="single" w:color="auto" w:sz="4" w:space="0"/>
              <w:left w:val="single" w:color="auto" w:sz="4" w:space="0"/>
              <w:bottom w:val="single" w:color="auto" w:sz="4" w:space="0"/>
              <w:right w:val="single" w:color="auto" w:sz="4" w:space="0"/>
            </w:tcBorders>
            <w:vAlign w:val="center"/>
          </w:tcPr>
          <w:p w14:paraId="4A9C7F35">
            <w:pPr>
              <w:snapToGrid w:val="0"/>
              <w:spacing w:line="460" w:lineRule="exact"/>
              <w:jc w:val="left"/>
              <w:rPr>
                <w:rFonts w:hint="eastAsia" w:ascii="宋体" w:hAnsi="宋体" w:eastAsia="宋体" w:cs="宋体"/>
                <w:sz w:val="21"/>
                <w:szCs w:val="21"/>
              </w:rPr>
            </w:pPr>
          </w:p>
        </w:tc>
      </w:tr>
      <w:tr w14:paraId="74C2B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5000" w:type="pct"/>
            <w:gridSpan w:val="3"/>
            <w:tcBorders>
              <w:top w:val="single" w:color="auto" w:sz="4" w:space="0"/>
              <w:left w:val="single" w:color="auto" w:sz="4" w:space="0"/>
              <w:bottom w:val="single" w:color="auto" w:sz="4" w:space="0"/>
              <w:right w:val="single" w:color="auto" w:sz="4" w:space="0"/>
            </w:tcBorders>
            <w:vAlign w:val="center"/>
          </w:tcPr>
          <w:p w14:paraId="5C7A550A">
            <w:pPr>
              <w:snapToGrid w:val="0"/>
              <w:spacing w:line="460" w:lineRule="exact"/>
              <w:rPr>
                <w:rFonts w:hint="eastAsia" w:ascii="宋体" w:hAnsi="宋体" w:eastAsia="宋体" w:cs="宋体"/>
                <w:b/>
                <w:bCs/>
                <w:sz w:val="22"/>
                <w:szCs w:val="22"/>
              </w:rPr>
            </w:pPr>
            <w:r>
              <w:rPr>
                <w:rFonts w:hint="eastAsia" w:ascii="宋体" w:hAnsi="宋体" w:eastAsia="宋体" w:cs="宋体"/>
                <w:b/>
                <w:bCs/>
                <w:sz w:val="22"/>
                <w:szCs w:val="22"/>
              </w:rPr>
              <w:t>扣分项目说明：中标人如在配送期间出现上述评价问题，必须及时纠正。</w:t>
            </w:r>
          </w:p>
          <w:p w14:paraId="384C8471">
            <w:pPr>
              <w:snapToGrid w:val="0"/>
              <w:spacing w:line="460" w:lineRule="exact"/>
              <w:ind w:firstLine="221" w:firstLineChars="100"/>
              <w:rPr>
                <w:rFonts w:hint="eastAsia" w:ascii="宋体" w:hAnsi="宋体" w:eastAsia="宋体" w:cs="宋体"/>
                <w:b/>
                <w:bCs/>
                <w:sz w:val="22"/>
                <w:szCs w:val="22"/>
              </w:rPr>
            </w:pPr>
            <w:r>
              <w:rPr>
                <w:rFonts w:hint="eastAsia" w:ascii="宋体" w:hAnsi="宋体" w:eastAsia="宋体" w:cs="宋体"/>
                <w:b/>
                <w:bCs/>
                <w:sz w:val="22"/>
                <w:szCs w:val="22"/>
              </w:rPr>
              <w:t>1、一周如评价总分低于90分（含90分），中标人要做出书面的整改承诺：</w:t>
            </w:r>
          </w:p>
          <w:p w14:paraId="280C738A">
            <w:pPr>
              <w:snapToGrid w:val="0"/>
              <w:spacing w:line="460" w:lineRule="exact"/>
              <w:ind w:firstLine="221" w:firstLineChars="100"/>
              <w:rPr>
                <w:rFonts w:hint="eastAsia" w:ascii="宋体" w:hAnsi="宋体" w:eastAsia="宋体" w:cs="宋体"/>
                <w:b/>
                <w:bCs/>
                <w:sz w:val="22"/>
                <w:szCs w:val="22"/>
              </w:rPr>
            </w:pPr>
            <w:r>
              <w:rPr>
                <w:rFonts w:hint="eastAsia" w:ascii="宋体" w:hAnsi="宋体" w:eastAsia="宋体" w:cs="宋体"/>
                <w:b/>
                <w:bCs/>
                <w:sz w:val="22"/>
                <w:szCs w:val="22"/>
              </w:rPr>
              <w:t>2、一周评价总分在80分-90分，扣当月结算金额的1%作为罚金；</w:t>
            </w:r>
          </w:p>
          <w:p w14:paraId="16F6672A">
            <w:pPr>
              <w:snapToGrid w:val="0"/>
              <w:spacing w:line="460" w:lineRule="exact"/>
              <w:ind w:firstLine="442" w:firstLineChars="200"/>
              <w:rPr>
                <w:rFonts w:hint="eastAsia" w:ascii="宋体" w:hAnsi="宋体" w:eastAsia="宋体" w:cs="宋体"/>
                <w:b/>
                <w:bCs/>
                <w:sz w:val="22"/>
                <w:szCs w:val="22"/>
              </w:rPr>
            </w:pPr>
            <w:r>
              <w:rPr>
                <w:rFonts w:hint="eastAsia" w:ascii="宋体" w:hAnsi="宋体" w:eastAsia="宋体" w:cs="宋体"/>
                <w:b/>
                <w:bCs/>
                <w:sz w:val="22"/>
                <w:szCs w:val="22"/>
              </w:rPr>
              <w:t>一个月内出现二次以上（含）在80分-90分，扣当月结算金额的5%作为罚金。</w:t>
            </w:r>
          </w:p>
          <w:p w14:paraId="251CF499">
            <w:pPr>
              <w:snapToGrid w:val="0"/>
              <w:spacing w:line="460" w:lineRule="exact"/>
              <w:ind w:firstLine="221" w:firstLineChars="100"/>
              <w:rPr>
                <w:rFonts w:hint="eastAsia" w:ascii="宋体" w:hAnsi="宋体" w:eastAsia="宋体" w:cs="宋体"/>
                <w:b/>
                <w:bCs/>
                <w:sz w:val="22"/>
                <w:szCs w:val="22"/>
              </w:rPr>
            </w:pPr>
            <w:r>
              <w:rPr>
                <w:rFonts w:hint="eastAsia" w:ascii="宋体" w:hAnsi="宋体" w:eastAsia="宋体" w:cs="宋体"/>
                <w:b/>
                <w:bCs/>
                <w:sz w:val="22"/>
                <w:szCs w:val="22"/>
              </w:rPr>
              <w:t>3、一周评价总分在80分以下，约谈配送公司并予以警告，并扣当月结算金额的扣5%作为罚金；</w:t>
            </w:r>
          </w:p>
          <w:p w14:paraId="1CD605D8">
            <w:pPr>
              <w:snapToGrid w:val="0"/>
              <w:spacing w:line="460" w:lineRule="exact"/>
              <w:ind w:firstLine="221" w:firstLineChars="100"/>
              <w:rPr>
                <w:rFonts w:eastAsia="新宋体"/>
                <w:sz w:val="22"/>
                <w:szCs w:val="22"/>
              </w:rPr>
            </w:pPr>
            <w:r>
              <w:rPr>
                <w:rFonts w:hint="eastAsia" w:ascii="宋体" w:hAnsi="宋体" w:eastAsia="宋体" w:cs="宋体"/>
                <w:b/>
                <w:bCs/>
                <w:sz w:val="22"/>
                <w:szCs w:val="22"/>
              </w:rPr>
              <w:t>4、一个月内出现二次及以上，评价总分在80分以下，采购人有权解除合同。</w:t>
            </w:r>
          </w:p>
        </w:tc>
      </w:tr>
    </w:tbl>
    <w:p w14:paraId="05DEC2A0">
      <w:pPr>
        <w:pStyle w:val="2"/>
        <w:ind w:firstLine="210"/>
      </w:pPr>
    </w:p>
    <w:p w14:paraId="68EBD5BD"/>
    <w:p w14:paraId="3CBEC00B">
      <w:pPr>
        <w:pStyle w:val="3"/>
      </w:pPr>
    </w:p>
    <w:p w14:paraId="65C380F9">
      <w:pPr>
        <w:pStyle w:val="4"/>
      </w:pPr>
    </w:p>
    <w:p w14:paraId="2800DFEE"/>
    <w:p w14:paraId="19E76D83">
      <w:pPr>
        <w:pStyle w:val="2"/>
      </w:pPr>
    </w:p>
    <w:p w14:paraId="1536EDFB"/>
    <w:p w14:paraId="70C23FB2">
      <w:pPr>
        <w:pStyle w:val="2"/>
      </w:pPr>
    </w:p>
    <w:p w14:paraId="0031A89A"/>
    <w:p w14:paraId="43E40268">
      <w:pPr>
        <w:pStyle w:val="2"/>
      </w:pPr>
    </w:p>
    <w:p w14:paraId="024E49D3"/>
    <w:p w14:paraId="36097A93">
      <w:pPr>
        <w:pStyle w:val="79"/>
        <w:rPr>
          <w:rFonts w:ascii="宋体" w:eastAsia="宋体" w:cs="微软雅黑"/>
          <w:sz w:val="36"/>
        </w:rPr>
      </w:pPr>
      <w:r>
        <w:rPr>
          <w:rFonts w:hint="eastAsia" w:ascii="宋体" w:eastAsia="宋体"/>
        </w:rPr>
        <w:t>第三章  投标人须知</w:t>
      </w:r>
    </w:p>
    <w:p w14:paraId="07530A0B">
      <w:pPr>
        <w:spacing w:line="360" w:lineRule="auto"/>
        <w:ind w:firstLine="422" w:firstLineChars="200"/>
        <w:jc w:val="center"/>
        <w:outlineLvl w:val="1"/>
        <w:rPr>
          <w:rFonts w:ascii="宋体" w:hAnsi="宋体"/>
          <w:b/>
          <w:szCs w:val="21"/>
        </w:rPr>
      </w:pPr>
      <w:bookmarkStart w:id="9" w:name="_Toc17413"/>
      <w:bookmarkStart w:id="10" w:name="_Toc177870535"/>
      <w:bookmarkStart w:id="11" w:name="_Toc493511543"/>
      <w:bookmarkStart w:id="12" w:name="_Toc50012816"/>
      <w:r>
        <w:rPr>
          <w:rFonts w:hint="eastAsia" w:ascii="宋体" w:hAnsi="宋体"/>
          <w:b/>
          <w:szCs w:val="21"/>
        </w:rPr>
        <w:t>前附表</w:t>
      </w:r>
      <w:bookmarkEnd w:id="9"/>
      <w:bookmarkEnd w:id="10"/>
      <w:bookmarkEnd w:id="11"/>
      <w:bookmarkEnd w:id="12"/>
    </w:p>
    <w:tbl>
      <w:tblPr>
        <w:tblStyle w:val="47"/>
        <w:tblW w:w="928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6"/>
        <w:gridCol w:w="8652"/>
      </w:tblGrid>
      <w:tr w14:paraId="48C8D1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22D510D0">
            <w:pPr>
              <w:snapToGrid w:val="0"/>
              <w:spacing w:line="360" w:lineRule="auto"/>
              <w:jc w:val="center"/>
              <w:rPr>
                <w:rFonts w:ascii="宋体" w:hAnsi="宋体" w:cs="微软雅黑"/>
                <w:szCs w:val="21"/>
              </w:rPr>
            </w:pPr>
            <w:r>
              <w:rPr>
                <w:rFonts w:hint="eastAsia" w:ascii="宋体" w:hAnsi="宋体" w:cs="微软雅黑"/>
                <w:szCs w:val="21"/>
              </w:rPr>
              <w:t>序号</w:t>
            </w:r>
          </w:p>
        </w:tc>
        <w:tc>
          <w:tcPr>
            <w:tcW w:w="8652" w:type="dxa"/>
            <w:tcBorders>
              <w:top w:val="single" w:color="auto" w:sz="4" w:space="0"/>
              <w:left w:val="single" w:color="auto" w:sz="4" w:space="0"/>
              <w:bottom w:val="single" w:color="auto" w:sz="4" w:space="0"/>
              <w:right w:val="single" w:color="auto" w:sz="4" w:space="0"/>
            </w:tcBorders>
            <w:vAlign w:val="center"/>
          </w:tcPr>
          <w:p w14:paraId="13B18490">
            <w:pPr>
              <w:snapToGrid w:val="0"/>
              <w:spacing w:line="360" w:lineRule="auto"/>
              <w:jc w:val="left"/>
              <w:rPr>
                <w:rFonts w:ascii="宋体" w:hAnsi="宋体" w:cs="微软雅黑"/>
                <w:szCs w:val="21"/>
              </w:rPr>
            </w:pPr>
            <w:r>
              <w:rPr>
                <w:rFonts w:hint="eastAsia" w:ascii="宋体" w:hAnsi="宋体" w:cs="微软雅黑"/>
                <w:szCs w:val="21"/>
              </w:rPr>
              <w:t>内容、要求</w:t>
            </w:r>
          </w:p>
        </w:tc>
      </w:tr>
      <w:tr w14:paraId="39A21B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7"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5B82D20B">
            <w:pPr>
              <w:snapToGrid w:val="0"/>
              <w:spacing w:line="360" w:lineRule="auto"/>
              <w:jc w:val="center"/>
              <w:rPr>
                <w:rFonts w:ascii="宋体" w:hAnsi="宋体" w:cs="微软雅黑"/>
                <w:szCs w:val="21"/>
              </w:rPr>
            </w:pPr>
            <w:r>
              <w:rPr>
                <w:rFonts w:hint="eastAsia" w:ascii="宋体" w:hAnsi="宋体" w:cs="微软雅黑"/>
                <w:szCs w:val="21"/>
              </w:rPr>
              <w:t>1</w:t>
            </w:r>
          </w:p>
        </w:tc>
        <w:tc>
          <w:tcPr>
            <w:tcW w:w="8652" w:type="dxa"/>
            <w:tcBorders>
              <w:top w:val="single" w:color="auto" w:sz="4" w:space="0"/>
              <w:left w:val="single" w:color="auto" w:sz="4" w:space="0"/>
              <w:bottom w:val="single" w:color="auto" w:sz="4" w:space="0"/>
              <w:right w:val="single" w:color="auto" w:sz="4" w:space="0"/>
            </w:tcBorders>
            <w:vAlign w:val="center"/>
          </w:tcPr>
          <w:p w14:paraId="58395558">
            <w:pPr>
              <w:snapToGrid w:val="0"/>
              <w:spacing w:line="360" w:lineRule="auto"/>
              <w:jc w:val="left"/>
              <w:rPr>
                <w:rFonts w:ascii="宋体" w:hAnsi="宋体" w:cs="微软雅黑"/>
                <w:b/>
                <w:szCs w:val="21"/>
              </w:rPr>
            </w:pPr>
            <w:r>
              <w:rPr>
                <w:rFonts w:hint="eastAsia" w:ascii="宋体" w:hAnsi="宋体" w:cs="微软雅黑"/>
                <w:szCs w:val="21"/>
              </w:rPr>
              <w:t>项目名称：</w:t>
            </w:r>
            <w:r>
              <w:rPr>
                <w:rFonts w:hint="eastAsia" w:ascii="宋体" w:hAnsi="宋体" w:cs="微软雅黑"/>
                <w:b/>
                <w:szCs w:val="21"/>
              </w:rPr>
              <w:t>浙江省嘉兴支队经济技术开发区消防救援大队2024—2025年度食堂大宗物品配送采购项目</w:t>
            </w:r>
          </w:p>
          <w:p w14:paraId="790F7A41">
            <w:pPr>
              <w:widowControl/>
              <w:spacing w:line="360" w:lineRule="auto"/>
              <w:ind w:firstLine="420" w:firstLineChars="200"/>
              <w:contextualSpacing/>
              <w:rPr>
                <w:rFonts w:eastAsia="仿宋_GB2312"/>
                <w:color w:val="000000"/>
                <w:kern w:val="0"/>
                <w:sz w:val="24"/>
              </w:rPr>
            </w:pPr>
            <w:r>
              <w:rPr>
                <w:rFonts w:hint="eastAsia" w:ascii="宋体" w:hAnsi="宋体" w:cs="微软雅黑"/>
                <w:szCs w:val="21"/>
              </w:rPr>
              <w:t>项目概况：</w:t>
            </w:r>
            <w:r>
              <w:rPr>
                <w:rFonts w:hint="eastAsia" w:eastAsia="仿宋_GB2312"/>
                <w:color w:val="000000"/>
                <w:kern w:val="0"/>
                <w:sz w:val="24"/>
              </w:rPr>
              <w:t>浙江省嘉兴支队开发区消防救援大队2024—2025年度食堂大宗物品配送采购项目，大队用餐人数约为</w:t>
            </w:r>
            <w:r>
              <w:rPr>
                <w:rFonts w:hint="eastAsia" w:eastAsia="仿宋_GB2312"/>
                <w:color w:val="FF0000"/>
                <w:kern w:val="0"/>
                <w:sz w:val="24"/>
              </w:rPr>
              <w:t>140人</w:t>
            </w:r>
            <w:r>
              <w:rPr>
                <w:rFonts w:hint="eastAsia" w:eastAsia="仿宋_GB2312"/>
                <w:color w:val="000000"/>
                <w:kern w:val="0"/>
                <w:sz w:val="24"/>
              </w:rPr>
              <w:t>，该服务为经开大队提供全年的食堂物品采购配送服务（实际配送物品以采购人实际需求为准）。因采购人食堂大宗物品采购量大，涉及广大</w:t>
            </w:r>
            <w:r>
              <w:rPr>
                <w:rFonts w:hint="eastAsia" w:eastAsia="仿宋_GB2312"/>
                <w:kern w:val="0"/>
                <w:sz w:val="24"/>
              </w:rPr>
              <w:t>指战员</w:t>
            </w:r>
            <w:r>
              <w:rPr>
                <w:rFonts w:hint="eastAsia" w:eastAsia="仿宋_GB2312"/>
                <w:color w:val="000000"/>
                <w:kern w:val="0"/>
                <w:sz w:val="24"/>
              </w:rPr>
              <w:t>的饮食安全，为了保证采购配送物的质量，规定配送供货企业需采购如下菜品（包括但不限于）：</w:t>
            </w:r>
          </w:p>
          <w:p w14:paraId="04617356">
            <w:pPr>
              <w:widowControl/>
              <w:spacing w:line="360" w:lineRule="auto"/>
              <w:contextualSpacing/>
              <w:rPr>
                <w:rFonts w:ascii="宋体" w:hAnsi="宋体" w:cs="宋体"/>
                <w:color w:val="000000"/>
                <w:kern w:val="0"/>
                <w:szCs w:val="21"/>
              </w:rPr>
            </w:pPr>
            <w:r>
              <w:rPr>
                <w:rFonts w:hint="eastAsia" w:ascii="宋体" w:hAnsi="宋体" w:cs="宋体"/>
                <w:color w:val="000000"/>
                <w:kern w:val="0"/>
                <w:szCs w:val="21"/>
              </w:rPr>
              <w:t>蔬菜类：大白菜、包心菜、胡萝卜、山药、冬瓜等其他蔬菜</w:t>
            </w:r>
          </w:p>
          <w:p w14:paraId="33BB6CDE">
            <w:pPr>
              <w:widowControl/>
              <w:spacing w:line="360" w:lineRule="auto"/>
              <w:contextualSpacing/>
              <w:rPr>
                <w:rFonts w:ascii="宋体" w:hAnsi="宋体" w:cs="宋体"/>
                <w:color w:val="000000"/>
                <w:kern w:val="0"/>
                <w:szCs w:val="21"/>
              </w:rPr>
            </w:pPr>
            <w:r>
              <w:rPr>
                <w:rFonts w:hint="eastAsia" w:ascii="宋体" w:hAnsi="宋体" w:cs="宋体"/>
                <w:color w:val="000000"/>
                <w:kern w:val="0"/>
                <w:szCs w:val="21"/>
              </w:rPr>
              <w:t>饮品类：凉茶、果汁、汽水、椰汁等</w:t>
            </w:r>
          </w:p>
          <w:p w14:paraId="37A42A71">
            <w:pPr>
              <w:widowControl/>
              <w:spacing w:line="360" w:lineRule="auto"/>
              <w:contextualSpacing/>
              <w:rPr>
                <w:rFonts w:ascii="宋体" w:hAnsi="宋体" w:cs="宋体"/>
                <w:color w:val="000000"/>
                <w:kern w:val="0"/>
                <w:szCs w:val="21"/>
              </w:rPr>
            </w:pPr>
            <w:r>
              <w:rPr>
                <w:rFonts w:hint="eastAsia" w:ascii="宋体" w:hAnsi="宋体" w:cs="宋体"/>
                <w:color w:val="000000"/>
                <w:kern w:val="0"/>
                <w:szCs w:val="21"/>
              </w:rPr>
              <w:t>肉类：猪肉、牛肉、羊肉、鸡肉、鸭肉等其他肉类</w:t>
            </w:r>
          </w:p>
          <w:p w14:paraId="69710D17">
            <w:pPr>
              <w:widowControl/>
              <w:spacing w:line="360" w:lineRule="auto"/>
              <w:contextualSpacing/>
              <w:rPr>
                <w:rFonts w:ascii="宋体" w:hAnsi="宋体" w:cs="宋体"/>
                <w:color w:val="000000"/>
                <w:kern w:val="0"/>
                <w:szCs w:val="21"/>
              </w:rPr>
            </w:pPr>
            <w:r>
              <w:rPr>
                <w:rFonts w:hint="eastAsia" w:ascii="宋体" w:hAnsi="宋体" w:cs="宋体"/>
                <w:color w:val="000000"/>
                <w:kern w:val="0"/>
                <w:szCs w:val="21"/>
              </w:rPr>
              <w:t>冷冻食品类：鸡腿、鸡翅、牛肋骨、虾仁等其他冷冻食品</w:t>
            </w:r>
          </w:p>
          <w:p w14:paraId="12C6AA6F">
            <w:pPr>
              <w:widowControl/>
              <w:spacing w:line="360" w:lineRule="auto"/>
              <w:contextualSpacing/>
              <w:rPr>
                <w:rFonts w:ascii="宋体" w:hAnsi="宋体" w:cs="宋体"/>
                <w:color w:val="000000"/>
                <w:kern w:val="0"/>
                <w:szCs w:val="21"/>
              </w:rPr>
            </w:pPr>
            <w:r>
              <w:rPr>
                <w:rFonts w:hint="eastAsia" w:ascii="宋体" w:hAnsi="宋体" w:cs="宋体"/>
                <w:color w:val="000000"/>
                <w:kern w:val="0"/>
                <w:szCs w:val="21"/>
              </w:rPr>
              <w:t>干货类：黑木耳、干香菇、笋干、榨菜、紫菜等其他干货</w:t>
            </w:r>
          </w:p>
          <w:p w14:paraId="7BDF781F">
            <w:pPr>
              <w:widowControl/>
              <w:spacing w:line="360" w:lineRule="auto"/>
              <w:contextualSpacing/>
              <w:rPr>
                <w:rFonts w:ascii="宋体" w:hAnsi="宋体" w:cs="宋体"/>
                <w:color w:val="000000"/>
                <w:kern w:val="0"/>
                <w:szCs w:val="21"/>
              </w:rPr>
            </w:pPr>
            <w:r>
              <w:rPr>
                <w:rFonts w:hint="eastAsia" w:ascii="宋体" w:hAnsi="宋体" w:cs="宋体"/>
                <w:color w:val="000000"/>
                <w:kern w:val="0"/>
                <w:szCs w:val="21"/>
              </w:rPr>
              <w:t>豆制品类:豆腐干、油豆腐、千张、素鸡、面筋等其他豆制品</w:t>
            </w:r>
          </w:p>
          <w:p w14:paraId="1926CE7D">
            <w:pPr>
              <w:widowControl/>
              <w:spacing w:line="360" w:lineRule="auto"/>
              <w:contextualSpacing/>
              <w:rPr>
                <w:rFonts w:ascii="宋体" w:hAnsi="宋体" w:cs="宋体"/>
                <w:color w:val="000000"/>
                <w:kern w:val="0"/>
                <w:szCs w:val="21"/>
              </w:rPr>
            </w:pPr>
            <w:r>
              <w:rPr>
                <w:rFonts w:hint="eastAsia" w:ascii="宋体" w:hAnsi="宋体" w:cs="宋体"/>
                <w:color w:val="000000"/>
                <w:kern w:val="0"/>
                <w:szCs w:val="21"/>
              </w:rPr>
              <w:t>水产品类：淡水鱼、海水鱼、河鲜、海鲜等其他水产品</w:t>
            </w:r>
          </w:p>
          <w:p w14:paraId="1F5549A8">
            <w:pPr>
              <w:widowControl/>
              <w:spacing w:line="360" w:lineRule="auto"/>
              <w:contextualSpacing/>
              <w:rPr>
                <w:rFonts w:ascii="宋体" w:hAnsi="宋体" w:cs="宋体"/>
                <w:color w:val="000000"/>
                <w:kern w:val="0"/>
                <w:szCs w:val="21"/>
              </w:rPr>
            </w:pPr>
            <w:r>
              <w:rPr>
                <w:rFonts w:hint="eastAsia" w:ascii="宋体" w:hAnsi="宋体" w:cs="宋体"/>
                <w:color w:val="000000"/>
                <w:kern w:val="0"/>
                <w:szCs w:val="21"/>
              </w:rPr>
              <w:t>禽蛋类：鸡蛋、鸭蛋、鹌鹑蛋等其他蛋类</w:t>
            </w:r>
          </w:p>
          <w:p w14:paraId="7072873A">
            <w:pPr>
              <w:snapToGrid w:val="0"/>
              <w:spacing w:line="360" w:lineRule="auto"/>
              <w:jc w:val="left"/>
              <w:rPr>
                <w:rFonts w:ascii="宋体" w:hAnsi="宋体" w:cs="微软雅黑"/>
                <w:szCs w:val="21"/>
              </w:rPr>
            </w:pPr>
            <w:r>
              <w:rPr>
                <w:rFonts w:hint="eastAsia" w:ascii="宋体" w:hAnsi="宋体" w:cs="宋体"/>
                <w:color w:val="000000"/>
                <w:kern w:val="0"/>
                <w:szCs w:val="21"/>
              </w:rPr>
              <w:t>其他类：其他农副产品等与食品安全密切相关的原辅材料</w:t>
            </w:r>
          </w:p>
        </w:tc>
      </w:tr>
      <w:tr w14:paraId="715412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1"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24949FF4">
            <w:pPr>
              <w:snapToGrid w:val="0"/>
              <w:spacing w:line="360" w:lineRule="auto"/>
              <w:jc w:val="center"/>
              <w:rPr>
                <w:rFonts w:ascii="宋体" w:hAnsi="宋体" w:cs="微软雅黑"/>
                <w:szCs w:val="21"/>
              </w:rPr>
            </w:pPr>
            <w:r>
              <w:rPr>
                <w:rFonts w:hint="eastAsia" w:ascii="宋体" w:hAnsi="宋体" w:cs="微软雅黑"/>
                <w:szCs w:val="21"/>
              </w:rPr>
              <w:t>2</w:t>
            </w:r>
          </w:p>
        </w:tc>
        <w:tc>
          <w:tcPr>
            <w:tcW w:w="8652" w:type="dxa"/>
            <w:tcBorders>
              <w:top w:val="single" w:color="auto" w:sz="4" w:space="0"/>
              <w:left w:val="single" w:color="auto" w:sz="4" w:space="0"/>
              <w:bottom w:val="single" w:color="auto" w:sz="4" w:space="0"/>
              <w:right w:val="single" w:color="auto" w:sz="4" w:space="0"/>
            </w:tcBorders>
            <w:vAlign w:val="center"/>
          </w:tcPr>
          <w:p w14:paraId="383D70D9">
            <w:pPr>
              <w:snapToGrid w:val="0"/>
              <w:spacing w:line="360" w:lineRule="auto"/>
              <w:jc w:val="left"/>
              <w:rPr>
                <w:rFonts w:ascii="宋体" w:hAnsi="宋体" w:cs="微软雅黑"/>
                <w:szCs w:val="21"/>
              </w:rPr>
            </w:pPr>
            <w:r>
              <w:rPr>
                <w:rFonts w:hint="eastAsia" w:ascii="宋体" w:hAnsi="宋体" w:cs="微软雅黑"/>
                <w:szCs w:val="21"/>
              </w:rPr>
              <w:t>招标编号：</w:t>
            </w:r>
            <w:r>
              <w:rPr>
                <w:rFonts w:hint="eastAsia" w:ascii="宋体" w:hAnsi="宋体" w:cs="宋体"/>
                <w:color w:val="000000"/>
                <w:kern w:val="0"/>
                <w:szCs w:val="21"/>
              </w:rPr>
              <w:t>嘉消采-GK2024013</w:t>
            </w:r>
          </w:p>
        </w:tc>
      </w:tr>
      <w:tr w14:paraId="59C902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3"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35CB7F0B">
            <w:pPr>
              <w:snapToGrid w:val="0"/>
              <w:spacing w:line="360" w:lineRule="auto"/>
              <w:jc w:val="center"/>
              <w:rPr>
                <w:rFonts w:ascii="宋体" w:hAnsi="宋体" w:cs="微软雅黑"/>
                <w:szCs w:val="21"/>
              </w:rPr>
            </w:pPr>
            <w:r>
              <w:rPr>
                <w:rFonts w:hint="eastAsia" w:ascii="宋体" w:hAnsi="宋体" w:cs="微软雅黑"/>
                <w:szCs w:val="21"/>
              </w:rPr>
              <w:t>3</w:t>
            </w:r>
          </w:p>
        </w:tc>
        <w:tc>
          <w:tcPr>
            <w:tcW w:w="8652" w:type="dxa"/>
            <w:tcBorders>
              <w:top w:val="single" w:color="auto" w:sz="4" w:space="0"/>
              <w:left w:val="single" w:color="auto" w:sz="4" w:space="0"/>
              <w:bottom w:val="single" w:color="auto" w:sz="4" w:space="0"/>
              <w:right w:val="single" w:color="auto" w:sz="4" w:space="0"/>
            </w:tcBorders>
            <w:vAlign w:val="center"/>
          </w:tcPr>
          <w:p w14:paraId="0666DBDE">
            <w:pPr>
              <w:snapToGrid w:val="0"/>
              <w:spacing w:line="360" w:lineRule="auto"/>
              <w:jc w:val="left"/>
              <w:rPr>
                <w:rFonts w:ascii="宋体" w:hAnsi="宋体" w:cs="微软雅黑"/>
                <w:szCs w:val="21"/>
              </w:rPr>
            </w:pPr>
            <w:r>
              <w:rPr>
                <w:rFonts w:hint="eastAsia" w:ascii="宋体" w:hAnsi="宋体" w:cs="微软雅黑"/>
                <w:szCs w:val="21"/>
              </w:rPr>
              <w:t>投标报价及费用：</w:t>
            </w:r>
          </w:p>
          <w:p w14:paraId="779B4D4A">
            <w:pPr>
              <w:spacing w:line="360" w:lineRule="auto"/>
              <w:ind w:firstLine="420" w:firstLineChars="200"/>
              <w:rPr>
                <w:rFonts w:ascii="宋体" w:hAnsi="宋体"/>
                <w:szCs w:val="21"/>
              </w:rPr>
            </w:pPr>
            <w:r>
              <w:rPr>
                <w:rFonts w:ascii="宋体" w:hAnsi="宋体"/>
                <w:szCs w:val="21"/>
              </w:rPr>
              <w:t>1</w:t>
            </w:r>
            <w:r>
              <w:rPr>
                <w:rFonts w:hint="eastAsia" w:ascii="宋体" w:hAnsi="宋体"/>
                <w:szCs w:val="21"/>
              </w:rPr>
              <w:t>、本项目投标应以人民币报价；</w:t>
            </w:r>
          </w:p>
          <w:p w14:paraId="731896ED">
            <w:pPr>
              <w:spacing w:line="360" w:lineRule="auto"/>
              <w:ind w:left="420" w:leftChars="200"/>
              <w:rPr>
                <w:rFonts w:ascii="宋体" w:hAnsi="宋体"/>
                <w:szCs w:val="21"/>
              </w:rPr>
            </w:pPr>
            <w:r>
              <w:rPr>
                <w:rFonts w:ascii="宋体" w:hAnsi="宋体"/>
                <w:szCs w:val="21"/>
              </w:rPr>
              <w:t>2</w:t>
            </w:r>
            <w:r>
              <w:rPr>
                <w:rFonts w:hint="eastAsia" w:ascii="宋体" w:hAnsi="宋体"/>
                <w:szCs w:val="21"/>
              </w:rPr>
              <w:t xml:space="preserve">、不论投标结果如何，供应商均应自行承担所有与投标有关的全部费用；          </w:t>
            </w:r>
          </w:p>
          <w:p w14:paraId="6C9EB63F">
            <w:pPr>
              <w:spacing w:line="360" w:lineRule="auto"/>
              <w:ind w:firstLine="420" w:firstLineChars="200"/>
              <w:rPr>
                <w:rFonts w:ascii="宋体" w:hAnsi="宋体"/>
                <w:szCs w:val="21"/>
              </w:rPr>
            </w:pPr>
            <w:r>
              <w:rPr>
                <w:rFonts w:hint="eastAsia" w:ascii="宋体" w:hAnsi="宋体"/>
                <w:szCs w:val="21"/>
              </w:rPr>
              <w:t>3、标书费：人民币5</w:t>
            </w:r>
            <w:r>
              <w:rPr>
                <w:rFonts w:ascii="宋体" w:hAnsi="宋体"/>
                <w:szCs w:val="21"/>
              </w:rPr>
              <w:t>00</w:t>
            </w:r>
            <w:r>
              <w:rPr>
                <w:rFonts w:hint="eastAsia" w:ascii="宋体" w:hAnsi="宋体"/>
                <w:szCs w:val="21"/>
              </w:rPr>
              <w:t>元整；</w:t>
            </w:r>
          </w:p>
          <w:p w14:paraId="3C9C4E38">
            <w:pPr>
              <w:snapToGrid w:val="0"/>
              <w:spacing w:line="360" w:lineRule="auto"/>
              <w:ind w:firstLine="420" w:firstLineChars="200"/>
              <w:jc w:val="left"/>
              <w:rPr>
                <w:rFonts w:ascii="宋体" w:hAnsi="宋体" w:cs="微软雅黑"/>
                <w:szCs w:val="21"/>
              </w:rPr>
            </w:pPr>
            <w:r>
              <w:rPr>
                <w:rFonts w:ascii="宋体" w:hAnsi="宋体"/>
                <w:szCs w:val="21"/>
              </w:rPr>
              <w:t>4</w:t>
            </w:r>
            <w:r>
              <w:rPr>
                <w:rFonts w:hint="eastAsia" w:ascii="宋体" w:hAnsi="宋体"/>
                <w:szCs w:val="21"/>
              </w:rPr>
              <w:t>、本项目招标代理费由成交供应商支付，</w:t>
            </w:r>
            <w:r>
              <w:rPr>
                <w:rFonts w:hint="eastAsia" w:ascii="宋体" w:hAnsi="宋体" w:cs="宋体"/>
                <w:b/>
                <w:bCs/>
                <w:szCs w:val="21"/>
              </w:rPr>
              <w:t>本项目招标代理费以中标金额为基数按计价格(2002)1980号收费标准</w:t>
            </w:r>
            <w:r>
              <w:rPr>
                <w:rFonts w:hint="eastAsia" w:cs="宋体"/>
                <w:color w:val="C00000"/>
                <w:szCs w:val="21"/>
              </w:rPr>
              <w:t>60</w:t>
            </w:r>
            <w:r>
              <w:rPr>
                <w:rFonts w:hint="eastAsia" w:ascii="宋体" w:hAnsi="宋体" w:cs="宋体"/>
                <w:b/>
                <w:bCs/>
                <w:szCs w:val="21"/>
              </w:rPr>
              <w:t>%计取</w:t>
            </w:r>
            <w:r>
              <w:rPr>
                <w:rFonts w:hint="eastAsia" w:ascii="宋体" w:hAnsi="宋体"/>
                <w:szCs w:val="21"/>
              </w:rPr>
              <w:t>，</w:t>
            </w:r>
            <w:r>
              <w:rPr>
                <w:rFonts w:hint="eastAsia" w:ascii="宋体" w:hAnsi="宋体" w:cs="宋体"/>
                <w:b/>
                <w:bCs/>
                <w:szCs w:val="21"/>
              </w:rPr>
              <w:t>不足</w:t>
            </w:r>
            <w:r>
              <w:rPr>
                <w:rFonts w:hint="eastAsia" w:cs="宋体"/>
                <w:color w:val="C00000"/>
                <w:szCs w:val="21"/>
              </w:rPr>
              <w:t>3500</w:t>
            </w:r>
            <w:r>
              <w:rPr>
                <w:rFonts w:hint="eastAsia" w:ascii="宋体" w:hAnsi="宋体" w:cs="宋体"/>
                <w:b/>
                <w:bCs/>
                <w:szCs w:val="21"/>
              </w:rPr>
              <w:t>元，按</w:t>
            </w:r>
            <w:r>
              <w:rPr>
                <w:rFonts w:hint="eastAsia" w:cs="宋体"/>
                <w:color w:val="C00000"/>
                <w:szCs w:val="21"/>
              </w:rPr>
              <w:t>3500</w:t>
            </w:r>
            <w:r>
              <w:rPr>
                <w:rFonts w:hint="eastAsia" w:ascii="宋体" w:hAnsi="宋体" w:cs="宋体"/>
                <w:b/>
                <w:bCs/>
                <w:szCs w:val="21"/>
              </w:rPr>
              <w:t>元计取，</w:t>
            </w:r>
            <w:r>
              <w:rPr>
                <w:rFonts w:hint="eastAsia" w:ascii="宋体" w:hAnsi="宋体"/>
                <w:szCs w:val="21"/>
              </w:rPr>
              <w:t>成交供应商在领取成交通知书时一次性交纳给采购代理机构。</w:t>
            </w:r>
          </w:p>
        </w:tc>
      </w:tr>
      <w:tr w14:paraId="67C30F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4"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433B2447">
            <w:pPr>
              <w:snapToGrid w:val="0"/>
              <w:spacing w:line="360" w:lineRule="auto"/>
              <w:jc w:val="center"/>
              <w:rPr>
                <w:rFonts w:ascii="宋体" w:hAnsi="宋体" w:cs="微软雅黑"/>
                <w:szCs w:val="21"/>
              </w:rPr>
            </w:pPr>
            <w:r>
              <w:rPr>
                <w:rFonts w:hint="eastAsia" w:ascii="宋体" w:hAnsi="宋体" w:cs="微软雅黑"/>
                <w:szCs w:val="21"/>
              </w:rPr>
              <w:t>4</w:t>
            </w:r>
          </w:p>
        </w:tc>
        <w:tc>
          <w:tcPr>
            <w:tcW w:w="8652" w:type="dxa"/>
            <w:tcBorders>
              <w:top w:val="single" w:color="auto" w:sz="4" w:space="0"/>
              <w:left w:val="single" w:color="auto" w:sz="4" w:space="0"/>
              <w:bottom w:val="single" w:color="auto" w:sz="4" w:space="0"/>
              <w:right w:val="single" w:color="auto" w:sz="4" w:space="0"/>
            </w:tcBorders>
            <w:vAlign w:val="center"/>
          </w:tcPr>
          <w:p w14:paraId="41FC5955">
            <w:pPr>
              <w:autoSpaceDE w:val="0"/>
              <w:autoSpaceDN w:val="0"/>
              <w:snapToGrid w:val="0"/>
              <w:spacing w:line="400" w:lineRule="exact"/>
              <w:textAlignment w:val="bottom"/>
              <w:rPr>
                <w:rFonts w:ascii="宋体" w:hAnsi="宋体"/>
                <w:szCs w:val="21"/>
              </w:rPr>
            </w:pPr>
            <w:r>
              <w:rPr>
                <w:rFonts w:hint="eastAsia" w:cs="微软雅黑" w:asciiTheme="minorEastAsia" w:hAnsiTheme="minorEastAsia" w:eastAsiaTheme="minorEastAsia"/>
                <w:szCs w:val="21"/>
              </w:rPr>
              <w:t xml:space="preserve">▲预算金额：180.5万元(其中：预留中小企业份额 180.5万元，占比 </w:t>
            </w:r>
            <w:r>
              <w:rPr>
                <w:rFonts w:hint="eastAsia" w:cs="宋体"/>
                <w:color w:val="C00000"/>
                <w:szCs w:val="21"/>
              </w:rPr>
              <w:t>100</w:t>
            </w:r>
            <w:r>
              <w:rPr>
                <w:rFonts w:hint="eastAsia" w:cs="微软雅黑" w:asciiTheme="minorEastAsia" w:hAnsiTheme="minorEastAsia" w:eastAsiaTheme="minorEastAsia"/>
                <w:szCs w:val="21"/>
              </w:rPr>
              <w:t xml:space="preserve"> %)，报价折扣率超过100%的其投标文件作无效标处理。</w:t>
            </w:r>
          </w:p>
        </w:tc>
      </w:tr>
      <w:tr w14:paraId="43475B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9"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1A7A652E">
            <w:pPr>
              <w:snapToGrid w:val="0"/>
              <w:spacing w:line="360" w:lineRule="auto"/>
              <w:jc w:val="center"/>
              <w:rPr>
                <w:rFonts w:ascii="宋体" w:hAnsi="宋体" w:cs="微软雅黑"/>
                <w:szCs w:val="21"/>
              </w:rPr>
            </w:pPr>
            <w:r>
              <w:rPr>
                <w:rFonts w:hint="eastAsia" w:ascii="宋体" w:hAnsi="宋体" w:cs="微软雅黑"/>
                <w:szCs w:val="21"/>
              </w:rPr>
              <w:t>5</w:t>
            </w:r>
          </w:p>
        </w:tc>
        <w:tc>
          <w:tcPr>
            <w:tcW w:w="8652" w:type="dxa"/>
            <w:tcBorders>
              <w:top w:val="single" w:color="auto" w:sz="4" w:space="0"/>
              <w:left w:val="single" w:color="auto" w:sz="4" w:space="0"/>
              <w:bottom w:val="single" w:color="auto" w:sz="4" w:space="0"/>
              <w:right w:val="single" w:color="auto" w:sz="4" w:space="0"/>
            </w:tcBorders>
            <w:vAlign w:val="center"/>
          </w:tcPr>
          <w:p w14:paraId="71838CF7">
            <w:pPr>
              <w:snapToGrid w:val="0"/>
              <w:spacing w:line="360" w:lineRule="auto"/>
              <w:rPr>
                <w:rFonts w:ascii="宋体" w:hAnsi="宋体" w:cs="微软雅黑"/>
                <w:szCs w:val="21"/>
              </w:rPr>
            </w:pPr>
            <w:r>
              <w:rPr>
                <w:rFonts w:hint="eastAsia" w:ascii="宋体" w:hAnsi="宋体" w:cs="微软雅黑"/>
                <w:szCs w:val="21"/>
              </w:rPr>
              <w:t>投标保证金：</w:t>
            </w:r>
            <w:r>
              <w:rPr>
                <w:rFonts w:hint="eastAsia" w:ascii="宋体" w:hAnsi="宋体"/>
                <w:szCs w:val="21"/>
              </w:rPr>
              <w:t>本项目不设投标保证金</w:t>
            </w:r>
          </w:p>
        </w:tc>
      </w:tr>
      <w:tr w14:paraId="413EAB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03EEA28C">
            <w:pPr>
              <w:snapToGrid w:val="0"/>
              <w:spacing w:line="360" w:lineRule="auto"/>
              <w:jc w:val="center"/>
              <w:rPr>
                <w:rFonts w:ascii="宋体" w:hAnsi="宋体" w:cs="微软雅黑"/>
                <w:szCs w:val="21"/>
              </w:rPr>
            </w:pPr>
            <w:r>
              <w:rPr>
                <w:rFonts w:hint="eastAsia" w:ascii="宋体" w:hAnsi="宋体" w:cs="微软雅黑"/>
                <w:szCs w:val="21"/>
              </w:rPr>
              <w:t>6</w:t>
            </w:r>
          </w:p>
        </w:tc>
        <w:tc>
          <w:tcPr>
            <w:tcW w:w="8652" w:type="dxa"/>
            <w:tcBorders>
              <w:top w:val="single" w:color="auto" w:sz="4" w:space="0"/>
              <w:left w:val="single" w:color="auto" w:sz="4" w:space="0"/>
              <w:bottom w:val="single" w:color="auto" w:sz="4" w:space="0"/>
              <w:right w:val="single" w:color="auto" w:sz="4" w:space="0"/>
            </w:tcBorders>
            <w:vAlign w:val="center"/>
          </w:tcPr>
          <w:p w14:paraId="50290693">
            <w:pPr>
              <w:snapToGrid w:val="0"/>
              <w:spacing w:line="360" w:lineRule="auto"/>
              <w:jc w:val="left"/>
              <w:rPr>
                <w:rFonts w:ascii="宋体" w:hAnsi="宋体" w:cs="微软雅黑"/>
                <w:szCs w:val="21"/>
              </w:rPr>
            </w:pPr>
            <w:r>
              <w:rPr>
                <w:rFonts w:hint="eastAsia" w:ascii="宋体" w:hAnsi="宋体" w:cs="微软雅黑"/>
                <w:szCs w:val="21"/>
              </w:rPr>
              <w:t>现场踏勘：自行踏勘（费用自理）若因投标人未踏勘造成的报价不准确，由投标人自行承担所有责任。联系人：张先生，联系方式：15968312750</w:t>
            </w:r>
          </w:p>
        </w:tc>
      </w:tr>
      <w:tr w14:paraId="72E92D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72805FEA">
            <w:pPr>
              <w:snapToGrid w:val="0"/>
              <w:spacing w:line="360" w:lineRule="auto"/>
              <w:jc w:val="center"/>
              <w:rPr>
                <w:rFonts w:ascii="宋体" w:hAnsi="宋体" w:cs="微软雅黑"/>
                <w:szCs w:val="21"/>
              </w:rPr>
            </w:pPr>
            <w:r>
              <w:rPr>
                <w:rFonts w:hint="eastAsia" w:ascii="宋体" w:hAnsi="宋体" w:cs="微软雅黑"/>
                <w:szCs w:val="21"/>
              </w:rPr>
              <w:t>7</w:t>
            </w:r>
          </w:p>
        </w:tc>
        <w:tc>
          <w:tcPr>
            <w:tcW w:w="8652" w:type="dxa"/>
            <w:tcBorders>
              <w:top w:val="single" w:color="auto" w:sz="4" w:space="0"/>
              <w:left w:val="single" w:color="auto" w:sz="4" w:space="0"/>
              <w:bottom w:val="single" w:color="auto" w:sz="4" w:space="0"/>
              <w:right w:val="single" w:color="auto" w:sz="4" w:space="0"/>
            </w:tcBorders>
            <w:vAlign w:val="center"/>
          </w:tcPr>
          <w:p w14:paraId="16112988">
            <w:pPr>
              <w:spacing w:line="360" w:lineRule="auto"/>
            </w:pPr>
            <w:r>
              <w:rPr>
                <w:rFonts w:hint="eastAsia"/>
              </w:rPr>
              <w:t>演示时间及地点：</w:t>
            </w:r>
          </w:p>
          <w:p w14:paraId="3B5D684D">
            <w:pPr>
              <w:snapToGrid w:val="0"/>
              <w:spacing w:line="360" w:lineRule="auto"/>
              <w:jc w:val="left"/>
              <w:rPr>
                <w:rFonts w:ascii="宋体" w:hAnsi="宋体" w:cs="微软雅黑"/>
                <w:szCs w:val="21"/>
              </w:rPr>
            </w:pPr>
            <w:sdt>
              <w:sdtPr>
                <w:rPr>
                  <w:rFonts w:hint="eastAsia" w:ascii="宋体" w:hAnsi="宋体" w:cs="微软雅黑"/>
                  <w:szCs w:val="21"/>
                </w:rPr>
                <w:id w:val="-1859348549"/>
              </w:sdtPr>
              <w:sdtEndPr>
                <w:rPr>
                  <w:rFonts w:hint="eastAsia" w:ascii="宋体" w:hAnsi="宋体" w:cs="微软雅黑"/>
                  <w:szCs w:val="21"/>
                </w:rPr>
              </w:sdtEndPr>
              <w:sdtContent>
                <w:r>
                  <w:rPr>
                    <w:rFonts w:ascii="Wingdings" w:hAnsi="Wingdings" w:cs="微软雅黑"/>
                    <w:szCs w:val="21"/>
                  </w:rPr>
                  <w:t></w:t>
                </w:r>
              </w:sdtContent>
            </w:sdt>
            <w:r>
              <w:rPr>
                <w:rFonts w:hint="eastAsia" w:ascii="宋体" w:hAnsi="宋体" w:cs="微软雅黑"/>
                <w:szCs w:val="21"/>
              </w:rPr>
              <w:t>A不组织。</w:t>
            </w:r>
          </w:p>
          <w:p w14:paraId="21BD5955">
            <w:pPr>
              <w:snapToGrid w:val="0"/>
              <w:spacing w:line="360" w:lineRule="auto"/>
              <w:jc w:val="left"/>
              <w:rPr>
                <w:rFonts w:ascii="宋体" w:hAnsi="宋体" w:cs="微软雅黑"/>
                <w:szCs w:val="21"/>
              </w:rPr>
            </w:pPr>
            <w:sdt>
              <w:sdtPr>
                <w:rPr>
                  <w:rFonts w:hint="eastAsia" w:ascii="宋体" w:hAnsi="宋体" w:cs="微软雅黑"/>
                  <w:szCs w:val="21"/>
                </w:rPr>
                <w:id w:val="1174071719"/>
              </w:sdtPr>
              <w:sdtEndPr>
                <w:rPr>
                  <w:rFonts w:hint="eastAsia" w:ascii="宋体" w:hAnsi="宋体" w:cs="微软雅黑"/>
                  <w:szCs w:val="21"/>
                </w:rPr>
              </w:sdtEndPr>
              <w:sdtContent>
                <w:r>
                  <w:rPr>
                    <w:rFonts w:hint="eastAsia" w:ascii="宋体" w:hAnsi="宋体" w:cs="微软雅黑"/>
                    <w:szCs w:val="21"/>
                  </w:rPr>
                  <w:t>☐</w:t>
                </w:r>
              </w:sdtContent>
            </w:sdt>
            <w:r>
              <w:rPr>
                <w:rFonts w:hint="eastAsia" w:ascii="宋体" w:hAnsi="宋体" w:cs="微软雅黑"/>
                <w:szCs w:val="21"/>
              </w:rPr>
              <w:t>B组织。</w:t>
            </w:r>
          </w:p>
          <w:p w14:paraId="0DE30C87">
            <w:pPr>
              <w:snapToGrid w:val="0"/>
              <w:spacing w:line="360" w:lineRule="auto"/>
              <w:jc w:val="left"/>
              <w:rPr>
                <w:rFonts w:ascii="宋体" w:hAnsi="宋体" w:cs="微软雅黑"/>
                <w:szCs w:val="21"/>
              </w:rPr>
            </w:pPr>
            <w:r>
              <w:rPr>
                <w:rFonts w:hint="eastAsia" w:ascii="宋体" w:hAnsi="宋体" w:cs="微软雅黑"/>
                <w:szCs w:val="21"/>
              </w:rPr>
              <w:t>（1）在评标时安排每个投标人进行方案讲解演示。每个投标人时间不超过20（编制时可根据项目情况进行调整）分钟，讲解次序以投标文件解密时间先后次序为准，讲解演示人员不超过1（编制时可根据项目情况进行调整）人。讲解演示结束后按要求解答评标委员会提问。</w:t>
            </w:r>
          </w:p>
          <w:p w14:paraId="6B59EB0C">
            <w:pPr>
              <w:snapToGrid w:val="0"/>
              <w:spacing w:line="360" w:lineRule="auto"/>
              <w:jc w:val="left"/>
              <w:rPr>
                <w:rFonts w:ascii="宋体" w:hAnsi="宋体" w:cs="微软雅黑"/>
                <w:szCs w:val="21"/>
              </w:rPr>
            </w:pPr>
            <w:r>
              <w:rPr>
                <w:rFonts w:hint="eastAsia" w:ascii="宋体" w:hAnsi="宋体" w:cs="微软雅黑"/>
                <w:szCs w:val="21"/>
              </w:rPr>
              <w:t>（2）方案讲解演示可选择以下其中一种方式：</w:t>
            </w:r>
          </w:p>
          <w:p w14:paraId="1F263866">
            <w:pPr>
              <w:snapToGrid w:val="0"/>
              <w:spacing w:line="360" w:lineRule="auto"/>
              <w:jc w:val="left"/>
              <w:rPr>
                <w:rFonts w:ascii="宋体" w:hAnsi="宋体" w:cs="微软雅黑"/>
                <w:szCs w:val="21"/>
              </w:rPr>
            </w:pPr>
            <w:r>
              <w:rPr>
                <w:rFonts w:hint="eastAsia" w:ascii="宋体" w:hAnsi="宋体" w:cs="微软雅黑"/>
                <w:szCs w:val="21"/>
              </w:rPr>
              <w:t>方式一：钉钉在线讲解演示。钉钉会议视频功能在线讲解需投标人根据钉钉软件操作要求做好准备工作，提前完善软硬件配置环境。</w:t>
            </w:r>
          </w:p>
          <w:p w14:paraId="719B2537">
            <w:pPr>
              <w:snapToGrid w:val="0"/>
              <w:spacing w:line="360" w:lineRule="auto"/>
              <w:jc w:val="left"/>
              <w:rPr>
                <w:rFonts w:ascii="宋体" w:hAnsi="宋体" w:cs="微软雅黑"/>
                <w:szCs w:val="21"/>
              </w:rPr>
            </w:pPr>
            <w:r>
              <w:rPr>
                <w:rFonts w:hint="eastAsia" w:ascii="宋体" w:hAnsi="宋体" w:cs="微软雅黑"/>
                <w:szCs w:val="21"/>
              </w:rPr>
              <w:t>方式二：现场讲解演示。现场讲解地点为</w:t>
            </w:r>
            <w:r>
              <w:rPr>
                <w:rFonts w:hint="eastAsia" w:cs="宋体"/>
                <w:szCs w:val="21"/>
              </w:rPr>
              <w:t>在嘉兴市消防救援支队</w:t>
            </w:r>
            <w:r>
              <w:rPr>
                <w:rFonts w:hint="eastAsia" w:ascii="宋体" w:hAnsi="宋体" w:cs="微软雅黑"/>
                <w:szCs w:val="21"/>
              </w:rPr>
              <w:t>，讲解演示所用电脑等设备由投标人自备。现场讲解演示人员进场时提供讲解人员名单（加盖公章或授权代表签名）及身份证明，否则不得讲解演示。</w:t>
            </w:r>
          </w:p>
          <w:p w14:paraId="4C58DDEA">
            <w:pPr>
              <w:snapToGrid w:val="0"/>
              <w:spacing w:line="360" w:lineRule="auto"/>
              <w:jc w:val="left"/>
            </w:pPr>
            <w:r>
              <w:rPr>
                <w:rFonts w:hint="eastAsia" w:ascii="宋体" w:hAnsi="宋体" w:cs="微软雅黑"/>
                <w:szCs w:val="21"/>
              </w:rPr>
              <w:t>注：因投标人自身原因导致无法演示或者演示效果不理想的，责任自负。</w:t>
            </w:r>
          </w:p>
        </w:tc>
      </w:tr>
      <w:tr w14:paraId="78703F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51751FEB">
            <w:pPr>
              <w:snapToGrid w:val="0"/>
              <w:spacing w:line="360" w:lineRule="auto"/>
              <w:jc w:val="center"/>
              <w:rPr>
                <w:rFonts w:ascii="宋体" w:hAnsi="宋体" w:cs="微软雅黑"/>
                <w:szCs w:val="21"/>
              </w:rPr>
            </w:pPr>
            <w:r>
              <w:rPr>
                <w:rFonts w:hint="eastAsia" w:ascii="宋体" w:hAnsi="宋体" w:cs="微软雅黑"/>
                <w:szCs w:val="21"/>
              </w:rPr>
              <w:t>8</w:t>
            </w:r>
          </w:p>
        </w:tc>
        <w:tc>
          <w:tcPr>
            <w:tcW w:w="8652" w:type="dxa"/>
            <w:tcBorders>
              <w:top w:val="single" w:color="auto" w:sz="4" w:space="0"/>
              <w:left w:val="single" w:color="auto" w:sz="4" w:space="0"/>
              <w:bottom w:val="single" w:color="auto" w:sz="4" w:space="0"/>
              <w:right w:val="single" w:color="auto" w:sz="4" w:space="0"/>
            </w:tcBorders>
            <w:vAlign w:val="center"/>
          </w:tcPr>
          <w:p w14:paraId="65E0381F">
            <w:pPr>
              <w:snapToGrid w:val="0"/>
              <w:spacing w:line="360" w:lineRule="auto"/>
              <w:jc w:val="left"/>
              <w:rPr>
                <w:rFonts w:ascii="宋体" w:hAnsi="宋体" w:cs="微软雅黑"/>
                <w:szCs w:val="21"/>
              </w:rPr>
            </w:pPr>
            <w:r>
              <w:rPr>
                <w:rFonts w:hint="eastAsia" w:ascii="宋体" w:hAnsi="宋体" w:cs="微软雅黑"/>
                <w:szCs w:val="21"/>
              </w:rPr>
              <w:t>分包：</w:t>
            </w:r>
          </w:p>
          <w:p w14:paraId="2BD6EFDF">
            <w:pPr>
              <w:snapToGrid w:val="0"/>
              <w:spacing w:line="360" w:lineRule="auto"/>
              <w:jc w:val="left"/>
              <w:rPr>
                <w:rFonts w:ascii="宋体" w:hAnsi="宋体" w:cs="微软雅黑"/>
                <w:szCs w:val="21"/>
              </w:rPr>
            </w:pPr>
            <w:sdt>
              <w:sdtPr>
                <w:rPr>
                  <w:rFonts w:hint="eastAsia" w:ascii="宋体" w:hAnsi="宋体" w:cs="微软雅黑"/>
                  <w:szCs w:val="21"/>
                </w:rPr>
                <w:id w:val="-1477286927"/>
              </w:sdtPr>
              <w:sdtEndPr>
                <w:rPr>
                  <w:rFonts w:hint="eastAsia" w:ascii="宋体" w:hAnsi="宋体" w:cs="微软雅黑"/>
                  <w:szCs w:val="21"/>
                </w:rPr>
              </w:sdtEndPr>
              <w:sdtContent>
                <w:r>
                  <w:rPr>
                    <w:rFonts w:hint="eastAsia" w:ascii="宋体" w:hAnsi="宋体" w:cs="微软雅黑"/>
                    <w:szCs w:val="21"/>
                  </w:rPr>
                  <w:t>☐</w:t>
                </w:r>
              </w:sdtContent>
            </w:sdt>
            <w:r>
              <w:rPr>
                <w:rFonts w:hint="eastAsia" w:ascii="宋体" w:hAnsi="宋体" w:cs="微软雅黑"/>
                <w:szCs w:val="21"/>
              </w:rPr>
              <w:t xml:space="preserve"> A同意将非主体、非关键性的</w:t>
            </w:r>
            <w:r>
              <w:rPr>
                <w:rFonts w:hint="eastAsia" w:ascii="宋体" w:hAnsi="宋体" w:cs="微软雅黑"/>
                <w:szCs w:val="21"/>
                <w:u w:val="single"/>
              </w:rPr>
              <w:t xml:space="preserve">            </w:t>
            </w:r>
            <w:r>
              <w:rPr>
                <w:rFonts w:hint="eastAsia" w:ascii="宋体" w:hAnsi="宋体" w:cs="微软雅黑"/>
                <w:szCs w:val="21"/>
              </w:rPr>
              <w:t xml:space="preserve"> 工作分包。</w:t>
            </w:r>
          </w:p>
          <w:p w14:paraId="143B8D0C">
            <w:pPr>
              <w:spacing w:line="360" w:lineRule="auto"/>
              <w:jc w:val="left"/>
              <w:rPr>
                <w:rFonts w:ascii="宋体" w:hAnsi="宋体" w:cs="宋体"/>
                <w:szCs w:val="21"/>
              </w:rPr>
            </w:pPr>
            <w:r>
              <w:rPr>
                <w:rFonts w:hint="eastAsia" w:ascii="宋体" w:hAnsi="宋体" w:cs="宋体"/>
                <w:szCs w:val="21"/>
              </w:rPr>
              <w:t>共分为</w:t>
            </w:r>
            <w:r>
              <w:rPr>
                <w:rFonts w:hint="eastAsia" w:ascii="宋体" w:hAnsi="宋体" w:cs="宋体"/>
                <w:szCs w:val="21"/>
                <w:u w:val="single"/>
              </w:rPr>
              <w:t xml:space="preserve">   </w:t>
            </w:r>
            <w:r>
              <w:rPr>
                <w:rFonts w:hint="eastAsia" w:ascii="宋体" w:hAnsi="宋体" w:cs="宋体"/>
                <w:szCs w:val="21"/>
              </w:rPr>
              <w:t>个包，第1包:分包名称，</w:t>
            </w:r>
            <w:r>
              <w:rPr>
                <w:rFonts w:hint="eastAsia" w:ascii="宋体" w:hAnsi="宋体" w:cs="宋体"/>
                <w:szCs w:val="21"/>
                <w:u w:val="single"/>
              </w:rPr>
              <w:t xml:space="preserve">   </w:t>
            </w:r>
            <w:r>
              <w:rPr>
                <w:rFonts w:hint="eastAsia" w:ascii="宋体" w:hAnsi="宋体" w:cs="宋体"/>
                <w:szCs w:val="21"/>
              </w:rPr>
              <w:t xml:space="preserve"> 万元，第2包:分包名称，</w:t>
            </w:r>
            <w:r>
              <w:rPr>
                <w:rFonts w:hint="eastAsia" w:ascii="宋体" w:hAnsi="宋体" w:cs="宋体"/>
                <w:szCs w:val="21"/>
                <w:u w:val="single"/>
              </w:rPr>
              <w:t xml:space="preserve">   </w:t>
            </w:r>
            <w:r>
              <w:rPr>
                <w:rFonts w:hint="eastAsia" w:ascii="宋体" w:hAnsi="宋体" w:cs="宋体"/>
                <w:szCs w:val="21"/>
              </w:rPr>
              <w:t>万元，第3包:分包名称，</w:t>
            </w:r>
            <w:r>
              <w:rPr>
                <w:rFonts w:hint="eastAsia" w:ascii="宋体" w:hAnsi="宋体" w:cs="宋体"/>
                <w:szCs w:val="21"/>
                <w:u w:val="single"/>
              </w:rPr>
              <w:t xml:space="preserve">   </w:t>
            </w:r>
            <w:r>
              <w:rPr>
                <w:rFonts w:hint="eastAsia" w:ascii="宋体" w:hAnsi="宋体" w:cs="宋体"/>
                <w:szCs w:val="21"/>
              </w:rPr>
              <w:t>万元…………</w:t>
            </w:r>
          </w:p>
          <w:p w14:paraId="46D595FA">
            <w:pPr>
              <w:pStyle w:val="8"/>
            </w:pPr>
            <w:r>
              <w:rPr>
                <w:rFonts w:hint="eastAsia" w:ascii="宋体" w:hAnsi="宋体" w:cs="宋体"/>
                <w:szCs w:val="21"/>
              </w:rPr>
              <w:t>注：每个分包需注明预留中小企业份额</w:t>
            </w:r>
          </w:p>
          <w:p w14:paraId="23EDDD79">
            <w:pPr>
              <w:snapToGrid w:val="0"/>
              <w:spacing w:line="360" w:lineRule="auto"/>
              <w:jc w:val="left"/>
              <w:rPr>
                <w:rFonts w:ascii="宋体" w:hAnsi="宋体" w:cs="微软雅黑"/>
                <w:szCs w:val="21"/>
              </w:rPr>
            </w:pPr>
            <w:sdt>
              <w:sdtPr>
                <w:rPr>
                  <w:rFonts w:hint="eastAsia" w:ascii="宋体" w:hAnsi="宋体" w:cs="微软雅黑"/>
                  <w:szCs w:val="21"/>
                </w:rPr>
                <w:id w:val="-1276331357"/>
              </w:sdtPr>
              <w:sdtEndPr>
                <w:rPr>
                  <w:rFonts w:hint="eastAsia" w:ascii="宋体" w:hAnsi="宋体" w:cs="微软雅黑"/>
                  <w:szCs w:val="21"/>
                </w:rPr>
              </w:sdtEndPr>
              <w:sdtContent>
                <w:r>
                  <w:rPr>
                    <w:rFonts w:ascii="Wingdings" w:hAnsi="Wingdings" w:cs="微软雅黑"/>
                    <w:szCs w:val="21"/>
                  </w:rPr>
                  <w:t></w:t>
                </w:r>
              </w:sdtContent>
            </w:sdt>
            <w:r>
              <w:rPr>
                <w:rFonts w:hint="eastAsia" w:ascii="宋体" w:hAnsi="宋体" w:cs="微软雅黑"/>
                <w:szCs w:val="21"/>
              </w:rPr>
              <w:t xml:space="preserve"> B不同意分包。</w:t>
            </w:r>
          </w:p>
          <w:p w14:paraId="2C8942E6">
            <w:pPr>
              <w:snapToGrid w:val="0"/>
              <w:spacing w:line="360" w:lineRule="auto"/>
              <w:jc w:val="left"/>
              <w:rPr>
                <w:rFonts w:ascii="宋体" w:hAnsi="宋体" w:cs="微软雅黑"/>
                <w:szCs w:val="21"/>
              </w:rPr>
            </w:pPr>
            <w:r>
              <w:rPr>
                <w:rFonts w:hint="eastAsia" w:ascii="宋体" w:hAnsi="宋体" w:cs="微软雅黑"/>
                <w:szCs w:val="21"/>
              </w:rPr>
              <w:t>注：不得限制大中型企业向小微企业合理分包。</w:t>
            </w:r>
          </w:p>
        </w:tc>
      </w:tr>
      <w:tr w14:paraId="066EC2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79CFEAA4">
            <w:pPr>
              <w:snapToGrid w:val="0"/>
              <w:spacing w:line="360" w:lineRule="auto"/>
              <w:jc w:val="center"/>
              <w:rPr>
                <w:rFonts w:ascii="宋体" w:hAnsi="宋体" w:cs="微软雅黑"/>
                <w:szCs w:val="21"/>
              </w:rPr>
            </w:pPr>
            <w:r>
              <w:rPr>
                <w:rFonts w:hint="eastAsia" w:ascii="宋体" w:hAnsi="宋体" w:cs="微软雅黑"/>
                <w:szCs w:val="21"/>
              </w:rPr>
              <w:t>9</w:t>
            </w:r>
          </w:p>
        </w:tc>
        <w:tc>
          <w:tcPr>
            <w:tcW w:w="8652" w:type="dxa"/>
            <w:tcBorders>
              <w:top w:val="single" w:color="auto" w:sz="4" w:space="0"/>
              <w:left w:val="single" w:color="auto" w:sz="4" w:space="0"/>
              <w:bottom w:val="single" w:color="auto" w:sz="4" w:space="0"/>
              <w:right w:val="single" w:color="auto" w:sz="4" w:space="0"/>
            </w:tcBorders>
            <w:vAlign w:val="center"/>
          </w:tcPr>
          <w:p w14:paraId="56F1FF4B">
            <w:pPr>
              <w:snapToGrid w:val="0"/>
              <w:spacing w:line="360" w:lineRule="auto"/>
              <w:jc w:val="left"/>
              <w:rPr>
                <w:rFonts w:ascii="宋体" w:hAnsi="宋体" w:cs="微软雅黑"/>
                <w:szCs w:val="21"/>
              </w:rPr>
            </w:pPr>
            <w:r>
              <w:rPr>
                <w:rFonts w:hint="eastAsia" w:ascii="宋体" w:hAnsi="宋体" w:cs="微软雅黑"/>
                <w:szCs w:val="21"/>
              </w:rPr>
              <w:t>答疑与澄清：详见招标文件</w:t>
            </w:r>
          </w:p>
        </w:tc>
      </w:tr>
      <w:tr w14:paraId="4F90E3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7DC3E06B">
            <w:pPr>
              <w:snapToGrid w:val="0"/>
              <w:spacing w:line="360" w:lineRule="auto"/>
              <w:jc w:val="center"/>
              <w:rPr>
                <w:rFonts w:ascii="宋体" w:hAnsi="宋体" w:cs="微软雅黑"/>
                <w:szCs w:val="21"/>
              </w:rPr>
            </w:pPr>
            <w:r>
              <w:rPr>
                <w:rFonts w:hint="eastAsia" w:ascii="宋体" w:hAnsi="宋体" w:cs="微软雅黑"/>
                <w:szCs w:val="21"/>
              </w:rPr>
              <w:t>10</w:t>
            </w:r>
          </w:p>
        </w:tc>
        <w:tc>
          <w:tcPr>
            <w:tcW w:w="8652" w:type="dxa"/>
            <w:tcBorders>
              <w:top w:val="single" w:color="auto" w:sz="4" w:space="0"/>
              <w:left w:val="single" w:color="auto" w:sz="4" w:space="0"/>
              <w:bottom w:val="single" w:color="auto" w:sz="4" w:space="0"/>
              <w:right w:val="single" w:color="auto" w:sz="4" w:space="0"/>
            </w:tcBorders>
            <w:vAlign w:val="center"/>
          </w:tcPr>
          <w:p w14:paraId="6E513BFE">
            <w:pPr>
              <w:autoSpaceDE w:val="0"/>
              <w:autoSpaceDN w:val="0"/>
              <w:snapToGrid w:val="0"/>
              <w:spacing w:line="360" w:lineRule="auto"/>
              <w:jc w:val="left"/>
              <w:textAlignment w:val="bottom"/>
              <w:rPr>
                <w:rFonts w:ascii="宋体" w:hAnsi="宋体" w:cs="微软雅黑"/>
                <w:szCs w:val="21"/>
              </w:rPr>
            </w:pPr>
            <w:r>
              <w:rPr>
                <w:rFonts w:hint="eastAsia" w:ascii="宋体" w:hAnsi="宋体" w:cs="微软雅黑"/>
                <w:szCs w:val="21"/>
              </w:rPr>
              <w:t>投标文件组成</w:t>
            </w:r>
            <w:r>
              <w:rPr>
                <w:rFonts w:hint="eastAsia" w:ascii="宋体" w:hAnsi="宋体"/>
                <w:szCs w:val="21"/>
              </w:rPr>
              <w:t>：</w:t>
            </w:r>
            <w:r>
              <w:rPr>
                <w:rFonts w:hint="eastAsia" w:ascii="宋体" w:hAnsi="宋体" w:cs="宋体"/>
                <w:b/>
                <w:bCs/>
                <w:szCs w:val="21"/>
              </w:rPr>
              <w:t>报价文件、资信商务及技术文件正本各1份；副本各3份；提供响应文件的电子文档PDF一份（u盘或光盘）</w:t>
            </w:r>
          </w:p>
        </w:tc>
      </w:tr>
      <w:tr w14:paraId="3993C5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760BF9DC">
            <w:pPr>
              <w:snapToGrid w:val="0"/>
              <w:spacing w:line="360" w:lineRule="auto"/>
              <w:jc w:val="center"/>
              <w:rPr>
                <w:rFonts w:ascii="宋体" w:hAnsi="宋体" w:cs="微软雅黑"/>
                <w:szCs w:val="21"/>
              </w:rPr>
            </w:pPr>
            <w:r>
              <w:rPr>
                <w:rFonts w:hint="eastAsia" w:ascii="宋体" w:hAnsi="宋体" w:cs="微软雅黑"/>
                <w:szCs w:val="21"/>
              </w:rPr>
              <w:t>11</w:t>
            </w:r>
          </w:p>
        </w:tc>
        <w:tc>
          <w:tcPr>
            <w:tcW w:w="8652" w:type="dxa"/>
            <w:tcBorders>
              <w:top w:val="single" w:color="auto" w:sz="4" w:space="0"/>
              <w:left w:val="single" w:color="auto" w:sz="4" w:space="0"/>
              <w:bottom w:val="single" w:color="auto" w:sz="4" w:space="0"/>
              <w:right w:val="single" w:color="auto" w:sz="4" w:space="0"/>
            </w:tcBorders>
            <w:vAlign w:val="center"/>
          </w:tcPr>
          <w:p w14:paraId="16930307">
            <w:pPr>
              <w:pStyle w:val="43"/>
              <w:spacing w:before="60" w:beforeAutospacing="0" w:after="60" w:afterAutospacing="0" w:line="360" w:lineRule="auto"/>
              <w:rPr>
                <w:rFonts w:cs="微软雅黑"/>
                <w:szCs w:val="21"/>
              </w:rPr>
            </w:pPr>
            <w:r>
              <w:rPr>
                <w:rFonts w:hint="eastAsia" w:cs="宋体"/>
                <w:sz w:val="21"/>
                <w:szCs w:val="21"/>
              </w:rPr>
              <w:t>提交投标文件截止时间及地点：投标人应于</w:t>
            </w:r>
            <w:r>
              <w:rPr>
                <w:rFonts w:hint="eastAsia" w:cs="宋体"/>
                <w:sz w:val="21"/>
                <w:szCs w:val="21"/>
                <w:highlight w:val="yellow"/>
              </w:rPr>
              <w:t>202</w:t>
            </w:r>
            <w:r>
              <w:rPr>
                <w:rFonts w:hint="eastAsia" w:cs="宋体"/>
                <w:sz w:val="21"/>
                <w:szCs w:val="21"/>
                <w:highlight w:val="yellow"/>
                <w:lang w:val="en-US" w:eastAsia="zh-CN"/>
              </w:rPr>
              <w:t>4</w:t>
            </w:r>
            <w:r>
              <w:rPr>
                <w:rFonts w:hint="eastAsia" w:cs="宋体"/>
                <w:sz w:val="21"/>
                <w:szCs w:val="21"/>
                <w:highlight w:val="yellow"/>
              </w:rPr>
              <w:t>年</w:t>
            </w:r>
            <w:r>
              <w:rPr>
                <w:rFonts w:hint="eastAsia" w:cs="宋体"/>
                <w:sz w:val="21"/>
                <w:szCs w:val="21"/>
                <w:highlight w:val="yellow"/>
                <w:lang w:val="en-US" w:eastAsia="zh-CN"/>
              </w:rPr>
              <w:t xml:space="preserve"> </w:t>
            </w:r>
            <w:r>
              <w:rPr>
                <w:rFonts w:hint="eastAsia" w:cs="宋体"/>
                <w:sz w:val="21"/>
                <w:szCs w:val="21"/>
                <w:highlight w:val="yellow"/>
              </w:rPr>
              <w:t>月</w:t>
            </w:r>
            <w:r>
              <w:rPr>
                <w:rFonts w:hint="eastAsia" w:cs="宋体"/>
                <w:sz w:val="21"/>
                <w:szCs w:val="21"/>
                <w:highlight w:val="yellow"/>
                <w:lang w:val="en-US" w:eastAsia="zh-CN"/>
              </w:rPr>
              <w:t xml:space="preserve"> </w:t>
            </w:r>
            <w:r>
              <w:rPr>
                <w:rFonts w:hint="eastAsia" w:cs="宋体"/>
                <w:sz w:val="21"/>
                <w:szCs w:val="21"/>
                <w:highlight w:val="yellow"/>
              </w:rPr>
              <w:t>日14:30</w:t>
            </w:r>
            <w:r>
              <w:rPr>
                <w:rFonts w:hint="eastAsia" w:cs="宋体"/>
                <w:sz w:val="21"/>
                <w:szCs w:val="21"/>
              </w:rPr>
              <w:t>分前将投标文件密封送交到嘉兴市消防救援支队4楼开标室（嘉兴市长水路1500号）或浙江省房地产管理咨询有限公司嘉兴分公司（嘉兴智慧产业创新园智慧大厦B座402室），逾期送达不予接收。 </w:t>
            </w:r>
          </w:p>
        </w:tc>
      </w:tr>
      <w:tr w14:paraId="5E7C89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32967B01">
            <w:pPr>
              <w:snapToGrid w:val="0"/>
              <w:spacing w:line="360" w:lineRule="auto"/>
              <w:jc w:val="center"/>
              <w:rPr>
                <w:rFonts w:ascii="宋体" w:hAnsi="宋体" w:cs="微软雅黑"/>
                <w:szCs w:val="21"/>
              </w:rPr>
            </w:pPr>
            <w:r>
              <w:rPr>
                <w:rFonts w:hint="eastAsia" w:ascii="宋体" w:hAnsi="宋体" w:cs="微软雅黑"/>
                <w:szCs w:val="21"/>
              </w:rPr>
              <w:t>12</w:t>
            </w:r>
          </w:p>
        </w:tc>
        <w:tc>
          <w:tcPr>
            <w:tcW w:w="8652" w:type="dxa"/>
            <w:tcBorders>
              <w:top w:val="single" w:color="auto" w:sz="4" w:space="0"/>
              <w:left w:val="single" w:color="auto" w:sz="4" w:space="0"/>
              <w:bottom w:val="single" w:color="auto" w:sz="4" w:space="0"/>
              <w:right w:val="single" w:color="auto" w:sz="4" w:space="0"/>
            </w:tcBorders>
            <w:vAlign w:val="center"/>
          </w:tcPr>
          <w:p w14:paraId="376473DB">
            <w:pPr>
              <w:pStyle w:val="43"/>
              <w:spacing w:before="60" w:beforeAutospacing="0" w:after="60" w:afterAutospacing="0" w:line="360" w:lineRule="auto"/>
              <w:rPr>
                <w:rFonts w:cs="宋体"/>
                <w:sz w:val="21"/>
                <w:szCs w:val="21"/>
                <w:highlight w:val="yellow"/>
              </w:rPr>
            </w:pPr>
            <w:r>
              <w:rPr>
                <w:rFonts w:hint="eastAsia" w:cs="宋体"/>
                <w:sz w:val="21"/>
                <w:szCs w:val="21"/>
              </w:rPr>
              <w:t>开标时间：</w:t>
            </w:r>
            <w:r>
              <w:rPr>
                <w:rFonts w:hint="eastAsia" w:cs="宋体"/>
                <w:sz w:val="21"/>
                <w:szCs w:val="21"/>
                <w:highlight w:val="yellow"/>
              </w:rPr>
              <w:t>202</w:t>
            </w:r>
            <w:r>
              <w:rPr>
                <w:rFonts w:hint="eastAsia" w:cs="宋体"/>
                <w:sz w:val="21"/>
                <w:szCs w:val="21"/>
                <w:highlight w:val="yellow"/>
                <w:lang w:val="en-US" w:eastAsia="zh-CN"/>
              </w:rPr>
              <w:t>4</w:t>
            </w:r>
            <w:r>
              <w:rPr>
                <w:rFonts w:hint="eastAsia" w:cs="宋体"/>
                <w:sz w:val="21"/>
                <w:szCs w:val="21"/>
                <w:highlight w:val="yellow"/>
              </w:rPr>
              <w:t>年</w:t>
            </w:r>
            <w:r>
              <w:rPr>
                <w:rFonts w:hint="eastAsia" w:cs="宋体"/>
                <w:sz w:val="21"/>
                <w:szCs w:val="21"/>
                <w:highlight w:val="yellow"/>
                <w:lang w:val="en-US" w:eastAsia="zh-CN"/>
              </w:rPr>
              <w:t xml:space="preserve"> </w:t>
            </w:r>
            <w:r>
              <w:rPr>
                <w:rFonts w:hint="eastAsia" w:cs="宋体"/>
                <w:sz w:val="21"/>
                <w:szCs w:val="21"/>
                <w:highlight w:val="yellow"/>
              </w:rPr>
              <w:t>月</w:t>
            </w:r>
            <w:r>
              <w:rPr>
                <w:rFonts w:hint="eastAsia" w:cs="宋体"/>
                <w:sz w:val="21"/>
                <w:szCs w:val="21"/>
                <w:highlight w:val="yellow"/>
                <w:lang w:val="en-US" w:eastAsia="zh-CN"/>
              </w:rPr>
              <w:t xml:space="preserve"> </w:t>
            </w:r>
            <w:r>
              <w:rPr>
                <w:rFonts w:hint="eastAsia" w:cs="宋体"/>
                <w:sz w:val="21"/>
                <w:szCs w:val="21"/>
                <w:highlight w:val="yellow"/>
              </w:rPr>
              <w:t>日14:30分</w:t>
            </w:r>
          </w:p>
          <w:p w14:paraId="075245F3">
            <w:pPr>
              <w:autoSpaceDE w:val="0"/>
              <w:autoSpaceDN w:val="0"/>
              <w:snapToGrid w:val="0"/>
              <w:spacing w:line="360" w:lineRule="auto"/>
              <w:jc w:val="left"/>
              <w:textAlignment w:val="bottom"/>
              <w:rPr>
                <w:rFonts w:ascii="宋体" w:hAnsi="宋体" w:cs="微软雅黑"/>
                <w:szCs w:val="21"/>
              </w:rPr>
            </w:pPr>
            <w:r>
              <w:rPr>
                <w:rFonts w:hint="eastAsia" w:cs="宋体"/>
                <w:szCs w:val="21"/>
              </w:rPr>
              <w:t>开标地点：在嘉兴市消防救援支队4楼开标室（嘉兴市长水路1500号）开标，</w:t>
            </w:r>
            <w:r>
              <w:rPr>
                <w:rFonts w:hint="eastAsia" w:ascii="宋体" w:hAnsi="宋体" w:cs="宋体"/>
                <w:b/>
                <w:bCs/>
                <w:szCs w:val="21"/>
              </w:rPr>
              <w:t>请投标单位派1名授权代表前往参加</w:t>
            </w:r>
            <w:r>
              <w:rPr>
                <w:rFonts w:hint="eastAsia" w:cs="宋体"/>
                <w:szCs w:val="21"/>
              </w:rPr>
              <w:t>。</w:t>
            </w:r>
          </w:p>
        </w:tc>
      </w:tr>
      <w:tr w14:paraId="5B731C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2861B3A6">
            <w:pPr>
              <w:snapToGrid w:val="0"/>
              <w:spacing w:line="360" w:lineRule="auto"/>
              <w:jc w:val="center"/>
              <w:rPr>
                <w:rFonts w:ascii="宋体" w:hAnsi="宋体" w:cs="微软雅黑"/>
                <w:szCs w:val="21"/>
              </w:rPr>
            </w:pPr>
            <w:r>
              <w:rPr>
                <w:rFonts w:hint="eastAsia" w:ascii="宋体" w:hAnsi="宋体" w:cs="微软雅黑"/>
                <w:szCs w:val="21"/>
              </w:rPr>
              <w:t>13</w:t>
            </w:r>
          </w:p>
        </w:tc>
        <w:tc>
          <w:tcPr>
            <w:tcW w:w="8652" w:type="dxa"/>
            <w:tcBorders>
              <w:top w:val="single" w:color="auto" w:sz="4" w:space="0"/>
              <w:left w:val="single" w:color="auto" w:sz="4" w:space="0"/>
              <w:bottom w:val="single" w:color="auto" w:sz="4" w:space="0"/>
              <w:right w:val="single" w:color="auto" w:sz="4" w:space="0"/>
            </w:tcBorders>
            <w:vAlign w:val="center"/>
          </w:tcPr>
          <w:p w14:paraId="4AC9A251">
            <w:pPr>
              <w:autoSpaceDE w:val="0"/>
              <w:autoSpaceDN w:val="0"/>
              <w:snapToGrid w:val="0"/>
              <w:spacing w:line="360" w:lineRule="auto"/>
              <w:jc w:val="left"/>
              <w:textAlignment w:val="bottom"/>
              <w:rPr>
                <w:rFonts w:ascii="宋体" w:hAnsi="宋体" w:cs="微软雅黑"/>
                <w:szCs w:val="21"/>
              </w:rPr>
            </w:pPr>
            <w:r>
              <w:rPr>
                <w:rFonts w:hint="eastAsia" w:ascii="宋体" w:hAnsi="宋体" w:cs="微软雅黑"/>
                <w:szCs w:val="21"/>
              </w:rPr>
              <w:t>签订合同时间：中标通知书发出后30日内。</w:t>
            </w:r>
          </w:p>
        </w:tc>
      </w:tr>
      <w:tr w14:paraId="33BE1D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533E2F38">
            <w:pPr>
              <w:snapToGrid w:val="0"/>
              <w:spacing w:line="360" w:lineRule="auto"/>
              <w:jc w:val="center"/>
              <w:rPr>
                <w:rFonts w:ascii="宋体" w:hAnsi="宋体" w:cs="微软雅黑"/>
                <w:szCs w:val="21"/>
              </w:rPr>
            </w:pPr>
            <w:r>
              <w:rPr>
                <w:rFonts w:hint="eastAsia" w:ascii="宋体" w:hAnsi="宋体" w:cs="微软雅黑"/>
                <w:szCs w:val="21"/>
              </w:rPr>
              <w:t>14</w:t>
            </w:r>
          </w:p>
        </w:tc>
        <w:tc>
          <w:tcPr>
            <w:tcW w:w="8652" w:type="dxa"/>
            <w:tcBorders>
              <w:top w:val="single" w:color="auto" w:sz="4" w:space="0"/>
              <w:left w:val="single" w:color="auto" w:sz="4" w:space="0"/>
              <w:bottom w:val="single" w:color="auto" w:sz="4" w:space="0"/>
              <w:right w:val="single" w:color="auto" w:sz="4" w:space="0"/>
            </w:tcBorders>
            <w:vAlign w:val="center"/>
          </w:tcPr>
          <w:p w14:paraId="101D4ABB">
            <w:pPr>
              <w:autoSpaceDE w:val="0"/>
              <w:autoSpaceDN w:val="0"/>
              <w:snapToGrid w:val="0"/>
              <w:spacing w:line="360" w:lineRule="auto"/>
              <w:jc w:val="left"/>
              <w:textAlignment w:val="bottom"/>
              <w:rPr>
                <w:rFonts w:asciiTheme="minorEastAsia" w:hAnsiTheme="minorEastAsia" w:eastAsiaTheme="minorEastAsia"/>
                <w:szCs w:val="21"/>
              </w:rPr>
            </w:pPr>
            <w:r>
              <w:rPr>
                <w:rFonts w:hint="eastAsia" w:asciiTheme="minorEastAsia" w:hAnsiTheme="minorEastAsia" w:eastAsiaTheme="minorEastAsia"/>
                <w:szCs w:val="21"/>
              </w:rPr>
              <w:t>履约保证金的收取及退还：</w:t>
            </w:r>
          </w:p>
          <w:p w14:paraId="678687F8">
            <w:pPr>
              <w:autoSpaceDE w:val="0"/>
              <w:autoSpaceDN w:val="0"/>
              <w:snapToGrid w:val="0"/>
              <w:spacing w:line="360" w:lineRule="auto"/>
              <w:ind w:firstLine="420" w:firstLineChars="200"/>
              <w:jc w:val="left"/>
              <w:textAlignment w:val="bottom"/>
              <w:rPr>
                <w:rFonts w:cs="宋体"/>
                <w:szCs w:val="21"/>
              </w:rPr>
            </w:pPr>
            <w:r>
              <w:rPr>
                <w:rFonts w:hint="eastAsia" w:ascii="MS Gothic" w:hAnsi="MS Gothic" w:cs="宋体"/>
                <w:szCs w:val="21"/>
              </w:rPr>
              <w:t>☐</w:t>
            </w:r>
            <w:r>
              <w:rPr>
                <w:rFonts w:hint="eastAsia" w:cs="宋体"/>
                <w:szCs w:val="21"/>
              </w:rPr>
              <w:t>无；</w:t>
            </w:r>
          </w:p>
          <w:p w14:paraId="7624466E">
            <w:pPr>
              <w:tabs>
                <w:tab w:val="left" w:pos="0"/>
              </w:tabs>
              <w:spacing w:line="360" w:lineRule="auto"/>
              <w:ind w:firstLine="482"/>
              <w:jc w:val="left"/>
              <w:rPr>
                <w:rFonts w:ascii="宋体" w:hAnsi="宋体" w:cs="微软雅黑"/>
                <w:szCs w:val="21"/>
              </w:rPr>
            </w:pPr>
            <w:sdt>
              <w:sdtPr>
                <w:rPr>
                  <w:rFonts w:hint="eastAsia" w:cs="宋体"/>
                  <w:szCs w:val="21"/>
                </w:rPr>
                <w:id w:val="-924730588"/>
              </w:sdtPr>
              <w:sdtEndPr>
                <w:rPr>
                  <w:rFonts w:hint="eastAsia" w:cs="宋体"/>
                  <w:szCs w:val="21"/>
                </w:rPr>
              </w:sdtEndPr>
              <w:sdtContent>
                <w:r>
                  <w:rPr>
                    <w:rFonts w:ascii="Wingdings" w:hAnsi="Wingdings" w:cs="宋体"/>
                    <w:szCs w:val="21"/>
                  </w:rPr>
                  <w:t></w:t>
                </w:r>
              </w:sdtContent>
            </w:sdt>
            <w:r>
              <w:rPr>
                <w:rFonts w:hint="eastAsia" w:cs="宋体"/>
                <w:szCs w:val="21"/>
              </w:rPr>
              <w:t>有：</w:t>
            </w:r>
            <w:r>
              <w:rPr>
                <w:rFonts w:hint="eastAsia" w:ascii="宋体" w:hAnsi="宋体"/>
              </w:rPr>
              <w:t xml:space="preserve">中标单位在 </w:t>
            </w:r>
            <w:r>
              <w:rPr>
                <w:rFonts w:hint="eastAsia" w:ascii="宋体" w:hAnsi="宋体"/>
                <w:highlight w:val="green"/>
              </w:rPr>
              <w:t>签订合同后5个工作日</w:t>
            </w:r>
            <w:r>
              <w:rPr>
                <w:rFonts w:hint="eastAsia" w:ascii="宋体" w:hAnsi="宋体"/>
                <w:highlight w:val="green"/>
                <w:lang w:val="en-US" w:eastAsia="zh-CN"/>
              </w:rPr>
              <w:t>内</w:t>
            </w:r>
            <w:r>
              <w:rPr>
                <w:rFonts w:hint="eastAsia" w:ascii="宋体" w:hAnsi="宋体"/>
              </w:rPr>
              <w:t xml:space="preserve"> 向采购人提交预算价的1%作为履约保证金，中标单位可以支票、汇票、本票或者金融机构、担保机构出具的保函等非现金形式提交。合同履行完毕后10个工作日无息退还。</w:t>
            </w:r>
          </w:p>
        </w:tc>
      </w:tr>
      <w:tr w14:paraId="1DE4B9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168BE898">
            <w:pPr>
              <w:snapToGrid w:val="0"/>
              <w:spacing w:line="360" w:lineRule="auto"/>
              <w:jc w:val="center"/>
              <w:rPr>
                <w:rFonts w:ascii="宋体" w:hAnsi="宋体" w:cs="微软雅黑"/>
                <w:szCs w:val="21"/>
              </w:rPr>
            </w:pPr>
            <w:r>
              <w:rPr>
                <w:rFonts w:hint="eastAsia" w:ascii="宋体" w:hAnsi="宋体" w:cs="微软雅黑"/>
                <w:szCs w:val="21"/>
              </w:rPr>
              <w:t>15</w:t>
            </w:r>
          </w:p>
        </w:tc>
        <w:tc>
          <w:tcPr>
            <w:tcW w:w="8652" w:type="dxa"/>
            <w:tcBorders>
              <w:top w:val="single" w:color="auto" w:sz="4" w:space="0"/>
              <w:left w:val="single" w:color="auto" w:sz="4" w:space="0"/>
              <w:bottom w:val="single" w:color="auto" w:sz="4" w:space="0"/>
              <w:right w:val="single" w:color="auto" w:sz="4" w:space="0"/>
            </w:tcBorders>
            <w:vAlign w:val="center"/>
          </w:tcPr>
          <w:p w14:paraId="47CF6CCD">
            <w:pPr>
              <w:snapToGrid w:val="0"/>
              <w:spacing w:line="360" w:lineRule="auto"/>
              <w:jc w:val="left"/>
              <w:rPr>
                <w:rFonts w:ascii="宋体" w:hAnsi="宋体" w:cs="微软雅黑"/>
                <w:szCs w:val="21"/>
              </w:rPr>
            </w:pPr>
            <w:r>
              <w:rPr>
                <w:rFonts w:hint="eastAsia" w:ascii="宋体" w:hAnsi="宋体" w:cs="微软雅黑"/>
                <w:szCs w:val="21"/>
              </w:rPr>
              <w:t>投标文件有效期：</w:t>
            </w:r>
            <w:r>
              <w:rPr>
                <w:rFonts w:hint="eastAsia" w:ascii="宋体" w:hAnsi="宋体" w:cs="微软雅黑"/>
                <w:szCs w:val="21"/>
                <w:u w:val="single"/>
              </w:rPr>
              <w:t>60</w:t>
            </w:r>
            <w:r>
              <w:rPr>
                <w:rFonts w:hint="eastAsia" w:ascii="宋体" w:hAnsi="宋体" w:cs="微软雅黑"/>
                <w:szCs w:val="21"/>
              </w:rPr>
              <w:t>天</w:t>
            </w:r>
          </w:p>
        </w:tc>
      </w:tr>
      <w:tr w14:paraId="7DCB61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3F79A08E">
            <w:pPr>
              <w:snapToGrid w:val="0"/>
              <w:spacing w:line="360" w:lineRule="auto"/>
              <w:jc w:val="center"/>
              <w:rPr>
                <w:rFonts w:ascii="宋体" w:hAnsi="宋体" w:cs="微软雅黑"/>
                <w:szCs w:val="21"/>
              </w:rPr>
            </w:pPr>
            <w:r>
              <w:rPr>
                <w:rFonts w:hint="eastAsia" w:ascii="宋体" w:hAnsi="宋体" w:cs="微软雅黑"/>
                <w:szCs w:val="21"/>
              </w:rPr>
              <w:t>16</w:t>
            </w:r>
          </w:p>
        </w:tc>
        <w:tc>
          <w:tcPr>
            <w:tcW w:w="8652" w:type="dxa"/>
            <w:tcBorders>
              <w:top w:val="single" w:color="auto" w:sz="4" w:space="0"/>
              <w:left w:val="single" w:color="auto" w:sz="4" w:space="0"/>
              <w:bottom w:val="single" w:color="auto" w:sz="4" w:space="0"/>
              <w:right w:val="single" w:color="auto" w:sz="4" w:space="0"/>
            </w:tcBorders>
            <w:vAlign w:val="center"/>
          </w:tcPr>
          <w:p w14:paraId="2AD0A39F">
            <w:pPr>
              <w:snapToGrid w:val="0"/>
              <w:spacing w:line="360" w:lineRule="auto"/>
              <w:jc w:val="left"/>
              <w:rPr>
                <w:rFonts w:ascii="宋体" w:hAnsi="宋体" w:cs="微软雅黑"/>
                <w:szCs w:val="21"/>
              </w:rPr>
            </w:pPr>
            <w:r>
              <w:rPr>
                <w:rFonts w:hint="eastAsia" w:ascii="宋体" w:hAnsi="宋体"/>
              </w:rPr>
              <w:t>根据《政府采购促进中小企业发展管理办法》财库〔2020〕46号文件的规定，本项目属于预留份额专门面向中小企业采购的项目。</w:t>
            </w:r>
            <w:r>
              <w:rPr>
                <w:rFonts w:hint="eastAsia" w:ascii="宋体" w:hAnsi="宋体"/>
                <w:szCs w:val="21"/>
              </w:rPr>
              <w:t>本项目为服务类，所属行业为</w:t>
            </w:r>
            <w:r>
              <w:rPr>
                <w:rFonts w:hint="eastAsia" w:ascii="宋体" w:hAnsi="宋体"/>
                <w:color w:val="C00000"/>
                <w:szCs w:val="21"/>
              </w:rPr>
              <w:t>批发</w:t>
            </w:r>
            <w:r>
              <w:rPr>
                <w:rFonts w:hint="eastAsia" w:ascii="宋体" w:hAnsi="宋体"/>
                <w:szCs w:val="21"/>
              </w:rPr>
              <w:t>业。</w:t>
            </w:r>
          </w:p>
        </w:tc>
      </w:tr>
      <w:tr w14:paraId="396343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6ABFF606">
            <w:pPr>
              <w:snapToGrid w:val="0"/>
              <w:spacing w:line="360" w:lineRule="auto"/>
              <w:jc w:val="center"/>
              <w:rPr>
                <w:rFonts w:ascii="宋体" w:hAnsi="宋体" w:cs="微软雅黑"/>
                <w:szCs w:val="21"/>
              </w:rPr>
            </w:pPr>
            <w:r>
              <w:rPr>
                <w:rFonts w:hint="eastAsia" w:ascii="宋体" w:hAnsi="宋体" w:cs="微软雅黑"/>
                <w:szCs w:val="21"/>
              </w:rPr>
              <w:t>17</w:t>
            </w:r>
          </w:p>
        </w:tc>
        <w:tc>
          <w:tcPr>
            <w:tcW w:w="8652" w:type="dxa"/>
            <w:tcBorders>
              <w:top w:val="single" w:color="auto" w:sz="4" w:space="0"/>
              <w:left w:val="single" w:color="auto" w:sz="4" w:space="0"/>
              <w:bottom w:val="single" w:color="auto" w:sz="4" w:space="0"/>
              <w:right w:val="single" w:color="auto" w:sz="4" w:space="0"/>
            </w:tcBorders>
            <w:vAlign w:val="center"/>
          </w:tcPr>
          <w:p w14:paraId="25443C2D">
            <w:pPr>
              <w:spacing w:line="360" w:lineRule="auto"/>
              <w:jc w:val="left"/>
              <w:rPr>
                <w:rFonts w:ascii="宋体" w:hAnsi="宋体" w:cs="微软雅黑"/>
                <w:szCs w:val="21"/>
              </w:rPr>
            </w:pPr>
            <w:r>
              <w:rPr>
                <w:rFonts w:hint="eastAsia" w:ascii="宋体" w:hAnsi="宋体"/>
                <w:szCs w:val="21"/>
              </w:rPr>
              <w:t>评标结果公告：</w:t>
            </w:r>
            <w:r>
              <w:rPr>
                <w:rFonts w:hint="eastAsia" w:ascii="宋体" w:hAnsi="宋体" w:cs="宋体"/>
                <w:szCs w:val="21"/>
              </w:rPr>
              <w:t>评标结束且采购人确认采购结果后，中标结果公告于中国政府采购网(http://www.ccgp.gov.cn/)、浙江政府采购网(</w:t>
            </w:r>
            <w:r>
              <w:fldChar w:fldCharType="begin"/>
            </w:r>
            <w:r>
              <w:instrText xml:space="preserve"> HYPERLINK "http://zfcg.czt.zj.gov.cn/" </w:instrText>
            </w:r>
            <w:r>
              <w:fldChar w:fldCharType="separate"/>
            </w:r>
            <w:r>
              <w:rPr>
                <w:rStyle w:val="54"/>
                <w:rFonts w:hint="eastAsia" w:ascii="宋体" w:hAnsi="宋体" w:cs="宋体"/>
                <w:color w:val="auto"/>
                <w:szCs w:val="21"/>
              </w:rPr>
              <w:t>http://zfcg.czt.zj.gov.cn/</w:t>
            </w:r>
            <w:r>
              <w:rPr>
                <w:rStyle w:val="54"/>
                <w:rFonts w:hint="eastAsia" w:ascii="宋体" w:hAnsi="宋体" w:cs="宋体"/>
                <w:color w:val="auto"/>
                <w:szCs w:val="21"/>
              </w:rPr>
              <w:fldChar w:fldCharType="end"/>
            </w:r>
            <w:r>
              <w:rPr>
                <w:rFonts w:hint="eastAsia" w:ascii="宋体" w:hAnsi="宋体" w:cs="宋体"/>
                <w:szCs w:val="21"/>
              </w:rPr>
              <w:t>)、嘉兴市公共资源交易网（http://jxszwsjb.jiaxing.gov.cn/）。</w:t>
            </w:r>
          </w:p>
        </w:tc>
      </w:tr>
      <w:tr w14:paraId="335752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14:paraId="093ABEAD">
            <w:pPr>
              <w:snapToGrid w:val="0"/>
              <w:spacing w:line="360" w:lineRule="auto"/>
              <w:jc w:val="center"/>
              <w:rPr>
                <w:rFonts w:ascii="宋体" w:hAnsi="宋体" w:cs="微软雅黑"/>
                <w:szCs w:val="21"/>
              </w:rPr>
            </w:pPr>
            <w:r>
              <w:rPr>
                <w:rFonts w:hint="eastAsia" w:ascii="宋体" w:hAnsi="宋体" w:cs="微软雅黑"/>
                <w:szCs w:val="21"/>
              </w:rPr>
              <w:t>18</w:t>
            </w:r>
          </w:p>
        </w:tc>
        <w:tc>
          <w:tcPr>
            <w:tcW w:w="8652" w:type="dxa"/>
            <w:tcBorders>
              <w:top w:val="single" w:color="auto" w:sz="4" w:space="0"/>
              <w:left w:val="single" w:color="auto" w:sz="4" w:space="0"/>
              <w:bottom w:val="single" w:color="auto" w:sz="4" w:space="0"/>
              <w:right w:val="single" w:color="auto" w:sz="4" w:space="0"/>
            </w:tcBorders>
            <w:vAlign w:val="center"/>
          </w:tcPr>
          <w:p w14:paraId="782733E8">
            <w:pPr>
              <w:snapToGrid w:val="0"/>
              <w:spacing w:line="360" w:lineRule="auto"/>
              <w:jc w:val="left"/>
              <w:rPr>
                <w:rFonts w:ascii="宋体" w:hAnsi="宋体" w:cs="微软雅黑"/>
                <w:szCs w:val="21"/>
              </w:rPr>
            </w:pPr>
            <w:r>
              <w:rPr>
                <w:rFonts w:hint="eastAsia" w:ascii="宋体" w:hAnsi="宋体" w:cs="微软雅黑"/>
                <w:szCs w:val="21"/>
              </w:rPr>
              <w:t>解释：本招标文件的解释权属于招标采购单位。</w:t>
            </w:r>
          </w:p>
        </w:tc>
      </w:tr>
      <w:bookmarkEnd w:id="6"/>
      <w:bookmarkEnd w:id="7"/>
      <w:bookmarkEnd w:id="8"/>
    </w:tbl>
    <w:p w14:paraId="4D9F6DE7">
      <w:pPr>
        <w:snapToGrid w:val="0"/>
        <w:spacing w:line="360" w:lineRule="auto"/>
        <w:ind w:firstLine="422" w:firstLineChars="200"/>
        <w:jc w:val="left"/>
        <w:outlineLvl w:val="1"/>
        <w:rPr>
          <w:rFonts w:ascii="宋体" w:hAnsi="宋体"/>
          <w:b/>
          <w:szCs w:val="21"/>
        </w:rPr>
      </w:pPr>
      <w:bookmarkStart w:id="13" w:name="_Toc177870536"/>
      <w:bookmarkStart w:id="14" w:name="_Toc50012817"/>
      <w:bookmarkStart w:id="15" w:name="_Toc493511580"/>
    </w:p>
    <w:p w14:paraId="637AF2DB">
      <w:pPr>
        <w:snapToGrid w:val="0"/>
        <w:spacing w:line="360" w:lineRule="auto"/>
        <w:ind w:firstLine="422" w:firstLineChars="200"/>
        <w:jc w:val="left"/>
        <w:outlineLvl w:val="1"/>
        <w:rPr>
          <w:rFonts w:ascii="宋体" w:hAnsi="宋体"/>
          <w:b/>
          <w:szCs w:val="21"/>
        </w:rPr>
      </w:pPr>
      <w:bookmarkStart w:id="16" w:name="_Toc2096"/>
      <w:r>
        <w:rPr>
          <w:rFonts w:hint="eastAsia" w:ascii="宋体" w:hAnsi="宋体"/>
          <w:b/>
          <w:szCs w:val="21"/>
        </w:rPr>
        <w:t>一、总  则</w:t>
      </w:r>
      <w:bookmarkEnd w:id="13"/>
      <w:bookmarkEnd w:id="14"/>
      <w:bookmarkEnd w:id="15"/>
      <w:bookmarkEnd w:id="16"/>
    </w:p>
    <w:p w14:paraId="1F5BB38F">
      <w:pPr>
        <w:snapToGrid w:val="0"/>
        <w:spacing w:line="360" w:lineRule="auto"/>
        <w:ind w:firstLine="420" w:firstLineChars="200"/>
        <w:jc w:val="left"/>
        <w:outlineLvl w:val="1"/>
        <w:rPr>
          <w:rFonts w:ascii="宋体" w:hAnsi="宋体"/>
          <w:szCs w:val="21"/>
        </w:rPr>
      </w:pPr>
      <w:bookmarkStart w:id="17" w:name="_Toc50012818"/>
      <w:bookmarkStart w:id="18" w:name="_Toc177824939"/>
      <w:bookmarkStart w:id="19" w:name="_Toc177825120"/>
      <w:bookmarkStart w:id="20" w:name="_Toc493511581"/>
      <w:bookmarkStart w:id="21" w:name="_Toc427915759"/>
      <w:bookmarkStart w:id="22" w:name="_Toc177824872"/>
      <w:bookmarkStart w:id="23" w:name="_Toc8394"/>
      <w:bookmarkStart w:id="24" w:name="_Toc177870537"/>
      <w:r>
        <w:rPr>
          <w:rFonts w:hint="eastAsia" w:ascii="宋体" w:hAnsi="宋体"/>
          <w:szCs w:val="21"/>
        </w:rPr>
        <w:t>1、 适用范围</w:t>
      </w:r>
      <w:bookmarkEnd w:id="17"/>
      <w:bookmarkEnd w:id="18"/>
      <w:bookmarkEnd w:id="19"/>
      <w:bookmarkEnd w:id="20"/>
      <w:bookmarkEnd w:id="21"/>
      <w:bookmarkEnd w:id="22"/>
      <w:bookmarkEnd w:id="23"/>
      <w:bookmarkEnd w:id="24"/>
    </w:p>
    <w:p w14:paraId="3BD6D49E">
      <w:pPr>
        <w:snapToGrid w:val="0"/>
        <w:spacing w:line="360" w:lineRule="auto"/>
        <w:ind w:firstLine="420" w:firstLineChars="200"/>
        <w:jc w:val="left"/>
        <w:outlineLvl w:val="1"/>
        <w:rPr>
          <w:rFonts w:ascii="宋体" w:hAnsi="宋体"/>
          <w:szCs w:val="21"/>
        </w:rPr>
      </w:pPr>
      <w:bookmarkStart w:id="25" w:name="_Toc50012819"/>
      <w:bookmarkStart w:id="26" w:name="_Toc30106"/>
      <w:bookmarkStart w:id="27" w:name="_Toc493511582"/>
      <w:r>
        <w:rPr>
          <w:rFonts w:hint="eastAsia" w:ascii="宋体" w:hAnsi="宋体"/>
          <w:szCs w:val="21"/>
        </w:rPr>
        <w:t>1.1、本招标文件适用于本次所述项目的招标。</w:t>
      </w:r>
      <w:bookmarkEnd w:id="25"/>
      <w:bookmarkEnd w:id="26"/>
      <w:bookmarkEnd w:id="27"/>
      <w:bookmarkStart w:id="28" w:name="_Toc177870538"/>
      <w:bookmarkStart w:id="29" w:name="_Toc177824873"/>
      <w:bookmarkStart w:id="30" w:name="_Toc427915760"/>
      <w:bookmarkStart w:id="31" w:name="_Toc177825121"/>
      <w:bookmarkStart w:id="32" w:name="_Toc177824940"/>
    </w:p>
    <w:p w14:paraId="110C0ED9">
      <w:pPr>
        <w:snapToGrid w:val="0"/>
        <w:spacing w:line="360" w:lineRule="auto"/>
        <w:ind w:firstLine="420" w:firstLineChars="200"/>
        <w:jc w:val="left"/>
        <w:outlineLvl w:val="1"/>
        <w:rPr>
          <w:rFonts w:ascii="宋体" w:hAnsi="宋体"/>
          <w:szCs w:val="21"/>
        </w:rPr>
      </w:pPr>
      <w:bookmarkStart w:id="33" w:name="_Toc493511583"/>
      <w:bookmarkStart w:id="34" w:name="_Toc29052"/>
      <w:bookmarkStart w:id="35" w:name="_Toc50012820"/>
      <w:r>
        <w:rPr>
          <w:rFonts w:hint="eastAsia" w:ascii="宋体" w:hAnsi="宋体"/>
          <w:szCs w:val="21"/>
        </w:rPr>
        <w:t>2、定义</w:t>
      </w:r>
      <w:bookmarkEnd w:id="28"/>
      <w:bookmarkEnd w:id="29"/>
      <w:bookmarkEnd w:id="30"/>
      <w:bookmarkEnd w:id="31"/>
      <w:bookmarkEnd w:id="32"/>
      <w:bookmarkEnd w:id="33"/>
      <w:bookmarkEnd w:id="34"/>
      <w:bookmarkEnd w:id="35"/>
    </w:p>
    <w:p w14:paraId="59D104BD">
      <w:pPr>
        <w:snapToGrid w:val="0"/>
        <w:spacing w:line="360" w:lineRule="auto"/>
        <w:ind w:firstLine="420" w:firstLineChars="200"/>
        <w:jc w:val="left"/>
        <w:outlineLvl w:val="1"/>
        <w:rPr>
          <w:rFonts w:ascii="宋体" w:hAnsi="宋体"/>
          <w:szCs w:val="21"/>
        </w:rPr>
      </w:pPr>
      <w:bookmarkStart w:id="36" w:name="_Toc50012821"/>
      <w:bookmarkStart w:id="37" w:name="_Toc493511584"/>
      <w:bookmarkStart w:id="38" w:name="_Toc19542"/>
      <w:r>
        <w:rPr>
          <w:rFonts w:hint="eastAsia" w:ascii="宋体" w:hAnsi="宋体"/>
          <w:szCs w:val="21"/>
        </w:rPr>
        <w:t>2.1、“招标人”系指组织本次招标的代理机构或采购人。</w:t>
      </w:r>
      <w:bookmarkEnd w:id="36"/>
      <w:bookmarkEnd w:id="37"/>
      <w:bookmarkEnd w:id="38"/>
    </w:p>
    <w:p w14:paraId="0CD97135">
      <w:pPr>
        <w:snapToGrid w:val="0"/>
        <w:spacing w:line="360" w:lineRule="auto"/>
        <w:ind w:firstLine="420" w:firstLineChars="200"/>
        <w:jc w:val="left"/>
        <w:outlineLvl w:val="1"/>
        <w:rPr>
          <w:rFonts w:ascii="宋体" w:hAnsi="宋体"/>
          <w:szCs w:val="21"/>
        </w:rPr>
      </w:pPr>
      <w:bookmarkStart w:id="39" w:name="_Toc50012822"/>
      <w:bookmarkStart w:id="40" w:name="_Toc493511585"/>
      <w:bookmarkStart w:id="41" w:name="_Toc22525"/>
      <w:r>
        <w:rPr>
          <w:rFonts w:hint="eastAsia" w:ascii="宋体" w:hAnsi="宋体"/>
          <w:szCs w:val="21"/>
        </w:rPr>
        <w:t>2.2、“投标人”系指向招标方提交投标文件的投标人。</w:t>
      </w:r>
      <w:bookmarkEnd w:id="39"/>
      <w:bookmarkEnd w:id="40"/>
      <w:bookmarkEnd w:id="41"/>
    </w:p>
    <w:p w14:paraId="53E5AE0A">
      <w:pPr>
        <w:snapToGrid w:val="0"/>
        <w:spacing w:line="360" w:lineRule="auto"/>
        <w:ind w:firstLine="420" w:firstLineChars="200"/>
        <w:jc w:val="left"/>
        <w:outlineLvl w:val="1"/>
        <w:rPr>
          <w:rFonts w:ascii="宋体" w:hAnsi="宋体"/>
          <w:szCs w:val="21"/>
        </w:rPr>
      </w:pPr>
      <w:bookmarkStart w:id="42" w:name="_Toc493511586"/>
      <w:bookmarkStart w:id="43" w:name="_Toc50012823"/>
      <w:bookmarkStart w:id="44" w:name="_Toc2392"/>
      <w:r>
        <w:rPr>
          <w:rFonts w:hint="eastAsia" w:ascii="宋体" w:hAnsi="宋体"/>
          <w:szCs w:val="21"/>
        </w:rPr>
        <w:t>2.3、“产品”系指供方按招标文件规定，须向采购人提供的一切设备、保险、税金、备品备件、工具、手册及其它有关技术资料和材料。</w:t>
      </w:r>
      <w:bookmarkEnd w:id="42"/>
      <w:bookmarkEnd w:id="43"/>
      <w:bookmarkEnd w:id="44"/>
    </w:p>
    <w:p w14:paraId="00E0CC4A">
      <w:pPr>
        <w:snapToGrid w:val="0"/>
        <w:spacing w:line="360" w:lineRule="auto"/>
        <w:ind w:firstLine="420" w:firstLineChars="200"/>
        <w:jc w:val="left"/>
        <w:outlineLvl w:val="1"/>
        <w:rPr>
          <w:rFonts w:ascii="宋体" w:hAnsi="宋体"/>
          <w:szCs w:val="21"/>
        </w:rPr>
      </w:pPr>
      <w:bookmarkStart w:id="45" w:name="_Toc15752"/>
      <w:bookmarkStart w:id="46" w:name="_Toc50012824"/>
      <w:bookmarkStart w:id="47" w:name="_Toc493511587"/>
      <w:r>
        <w:rPr>
          <w:rFonts w:hint="eastAsia" w:ascii="宋体" w:hAnsi="宋体"/>
          <w:szCs w:val="21"/>
        </w:rPr>
        <w:t>2.4、“服务”系指招标文件规定投标人须承担的安装、调试、技术协助、校准、培训、技术指导以及其他类似的义务。</w:t>
      </w:r>
      <w:bookmarkEnd w:id="45"/>
      <w:bookmarkEnd w:id="46"/>
      <w:bookmarkEnd w:id="47"/>
    </w:p>
    <w:p w14:paraId="20BDEE14">
      <w:pPr>
        <w:snapToGrid w:val="0"/>
        <w:spacing w:line="360" w:lineRule="auto"/>
        <w:ind w:firstLine="420" w:firstLineChars="200"/>
        <w:jc w:val="left"/>
        <w:outlineLvl w:val="1"/>
        <w:rPr>
          <w:rFonts w:ascii="宋体" w:hAnsi="宋体"/>
          <w:szCs w:val="21"/>
        </w:rPr>
      </w:pPr>
      <w:bookmarkStart w:id="48" w:name="_Toc14499"/>
      <w:bookmarkStart w:id="49" w:name="_Toc50012825"/>
      <w:bookmarkStart w:id="50" w:name="_Toc493511588"/>
      <w:r>
        <w:rPr>
          <w:rFonts w:hint="eastAsia" w:ascii="宋体" w:hAnsi="宋体"/>
          <w:szCs w:val="21"/>
        </w:rPr>
        <w:t>2.5、“项目”系指投标人按招标文件规定向采购人提供的产品和服务。</w:t>
      </w:r>
      <w:bookmarkEnd w:id="48"/>
      <w:bookmarkEnd w:id="49"/>
      <w:bookmarkEnd w:id="50"/>
    </w:p>
    <w:p w14:paraId="1E375A1A">
      <w:pPr>
        <w:snapToGrid w:val="0"/>
        <w:spacing w:line="360" w:lineRule="auto"/>
        <w:ind w:firstLine="420" w:firstLineChars="200"/>
        <w:jc w:val="left"/>
        <w:outlineLvl w:val="1"/>
        <w:rPr>
          <w:rFonts w:ascii="宋体" w:hAnsi="宋体"/>
          <w:szCs w:val="21"/>
        </w:rPr>
      </w:pPr>
      <w:bookmarkStart w:id="51" w:name="_Toc50012826"/>
      <w:bookmarkStart w:id="52" w:name="_Toc493511589"/>
      <w:bookmarkStart w:id="53" w:name="_Toc28414"/>
      <w:r>
        <w:rPr>
          <w:rFonts w:hint="eastAsia" w:ascii="宋体" w:hAnsi="宋体"/>
          <w:szCs w:val="21"/>
        </w:rPr>
        <w:t>2.6、“书面形式”包括信函、传真、电报、电子文档等。</w:t>
      </w:r>
      <w:bookmarkEnd w:id="51"/>
      <w:bookmarkEnd w:id="52"/>
      <w:bookmarkEnd w:id="53"/>
    </w:p>
    <w:p w14:paraId="71E71F7D">
      <w:pPr>
        <w:snapToGrid w:val="0"/>
        <w:spacing w:line="360" w:lineRule="auto"/>
        <w:ind w:firstLine="420" w:firstLineChars="200"/>
        <w:jc w:val="left"/>
        <w:outlineLvl w:val="1"/>
        <w:rPr>
          <w:rFonts w:ascii="宋体" w:hAnsi="宋体"/>
          <w:szCs w:val="21"/>
        </w:rPr>
      </w:pPr>
      <w:bookmarkStart w:id="54" w:name="_Toc50012827"/>
      <w:bookmarkStart w:id="55" w:name="_Toc493511590"/>
      <w:bookmarkStart w:id="56" w:name="_Toc18649"/>
      <w:r>
        <w:rPr>
          <w:rFonts w:hint="eastAsia" w:ascii="宋体" w:hAnsi="宋体"/>
          <w:szCs w:val="21"/>
        </w:rPr>
        <w:t>2.7、</w:t>
      </w:r>
      <w:bookmarkEnd w:id="54"/>
      <w:bookmarkEnd w:id="55"/>
      <w:bookmarkEnd w:id="56"/>
      <w:bookmarkStart w:id="57" w:name="_Toc177870539"/>
      <w:bookmarkStart w:id="58" w:name="_Toc427915761"/>
      <w:r>
        <w:rPr>
          <w:rFonts w:hint="eastAsia" w:hAnsi="宋体"/>
          <w:szCs w:val="21"/>
        </w:rPr>
        <w:t>“</w:t>
      </w:r>
      <w:r>
        <w:rPr>
          <w:rFonts w:hint="eastAsia"/>
          <w:szCs w:val="21"/>
        </w:rPr>
        <w:t>▲</w:t>
      </w:r>
      <w:r>
        <w:rPr>
          <w:rFonts w:hint="eastAsia" w:hAnsi="宋体"/>
          <w:szCs w:val="21"/>
        </w:rPr>
        <w:t>”为重要技术指标，一项不满足的作无效标处理。“</w:t>
      </w:r>
      <w:r>
        <w:rPr>
          <w:rFonts w:hint="eastAsia" w:hAnsi="宋体" w:cs="宋体"/>
          <w:kern w:val="0"/>
          <w:szCs w:val="21"/>
        </w:rPr>
        <w:t>○</w:t>
      </w:r>
      <w:r>
        <w:rPr>
          <w:rFonts w:hint="eastAsia" w:hAnsi="宋体"/>
          <w:szCs w:val="21"/>
        </w:rPr>
        <w:t>”为主要技术指标,投标时产生偏离的将影响评分。</w:t>
      </w:r>
    </w:p>
    <w:p w14:paraId="72B195CC">
      <w:pPr>
        <w:snapToGrid w:val="0"/>
        <w:spacing w:line="360" w:lineRule="auto"/>
        <w:ind w:firstLine="420" w:firstLineChars="200"/>
        <w:jc w:val="left"/>
        <w:outlineLvl w:val="1"/>
        <w:rPr>
          <w:rFonts w:ascii="宋体" w:hAnsi="宋体"/>
          <w:szCs w:val="21"/>
        </w:rPr>
      </w:pPr>
      <w:bookmarkStart w:id="59" w:name="_Toc50012828"/>
      <w:bookmarkStart w:id="60" w:name="_Toc10422"/>
      <w:bookmarkStart w:id="61" w:name="_Toc493511591"/>
      <w:r>
        <w:rPr>
          <w:rFonts w:hint="eastAsia" w:ascii="宋体" w:hAnsi="宋体"/>
          <w:szCs w:val="21"/>
        </w:rPr>
        <w:t>3、招标方式</w:t>
      </w:r>
      <w:bookmarkEnd w:id="57"/>
      <w:bookmarkEnd w:id="58"/>
      <w:bookmarkEnd w:id="59"/>
      <w:bookmarkEnd w:id="60"/>
      <w:bookmarkEnd w:id="61"/>
    </w:p>
    <w:p w14:paraId="0567FDF9">
      <w:pPr>
        <w:snapToGrid w:val="0"/>
        <w:spacing w:line="360" w:lineRule="auto"/>
        <w:ind w:firstLine="420" w:firstLineChars="200"/>
        <w:jc w:val="left"/>
        <w:outlineLvl w:val="1"/>
        <w:rPr>
          <w:rFonts w:ascii="宋体" w:hAnsi="宋体"/>
          <w:szCs w:val="21"/>
        </w:rPr>
      </w:pPr>
      <w:bookmarkStart w:id="62" w:name="_Toc50012829"/>
      <w:bookmarkStart w:id="63" w:name="_Toc21572"/>
      <w:bookmarkStart w:id="64" w:name="_Toc493511592"/>
      <w:r>
        <w:rPr>
          <w:rFonts w:hint="eastAsia" w:ascii="宋体" w:hAnsi="宋体"/>
          <w:szCs w:val="21"/>
        </w:rPr>
        <w:t>3.1、本次招标采用</w:t>
      </w:r>
      <w:r>
        <w:rPr>
          <w:rFonts w:hint="eastAsia" w:ascii="宋体" w:hAnsi="宋体"/>
          <w:b/>
          <w:bCs/>
          <w:szCs w:val="21"/>
        </w:rPr>
        <w:t>公开招标</w:t>
      </w:r>
      <w:r>
        <w:rPr>
          <w:rFonts w:hint="eastAsia" w:ascii="宋体" w:hAnsi="宋体"/>
          <w:szCs w:val="21"/>
        </w:rPr>
        <w:t>方式进行。</w:t>
      </w:r>
      <w:bookmarkEnd w:id="62"/>
      <w:bookmarkEnd w:id="63"/>
      <w:bookmarkEnd w:id="64"/>
    </w:p>
    <w:p w14:paraId="2CE7F407">
      <w:pPr>
        <w:snapToGrid w:val="0"/>
        <w:spacing w:line="360" w:lineRule="auto"/>
        <w:ind w:firstLine="420" w:firstLineChars="200"/>
        <w:jc w:val="left"/>
        <w:outlineLvl w:val="1"/>
        <w:rPr>
          <w:rFonts w:ascii="宋体" w:hAnsi="宋体"/>
          <w:szCs w:val="21"/>
        </w:rPr>
      </w:pPr>
      <w:bookmarkStart w:id="65" w:name="_Toc30170"/>
      <w:bookmarkStart w:id="66" w:name="_Toc493511593"/>
      <w:bookmarkStart w:id="67" w:name="_Toc50012830"/>
      <w:r>
        <w:rPr>
          <w:rFonts w:hint="eastAsia" w:ascii="宋体" w:hAnsi="宋体"/>
          <w:szCs w:val="21"/>
        </w:rPr>
        <w:t>3.2、本次招标设定上限价详见前附表。</w:t>
      </w:r>
      <w:bookmarkEnd w:id="65"/>
      <w:bookmarkEnd w:id="66"/>
      <w:bookmarkEnd w:id="67"/>
      <w:bookmarkStart w:id="68" w:name="_Toc427915762"/>
      <w:bookmarkStart w:id="69" w:name="_Toc177825122"/>
      <w:bookmarkStart w:id="70" w:name="_Toc177824874"/>
      <w:bookmarkStart w:id="71" w:name="_Toc177824941"/>
      <w:bookmarkStart w:id="72" w:name="_Toc177870540"/>
    </w:p>
    <w:p w14:paraId="08EEF275">
      <w:pPr>
        <w:snapToGrid w:val="0"/>
        <w:spacing w:line="360" w:lineRule="auto"/>
        <w:ind w:firstLine="420" w:firstLineChars="200"/>
        <w:jc w:val="left"/>
        <w:outlineLvl w:val="1"/>
        <w:rPr>
          <w:rFonts w:ascii="宋体" w:hAnsi="宋体"/>
          <w:szCs w:val="21"/>
        </w:rPr>
      </w:pPr>
      <w:bookmarkStart w:id="73" w:name="_Toc493511594"/>
      <w:bookmarkStart w:id="74" w:name="_Toc50012831"/>
      <w:bookmarkStart w:id="75" w:name="_Toc21323"/>
      <w:r>
        <w:rPr>
          <w:rFonts w:hint="eastAsia" w:ascii="宋体" w:hAnsi="宋体"/>
          <w:szCs w:val="21"/>
        </w:rPr>
        <w:t>4、投标委托</w:t>
      </w:r>
      <w:bookmarkEnd w:id="68"/>
      <w:bookmarkEnd w:id="69"/>
      <w:bookmarkEnd w:id="70"/>
      <w:bookmarkEnd w:id="71"/>
      <w:bookmarkEnd w:id="72"/>
      <w:bookmarkEnd w:id="73"/>
      <w:bookmarkEnd w:id="74"/>
      <w:bookmarkEnd w:id="75"/>
    </w:p>
    <w:p w14:paraId="0664B7A7">
      <w:pPr>
        <w:snapToGrid w:val="0"/>
        <w:spacing w:line="360" w:lineRule="auto"/>
        <w:ind w:firstLine="420" w:firstLineChars="200"/>
        <w:jc w:val="left"/>
        <w:outlineLvl w:val="1"/>
        <w:rPr>
          <w:rFonts w:ascii="宋体" w:hAnsi="宋体"/>
          <w:szCs w:val="21"/>
        </w:rPr>
      </w:pPr>
      <w:bookmarkStart w:id="76" w:name="_Toc493511595"/>
      <w:bookmarkStart w:id="77" w:name="_Toc50012832"/>
      <w:bookmarkStart w:id="78" w:name="_Toc10126"/>
      <w:r>
        <w:rPr>
          <w:rFonts w:hint="eastAsia" w:ascii="宋体" w:hAnsi="宋体"/>
          <w:szCs w:val="21"/>
        </w:rPr>
        <w:t>投标人代表须携带居民身份证。如投标人代表不是法定代表人，须有法定代表人出具的授权委托书。（正本用原件，副本可用复印件，格式见第六部分）。</w:t>
      </w:r>
      <w:bookmarkEnd w:id="76"/>
      <w:bookmarkEnd w:id="77"/>
      <w:bookmarkEnd w:id="78"/>
      <w:bookmarkStart w:id="79" w:name="_Toc177870541"/>
      <w:bookmarkStart w:id="80" w:name="_Toc177824875"/>
      <w:bookmarkStart w:id="81" w:name="_Toc177825123"/>
      <w:bookmarkStart w:id="82" w:name="_Toc177824942"/>
      <w:bookmarkStart w:id="83" w:name="_Toc427915763"/>
    </w:p>
    <w:p w14:paraId="624DF151">
      <w:pPr>
        <w:snapToGrid w:val="0"/>
        <w:spacing w:line="360" w:lineRule="auto"/>
        <w:ind w:firstLine="420" w:firstLineChars="200"/>
        <w:jc w:val="left"/>
        <w:outlineLvl w:val="1"/>
        <w:rPr>
          <w:rFonts w:ascii="宋体" w:hAnsi="宋体"/>
          <w:szCs w:val="21"/>
        </w:rPr>
      </w:pPr>
      <w:bookmarkStart w:id="84" w:name="_Toc493511596"/>
      <w:bookmarkStart w:id="85" w:name="_Toc2927"/>
      <w:bookmarkStart w:id="86" w:name="_Toc50012833"/>
      <w:r>
        <w:rPr>
          <w:rFonts w:hint="eastAsia" w:ascii="宋体" w:hAnsi="宋体"/>
          <w:szCs w:val="21"/>
        </w:rPr>
        <w:t>5、投标费用</w:t>
      </w:r>
      <w:bookmarkEnd w:id="79"/>
      <w:bookmarkEnd w:id="80"/>
      <w:bookmarkEnd w:id="81"/>
      <w:bookmarkEnd w:id="82"/>
      <w:bookmarkEnd w:id="83"/>
      <w:bookmarkEnd w:id="84"/>
      <w:bookmarkEnd w:id="85"/>
      <w:bookmarkEnd w:id="86"/>
    </w:p>
    <w:p w14:paraId="4C3D1E98">
      <w:pPr>
        <w:snapToGrid w:val="0"/>
        <w:spacing w:line="360" w:lineRule="auto"/>
        <w:ind w:firstLine="420" w:firstLineChars="200"/>
        <w:jc w:val="left"/>
        <w:outlineLvl w:val="1"/>
        <w:rPr>
          <w:rFonts w:ascii="宋体" w:hAnsi="宋体"/>
          <w:szCs w:val="21"/>
        </w:rPr>
      </w:pPr>
      <w:bookmarkStart w:id="87" w:name="_Toc2682"/>
      <w:bookmarkStart w:id="88" w:name="_Toc50012834"/>
      <w:bookmarkStart w:id="89" w:name="_Toc493511597"/>
      <w:r>
        <w:rPr>
          <w:rFonts w:hint="eastAsia" w:ascii="宋体" w:hAnsi="宋体"/>
          <w:szCs w:val="21"/>
        </w:rPr>
        <w:t>不论投标结果如何，投标人均应自行承担所有与投标有关的全部费用。</w:t>
      </w:r>
      <w:bookmarkEnd w:id="87"/>
      <w:bookmarkEnd w:id="88"/>
      <w:bookmarkEnd w:id="89"/>
    </w:p>
    <w:p w14:paraId="4668DC6E">
      <w:pPr>
        <w:snapToGrid w:val="0"/>
        <w:spacing w:line="360" w:lineRule="auto"/>
        <w:ind w:firstLine="420" w:firstLineChars="200"/>
        <w:jc w:val="left"/>
        <w:outlineLvl w:val="1"/>
        <w:rPr>
          <w:rFonts w:ascii="宋体" w:hAnsi="宋体"/>
          <w:szCs w:val="21"/>
        </w:rPr>
      </w:pPr>
      <w:bookmarkStart w:id="90" w:name="_Toc493511598"/>
      <w:bookmarkStart w:id="91" w:name="_Toc50012835"/>
      <w:bookmarkStart w:id="92" w:name="_Toc26432"/>
      <w:r>
        <w:rPr>
          <w:rFonts w:hint="eastAsia" w:ascii="宋体" w:hAnsi="宋体"/>
          <w:szCs w:val="21"/>
        </w:rPr>
        <w:t>6、联合体投标</w:t>
      </w:r>
      <w:bookmarkEnd w:id="90"/>
      <w:bookmarkEnd w:id="91"/>
      <w:bookmarkEnd w:id="92"/>
    </w:p>
    <w:p w14:paraId="70F66280">
      <w:pPr>
        <w:snapToGrid w:val="0"/>
        <w:spacing w:line="360" w:lineRule="auto"/>
        <w:ind w:firstLine="420" w:firstLineChars="200"/>
        <w:jc w:val="left"/>
        <w:outlineLvl w:val="1"/>
        <w:rPr>
          <w:rFonts w:ascii="宋体" w:hAnsi="宋体"/>
          <w:szCs w:val="21"/>
        </w:rPr>
      </w:pPr>
      <w:bookmarkStart w:id="93" w:name="_Toc493511599"/>
      <w:bookmarkStart w:id="94" w:name="_Toc50012836"/>
      <w:bookmarkStart w:id="95" w:name="_Toc30057"/>
      <w:r>
        <w:rPr>
          <w:rFonts w:hint="eastAsia" w:ascii="宋体" w:hAnsi="宋体"/>
          <w:szCs w:val="21"/>
        </w:rPr>
        <w:t>本项目是/否接受联合体投标。</w:t>
      </w:r>
      <w:bookmarkEnd w:id="93"/>
      <w:bookmarkEnd w:id="94"/>
      <w:bookmarkEnd w:id="95"/>
      <w:bookmarkStart w:id="96" w:name="_Toc177870544"/>
    </w:p>
    <w:p w14:paraId="5FBFEB9D">
      <w:pPr>
        <w:snapToGrid w:val="0"/>
        <w:spacing w:line="360" w:lineRule="auto"/>
        <w:ind w:firstLine="422" w:firstLineChars="200"/>
        <w:jc w:val="left"/>
        <w:outlineLvl w:val="1"/>
        <w:rPr>
          <w:rFonts w:ascii="宋体" w:hAnsi="宋体"/>
          <w:b/>
          <w:szCs w:val="21"/>
        </w:rPr>
      </w:pPr>
      <w:bookmarkStart w:id="97" w:name="_Toc1772"/>
      <w:bookmarkStart w:id="98" w:name="_Toc50012837"/>
      <w:r>
        <w:rPr>
          <w:rFonts w:hint="eastAsia" w:ascii="宋体" w:hAnsi="宋体"/>
          <w:b/>
          <w:szCs w:val="21"/>
        </w:rPr>
        <w:t>7.转包与分包</w:t>
      </w:r>
      <w:bookmarkEnd w:id="97"/>
      <w:bookmarkEnd w:id="98"/>
    </w:p>
    <w:p w14:paraId="1E6F5C01">
      <w:pPr>
        <w:snapToGrid w:val="0"/>
        <w:spacing w:line="360" w:lineRule="auto"/>
        <w:ind w:firstLine="420" w:firstLineChars="200"/>
        <w:jc w:val="left"/>
        <w:outlineLvl w:val="1"/>
        <w:rPr>
          <w:rFonts w:ascii="宋体" w:hAnsi="宋体"/>
          <w:szCs w:val="21"/>
        </w:rPr>
      </w:pPr>
      <w:bookmarkStart w:id="99" w:name="_Toc25115"/>
      <w:bookmarkStart w:id="100" w:name="_Toc50012838"/>
      <w:r>
        <w:rPr>
          <w:rFonts w:hint="eastAsia" w:ascii="宋体" w:hAnsi="宋体"/>
          <w:szCs w:val="21"/>
        </w:rPr>
        <w:t>7.1</w:t>
      </w:r>
      <w:r>
        <w:rPr>
          <w:rFonts w:ascii="宋体" w:hAnsi="宋体"/>
          <w:szCs w:val="21"/>
        </w:rPr>
        <w:t>本项目不允许转包</w:t>
      </w:r>
      <w:r>
        <w:rPr>
          <w:rFonts w:hint="eastAsia" w:ascii="宋体" w:hAnsi="宋体"/>
          <w:szCs w:val="21"/>
        </w:rPr>
        <w:t>；</w:t>
      </w:r>
      <w:bookmarkEnd w:id="99"/>
      <w:bookmarkEnd w:id="100"/>
    </w:p>
    <w:p w14:paraId="5F230784">
      <w:pPr>
        <w:snapToGrid w:val="0"/>
        <w:spacing w:line="360" w:lineRule="auto"/>
        <w:ind w:firstLine="420" w:firstLineChars="200"/>
        <w:jc w:val="left"/>
        <w:outlineLvl w:val="1"/>
        <w:rPr>
          <w:rFonts w:ascii="宋体" w:hAnsi="宋体" w:cs="宋体"/>
          <w:kern w:val="0"/>
          <w:szCs w:val="21"/>
        </w:rPr>
      </w:pPr>
      <w:bookmarkStart w:id="101" w:name="_Toc50012839"/>
      <w:bookmarkStart w:id="102" w:name="_Toc5717"/>
      <w:r>
        <w:rPr>
          <w:rFonts w:hint="eastAsia" w:ascii="宋体" w:hAnsi="宋体" w:cs="宋体"/>
          <w:kern w:val="0"/>
          <w:szCs w:val="21"/>
        </w:rPr>
        <w:t>7.2</w:t>
      </w:r>
      <w:r>
        <w:rPr>
          <w:rFonts w:ascii="宋体" w:hAnsi="宋体"/>
          <w:szCs w:val="21"/>
        </w:rPr>
        <w:t>本项目</w:t>
      </w:r>
      <w:r>
        <w:rPr>
          <w:rFonts w:hint="eastAsia" w:ascii="宋体" w:hAnsi="宋体"/>
          <w:szCs w:val="21"/>
        </w:rPr>
        <w:t>是/否</w:t>
      </w:r>
      <w:r>
        <w:rPr>
          <w:rFonts w:ascii="宋体" w:hAnsi="宋体"/>
          <w:szCs w:val="21"/>
        </w:rPr>
        <w:t>可以分包</w:t>
      </w:r>
      <w:r>
        <w:rPr>
          <w:rFonts w:hint="eastAsia" w:ascii="宋体" w:hAnsi="宋体"/>
          <w:szCs w:val="21"/>
        </w:rPr>
        <w:t>。</w:t>
      </w:r>
      <w:bookmarkEnd w:id="101"/>
      <w:bookmarkEnd w:id="102"/>
      <w:bookmarkStart w:id="103" w:name="_Toc430786267"/>
      <w:bookmarkStart w:id="104" w:name="_Toc177870542"/>
    </w:p>
    <w:p w14:paraId="6B9E2D3D">
      <w:pPr>
        <w:snapToGrid w:val="0"/>
        <w:spacing w:line="360" w:lineRule="auto"/>
        <w:ind w:firstLine="422" w:firstLineChars="200"/>
        <w:jc w:val="left"/>
        <w:outlineLvl w:val="1"/>
        <w:rPr>
          <w:rFonts w:ascii="宋体" w:hAnsi="宋体"/>
          <w:b/>
          <w:szCs w:val="21"/>
        </w:rPr>
      </w:pPr>
      <w:bookmarkStart w:id="105" w:name="_Toc50012840"/>
      <w:bookmarkStart w:id="106" w:name="_Toc2435"/>
      <w:r>
        <w:rPr>
          <w:rFonts w:hint="eastAsia" w:ascii="宋体" w:hAnsi="宋体"/>
          <w:b/>
          <w:szCs w:val="21"/>
        </w:rPr>
        <w:t>8.特别说明：</w:t>
      </w:r>
      <w:bookmarkEnd w:id="103"/>
      <w:bookmarkEnd w:id="104"/>
      <w:bookmarkEnd w:id="105"/>
      <w:bookmarkEnd w:id="106"/>
    </w:p>
    <w:p w14:paraId="1FB579C4">
      <w:pPr>
        <w:pStyle w:val="9"/>
        <w:snapToGrid w:val="0"/>
        <w:spacing w:line="360" w:lineRule="auto"/>
        <w:ind w:firstLine="420" w:firstLineChars="200"/>
        <w:jc w:val="left"/>
        <w:rPr>
          <w:rFonts w:hAnsi="宋体"/>
          <w:spacing w:val="0"/>
          <w:sz w:val="21"/>
          <w:szCs w:val="21"/>
        </w:rPr>
      </w:pPr>
      <w:bookmarkStart w:id="107" w:name="_Toc177870543"/>
      <w:bookmarkStart w:id="108" w:name="_Toc430786268"/>
      <w:bookmarkStart w:id="109" w:name="_Toc495603533"/>
      <w:r>
        <w:rPr>
          <w:rFonts w:hint="eastAsia" w:hAnsi="宋体"/>
          <w:spacing w:val="0"/>
          <w:sz w:val="21"/>
          <w:szCs w:val="21"/>
        </w:rPr>
        <w:t>8.1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6F201F4">
      <w:pPr>
        <w:pStyle w:val="9"/>
        <w:snapToGrid w:val="0"/>
        <w:spacing w:line="360" w:lineRule="auto"/>
        <w:ind w:firstLine="420" w:firstLineChars="200"/>
        <w:jc w:val="left"/>
        <w:rPr>
          <w:rFonts w:hAnsi="宋体"/>
          <w:spacing w:val="0"/>
          <w:sz w:val="21"/>
          <w:szCs w:val="21"/>
        </w:rPr>
      </w:pPr>
      <w:r>
        <w:rPr>
          <w:rFonts w:hint="eastAsia" w:hAnsi="宋体"/>
          <w:spacing w:val="0"/>
          <w:sz w:val="21"/>
          <w:szCs w:val="21"/>
        </w:rPr>
        <w:t>8.2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E91CA09">
      <w:pPr>
        <w:pStyle w:val="9"/>
        <w:snapToGrid w:val="0"/>
        <w:spacing w:line="360" w:lineRule="auto"/>
        <w:ind w:firstLine="420" w:firstLineChars="200"/>
        <w:jc w:val="left"/>
        <w:rPr>
          <w:rFonts w:hAnsi="宋体"/>
          <w:spacing w:val="0"/>
          <w:sz w:val="21"/>
          <w:szCs w:val="21"/>
        </w:rPr>
      </w:pPr>
      <w:r>
        <w:rPr>
          <w:rFonts w:hint="eastAsia" w:hAnsi="宋体"/>
          <w:spacing w:val="0"/>
          <w:sz w:val="21"/>
          <w:szCs w:val="21"/>
        </w:rPr>
        <w:t>8.3、非单一产品采购项目，采购人应当根据采购项目技术构成、产品价格比重等合理确定核心产品，并在招标文件中载明。多家投标人提供的核心产品品牌相同的，按前两款规定处理。</w:t>
      </w:r>
    </w:p>
    <w:p w14:paraId="6906239E">
      <w:pPr>
        <w:snapToGrid w:val="0"/>
        <w:spacing w:line="360" w:lineRule="auto"/>
        <w:ind w:firstLine="422" w:firstLineChars="200"/>
        <w:jc w:val="left"/>
        <w:outlineLvl w:val="1"/>
        <w:rPr>
          <w:rFonts w:ascii="宋体" w:hAnsi="宋体"/>
          <w:b/>
          <w:szCs w:val="21"/>
        </w:rPr>
      </w:pPr>
      <w:bookmarkStart w:id="110" w:name="_Toc7381"/>
      <w:bookmarkStart w:id="111" w:name="_Toc50012841"/>
      <w:r>
        <w:rPr>
          <w:rFonts w:hint="eastAsia" w:ascii="宋体" w:hAnsi="宋体"/>
          <w:b/>
          <w:szCs w:val="21"/>
        </w:rPr>
        <w:t>9.质疑</w:t>
      </w:r>
      <w:bookmarkEnd w:id="107"/>
      <w:bookmarkEnd w:id="108"/>
      <w:bookmarkEnd w:id="109"/>
      <w:bookmarkEnd w:id="110"/>
      <w:bookmarkEnd w:id="111"/>
    </w:p>
    <w:p w14:paraId="4C300B15">
      <w:pPr>
        <w:pStyle w:val="26"/>
        <w:spacing w:line="360" w:lineRule="auto"/>
        <w:ind w:firstLine="422" w:firstLineChars="200"/>
        <w:jc w:val="left"/>
        <w:outlineLvl w:val="1"/>
        <w:rPr>
          <w:rFonts w:hAnsi="宋体"/>
          <w:b/>
          <w:szCs w:val="21"/>
        </w:rPr>
      </w:pPr>
      <w:bookmarkStart w:id="112" w:name="_Toc1791"/>
      <w:bookmarkStart w:id="113" w:name="_Toc50012842"/>
      <w:bookmarkStart w:id="114" w:name="_Toc495603534"/>
      <w:r>
        <w:rPr>
          <w:rFonts w:hint="eastAsia" w:hAnsi="宋体"/>
          <w:b/>
          <w:szCs w:val="21"/>
        </w:rPr>
        <w:t>9.</w:t>
      </w:r>
      <w:r>
        <w:rPr>
          <w:rFonts w:hAnsi="宋体"/>
          <w:b/>
          <w:szCs w:val="21"/>
        </w:rPr>
        <w:t>1</w:t>
      </w:r>
      <w:r>
        <w:rPr>
          <w:rFonts w:hint="eastAsia" w:hAnsi="宋体"/>
          <w:b/>
          <w:szCs w:val="21"/>
        </w:rPr>
        <w:t>、</w:t>
      </w:r>
      <w:r>
        <w:rPr>
          <w:rFonts w:hAnsi="宋体"/>
          <w:b/>
          <w:szCs w:val="21"/>
        </w:rPr>
        <w:t>投标人认为招标文件、招标过程</w:t>
      </w:r>
      <w:r>
        <w:rPr>
          <w:rFonts w:hint="eastAsia" w:hAnsi="宋体"/>
          <w:b/>
          <w:szCs w:val="21"/>
        </w:rPr>
        <w:t>或</w:t>
      </w:r>
      <w:r>
        <w:rPr>
          <w:rFonts w:hAnsi="宋体"/>
          <w:b/>
          <w:szCs w:val="21"/>
        </w:rPr>
        <w:t>中标结果使自己的合法权益受到损害的，应当在知道或者应知其权益受到损害之日起七个工作日内，以书面形式向采购人、</w:t>
      </w:r>
      <w:r>
        <w:rPr>
          <w:rFonts w:hint="eastAsia" w:hAnsi="宋体"/>
          <w:b/>
          <w:szCs w:val="21"/>
        </w:rPr>
        <w:t>代理机构</w:t>
      </w:r>
      <w:r>
        <w:rPr>
          <w:rFonts w:hAnsi="宋体"/>
          <w:b/>
          <w:szCs w:val="21"/>
        </w:rPr>
        <w:t>提出质疑。投标人对招标采购单位的质疑答复不满意或者招标采购单位未在规定时间内作出答复的，可以在答复期满后十五个工作日内向同级采购监管部门投诉。</w:t>
      </w:r>
      <w:bookmarkEnd w:id="112"/>
      <w:bookmarkEnd w:id="113"/>
      <w:bookmarkEnd w:id="114"/>
      <w:bookmarkStart w:id="115" w:name="_Toc495603535"/>
    </w:p>
    <w:p w14:paraId="21C4679F">
      <w:pPr>
        <w:pStyle w:val="26"/>
        <w:spacing w:line="360" w:lineRule="auto"/>
        <w:ind w:firstLine="422" w:firstLineChars="200"/>
        <w:jc w:val="left"/>
        <w:outlineLvl w:val="1"/>
        <w:rPr>
          <w:rFonts w:hAnsi="宋体"/>
          <w:b/>
          <w:szCs w:val="21"/>
        </w:rPr>
      </w:pPr>
      <w:bookmarkStart w:id="116" w:name="_Toc50012843"/>
      <w:bookmarkStart w:id="117" w:name="_Toc23570"/>
      <w:r>
        <w:rPr>
          <w:rFonts w:hint="eastAsia" w:hAnsi="宋体"/>
          <w:b/>
          <w:szCs w:val="21"/>
        </w:rPr>
        <w:t>9.</w:t>
      </w:r>
      <w:r>
        <w:rPr>
          <w:rFonts w:hAnsi="宋体"/>
          <w:b/>
          <w:szCs w:val="21"/>
        </w:rPr>
        <w:t>2</w:t>
      </w:r>
      <w:r>
        <w:rPr>
          <w:rFonts w:hint="eastAsia" w:hAnsi="宋体"/>
          <w:b/>
          <w:szCs w:val="21"/>
        </w:rPr>
        <w:t>、</w:t>
      </w:r>
      <w:r>
        <w:rPr>
          <w:rFonts w:hAnsi="宋体"/>
          <w:b/>
          <w:szCs w:val="21"/>
        </w:rPr>
        <w:t>质疑、投诉应当采用书面形式，质疑书、投诉书均应明确阐述招标文件、招标过程</w:t>
      </w:r>
      <w:r>
        <w:rPr>
          <w:rFonts w:hint="eastAsia" w:hAnsi="宋体"/>
          <w:b/>
          <w:szCs w:val="21"/>
        </w:rPr>
        <w:t>或</w:t>
      </w:r>
      <w:r>
        <w:rPr>
          <w:rFonts w:hAnsi="宋体"/>
          <w:b/>
          <w:szCs w:val="21"/>
        </w:rPr>
        <w:t>中标结果中使自己合法权益受到损害的实质性内容，提供相关事实、依据和证据及其来源或线索，便于有关单位调查、答复和处理</w:t>
      </w:r>
      <w:r>
        <w:rPr>
          <w:rFonts w:hint="eastAsia" w:hAnsi="宋体"/>
          <w:b/>
          <w:szCs w:val="21"/>
        </w:rPr>
        <w:t>。</w:t>
      </w:r>
      <w:bookmarkEnd w:id="115"/>
      <w:bookmarkEnd w:id="116"/>
      <w:bookmarkEnd w:id="117"/>
    </w:p>
    <w:p w14:paraId="4A27F822">
      <w:pPr>
        <w:snapToGrid w:val="0"/>
        <w:spacing w:beforeLines="50" w:line="360" w:lineRule="auto"/>
        <w:ind w:firstLine="413" w:firstLineChars="196"/>
        <w:jc w:val="left"/>
        <w:outlineLvl w:val="2"/>
        <w:rPr>
          <w:rFonts w:ascii="宋体" w:hAnsi="宋体"/>
          <w:b/>
        </w:rPr>
      </w:pPr>
      <w:r>
        <w:rPr>
          <w:rFonts w:hint="eastAsia" w:hAnsi="宋体"/>
          <w:b/>
          <w:szCs w:val="21"/>
        </w:rPr>
        <w:t>10.</w:t>
      </w:r>
      <w:r>
        <w:rPr>
          <w:rFonts w:hint="eastAsia" w:ascii="宋体" w:hAnsi="宋体"/>
          <w:b/>
        </w:rPr>
        <w:t>相关政府采购政策</w:t>
      </w:r>
    </w:p>
    <w:p w14:paraId="08E3BEAB">
      <w:pPr>
        <w:snapToGrid w:val="0"/>
        <w:spacing w:line="360" w:lineRule="auto"/>
        <w:ind w:firstLine="420" w:firstLineChars="200"/>
        <w:jc w:val="left"/>
        <w:rPr>
          <w:rFonts w:ascii="宋体" w:hAnsi="宋体"/>
          <w:szCs w:val="21"/>
        </w:rPr>
      </w:pPr>
      <w:r>
        <w:rPr>
          <w:rFonts w:hint="eastAsia" w:ascii="宋体" w:hAnsi="宋体"/>
          <w:szCs w:val="21"/>
        </w:rPr>
        <w:t>1.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14:paraId="02725D6D">
      <w:pPr>
        <w:snapToGrid w:val="0"/>
        <w:spacing w:line="360" w:lineRule="auto"/>
        <w:ind w:firstLine="420" w:firstLineChars="200"/>
        <w:jc w:val="left"/>
        <w:rPr>
          <w:rFonts w:ascii="宋体" w:hAnsi="宋体"/>
          <w:szCs w:val="21"/>
        </w:rPr>
      </w:pPr>
      <w:r>
        <w:rPr>
          <w:rFonts w:hint="eastAsia" w:ascii="宋体" w:hAnsi="宋体"/>
          <w:szCs w:val="21"/>
        </w:rPr>
        <w:t>2.支持绿色发展</w:t>
      </w:r>
    </w:p>
    <w:p w14:paraId="177C026A">
      <w:pPr>
        <w:snapToGrid w:val="0"/>
        <w:spacing w:line="360" w:lineRule="auto"/>
        <w:ind w:firstLine="420" w:firstLineChars="200"/>
        <w:jc w:val="left"/>
        <w:rPr>
          <w:rFonts w:ascii="宋体" w:hAnsi="宋体"/>
          <w:szCs w:val="21"/>
        </w:rPr>
      </w:pPr>
      <w:r>
        <w:rPr>
          <w:rFonts w:hint="eastAsia" w:ascii="宋体" w:hAnsi="宋体"/>
          <w:szCs w:val="21"/>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投标供应商须按招标文件要求提供相关产品认证证书。▲采购人拟采购的产品属于政府强制采购的节能产品品目清单范围的，投标供应商未按招标文件要求提供国家确定的认证机构出具的、处于有效期之内的节能产品认证证书的，投标无效。</w:t>
      </w:r>
    </w:p>
    <w:p w14:paraId="7B58E807">
      <w:pPr>
        <w:snapToGrid w:val="0"/>
        <w:spacing w:line="360" w:lineRule="auto"/>
        <w:ind w:firstLine="420" w:firstLineChars="200"/>
        <w:jc w:val="left"/>
        <w:rPr>
          <w:rFonts w:ascii="宋体" w:hAnsi="宋体"/>
          <w:szCs w:val="21"/>
        </w:rPr>
      </w:pPr>
      <w:r>
        <w:rPr>
          <w:rFonts w:hint="eastAsia" w:ascii="宋体" w:hAnsi="宋体"/>
          <w:szCs w:val="21"/>
        </w:rPr>
        <w:t>2.2 修缮、装修类项目采购建材的，采购人应将绿色建筑和绿色建材性能、指标等作为实质性条件纳入招标文件和合同。</w:t>
      </w:r>
    </w:p>
    <w:p w14:paraId="32236460">
      <w:pPr>
        <w:snapToGrid w:val="0"/>
        <w:spacing w:line="360" w:lineRule="auto"/>
        <w:ind w:firstLine="420" w:firstLineChars="200"/>
        <w:jc w:val="left"/>
        <w:rPr>
          <w:rFonts w:ascii="宋体" w:hAnsi="宋体"/>
          <w:szCs w:val="21"/>
        </w:rPr>
      </w:pPr>
      <w:r>
        <w:rPr>
          <w:rFonts w:hint="eastAsia" w:ascii="宋体" w:hAnsi="宋体"/>
          <w:szCs w:val="21"/>
        </w:rPr>
        <w:t>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0BC7B2B7">
      <w:pPr>
        <w:snapToGrid w:val="0"/>
        <w:spacing w:line="360" w:lineRule="auto"/>
        <w:ind w:firstLine="420" w:firstLineChars="200"/>
        <w:jc w:val="left"/>
        <w:rPr>
          <w:rFonts w:ascii="宋体" w:hAnsi="宋体"/>
          <w:szCs w:val="21"/>
        </w:rPr>
      </w:pPr>
      <w:r>
        <w:rPr>
          <w:rFonts w:hint="eastAsia" w:ascii="宋体" w:hAnsi="宋体"/>
          <w:szCs w:val="21"/>
        </w:rPr>
        <w:t>3.支持中小企业发展</w:t>
      </w:r>
    </w:p>
    <w:p w14:paraId="5F6539D0">
      <w:pPr>
        <w:snapToGrid w:val="0"/>
        <w:spacing w:line="360" w:lineRule="auto"/>
        <w:ind w:firstLine="420" w:firstLineChars="200"/>
        <w:jc w:val="left"/>
        <w:rPr>
          <w:rFonts w:ascii="宋体" w:hAnsi="宋体"/>
          <w:szCs w:val="21"/>
        </w:rPr>
      </w:pPr>
      <w:r>
        <w:rPr>
          <w:rFonts w:hint="eastAsia" w:ascii="宋体" w:hAnsi="宋体"/>
          <w:szCs w:val="21"/>
        </w:rPr>
        <w:t>3.1中小企业，是指在中华人民共和国境内依法设立，依据国务院批准的中小企业划分标准确定的中型企业、小型企业和微型企业，但与大企业的负责人为同一人，或者与大企业存在直接控股、管理关系的除外。</w:t>
      </w:r>
    </w:p>
    <w:p w14:paraId="5ADCDF17">
      <w:pPr>
        <w:snapToGrid w:val="0"/>
        <w:spacing w:line="360" w:lineRule="auto"/>
        <w:ind w:firstLine="420" w:firstLineChars="200"/>
        <w:jc w:val="left"/>
        <w:rPr>
          <w:rFonts w:ascii="宋体" w:hAnsi="宋体"/>
          <w:szCs w:val="21"/>
        </w:rPr>
      </w:pPr>
      <w:r>
        <w:rPr>
          <w:rFonts w:hint="eastAsia" w:ascii="宋体" w:hAnsi="宋体"/>
          <w:szCs w:val="21"/>
        </w:rPr>
        <w:t>符合中小企业划分标准的个体工商户，在政府采购活动中视同中小企业。</w:t>
      </w:r>
    </w:p>
    <w:p w14:paraId="24948EE3">
      <w:pPr>
        <w:snapToGrid w:val="0"/>
        <w:spacing w:line="360" w:lineRule="auto"/>
        <w:ind w:firstLine="420" w:firstLineChars="200"/>
        <w:jc w:val="left"/>
        <w:rPr>
          <w:rFonts w:ascii="宋体" w:hAnsi="宋体"/>
          <w:szCs w:val="21"/>
        </w:rPr>
      </w:pPr>
      <w:r>
        <w:rPr>
          <w:rFonts w:hint="eastAsia" w:ascii="宋体" w:hAnsi="宋体"/>
          <w:szCs w:val="21"/>
        </w:rPr>
        <w:t>3.2在政府采购活动中，投标供应商提供的货物、工程或者服务符合下列情形的，享受中小企业扶持政策：</w:t>
      </w:r>
    </w:p>
    <w:p w14:paraId="32EAB8C7">
      <w:pPr>
        <w:snapToGrid w:val="0"/>
        <w:spacing w:line="360" w:lineRule="auto"/>
        <w:ind w:firstLine="420" w:firstLineChars="200"/>
        <w:jc w:val="left"/>
        <w:rPr>
          <w:rFonts w:ascii="宋体" w:hAnsi="宋体"/>
          <w:szCs w:val="21"/>
        </w:rPr>
      </w:pPr>
      <w:r>
        <w:rPr>
          <w:rFonts w:hint="eastAsia" w:ascii="宋体" w:hAnsi="宋体"/>
          <w:szCs w:val="21"/>
        </w:rPr>
        <w:t>3.2.1在货物采购项目中，货物由中小企业制造，即货物由中小企业生产且使用该中小企业商号或者注册商标；</w:t>
      </w:r>
    </w:p>
    <w:p w14:paraId="266FBAE9">
      <w:pPr>
        <w:snapToGrid w:val="0"/>
        <w:spacing w:line="360" w:lineRule="auto"/>
        <w:ind w:firstLine="420" w:firstLineChars="200"/>
        <w:jc w:val="left"/>
        <w:rPr>
          <w:rFonts w:ascii="宋体" w:hAnsi="宋体"/>
          <w:szCs w:val="21"/>
        </w:rPr>
      </w:pPr>
      <w:r>
        <w:rPr>
          <w:rFonts w:hint="eastAsia" w:ascii="宋体" w:hAnsi="宋体"/>
          <w:szCs w:val="21"/>
        </w:rPr>
        <w:t>3.2.2在工程采购项目中，工程由中小企业承建，即工程施工单位为中小企业；</w:t>
      </w:r>
    </w:p>
    <w:p w14:paraId="6B01EC87">
      <w:pPr>
        <w:snapToGrid w:val="0"/>
        <w:spacing w:line="360" w:lineRule="auto"/>
        <w:ind w:firstLine="420" w:firstLineChars="200"/>
        <w:jc w:val="left"/>
        <w:rPr>
          <w:rFonts w:ascii="宋体" w:hAnsi="宋体"/>
          <w:szCs w:val="21"/>
        </w:rPr>
      </w:pPr>
      <w:r>
        <w:rPr>
          <w:rFonts w:hint="eastAsia" w:ascii="宋体" w:hAnsi="宋体"/>
          <w:szCs w:val="21"/>
        </w:rPr>
        <w:t>3.2.3在服务采购项目中，服务由中小企业承接，即提供服务的人员为中小企业依照民法典订立劳动合同的从业人员。</w:t>
      </w:r>
    </w:p>
    <w:p w14:paraId="31032DC1">
      <w:pPr>
        <w:snapToGrid w:val="0"/>
        <w:spacing w:line="360" w:lineRule="auto"/>
        <w:ind w:firstLine="420" w:firstLineChars="200"/>
        <w:jc w:val="left"/>
        <w:rPr>
          <w:rFonts w:ascii="宋体" w:hAnsi="宋体"/>
          <w:szCs w:val="21"/>
        </w:rPr>
      </w:pPr>
      <w:r>
        <w:rPr>
          <w:rFonts w:hint="eastAsia" w:ascii="宋体" w:hAnsi="宋体"/>
          <w:szCs w:val="21"/>
        </w:rPr>
        <w:t>在货物采购项目中，投标供应商提供的货物既有中小企业制造货物，也有大型企业制造货物的，不享受中小企业扶持政策。</w:t>
      </w:r>
    </w:p>
    <w:p w14:paraId="2E44944C">
      <w:pPr>
        <w:snapToGrid w:val="0"/>
        <w:spacing w:line="360" w:lineRule="auto"/>
        <w:ind w:firstLine="420" w:firstLineChars="200"/>
        <w:jc w:val="left"/>
        <w:rPr>
          <w:rFonts w:ascii="宋体" w:hAnsi="宋体"/>
          <w:szCs w:val="21"/>
        </w:rPr>
      </w:pPr>
      <w:r>
        <w:rPr>
          <w:rFonts w:hint="eastAsia" w:ascii="宋体" w:hAnsi="宋体"/>
          <w:szCs w:val="21"/>
        </w:rPr>
        <w:t>以联合体形式参加政府采购活动，联合体各方均为中小企业的，联合体视同中小企业。其中，联合体各方均为小微企业的，联合体视同小微企业。</w:t>
      </w:r>
    </w:p>
    <w:p w14:paraId="38C09CE9">
      <w:pPr>
        <w:snapToGrid w:val="0"/>
        <w:spacing w:line="360" w:lineRule="auto"/>
        <w:ind w:firstLine="420" w:firstLineChars="200"/>
        <w:jc w:val="left"/>
        <w:rPr>
          <w:rFonts w:ascii="宋体" w:hAnsi="宋体"/>
          <w:szCs w:val="21"/>
        </w:rPr>
      </w:pPr>
      <w:r>
        <w:rPr>
          <w:rFonts w:hint="eastAsia" w:ascii="宋体" w:hAnsi="宋体"/>
          <w:szCs w:val="21"/>
        </w:rPr>
        <w:t>3.3符合《关于促进残疾人就业政府采购政策的通知》（财库〔2017〕141号）规定的条件并提供《残疾人福利性单位声明函》的残疾人福利性单位视同小型、微型企业；</w:t>
      </w:r>
    </w:p>
    <w:p w14:paraId="0BB17D1A">
      <w:pPr>
        <w:snapToGrid w:val="0"/>
        <w:spacing w:line="360" w:lineRule="auto"/>
        <w:ind w:firstLine="420" w:firstLineChars="200"/>
        <w:jc w:val="left"/>
        <w:rPr>
          <w:rFonts w:ascii="宋体" w:hAnsi="宋体"/>
          <w:szCs w:val="21"/>
        </w:rPr>
      </w:pPr>
      <w:r>
        <w:rPr>
          <w:rFonts w:hint="eastAsia" w:ascii="宋体" w:hAnsi="宋体"/>
          <w:szCs w:val="21"/>
        </w:rPr>
        <w:t>3.4符合《关于政府采购支持监狱企业发展有关问题的通知》（财库[2014]68号）规定的监狱企业并提供由省级以上监狱管理局、戒毒管理局（含新疆生产建设兵团）出具的属于监狱企业证明文件的，视同为小型、微型企业。</w:t>
      </w:r>
    </w:p>
    <w:p w14:paraId="4D028A1B">
      <w:pPr>
        <w:snapToGrid w:val="0"/>
        <w:spacing w:line="360" w:lineRule="auto"/>
        <w:ind w:firstLine="420" w:firstLineChars="200"/>
        <w:jc w:val="left"/>
        <w:rPr>
          <w:rFonts w:ascii="宋体" w:hAnsi="宋体"/>
          <w:szCs w:val="21"/>
        </w:rPr>
      </w:pPr>
      <w:r>
        <w:rPr>
          <w:rFonts w:hint="eastAsia" w:ascii="宋体" w:hAnsi="宋体"/>
          <w:szCs w:val="21"/>
        </w:rPr>
        <w:t>3.5可享受中小企业扶持政策的投标供应商应按照招标文件格式要求提供《中小企业声明函》，投标供应商提供的《中小企业声明函》与实际情况不符的，不享受中小企业扶持政策。声明内容不实的，属于提供虚假材料谋取中标、成交的，依法承担法律责任。</w:t>
      </w:r>
    </w:p>
    <w:p w14:paraId="54867642">
      <w:pPr>
        <w:pStyle w:val="26"/>
        <w:spacing w:line="360" w:lineRule="auto"/>
        <w:ind w:firstLine="420" w:firstLineChars="200"/>
        <w:jc w:val="left"/>
        <w:outlineLvl w:val="1"/>
        <w:rPr>
          <w:rFonts w:hAnsi="宋体"/>
          <w:szCs w:val="21"/>
        </w:rPr>
      </w:pPr>
      <w:r>
        <w:rPr>
          <w:rFonts w:hint="eastAsia" w:hAnsi="宋体"/>
          <w:szCs w:val="21"/>
        </w:rPr>
        <w:t>3.6中小企业享受扶持政策获得政府采购合同的，小微企业不得将合同分包给大中型企业，中型企业不得将合同分包给大型企业。</w:t>
      </w:r>
    </w:p>
    <w:p w14:paraId="3EF85E7F">
      <w:pPr>
        <w:snapToGrid w:val="0"/>
        <w:spacing w:line="360" w:lineRule="auto"/>
        <w:ind w:firstLine="422" w:firstLineChars="200"/>
        <w:jc w:val="left"/>
        <w:outlineLvl w:val="1"/>
        <w:rPr>
          <w:rFonts w:ascii="宋体" w:hAnsi="宋体"/>
          <w:b/>
          <w:szCs w:val="21"/>
        </w:rPr>
      </w:pPr>
      <w:bookmarkStart w:id="118" w:name="_Toc493511613"/>
      <w:bookmarkStart w:id="119" w:name="_Toc25169"/>
      <w:bookmarkStart w:id="120" w:name="_Toc50012844"/>
      <w:r>
        <w:rPr>
          <w:rFonts w:hint="eastAsia" w:ascii="宋体" w:hAnsi="宋体"/>
          <w:b/>
          <w:szCs w:val="21"/>
        </w:rPr>
        <w:t>二 、招标文件</w:t>
      </w:r>
      <w:bookmarkEnd w:id="96"/>
      <w:bookmarkEnd w:id="118"/>
      <w:bookmarkEnd w:id="119"/>
      <w:bookmarkEnd w:id="120"/>
    </w:p>
    <w:p w14:paraId="445D88DD">
      <w:pPr>
        <w:snapToGrid w:val="0"/>
        <w:spacing w:line="360" w:lineRule="auto"/>
        <w:ind w:firstLine="422" w:firstLineChars="200"/>
        <w:jc w:val="left"/>
        <w:outlineLvl w:val="1"/>
        <w:rPr>
          <w:rFonts w:ascii="宋体" w:hAnsi="宋体"/>
          <w:b/>
          <w:szCs w:val="21"/>
        </w:rPr>
      </w:pPr>
      <w:bookmarkStart w:id="121" w:name="_Toc50012845"/>
      <w:bookmarkStart w:id="122" w:name="_Toc16026"/>
      <w:bookmarkStart w:id="123" w:name="_Toc493511614"/>
      <w:r>
        <w:rPr>
          <w:rFonts w:hint="eastAsia" w:ascii="宋体" w:hAnsi="宋体"/>
          <w:b/>
          <w:szCs w:val="21"/>
        </w:rPr>
        <w:t>1、招标文件的构成</w:t>
      </w:r>
      <w:bookmarkEnd w:id="121"/>
      <w:bookmarkEnd w:id="122"/>
      <w:bookmarkEnd w:id="123"/>
    </w:p>
    <w:p w14:paraId="789D8E99">
      <w:pPr>
        <w:snapToGrid w:val="0"/>
        <w:spacing w:line="360" w:lineRule="auto"/>
        <w:ind w:firstLine="420" w:firstLineChars="200"/>
        <w:jc w:val="left"/>
        <w:outlineLvl w:val="1"/>
        <w:rPr>
          <w:rFonts w:ascii="宋体" w:hAnsi="宋体"/>
          <w:szCs w:val="21"/>
        </w:rPr>
      </w:pPr>
      <w:bookmarkStart w:id="124" w:name="_Toc50012846"/>
      <w:bookmarkStart w:id="125" w:name="_Toc493511615"/>
      <w:bookmarkStart w:id="126" w:name="_Toc7778"/>
      <w:r>
        <w:rPr>
          <w:rFonts w:hint="eastAsia" w:ascii="宋体" w:hAnsi="宋体"/>
          <w:szCs w:val="21"/>
        </w:rPr>
        <w:t>1.1、公开招标采购公告</w:t>
      </w:r>
      <w:bookmarkEnd w:id="124"/>
      <w:bookmarkEnd w:id="125"/>
      <w:bookmarkEnd w:id="126"/>
    </w:p>
    <w:p w14:paraId="5B0791DB">
      <w:pPr>
        <w:snapToGrid w:val="0"/>
        <w:spacing w:line="360" w:lineRule="auto"/>
        <w:ind w:firstLine="420" w:firstLineChars="200"/>
        <w:jc w:val="left"/>
        <w:outlineLvl w:val="1"/>
        <w:rPr>
          <w:rFonts w:ascii="宋体" w:hAnsi="宋体"/>
          <w:szCs w:val="21"/>
        </w:rPr>
      </w:pPr>
      <w:bookmarkStart w:id="127" w:name="_Toc7186"/>
      <w:bookmarkStart w:id="128" w:name="_Toc493511616"/>
      <w:bookmarkStart w:id="129" w:name="_Toc50012847"/>
      <w:r>
        <w:rPr>
          <w:rFonts w:hint="eastAsia" w:ascii="宋体" w:hAnsi="宋体"/>
          <w:szCs w:val="21"/>
        </w:rPr>
        <w:t>1.2、采购需求</w:t>
      </w:r>
      <w:bookmarkEnd w:id="127"/>
      <w:bookmarkEnd w:id="128"/>
      <w:bookmarkEnd w:id="129"/>
    </w:p>
    <w:p w14:paraId="6768DBA0">
      <w:pPr>
        <w:snapToGrid w:val="0"/>
        <w:spacing w:line="360" w:lineRule="auto"/>
        <w:ind w:firstLine="420" w:firstLineChars="200"/>
        <w:jc w:val="left"/>
        <w:outlineLvl w:val="1"/>
        <w:rPr>
          <w:rFonts w:ascii="宋体" w:hAnsi="宋体"/>
          <w:szCs w:val="21"/>
        </w:rPr>
      </w:pPr>
      <w:bookmarkStart w:id="130" w:name="_Toc493511617"/>
      <w:bookmarkStart w:id="131" w:name="_Toc6933"/>
      <w:bookmarkStart w:id="132" w:name="_Toc50012848"/>
      <w:r>
        <w:rPr>
          <w:rFonts w:hint="eastAsia" w:ascii="宋体" w:hAnsi="宋体"/>
          <w:szCs w:val="21"/>
        </w:rPr>
        <w:t>1.3、投标人须知</w:t>
      </w:r>
      <w:bookmarkEnd w:id="130"/>
      <w:bookmarkEnd w:id="131"/>
      <w:bookmarkEnd w:id="132"/>
    </w:p>
    <w:p w14:paraId="2ABF52EB">
      <w:pPr>
        <w:snapToGrid w:val="0"/>
        <w:spacing w:line="360" w:lineRule="auto"/>
        <w:ind w:firstLine="420" w:firstLineChars="200"/>
        <w:jc w:val="left"/>
        <w:outlineLvl w:val="1"/>
        <w:rPr>
          <w:rFonts w:ascii="宋体" w:hAnsi="宋体"/>
          <w:szCs w:val="21"/>
        </w:rPr>
      </w:pPr>
      <w:bookmarkStart w:id="133" w:name="_Toc493511618"/>
      <w:bookmarkStart w:id="134" w:name="_Toc2119"/>
      <w:bookmarkStart w:id="135" w:name="_Toc50012849"/>
      <w:r>
        <w:rPr>
          <w:rFonts w:hint="eastAsia" w:ascii="宋体" w:hAnsi="宋体"/>
          <w:szCs w:val="21"/>
        </w:rPr>
        <w:t>1.4、评标办法</w:t>
      </w:r>
      <w:bookmarkEnd w:id="133"/>
      <w:bookmarkEnd w:id="134"/>
      <w:bookmarkEnd w:id="135"/>
    </w:p>
    <w:p w14:paraId="4CAC962A">
      <w:pPr>
        <w:snapToGrid w:val="0"/>
        <w:spacing w:line="360" w:lineRule="auto"/>
        <w:ind w:firstLine="420" w:firstLineChars="200"/>
        <w:jc w:val="left"/>
        <w:outlineLvl w:val="1"/>
        <w:rPr>
          <w:rFonts w:ascii="宋体" w:hAnsi="宋体"/>
          <w:szCs w:val="21"/>
        </w:rPr>
      </w:pPr>
      <w:bookmarkStart w:id="136" w:name="_Toc19120"/>
      <w:bookmarkStart w:id="137" w:name="_Toc493511619"/>
      <w:bookmarkStart w:id="138" w:name="_Toc50012850"/>
      <w:r>
        <w:rPr>
          <w:rFonts w:hint="eastAsia" w:ascii="宋体" w:hAnsi="宋体"/>
          <w:szCs w:val="21"/>
        </w:rPr>
        <w:t>1.5、政府采购合同</w:t>
      </w:r>
      <w:bookmarkEnd w:id="136"/>
      <w:bookmarkEnd w:id="137"/>
      <w:bookmarkEnd w:id="138"/>
    </w:p>
    <w:p w14:paraId="2B41B564">
      <w:pPr>
        <w:snapToGrid w:val="0"/>
        <w:spacing w:line="360" w:lineRule="auto"/>
        <w:ind w:firstLine="420" w:firstLineChars="200"/>
        <w:jc w:val="left"/>
        <w:outlineLvl w:val="1"/>
        <w:rPr>
          <w:rFonts w:ascii="宋体" w:hAnsi="宋体"/>
          <w:szCs w:val="21"/>
        </w:rPr>
      </w:pPr>
      <w:bookmarkStart w:id="139" w:name="_Toc50012851"/>
      <w:bookmarkStart w:id="140" w:name="_Toc19300"/>
      <w:bookmarkStart w:id="141" w:name="_Toc493511620"/>
      <w:r>
        <w:rPr>
          <w:rFonts w:hint="eastAsia" w:ascii="宋体" w:hAnsi="宋体"/>
          <w:szCs w:val="21"/>
        </w:rPr>
        <w:t>1.6、投标文件相关文件格式</w:t>
      </w:r>
      <w:bookmarkEnd w:id="139"/>
      <w:bookmarkEnd w:id="140"/>
      <w:bookmarkEnd w:id="141"/>
      <w:bookmarkStart w:id="142" w:name="_Toc482363722"/>
    </w:p>
    <w:p w14:paraId="0E0C33C5">
      <w:pPr>
        <w:snapToGrid w:val="0"/>
        <w:spacing w:line="360" w:lineRule="auto"/>
        <w:ind w:firstLine="420" w:firstLineChars="200"/>
        <w:jc w:val="left"/>
        <w:outlineLvl w:val="1"/>
        <w:rPr>
          <w:rFonts w:ascii="宋体" w:hAnsi="宋体"/>
          <w:szCs w:val="21"/>
        </w:rPr>
      </w:pPr>
      <w:bookmarkStart w:id="143" w:name="_Toc493511621"/>
      <w:bookmarkStart w:id="144" w:name="_Toc32687"/>
      <w:bookmarkStart w:id="145" w:name="_Toc50012852"/>
      <w:r>
        <w:rPr>
          <w:rFonts w:ascii="宋体" w:hAnsi="宋体"/>
          <w:szCs w:val="21"/>
        </w:rPr>
        <w:t>1.7、本项目招标文件的澄清、答复、修改、补充的内容（所有内容将</w:t>
      </w:r>
      <w:r>
        <w:rPr>
          <w:rFonts w:hint="eastAsia" w:ascii="宋体" w:hAnsi="宋体"/>
          <w:szCs w:val="21"/>
        </w:rPr>
        <w:t>以邮件形式发送给已成功申领招标文件的有效投标人</w:t>
      </w:r>
      <w:r>
        <w:rPr>
          <w:rFonts w:ascii="宋体" w:hAnsi="宋体"/>
          <w:szCs w:val="21"/>
        </w:rPr>
        <w:t>）。澄清、答复、修改、补充的内容均作为招标文件的组成部分，具有约束作用。）</w:t>
      </w:r>
      <w:bookmarkEnd w:id="142"/>
      <w:bookmarkEnd w:id="143"/>
      <w:bookmarkEnd w:id="144"/>
      <w:bookmarkEnd w:id="145"/>
    </w:p>
    <w:p w14:paraId="07DA6484">
      <w:pPr>
        <w:snapToGrid w:val="0"/>
        <w:spacing w:line="360" w:lineRule="auto"/>
        <w:ind w:firstLine="422" w:firstLineChars="200"/>
        <w:jc w:val="left"/>
        <w:outlineLvl w:val="1"/>
        <w:rPr>
          <w:rFonts w:ascii="宋体" w:hAnsi="宋体"/>
          <w:b/>
          <w:szCs w:val="21"/>
        </w:rPr>
      </w:pPr>
      <w:bookmarkStart w:id="146" w:name="_Toc50012853"/>
      <w:bookmarkStart w:id="147" w:name="_Toc493511622"/>
      <w:bookmarkStart w:id="148" w:name="_Toc21770"/>
      <w:r>
        <w:rPr>
          <w:rFonts w:hint="eastAsia" w:ascii="宋体" w:hAnsi="宋体"/>
          <w:b/>
          <w:szCs w:val="21"/>
        </w:rPr>
        <w:t>2、存在的风险</w:t>
      </w:r>
      <w:bookmarkEnd w:id="146"/>
      <w:bookmarkEnd w:id="147"/>
      <w:bookmarkEnd w:id="148"/>
    </w:p>
    <w:p w14:paraId="5C42405F">
      <w:pPr>
        <w:snapToGrid w:val="0"/>
        <w:spacing w:line="360" w:lineRule="auto"/>
        <w:ind w:firstLine="420" w:firstLineChars="200"/>
        <w:jc w:val="left"/>
        <w:outlineLvl w:val="1"/>
        <w:rPr>
          <w:rFonts w:ascii="宋体" w:hAnsi="宋体"/>
          <w:szCs w:val="21"/>
        </w:rPr>
      </w:pPr>
      <w:bookmarkStart w:id="149" w:name="_Toc50012854"/>
      <w:bookmarkStart w:id="150" w:name="_Toc493511623"/>
      <w:bookmarkStart w:id="151" w:name="_Toc32245"/>
      <w:r>
        <w:rPr>
          <w:rFonts w:hint="eastAsia" w:ascii="宋体" w:hAnsi="宋体"/>
          <w:szCs w:val="21"/>
        </w:rPr>
        <w:t>投标人没有按照招标文件要求提供全部资料，或者投标人没有对招标文件在各方面作出实质性响应是投标人的风险，并可能导致其投标无效。</w:t>
      </w:r>
      <w:bookmarkEnd w:id="149"/>
      <w:bookmarkEnd w:id="150"/>
      <w:bookmarkEnd w:id="151"/>
    </w:p>
    <w:p w14:paraId="1DC2961B">
      <w:pPr>
        <w:snapToGrid w:val="0"/>
        <w:spacing w:line="360" w:lineRule="auto"/>
        <w:ind w:firstLine="422" w:firstLineChars="200"/>
        <w:jc w:val="left"/>
        <w:outlineLvl w:val="1"/>
        <w:rPr>
          <w:rFonts w:ascii="宋体" w:hAnsi="宋体"/>
          <w:b/>
          <w:szCs w:val="21"/>
        </w:rPr>
      </w:pPr>
      <w:bookmarkStart w:id="152" w:name="_Toc493511624"/>
      <w:bookmarkStart w:id="153" w:name="_Toc50012855"/>
      <w:bookmarkStart w:id="154" w:name="_Toc18736"/>
      <w:r>
        <w:rPr>
          <w:rFonts w:hint="eastAsia" w:ascii="宋体" w:hAnsi="宋体"/>
          <w:b/>
          <w:szCs w:val="21"/>
        </w:rPr>
        <w:t>3、招标文件的澄清与修改</w:t>
      </w:r>
      <w:bookmarkEnd w:id="152"/>
      <w:bookmarkEnd w:id="153"/>
      <w:bookmarkEnd w:id="154"/>
    </w:p>
    <w:p w14:paraId="6951A202">
      <w:pPr>
        <w:snapToGrid w:val="0"/>
        <w:spacing w:line="360" w:lineRule="auto"/>
        <w:ind w:firstLine="420" w:firstLineChars="200"/>
        <w:jc w:val="left"/>
        <w:outlineLvl w:val="1"/>
        <w:rPr>
          <w:rFonts w:ascii="宋体" w:hAnsi="宋体"/>
          <w:szCs w:val="21"/>
        </w:rPr>
      </w:pPr>
      <w:bookmarkStart w:id="155" w:name="_Toc4790"/>
      <w:bookmarkStart w:id="156" w:name="_Toc493511625"/>
      <w:bookmarkStart w:id="157" w:name="_Toc50012856"/>
      <w:r>
        <w:rPr>
          <w:rFonts w:hint="eastAsia" w:ascii="宋体" w:hAnsi="宋体"/>
          <w:szCs w:val="21"/>
        </w:rPr>
        <w:t>3.1、投标人应认真阅读本招标文件，发现其中有误或有要求不合理的，投标人必须在知道或者应当知道之日起五日内以书面形式要求采购代理机构澄清，否则，由此产生的后果由投标人负责。</w:t>
      </w:r>
      <w:bookmarkEnd w:id="155"/>
      <w:bookmarkEnd w:id="156"/>
      <w:bookmarkEnd w:id="157"/>
    </w:p>
    <w:p w14:paraId="7F695F23">
      <w:pPr>
        <w:snapToGrid w:val="0"/>
        <w:spacing w:line="360" w:lineRule="auto"/>
        <w:ind w:firstLine="420" w:firstLineChars="200"/>
        <w:jc w:val="left"/>
        <w:outlineLvl w:val="1"/>
        <w:rPr>
          <w:rFonts w:ascii="宋体" w:hAnsi="宋体"/>
          <w:szCs w:val="21"/>
        </w:rPr>
      </w:pPr>
      <w:bookmarkStart w:id="158" w:name="_Toc50012857"/>
      <w:bookmarkStart w:id="159" w:name="_Toc493511626"/>
      <w:bookmarkStart w:id="160" w:name="_Toc31984"/>
      <w:r>
        <w:rPr>
          <w:rFonts w:hint="eastAsia" w:ascii="宋体" w:hAnsi="宋体"/>
          <w:szCs w:val="21"/>
        </w:rPr>
        <w:t>3.2、采购代理机构必须以书面形式答复所有购买招标文件的投标人（答复中不包含问题的来源）要求澄清的问题，同时认定其他澄清方式为无效。</w:t>
      </w:r>
      <w:bookmarkEnd w:id="158"/>
      <w:bookmarkEnd w:id="159"/>
      <w:bookmarkEnd w:id="160"/>
    </w:p>
    <w:p w14:paraId="191C5352">
      <w:pPr>
        <w:snapToGrid w:val="0"/>
        <w:spacing w:line="360" w:lineRule="auto"/>
        <w:ind w:firstLine="420" w:firstLineChars="200"/>
        <w:jc w:val="left"/>
        <w:outlineLvl w:val="1"/>
        <w:rPr>
          <w:rFonts w:ascii="宋体" w:hAnsi="宋体"/>
          <w:szCs w:val="21"/>
        </w:rPr>
      </w:pPr>
      <w:bookmarkStart w:id="161" w:name="_Toc50012858"/>
      <w:bookmarkStart w:id="162" w:name="_Toc20629"/>
      <w:bookmarkStart w:id="163" w:name="_Toc493511627"/>
      <w:r>
        <w:rPr>
          <w:rFonts w:hint="eastAsia" w:ascii="宋体" w:hAnsi="宋体"/>
          <w:szCs w:val="21"/>
        </w:rPr>
        <w:t>3.3、采购代理机构对已发出的招标文件进行必要澄清或者修改的，应当在招标文件要求提交投标文件截止时间三日前，在采购信息发布媒体上发布更正公告或以邮件形式发送给已成功申领招标文件的有效投标人。该澄清或者修改的内容为招标文件的组成部分。</w:t>
      </w:r>
      <w:bookmarkEnd w:id="161"/>
      <w:bookmarkEnd w:id="162"/>
      <w:bookmarkEnd w:id="163"/>
    </w:p>
    <w:p w14:paraId="5B0A35C7">
      <w:pPr>
        <w:snapToGrid w:val="0"/>
        <w:spacing w:line="360" w:lineRule="auto"/>
        <w:ind w:firstLine="420" w:firstLineChars="200"/>
        <w:jc w:val="left"/>
        <w:outlineLvl w:val="1"/>
        <w:rPr>
          <w:rFonts w:ascii="宋体" w:hAnsi="宋体"/>
          <w:szCs w:val="21"/>
        </w:rPr>
      </w:pPr>
      <w:bookmarkStart w:id="164" w:name="_Toc50012859"/>
      <w:bookmarkStart w:id="165" w:name="_Toc10910"/>
      <w:bookmarkStart w:id="166" w:name="_Toc493511628"/>
      <w:r>
        <w:rPr>
          <w:rFonts w:hint="eastAsia" w:ascii="宋体" w:hAnsi="宋体"/>
          <w:szCs w:val="21"/>
        </w:rPr>
        <w:t>3.4、采购代理机构和采购单位可以视采购具体情况，延长投标截止时间和开标时间，但至少应当在招标文件要求提交投标文件的截止时间三日前，将变更时间书面通知所有招标文件收受人，并在采购信息发布媒体上发布变更公告或以邮件形式发送给已成功申领招标文件的有效投标人。</w:t>
      </w:r>
      <w:bookmarkEnd w:id="164"/>
      <w:bookmarkEnd w:id="165"/>
      <w:bookmarkEnd w:id="166"/>
    </w:p>
    <w:p w14:paraId="3AB16910">
      <w:pPr>
        <w:snapToGrid w:val="0"/>
        <w:spacing w:line="360" w:lineRule="auto"/>
        <w:ind w:firstLine="420" w:firstLineChars="200"/>
        <w:jc w:val="left"/>
        <w:outlineLvl w:val="1"/>
        <w:rPr>
          <w:rFonts w:ascii="宋体" w:hAnsi="宋体"/>
          <w:szCs w:val="21"/>
        </w:rPr>
      </w:pPr>
      <w:bookmarkStart w:id="167" w:name="_Toc50012860"/>
      <w:bookmarkStart w:id="168" w:name="_Toc14791"/>
      <w:bookmarkStart w:id="169" w:name="_Toc493511629"/>
      <w:r>
        <w:rPr>
          <w:rFonts w:hint="eastAsia" w:ascii="宋体" w:hAnsi="宋体"/>
          <w:szCs w:val="21"/>
        </w:rPr>
        <w:t>3.5、招标文件的澄清或者修改都应该通过本代理机构以法定形式发布，采购人非通过本机构，不得擅自澄清或者修改招标文件。</w:t>
      </w:r>
      <w:bookmarkEnd w:id="167"/>
      <w:bookmarkEnd w:id="168"/>
      <w:bookmarkEnd w:id="169"/>
    </w:p>
    <w:p w14:paraId="02EB5693">
      <w:pPr>
        <w:snapToGrid w:val="0"/>
        <w:spacing w:line="360" w:lineRule="auto"/>
        <w:ind w:firstLine="422" w:firstLineChars="200"/>
        <w:jc w:val="left"/>
        <w:outlineLvl w:val="1"/>
        <w:rPr>
          <w:rFonts w:ascii="宋体" w:hAnsi="宋体"/>
          <w:b/>
          <w:szCs w:val="21"/>
        </w:rPr>
      </w:pPr>
      <w:bookmarkStart w:id="170" w:name="_Toc177870545"/>
      <w:bookmarkStart w:id="171" w:name="_Toc8175"/>
      <w:bookmarkStart w:id="172" w:name="_Toc493511630"/>
      <w:bookmarkStart w:id="173" w:name="_Toc50012861"/>
      <w:r>
        <w:rPr>
          <w:rFonts w:hint="eastAsia" w:ascii="宋体" w:hAnsi="宋体"/>
          <w:b/>
          <w:szCs w:val="21"/>
        </w:rPr>
        <w:t>三、 投标文件的编制</w:t>
      </w:r>
      <w:bookmarkEnd w:id="170"/>
      <w:bookmarkEnd w:id="171"/>
      <w:bookmarkEnd w:id="172"/>
      <w:bookmarkEnd w:id="173"/>
    </w:p>
    <w:p w14:paraId="1E5154A3">
      <w:pPr>
        <w:pStyle w:val="26"/>
        <w:snapToGrid w:val="0"/>
        <w:spacing w:line="360" w:lineRule="auto"/>
        <w:ind w:firstLine="422" w:firstLineChars="200"/>
        <w:jc w:val="left"/>
        <w:outlineLvl w:val="1"/>
        <w:rPr>
          <w:rFonts w:hAnsi="宋体" w:cs="宋体"/>
          <w:b/>
          <w:szCs w:val="21"/>
        </w:rPr>
      </w:pPr>
      <w:bookmarkStart w:id="174" w:name="_Toc12349"/>
      <w:bookmarkStart w:id="175" w:name="_Toc33535356"/>
      <w:bookmarkStart w:id="176" w:name="_Toc50012862"/>
      <w:bookmarkStart w:id="177" w:name="_Toc493511643"/>
      <w:bookmarkStart w:id="178" w:name="_Toc177870547"/>
      <w:bookmarkStart w:id="179" w:name="_Toc177824944"/>
      <w:bookmarkStart w:id="180" w:name="_Toc177825125"/>
      <w:bookmarkStart w:id="181" w:name="_Toc177824877"/>
      <w:r>
        <w:rPr>
          <w:rFonts w:hint="eastAsia" w:hAnsi="宋体" w:cs="宋体"/>
          <w:b/>
          <w:szCs w:val="21"/>
        </w:rPr>
        <w:t>本项目所涉投标文件格式请详见第六章，未给出的格式请自拟。资信商务及技术文件中不得出现报价，否则投标文件将被视为无效。</w:t>
      </w:r>
      <w:bookmarkEnd w:id="174"/>
      <w:bookmarkEnd w:id="175"/>
      <w:bookmarkEnd w:id="176"/>
    </w:p>
    <w:p w14:paraId="7CEA610D">
      <w:pPr>
        <w:snapToGrid w:val="0"/>
        <w:spacing w:line="360" w:lineRule="auto"/>
        <w:ind w:firstLine="422" w:firstLineChars="200"/>
        <w:jc w:val="left"/>
        <w:outlineLvl w:val="0"/>
        <w:rPr>
          <w:rFonts w:ascii="宋体" w:hAnsi="宋体"/>
          <w:b/>
          <w:szCs w:val="21"/>
        </w:rPr>
      </w:pPr>
      <w:bookmarkStart w:id="182" w:name="_Toc1053"/>
      <w:bookmarkStart w:id="183" w:name="_Toc406402988"/>
      <w:bookmarkStart w:id="184" w:name="_Toc33535358"/>
      <w:bookmarkStart w:id="185" w:name="_Toc406402944"/>
      <w:bookmarkStart w:id="186" w:name="_Toc50012864"/>
      <w:r>
        <w:rPr>
          <w:rFonts w:hint="eastAsia" w:ascii="宋体" w:hAnsi="宋体"/>
          <w:b/>
          <w:szCs w:val="21"/>
        </w:rPr>
        <w:t>（一）投标文件的组成</w:t>
      </w:r>
      <w:bookmarkEnd w:id="182"/>
      <w:bookmarkEnd w:id="183"/>
      <w:bookmarkEnd w:id="184"/>
      <w:bookmarkEnd w:id="185"/>
      <w:bookmarkEnd w:id="186"/>
    </w:p>
    <w:p w14:paraId="56F64EAB">
      <w:pPr>
        <w:numPr>
          <w:ilvl w:val="0"/>
          <w:numId w:val="2"/>
        </w:numPr>
        <w:snapToGrid w:val="0"/>
        <w:spacing w:line="360" w:lineRule="auto"/>
        <w:ind w:left="0" w:firstLine="420" w:firstLineChars="200"/>
        <w:jc w:val="left"/>
        <w:rPr>
          <w:rFonts w:ascii="宋体" w:hAnsi="宋体"/>
          <w:szCs w:val="21"/>
        </w:rPr>
      </w:pPr>
      <w:r>
        <w:rPr>
          <w:rFonts w:hint="eastAsia" w:ascii="宋体" w:hAnsi="宋体"/>
          <w:szCs w:val="21"/>
        </w:rPr>
        <w:t>资信商务及技术文件</w:t>
      </w:r>
    </w:p>
    <w:p w14:paraId="32C3BA66">
      <w:pPr>
        <w:snapToGrid w:val="0"/>
        <w:spacing w:line="360" w:lineRule="auto"/>
        <w:ind w:left="420" w:leftChars="200"/>
        <w:jc w:val="left"/>
        <w:rPr>
          <w:rFonts w:ascii="宋体" w:hAnsi="宋体"/>
          <w:szCs w:val="21"/>
        </w:rPr>
      </w:pPr>
      <w:r>
        <w:rPr>
          <w:rFonts w:hint="eastAsia" w:ascii="宋体" w:hAnsi="宋体"/>
          <w:b/>
          <w:szCs w:val="21"/>
        </w:rPr>
        <w:t>1.1资信投标文件：</w:t>
      </w:r>
    </w:p>
    <w:p w14:paraId="1F05D61E">
      <w:pPr>
        <w:numPr>
          <w:ilvl w:val="2"/>
          <w:numId w:val="3"/>
        </w:numPr>
        <w:snapToGrid w:val="0"/>
        <w:spacing w:line="360" w:lineRule="auto"/>
        <w:ind w:right="42" w:rightChars="20"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承诺函：提供具有独立承担民事责任的能力、具有良好的商业信誉和健全的财务会计制度、具有履行合同所必需的设备和专业技术能力、有依法缴纳税收和社会保障资金的良好记录、参加政府采购活动前三年，在经营活动中没有重大违法记录、自招标公告发布之日起至投标截止日内任意时间的“信用中国”网站（www.creditchina.gov.cn）（未被信用中国网站</w:t>
      </w:r>
      <w:r>
        <w:fldChar w:fldCharType="begin"/>
      </w:r>
      <w:r>
        <w:instrText xml:space="preserve"> HYPERLINK \t "_blank" </w:instrText>
      </w:r>
      <w:r>
        <w:fldChar w:fldCharType="separate"/>
      </w:r>
      <w:r>
        <w:rPr>
          <w:rFonts w:hint="eastAsia" w:asciiTheme="minorEastAsia" w:hAnsiTheme="minorEastAsia" w:eastAsiaTheme="minorEastAsia"/>
        </w:rPr>
        <w:t>列入失信被执行人、重大税收违法案件当事人名单</w:t>
      </w:r>
      <w:r>
        <w:rPr>
          <w:rFonts w:hint="eastAsia" w:asciiTheme="minorEastAsia" w:hAnsiTheme="minorEastAsia" w:eastAsiaTheme="minorEastAsia"/>
        </w:rPr>
        <w:fldChar w:fldCharType="end"/>
      </w:r>
      <w:r>
        <w:rPr>
          <w:rFonts w:asciiTheme="minorEastAsia" w:hAnsiTheme="minorEastAsia" w:eastAsiaTheme="minorEastAsia"/>
          <w:szCs w:val="21"/>
        </w:rPr>
        <w:t>的）</w:t>
      </w:r>
      <w:r>
        <w:rPr>
          <w:rFonts w:hint="eastAsia" w:asciiTheme="minorEastAsia" w:hAnsiTheme="minorEastAsia" w:eastAsiaTheme="minorEastAsia"/>
          <w:szCs w:val="21"/>
        </w:rPr>
        <w:t>、中国政府采购网（www.ccgp.gov.cn）（未被中国政府采购网</w:t>
      </w:r>
      <w:r>
        <w:fldChar w:fldCharType="begin"/>
      </w:r>
      <w:r>
        <w:instrText xml:space="preserve"> HYPERLINK \t "_blank" </w:instrText>
      </w:r>
      <w:r>
        <w:fldChar w:fldCharType="separate"/>
      </w:r>
      <w:r>
        <w:rPr>
          <w:rFonts w:hint="eastAsia" w:asciiTheme="minorEastAsia" w:hAnsiTheme="minorEastAsia" w:eastAsiaTheme="minorEastAsia"/>
        </w:rPr>
        <w:t>列入政府采购严重违法失信行为记录名单</w:t>
      </w:r>
      <w:r>
        <w:rPr>
          <w:rFonts w:hint="eastAsia" w:asciiTheme="minorEastAsia" w:hAnsiTheme="minorEastAsia" w:eastAsiaTheme="minorEastAsia"/>
        </w:rPr>
        <w:fldChar w:fldCharType="end"/>
      </w:r>
      <w:r>
        <w:rPr>
          <w:rFonts w:asciiTheme="minorEastAsia" w:hAnsiTheme="minorEastAsia" w:eastAsiaTheme="minorEastAsia"/>
          <w:szCs w:val="21"/>
        </w:rPr>
        <w:t>的</w:t>
      </w:r>
      <w:r>
        <w:rPr>
          <w:rFonts w:hint="eastAsia" w:asciiTheme="minorEastAsia" w:hAnsiTheme="minorEastAsia" w:eastAsiaTheme="minorEastAsia"/>
          <w:szCs w:val="21"/>
        </w:rPr>
        <w:t>）也没有因违反《浙江省政府采购投标人注册及诚信管理暂行办法》被列入“黑名单”，正在处罚有效期（详见格式）的承诺函；</w:t>
      </w:r>
    </w:p>
    <w:p w14:paraId="71E5ABBB">
      <w:pPr>
        <w:numPr>
          <w:ilvl w:val="2"/>
          <w:numId w:val="3"/>
        </w:numPr>
        <w:snapToGrid w:val="0"/>
        <w:spacing w:line="360" w:lineRule="auto"/>
        <w:ind w:left="420" w:leftChars="200" w:right="42" w:rightChars="20"/>
        <w:jc w:val="left"/>
        <w:rPr>
          <w:rFonts w:asciiTheme="minorEastAsia" w:hAnsiTheme="minorEastAsia" w:eastAsiaTheme="minorEastAsia"/>
          <w:szCs w:val="21"/>
        </w:rPr>
      </w:pPr>
      <w:r>
        <w:rPr>
          <w:rFonts w:hint="eastAsia" w:asciiTheme="minorEastAsia" w:hAnsiTheme="minorEastAsia" w:eastAsiaTheme="minorEastAsia"/>
          <w:szCs w:val="21"/>
        </w:rPr>
        <w:t>中小企业声明函或残疾人福利性单位声明函或其他符合政策性条件的承诺函；   1.1.3、联合协议（如有)；分包协议（如有)；</w:t>
      </w:r>
    </w:p>
    <w:p w14:paraId="5F272C01">
      <w:pPr>
        <w:snapToGrid w:val="0"/>
        <w:spacing w:line="360" w:lineRule="auto"/>
        <w:ind w:left="420" w:leftChars="200" w:right="42" w:rightChars="20"/>
        <w:jc w:val="left"/>
        <w:rPr>
          <w:rFonts w:asciiTheme="minorEastAsia" w:hAnsiTheme="minorEastAsia" w:eastAsiaTheme="minorEastAsia"/>
          <w:szCs w:val="21"/>
        </w:rPr>
      </w:pPr>
      <w:r>
        <w:rPr>
          <w:rFonts w:hint="eastAsia" w:asciiTheme="minorEastAsia" w:hAnsiTheme="minorEastAsia" w:eastAsiaTheme="minorEastAsia"/>
          <w:szCs w:val="21"/>
        </w:rPr>
        <w:t>1.1.4、法定代表人授权委托书。</w:t>
      </w:r>
    </w:p>
    <w:p w14:paraId="7C8E01E5">
      <w:pPr>
        <w:spacing w:line="360" w:lineRule="auto"/>
        <w:ind w:firstLine="422" w:firstLineChars="200"/>
        <w:jc w:val="left"/>
        <w:rPr>
          <w:rFonts w:ascii="宋体" w:hAnsi="宋体"/>
          <w:szCs w:val="21"/>
        </w:rPr>
      </w:pPr>
      <w:r>
        <w:rPr>
          <w:rFonts w:hint="eastAsia" w:ascii="宋体" w:hAnsi="宋体"/>
          <w:b/>
          <w:szCs w:val="21"/>
        </w:rPr>
        <w:t>1.2、商务技术文件</w:t>
      </w:r>
    </w:p>
    <w:p w14:paraId="614C8C35">
      <w:pPr>
        <w:snapToGrid w:val="0"/>
        <w:spacing w:line="360" w:lineRule="auto"/>
        <w:ind w:firstLine="420" w:firstLineChars="200"/>
        <w:jc w:val="left"/>
        <w:rPr>
          <w:rFonts w:ascii="宋体" w:hAnsi="宋体"/>
          <w:szCs w:val="21"/>
        </w:rPr>
      </w:pPr>
      <w:r>
        <w:rPr>
          <w:rFonts w:hint="eastAsia" w:ascii="宋体" w:hAnsi="宋体"/>
          <w:szCs w:val="21"/>
        </w:rPr>
        <w:t>1.2.1、投标声明书；</w:t>
      </w:r>
    </w:p>
    <w:p w14:paraId="53C4140F">
      <w:pPr>
        <w:snapToGrid w:val="0"/>
        <w:spacing w:line="360" w:lineRule="auto"/>
        <w:ind w:firstLine="420" w:firstLineChars="200"/>
        <w:jc w:val="left"/>
        <w:rPr>
          <w:rFonts w:ascii="宋体" w:hAnsi="宋体"/>
          <w:szCs w:val="21"/>
        </w:rPr>
      </w:pPr>
      <w:r>
        <w:rPr>
          <w:rFonts w:hint="eastAsia" w:ascii="宋体" w:hAnsi="宋体"/>
          <w:szCs w:val="21"/>
        </w:rPr>
        <w:t>1.2</w:t>
      </w:r>
      <w:r>
        <w:rPr>
          <w:rFonts w:ascii="宋体" w:hAnsi="宋体"/>
          <w:szCs w:val="21"/>
        </w:rPr>
        <w:t>.</w:t>
      </w:r>
      <w:r>
        <w:rPr>
          <w:rFonts w:hint="eastAsia" w:ascii="宋体" w:hAnsi="宋体"/>
          <w:szCs w:val="21"/>
        </w:rPr>
        <w:t>2、类似案例成功的业绩</w:t>
      </w:r>
      <w:r>
        <w:rPr>
          <w:rFonts w:hint="eastAsia" w:ascii="宋体" w:hAnsi="宋体"/>
          <w:b/>
          <w:szCs w:val="21"/>
        </w:rPr>
        <w:t>（合同复印件并加盖投标人公章）</w:t>
      </w:r>
      <w:r>
        <w:rPr>
          <w:rFonts w:hint="eastAsia" w:ascii="宋体" w:hAnsi="宋体"/>
          <w:szCs w:val="21"/>
        </w:rPr>
        <w:t>；</w:t>
      </w:r>
    </w:p>
    <w:p w14:paraId="49F5FD58">
      <w:pPr>
        <w:snapToGrid w:val="0"/>
        <w:spacing w:line="360" w:lineRule="auto"/>
        <w:ind w:firstLine="420" w:firstLineChars="200"/>
        <w:jc w:val="left"/>
        <w:rPr>
          <w:rFonts w:ascii="宋体" w:hAnsi="宋体"/>
          <w:szCs w:val="21"/>
        </w:rPr>
      </w:pPr>
      <w:r>
        <w:rPr>
          <w:rFonts w:hint="eastAsia" w:ascii="宋体" w:hAnsi="宋体"/>
          <w:szCs w:val="21"/>
        </w:rPr>
        <w:t>1.2</w:t>
      </w:r>
      <w:r>
        <w:rPr>
          <w:rFonts w:ascii="宋体" w:hAnsi="宋体"/>
          <w:szCs w:val="21"/>
        </w:rPr>
        <w:t>.</w:t>
      </w:r>
      <w:r>
        <w:rPr>
          <w:rFonts w:hint="eastAsia" w:ascii="宋体" w:hAnsi="宋体"/>
          <w:szCs w:val="21"/>
        </w:rPr>
        <w:t>3、与本项目实施相关的投标人各类资质证书、认证证书、许可证等（如信誉荣誉、本地化服务等。</w:t>
      </w:r>
      <w:r>
        <w:rPr>
          <w:rFonts w:hint="eastAsia" w:ascii="宋体" w:hAnsi="宋体"/>
          <w:b/>
          <w:szCs w:val="21"/>
        </w:rPr>
        <w:t>提供复印件并加盖投标人公章）（如有）</w:t>
      </w:r>
      <w:r>
        <w:rPr>
          <w:rFonts w:hint="eastAsia" w:ascii="宋体" w:hAnsi="宋体"/>
          <w:szCs w:val="21"/>
        </w:rPr>
        <w:t>；</w:t>
      </w:r>
    </w:p>
    <w:p w14:paraId="1F5D06C1">
      <w:pPr>
        <w:snapToGrid w:val="0"/>
        <w:spacing w:line="360" w:lineRule="auto"/>
        <w:ind w:firstLine="420" w:firstLineChars="200"/>
        <w:jc w:val="left"/>
        <w:rPr>
          <w:rFonts w:ascii="宋体" w:hAnsi="宋体"/>
          <w:szCs w:val="21"/>
        </w:rPr>
      </w:pPr>
      <w:r>
        <w:rPr>
          <w:rFonts w:hint="eastAsia" w:ascii="宋体" w:hAnsi="宋体"/>
          <w:szCs w:val="21"/>
        </w:rPr>
        <w:t>1.2.4、投标人情况介绍；</w:t>
      </w:r>
    </w:p>
    <w:p w14:paraId="2F84F4A1">
      <w:pPr>
        <w:snapToGrid w:val="0"/>
        <w:spacing w:line="360" w:lineRule="auto"/>
        <w:ind w:firstLine="420" w:firstLineChars="200"/>
        <w:jc w:val="left"/>
        <w:rPr>
          <w:rFonts w:ascii="宋体" w:hAnsi="宋体"/>
          <w:szCs w:val="21"/>
        </w:rPr>
      </w:pPr>
      <w:r>
        <w:rPr>
          <w:rFonts w:hint="eastAsia" w:ascii="宋体" w:hAnsi="宋体"/>
          <w:szCs w:val="21"/>
        </w:rPr>
        <w:t>1.2.5、商务、技术响应表；</w:t>
      </w:r>
    </w:p>
    <w:p w14:paraId="3A746722">
      <w:pPr>
        <w:snapToGrid w:val="0"/>
        <w:spacing w:line="360" w:lineRule="auto"/>
        <w:ind w:firstLine="420" w:firstLineChars="200"/>
        <w:jc w:val="left"/>
        <w:rPr>
          <w:rFonts w:ascii="宋体" w:hAnsi="宋体"/>
        </w:rPr>
      </w:pPr>
      <w:r>
        <w:rPr>
          <w:rFonts w:hint="eastAsia" w:ascii="宋体" w:hAnsi="宋体"/>
          <w:szCs w:val="21"/>
        </w:rPr>
        <w:t>1.2.6、</w:t>
      </w:r>
      <w:r>
        <w:rPr>
          <w:rFonts w:ascii="宋体" w:hAnsi="宋体"/>
          <w:szCs w:val="21"/>
        </w:rPr>
        <w:t>项目实施人员</w:t>
      </w:r>
      <w:r>
        <w:rPr>
          <w:rFonts w:hint="eastAsia" w:ascii="宋体" w:hAnsi="宋体"/>
          <w:szCs w:val="21"/>
        </w:rPr>
        <w:t>（格式见附件）</w:t>
      </w:r>
    </w:p>
    <w:p w14:paraId="1BD68BC5">
      <w:pPr>
        <w:snapToGrid w:val="0"/>
        <w:spacing w:line="360" w:lineRule="auto"/>
        <w:ind w:firstLine="420" w:firstLineChars="200"/>
        <w:jc w:val="left"/>
        <w:rPr>
          <w:rFonts w:ascii="宋体" w:hAnsi="宋体"/>
          <w:szCs w:val="21"/>
        </w:rPr>
      </w:pPr>
      <w:r>
        <w:rPr>
          <w:rFonts w:hint="eastAsia" w:ascii="宋体" w:hAnsi="宋体"/>
          <w:szCs w:val="21"/>
        </w:rPr>
        <w:t>1.2.7、</w:t>
      </w:r>
      <w:r>
        <w:rPr>
          <w:rFonts w:ascii="宋体" w:hAnsi="宋体"/>
          <w:szCs w:val="21"/>
        </w:rPr>
        <w:t>对招标项目的理解</w:t>
      </w:r>
      <w:r>
        <w:rPr>
          <w:rFonts w:hint="eastAsia" w:ascii="宋体" w:hAnsi="宋体"/>
          <w:szCs w:val="21"/>
        </w:rPr>
        <w:t>；（格式自拟）</w:t>
      </w:r>
    </w:p>
    <w:p w14:paraId="45D75B0D">
      <w:pPr>
        <w:snapToGrid w:val="0"/>
        <w:spacing w:line="360" w:lineRule="auto"/>
        <w:ind w:firstLine="420" w:firstLineChars="200"/>
        <w:jc w:val="left"/>
        <w:rPr>
          <w:rFonts w:ascii="宋体" w:hAnsi="宋体"/>
          <w:szCs w:val="21"/>
        </w:rPr>
      </w:pPr>
      <w:r>
        <w:rPr>
          <w:rFonts w:hint="eastAsia" w:ascii="宋体" w:hAnsi="宋体"/>
          <w:szCs w:val="21"/>
        </w:rPr>
        <w:t>1.2.8、工作的实施方案；（格式自拟）</w:t>
      </w:r>
    </w:p>
    <w:p w14:paraId="1944993C">
      <w:pPr>
        <w:snapToGrid w:val="0"/>
        <w:spacing w:line="360" w:lineRule="auto"/>
        <w:ind w:firstLine="420" w:firstLineChars="200"/>
        <w:jc w:val="left"/>
        <w:rPr>
          <w:rFonts w:ascii="宋体" w:hAnsi="宋体"/>
          <w:szCs w:val="21"/>
        </w:rPr>
      </w:pPr>
      <w:r>
        <w:rPr>
          <w:rFonts w:hint="eastAsia" w:ascii="宋体" w:hAnsi="宋体"/>
          <w:szCs w:val="21"/>
        </w:rPr>
        <w:t>1.2.9、质量</w:t>
      </w:r>
      <w:r>
        <w:rPr>
          <w:rFonts w:ascii="宋体" w:hAnsi="宋体"/>
          <w:szCs w:val="21"/>
        </w:rPr>
        <w:t>保障</w:t>
      </w:r>
      <w:r>
        <w:rPr>
          <w:rFonts w:hint="eastAsia" w:ascii="宋体" w:hAnsi="宋体"/>
          <w:szCs w:val="21"/>
        </w:rPr>
        <w:t>、服务保障；（格式自拟）</w:t>
      </w:r>
    </w:p>
    <w:p w14:paraId="252CEE10">
      <w:pPr>
        <w:snapToGrid w:val="0"/>
        <w:spacing w:line="360" w:lineRule="auto"/>
        <w:ind w:firstLine="420" w:firstLineChars="200"/>
        <w:jc w:val="left"/>
        <w:rPr>
          <w:rFonts w:ascii="宋体" w:hAnsi="宋体"/>
          <w:szCs w:val="21"/>
        </w:rPr>
      </w:pPr>
      <w:r>
        <w:rPr>
          <w:rFonts w:hint="eastAsia" w:ascii="宋体" w:hAnsi="宋体"/>
          <w:szCs w:val="21"/>
        </w:rPr>
        <w:t>1.2.10、拟投入实施设备；（格式自拟，包含品牌、型号、功能等，如有）</w:t>
      </w:r>
    </w:p>
    <w:p w14:paraId="1430AEA7">
      <w:pPr>
        <w:snapToGrid w:val="0"/>
        <w:spacing w:line="360" w:lineRule="auto"/>
        <w:ind w:firstLine="420" w:firstLineChars="200"/>
        <w:jc w:val="left"/>
        <w:rPr>
          <w:rFonts w:ascii="宋体" w:hAnsi="宋体"/>
          <w:szCs w:val="21"/>
        </w:rPr>
      </w:pPr>
      <w:r>
        <w:rPr>
          <w:rFonts w:hint="eastAsia" w:ascii="宋体" w:hAnsi="宋体"/>
          <w:szCs w:val="21"/>
        </w:rPr>
        <w:t>1.2.11、</w:t>
      </w:r>
      <w:r>
        <w:rPr>
          <w:rFonts w:ascii="宋体" w:hAnsi="宋体"/>
          <w:szCs w:val="21"/>
        </w:rPr>
        <w:t>投标人承诺给予招标人的各种优惠条件，包括售后服务等方面的优惠；</w:t>
      </w:r>
      <w:r>
        <w:rPr>
          <w:rFonts w:hint="eastAsia" w:ascii="宋体" w:hAnsi="宋体"/>
          <w:szCs w:val="21"/>
        </w:rPr>
        <w:t>（格式自拟）</w:t>
      </w:r>
    </w:p>
    <w:p w14:paraId="15C841A0">
      <w:pPr>
        <w:snapToGrid w:val="0"/>
        <w:spacing w:line="360" w:lineRule="auto"/>
        <w:ind w:firstLine="420" w:firstLineChars="200"/>
        <w:jc w:val="left"/>
        <w:rPr>
          <w:rFonts w:ascii="宋体" w:hAnsi="宋体"/>
          <w:szCs w:val="21"/>
        </w:rPr>
      </w:pPr>
      <w:r>
        <w:rPr>
          <w:rFonts w:hint="eastAsia" w:ascii="宋体" w:hAnsi="宋体"/>
          <w:szCs w:val="21"/>
        </w:rPr>
        <w:t>1.2.12、投标人截止投标时间前三年内的奖惩情况说明，格式自拟.</w:t>
      </w:r>
    </w:p>
    <w:p w14:paraId="2A4E5952">
      <w:pPr>
        <w:snapToGrid w:val="0"/>
        <w:spacing w:line="360" w:lineRule="auto"/>
        <w:ind w:firstLine="420" w:firstLineChars="200"/>
        <w:jc w:val="left"/>
        <w:rPr>
          <w:rFonts w:ascii="宋体" w:hAnsi="宋体"/>
          <w:szCs w:val="21"/>
        </w:rPr>
      </w:pPr>
      <w:r>
        <w:rPr>
          <w:rFonts w:hint="eastAsia" w:ascii="宋体" w:hAnsi="宋体"/>
          <w:szCs w:val="21"/>
        </w:rPr>
        <w:t>1.2.13、投标单位对本项目的合理化建议和改进措施；</w:t>
      </w:r>
    </w:p>
    <w:p w14:paraId="4F29B59C">
      <w:pPr>
        <w:snapToGrid w:val="0"/>
        <w:spacing w:line="360" w:lineRule="auto"/>
        <w:ind w:firstLine="420" w:firstLineChars="200"/>
        <w:jc w:val="left"/>
        <w:rPr>
          <w:rFonts w:ascii="宋体" w:hAnsi="宋体"/>
          <w:b/>
          <w:bCs/>
          <w:szCs w:val="21"/>
          <w:shd w:val="pct10" w:color="auto" w:fill="FFFFFF"/>
        </w:rPr>
      </w:pPr>
      <w:r>
        <w:rPr>
          <w:rFonts w:hint="eastAsia" w:ascii="宋体" w:hAnsi="宋体"/>
          <w:szCs w:val="21"/>
        </w:rPr>
        <w:t>1.2.14、</w:t>
      </w:r>
      <w:r>
        <w:rPr>
          <w:rFonts w:hint="eastAsia" w:ascii="宋体" w:hAnsi="宋体"/>
          <w:b/>
          <w:bCs/>
          <w:szCs w:val="21"/>
          <w:shd w:val="pct10" w:color="auto" w:fill="FFFFFF"/>
        </w:rPr>
        <w:t>未尽事宜请各投标人按评分细则制作。</w:t>
      </w:r>
    </w:p>
    <w:p w14:paraId="45C2C266">
      <w:pPr>
        <w:spacing w:line="360" w:lineRule="auto"/>
        <w:ind w:firstLine="422" w:firstLineChars="200"/>
        <w:jc w:val="left"/>
        <w:rPr>
          <w:rFonts w:ascii="宋体" w:hAnsi="宋体"/>
          <w:b/>
          <w:szCs w:val="21"/>
        </w:rPr>
      </w:pPr>
      <w:r>
        <w:rPr>
          <w:rFonts w:hint="eastAsia" w:ascii="宋体" w:hAnsi="宋体"/>
          <w:b/>
          <w:szCs w:val="21"/>
        </w:rPr>
        <w:t>2、投标报价文件：</w:t>
      </w:r>
    </w:p>
    <w:p w14:paraId="49975986">
      <w:pPr>
        <w:snapToGrid w:val="0"/>
        <w:spacing w:line="360" w:lineRule="auto"/>
        <w:ind w:firstLine="420" w:firstLineChars="200"/>
        <w:jc w:val="left"/>
        <w:rPr>
          <w:rFonts w:ascii="宋体" w:hAnsi="宋体"/>
          <w:szCs w:val="21"/>
        </w:rPr>
      </w:pPr>
      <w:r>
        <w:rPr>
          <w:rFonts w:hint="eastAsia" w:ascii="宋体" w:hAnsi="宋体"/>
          <w:szCs w:val="21"/>
        </w:rPr>
        <w:t xml:space="preserve">2.1、投标函； </w:t>
      </w:r>
    </w:p>
    <w:p w14:paraId="7082FF87">
      <w:pPr>
        <w:snapToGrid w:val="0"/>
        <w:spacing w:line="360" w:lineRule="auto"/>
        <w:ind w:firstLine="420" w:firstLineChars="200"/>
        <w:jc w:val="left"/>
        <w:rPr>
          <w:rFonts w:ascii="宋体" w:hAnsi="宋体"/>
          <w:szCs w:val="21"/>
        </w:rPr>
      </w:pPr>
      <w:r>
        <w:rPr>
          <w:rFonts w:hint="eastAsia" w:ascii="宋体" w:hAnsi="宋体"/>
          <w:szCs w:val="21"/>
        </w:rPr>
        <w:t>2.2、开标一览表；</w:t>
      </w:r>
    </w:p>
    <w:p w14:paraId="6256A26B">
      <w:pPr>
        <w:snapToGrid w:val="0"/>
        <w:spacing w:line="360" w:lineRule="auto"/>
        <w:ind w:firstLine="420" w:firstLineChars="200"/>
        <w:jc w:val="left"/>
        <w:rPr>
          <w:rFonts w:ascii="宋体" w:hAnsi="宋体"/>
          <w:szCs w:val="21"/>
        </w:rPr>
      </w:pPr>
      <w:r>
        <w:rPr>
          <w:rFonts w:hint="eastAsia" w:ascii="宋体" w:hAnsi="宋体"/>
          <w:szCs w:val="21"/>
        </w:rPr>
        <w:t>2.3、投标人针对报价需要说明的其他文件和说明。</w:t>
      </w:r>
    </w:p>
    <w:bookmarkEnd w:id="177"/>
    <w:p w14:paraId="6EF0E36A">
      <w:pPr>
        <w:snapToGrid w:val="0"/>
        <w:spacing w:line="360" w:lineRule="auto"/>
        <w:ind w:firstLine="420" w:firstLineChars="200"/>
        <w:contextualSpacing/>
        <w:jc w:val="left"/>
        <w:outlineLvl w:val="1"/>
        <w:rPr>
          <w:rFonts w:ascii="宋体" w:hAnsi="宋体"/>
          <w:szCs w:val="21"/>
        </w:rPr>
      </w:pPr>
      <w:bookmarkStart w:id="187" w:name="_Toc493511656"/>
      <w:bookmarkStart w:id="188" w:name="_Toc8745"/>
      <w:bookmarkStart w:id="189" w:name="_Toc50012865"/>
      <w:r>
        <w:rPr>
          <w:rFonts w:hint="eastAsia" w:ascii="宋体" w:hAnsi="宋体"/>
          <w:szCs w:val="21"/>
        </w:rPr>
        <w:t>▲</w:t>
      </w:r>
      <w:r>
        <w:rPr>
          <w:rFonts w:ascii="宋体" w:hAnsi="宋体"/>
          <w:szCs w:val="21"/>
        </w:rPr>
        <w:t>注：法定代表人授权委托书、投标声明书、投标函、开标一览表必须由法定代表人</w:t>
      </w:r>
      <w:r>
        <w:rPr>
          <w:rFonts w:hint="eastAsia" w:ascii="宋体" w:hAnsi="宋体"/>
          <w:szCs w:val="21"/>
        </w:rPr>
        <w:t>或负责人或授权代表</w:t>
      </w:r>
      <w:r>
        <w:rPr>
          <w:rFonts w:ascii="宋体" w:hAnsi="宋体"/>
          <w:szCs w:val="21"/>
        </w:rPr>
        <w:t>签名并加盖单位公章。</w:t>
      </w:r>
      <w:bookmarkEnd w:id="187"/>
      <w:bookmarkEnd w:id="188"/>
      <w:bookmarkEnd w:id="189"/>
    </w:p>
    <w:bookmarkEnd w:id="178"/>
    <w:bookmarkEnd w:id="179"/>
    <w:bookmarkEnd w:id="180"/>
    <w:bookmarkEnd w:id="181"/>
    <w:p w14:paraId="5B01B15F">
      <w:pPr>
        <w:snapToGrid w:val="0"/>
        <w:spacing w:line="360" w:lineRule="auto"/>
        <w:ind w:firstLine="422" w:firstLineChars="200"/>
        <w:jc w:val="left"/>
        <w:outlineLvl w:val="0"/>
        <w:rPr>
          <w:rFonts w:ascii="宋体" w:hAnsi="宋体"/>
          <w:b/>
          <w:szCs w:val="21"/>
        </w:rPr>
      </w:pPr>
      <w:bookmarkStart w:id="190" w:name="_Toc406402946"/>
      <w:bookmarkStart w:id="191" w:name="_Toc50012866"/>
      <w:bookmarkStart w:id="192" w:name="_Toc385854100"/>
      <w:bookmarkStart w:id="193" w:name="_Toc33535360"/>
      <w:bookmarkStart w:id="194" w:name="_Toc385854146"/>
      <w:bookmarkStart w:id="195" w:name="_Toc402963084"/>
      <w:bookmarkStart w:id="196" w:name="_Toc406402990"/>
      <w:bookmarkStart w:id="197" w:name="_Toc31513"/>
      <w:bookmarkStart w:id="198" w:name="_Toc402963117"/>
      <w:bookmarkStart w:id="199" w:name="_Toc493511751"/>
      <w:r>
        <w:rPr>
          <w:rFonts w:hint="eastAsia" w:ascii="宋体" w:hAnsi="宋体"/>
          <w:b/>
          <w:szCs w:val="21"/>
        </w:rPr>
        <w:t>（二）投标文件的语言及计量</w:t>
      </w:r>
      <w:bookmarkEnd w:id="190"/>
      <w:bookmarkEnd w:id="191"/>
      <w:bookmarkEnd w:id="192"/>
      <w:bookmarkEnd w:id="193"/>
      <w:bookmarkEnd w:id="194"/>
      <w:bookmarkEnd w:id="195"/>
      <w:bookmarkEnd w:id="196"/>
      <w:bookmarkEnd w:id="197"/>
      <w:bookmarkEnd w:id="198"/>
    </w:p>
    <w:p w14:paraId="0D0E6F36">
      <w:pPr>
        <w:snapToGrid w:val="0"/>
        <w:spacing w:line="360" w:lineRule="auto"/>
        <w:ind w:firstLine="420" w:firstLineChars="200"/>
        <w:jc w:val="left"/>
        <w:rPr>
          <w:rFonts w:ascii="宋体" w:hAnsi="宋体"/>
          <w:szCs w:val="21"/>
        </w:rPr>
      </w:pPr>
      <w:r>
        <w:rPr>
          <w:rFonts w:ascii="宋体" w:hAnsi="宋体"/>
          <w:szCs w:val="21"/>
        </w:rPr>
        <w:t>1</w:t>
      </w:r>
      <w:r>
        <w:rPr>
          <w:rFonts w:hint="eastAsia" w:ascii="宋体" w:hAnsi="宋体"/>
          <w:szCs w:val="21"/>
        </w:rPr>
        <w:t>、</w:t>
      </w:r>
      <w:r>
        <w:rPr>
          <w:rFonts w:ascii="宋体" w:hAnsi="宋体"/>
          <w:szCs w:val="21"/>
        </w:rPr>
        <w:t>投标文件以及投标方与招标方就有关投标事宜的所有来往函电，均应以中文汉语书写。除签名、盖章、专用名称等特殊情形外，以中文汉语以外的文字表述的投标文件视同未提供。</w:t>
      </w:r>
    </w:p>
    <w:p w14:paraId="0273B1F4">
      <w:pPr>
        <w:snapToGrid w:val="0"/>
        <w:spacing w:line="360" w:lineRule="auto"/>
        <w:ind w:firstLine="420" w:firstLineChars="200"/>
        <w:jc w:val="left"/>
        <w:rPr>
          <w:rFonts w:ascii="宋体" w:hAnsi="宋体"/>
          <w:szCs w:val="21"/>
        </w:rPr>
      </w:pPr>
      <w:r>
        <w:rPr>
          <w:rFonts w:ascii="宋体" w:hAnsi="宋体"/>
          <w:szCs w:val="21"/>
        </w:rPr>
        <w:t>2</w:t>
      </w:r>
      <w:r>
        <w:rPr>
          <w:rFonts w:hint="eastAsia" w:ascii="宋体" w:hAnsi="宋体"/>
          <w:szCs w:val="21"/>
        </w:rPr>
        <w:t>、</w:t>
      </w:r>
      <w:r>
        <w:rPr>
          <w:rFonts w:ascii="宋体" w:hAnsi="宋体"/>
          <w:szCs w:val="21"/>
        </w:rPr>
        <w:t>投标计量单位，招标文件已有明确规定的，使用招标文件规定的计量单位；招标文件没有规定的，应采用中华人民共和国法定计量单位（货币单位：人民币元），否则视同未响应。</w:t>
      </w:r>
    </w:p>
    <w:p w14:paraId="00BB71C7">
      <w:pPr>
        <w:snapToGrid w:val="0"/>
        <w:spacing w:line="360" w:lineRule="auto"/>
        <w:ind w:firstLine="422" w:firstLineChars="200"/>
        <w:jc w:val="left"/>
        <w:outlineLvl w:val="0"/>
        <w:rPr>
          <w:rFonts w:ascii="宋体" w:hAnsi="宋体"/>
          <w:b/>
          <w:szCs w:val="21"/>
        </w:rPr>
      </w:pPr>
      <w:bookmarkStart w:id="200" w:name="_Toc385854147"/>
      <w:bookmarkStart w:id="201" w:name="_Toc18686"/>
      <w:bookmarkStart w:id="202" w:name="_Toc385854101"/>
      <w:bookmarkStart w:id="203" w:name="_Toc33535361"/>
      <w:bookmarkStart w:id="204" w:name="_Toc402963118"/>
      <w:bookmarkStart w:id="205" w:name="_Toc406402991"/>
      <w:bookmarkStart w:id="206" w:name="_Toc402963085"/>
      <w:bookmarkStart w:id="207" w:name="_Toc50012867"/>
      <w:bookmarkStart w:id="208" w:name="_Toc406402947"/>
      <w:r>
        <w:rPr>
          <w:rFonts w:hint="eastAsia" w:ascii="宋体" w:hAnsi="宋体"/>
          <w:b/>
          <w:szCs w:val="21"/>
        </w:rPr>
        <w:t>（三）投标报价</w:t>
      </w:r>
      <w:bookmarkEnd w:id="200"/>
      <w:bookmarkEnd w:id="201"/>
      <w:bookmarkEnd w:id="202"/>
      <w:bookmarkEnd w:id="203"/>
      <w:bookmarkEnd w:id="204"/>
      <w:bookmarkEnd w:id="205"/>
      <w:bookmarkEnd w:id="206"/>
      <w:bookmarkEnd w:id="207"/>
      <w:bookmarkEnd w:id="208"/>
    </w:p>
    <w:p w14:paraId="020DA5D4">
      <w:pPr>
        <w:pStyle w:val="26"/>
        <w:snapToGrid w:val="0"/>
        <w:spacing w:line="360" w:lineRule="auto"/>
        <w:ind w:firstLine="420" w:firstLineChars="200"/>
        <w:jc w:val="left"/>
        <w:rPr>
          <w:rFonts w:hAnsi="宋体"/>
          <w:szCs w:val="21"/>
        </w:rPr>
      </w:pPr>
      <w:r>
        <w:rPr>
          <w:rFonts w:hAnsi="宋体"/>
          <w:szCs w:val="21"/>
        </w:rPr>
        <w:t>1</w:t>
      </w:r>
      <w:r>
        <w:rPr>
          <w:rFonts w:hint="eastAsia" w:hAnsi="宋体"/>
          <w:szCs w:val="21"/>
        </w:rPr>
        <w:t>、</w:t>
      </w:r>
      <w:r>
        <w:rPr>
          <w:rFonts w:hAnsi="宋体"/>
          <w:szCs w:val="21"/>
        </w:rPr>
        <w:t>投标报价应按招标文件中相关附表格式填写。</w:t>
      </w:r>
    </w:p>
    <w:p w14:paraId="7391DF8B">
      <w:pPr>
        <w:pStyle w:val="26"/>
        <w:snapToGrid w:val="0"/>
        <w:spacing w:line="360" w:lineRule="auto"/>
        <w:ind w:firstLine="420" w:firstLineChars="200"/>
        <w:jc w:val="left"/>
        <w:rPr>
          <w:rFonts w:hAnsi="宋体"/>
          <w:szCs w:val="21"/>
        </w:rPr>
      </w:pPr>
      <w:r>
        <w:rPr>
          <w:rFonts w:hAnsi="宋体"/>
          <w:szCs w:val="21"/>
        </w:rPr>
        <w:t>2</w:t>
      </w:r>
      <w:r>
        <w:rPr>
          <w:rFonts w:hint="eastAsia" w:hAnsi="宋体"/>
          <w:szCs w:val="21"/>
        </w:rPr>
        <w:t>、</w:t>
      </w:r>
      <w:r>
        <w:rPr>
          <w:rFonts w:hint="eastAsia" w:hAnsi="宋体"/>
          <w:b/>
          <w:szCs w:val="21"/>
        </w:rPr>
        <w:t>投标报价是必须包括提供项目服务所需的一切人员费用（人员工资、奖金、各种加班费、各种社会保险（基本养老保险、基本医疗保险、工伤保险、失业保险、公积金等）、食宿与交通、高温补偿费）、货款、管理费用（意外保险、车辆、培训、税费、利润等完成合同所需的一切本身和不可或缺的所有工作开支、政策性文件规定及合同包含的所有风险、责任等各项全部费用并承担一切风险责任。</w:t>
      </w:r>
    </w:p>
    <w:p w14:paraId="39A466C3">
      <w:pPr>
        <w:pStyle w:val="26"/>
        <w:snapToGrid w:val="0"/>
        <w:spacing w:line="360" w:lineRule="auto"/>
        <w:ind w:firstLine="420" w:firstLineChars="200"/>
        <w:jc w:val="left"/>
        <w:rPr>
          <w:rFonts w:hAnsi="宋体"/>
          <w:szCs w:val="21"/>
        </w:rPr>
      </w:pPr>
      <w:r>
        <w:rPr>
          <w:rFonts w:hAnsi="宋体"/>
          <w:szCs w:val="21"/>
        </w:rPr>
        <w:t>3</w:t>
      </w:r>
      <w:r>
        <w:rPr>
          <w:rFonts w:hint="eastAsia" w:hAnsi="宋体"/>
          <w:szCs w:val="21"/>
        </w:rPr>
        <w:t>、</w:t>
      </w:r>
      <w:r>
        <w:rPr>
          <w:rFonts w:hAnsi="宋体"/>
          <w:szCs w:val="21"/>
        </w:rPr>
        <w:t>投标文件只允许有一个报价，有选择的</w:t>
      </w:r>
      <w:r>
        <w:rPr>
          <w:rFonts w:hint="eastAsia" w:hAnsi="宋体"/>
          <w:szCs w:val="21"/>
        </w:rPr>
        <w:t>或有条件的</w:t>
      </w:r>
      <w:r>
        <w:rPr>
          <w:rFonts w:hAnsi="宋体"/>
          <w:szCs w:val="21"/>
        </w:rPr>
        <w:t>报价将不予接受。</w:t>
      </w:r>
    </w:p>
    <w:p w14:paraId="25F73318">
      <w:pPr>
        <w:pStyle w:val="17"/>
        <w:widowControl w:val="0"/>
        <w:tabs>
          <w:tab w:val="clear" w:pos="454"/>
        </w:tabs>
        <w:snapToGrid w:val="0"/>
        <w:spacing w:afterLines="0" w:line="360" w:lineRule="auto"/>
        <w:ind w:left="0" w:firstLine="422" w:firstLineChars="200"/>
        <w:rPr>
          <w:rFonts w:ascii="宋体" w:hAnsi="宋体"/>
          <w:b/>
          <w:sz w:val="21"/>
          <w:szCs w:val="21"/>
        </w:rPr>
      </w:pPr>
      <w:r>
        <w:rPr>
          <w:rFonts w:hint="eastAsia" w:ascii="宋体" w:hAnsi="宋体"/>
          <w:b/>
          <w:sz w:val="21"/>
          <w:szCs w:val="21"/>
        </w:rPr>
        <w:t>（四）投标文件的有效期</w:t>
      </w:r>
    </w:p>
    <w:p w14:paraId="586E1AC9">
      <w:pPr>
        <w:pStyle w:val="17"/>
        <w:widowControl w:val="0"/>
        <w:tabs>
          <w:tab w:val="left" w:pos="4500"/>
          <w:tab w:val="clear" w:pos="454"/>
        </w:tabs>
        <w:snapToGrid w:val="0"/>
        <w:spacing w:afterLines="0" w:line="360" w:lineRule="auto"/>
        <w:ind w:left="0" w:firstLine="420" w:firstLineChars="200"/>
        <w:rPr>
          <w:rFonts w:ascii="宋体" w:hAnsi="宋体"/>
          <w:sz w:val="21"/>
          <w:szCs w:val="21"/>
        </w:rPr>
      </w:pPr>
      <w:r>
        <w:rPr>
          <w:rFonts w:ascii="宋体" w:hAnsi="宋体"/>
          <w:sz w:val="21"/>
          <w:szCs w:val="21"/>
        </w:rPr>
        <w:t>1</w:t>
      </w:r>
      <w:r>
        <w:rPr>
          <w:rFonts w:hint="eastAsia" w:ascii="宋体" w:hAnsi="宋体"/>
          <w:sz w:val="21"/>
          <w:szCs w:val="21"/>
        </w:rPr>
        <w:t>、</w:t>
      </w:r>
      <w:r>
        <w:rPr>
          <w:rFonts w:ascii="宋体" w:hAnsi="宋体"/>
          <w:sz w:val="21"/>
          <w:szCs w:val="21"/>
        </w:rPr>
        <w:t>自投标截止日起</w:t>
      </w:r>
      <w:r>
        <w:rPr>
          <w:rFonts w:hint="eastAsia" w:ascii="宋体" w:hAnsi="宋体"/>
          <w:sz w:val="21"/>
          <w:szCs w:val="21"/>
          <w:u w:val="single"/>
        </w:rPr>
        <w:t>60</w:t>
      </w:r>
      <w:r>
        <w:rPr>
          <w:rFonts w:ascii="宋体" w:hAnsi="宋体"/>
          <w:sz w:val="21"/>
          <w:szCs w:val="21"/>
        </w:rPr>
        <w:t>天投标</w:t>
      </w:r>
      <w:r>
        <w:rPr>
          <w:rFonts w:hint="eastAsia" w:ascii="宋体" w:hAnsi="宋体"/>
          <w:sz w:val="21"/>
          <w:szCs w:val="21"/>
        </w:rPr>
        <w:t>文件</w:t>
      </w:r>
      <w:r>
        <w:rPr>
          <w:rFonts w:ascii="宋体" w:hAnsi="宋体"/>
          <w:sz w:val="21"/>
          <w:szCs w:val="21"/>
        </w:rPr>
        <w:t>应保持有效。有效期</w:t>
      </w:r>
      <w:r>
        <w:rPr>
          <w:rFonts w:hint="eastAsia" w:ascii="宋体" w:hAnsi="宋体"/>
          <w:sz w:val="21"/>
          <w:szCs w:val="21"/>
        </w:rPr>
        <w:t>不足</w:t>
      </w:r>
      <w:r>
        <w:rPr>
          <w:rFonts w:ascii="宋体" w:hAnsi="宋体"/>
          <w:sz w:val="21"/>
          <w:szCs w:val="21"/>
        </w:rPr>
        <w:t>的投标</w:t>
      </w:r>
      <w:r>
        <w:rPr>
          <w:rFonts w:hint="eastAsia" w:ascii="宋体" w:hAnsi="宋体"/>
          <w:sz w:val="21"/>
          <w:szCs w:val="21"/>
        </w:rPr>
        <w:t>文件</w:t>
      </w:r>
      <w:r>
        <w:rPr>
          <w:rFonts w:ascii="宋体" w:hAnsi="宋体"/>
          <w:sz w:val="21"/>
          <w:szCs w:val="21"/>
        </w:rPr>
        <w:t>将被拒绝。</w:t>
      </w:r>
    </w:p>
    <w:p w14:paraId="7A55EF86">
      <w:pPr>
        <w:pStyle w:val="17"/>
        <w:widowControl w:val="0"/>
        <w:tabs>
          <w:tab w:val="clear" w:pos="454"/>
        </w:tabs>
        <w:snapToGrid w:val="0"/>
        <w:spacing w:afterLines="0" w:line="360" w:lineRule="auto"/>
        <w:ind w:left="0" w:firstLine="420" w:firstLineChars="200"/>
        <w:rPr>
          <w:rFonts w:ascii="宋体" w:hAnsi="宋体"/>
          <w:sz w:val="21"/>
          <w:szCs w:val="21"/>
        </w:rPr>
      </w:pPr>
      <w:r>
        <w:rPr>
          <w:rFonts w:ascii="宋体" w:hAnsi="宋体"/>
          <w:sz w:val="21"/>
          <w:szCs w:val="21"/>
        </w:rPr>
        <w:t>2</w:t>
      </w:r>
      <w:r>
        <w:rPr>
          <w:rFonts w:hint="eastAsia" w:ascii="宋体" w:hAnsi="宋体"/>
          <w:sz w:val="21"/>
          <w:szCs w:val="21"/>
        </w:rPr>
        <w:t>、</w:t>
      </w:r>
      <w:r>
        <w:rPr>
          <w:rFonts w:ascii="宋体" w:hAnsi="宋体"/>
          <w:sz w:val="21"/>
          <w:szCs w:val="21"/>
        </w:rPr>
        <w:t>在特殊情况下，</w:t>
      </w:r>
      <w:r>
        <w:rPr>
          <w:rFonts w:hint="eastAsia" w:ascii="宋体" w:hAnsi="宋体"/>
          <w:sz w:val="21"/>
          <w:szCs w:val="21"/>
        </w:rPr>
        <w:t>采购人</w:t>
      </w:r>
      <w:r>
        <w:rPr>
          <w:rFonts w:ascii="宋体" w:hAnsi="宋体"/>
          <w:sz w:val="21"/>
          <w:szCs w:val="21"/>
        </w:rPr>
        <w:t>可与投标人协商延长投标书的有效期，这种要求和答复均以书面形式进行。</w:t>
      </w:r>
    </w:p>
    <w:p w14:paraId="7446D4C8">
      <w:pPr>
        <w:pStyle w:val="17"/>
        <w:widowControl w:val="0"/>
        <w:tabs>
          <w:tab w:val="left" w:pos="4500"/>
          <w:tab w:val="clear" w:pos="454"/>
        </w:tabs>
        <w:snapToGrid w:val="0"/>
        <w:spacing w:afterLines="0" w:line="360" w:lineRule="auto"/>
        <w:ind w:left="0" w:firstLine="420" w:firstLineChars="200"/>
        <w:rPr>
          <w:rFonts w:ascii="宋体" w:hAnsi="宋体"/>
          <w:sz w:val="21"/>
          <w:szCs w:val="21"/>
        </w:rPr>
      </w:pPr>
      <w:bookmarkStart w:id="209" w:name="_Toc402963086"/>
      <w:bookmarkStart w:id="210" w:name="_Toc406402992"/>
      <w:bookmarkStart w:id="211" w:name="_Toc385854102"/>
      <w:bookmarkStart w:id="212" w:name="_Toc50012868"/>
      <w:bookmarkStart w:id="213" w:name="_Toc402963119"/>
      <w:bookmarkStart w:id="214" w:name="_Toc33535362"/>
      <w:bookmarkStart w:id="215" w:name="_Toc385854148"/>
      <w:bookmarkStart w:id="216" w:name="_Toc406402948"/>
      <w:r>
        <w:rPr>
          <w:rFonts w:ascii="宋体" w:hAnsi="宋体"/>
          <w:sz w:val="21"/>
          <w:szCs w:val="21"/>
        </w:rPr>
        <w:t>3</w:t>
      </w:r>
      <w:r>
        <w:rPr>
          <w:rFonts w:hint="eastAsia" w:ascii="宋体" w:hAnsi="宋体"/>
          <w:sz w:val="21"/>
          <w:szCs w:val="21"/>
        </w:rPr>
        <w:t>、</w:t>
      </w:r>
      <w:r>
        <w:rPr>
          <w:rFonts w:ascii="宋体" w:hAnsi="宋体"/>
          <w:sz w:val="21"/>
          <w:szCs w:val="21"/>
        </w:rPr>
        <w:t>投标人可拒绝接受延期要求。同意延长有效期的投标人不能修改投标文件。</w:t>
      </w:r>
      <w:bookmarkEnd w:id="209"/>
      <w:bookmarkEnd w:id="210"/>
      <w:bookmarkEnd w:id="211"/>
      <w:bookmarkEnd w:id="212"/>
      <w:bookmarkEnd w:id="213"/>
      <w:bookmarkEnd w:id="214"/>
      <w:bookmarkEnd w:id="215"/>
      <w:bookmarkEnd w:id="216"/>
    </w:p>
    <w:p w14:paraId="64D4034F">
      <w:pPr>
        <w:pStyle w:val="17"/>
        <w:widowControl w:val="0"/>
        <w:tabs>
          <w:tab w:val="left" w:pos="4500"/>
          <w:tab w:val="clear" w:pos="454"/>
        </w:tabs>
        <w:snapToGrid w:val="0"/>
        <w:spacing w:afterLines="0" w:line="360" w:lineRule="auto"/>
        <w:ind w:left="0" w:firstLine="420" w:firstLineChars="200"/>
        <w:rPr>
          <w:rFonts w:ascii="宋体" w:hAnsi="宋体"/>
          <w:sz w:val="21"/>
          <w:szCs w:val="21"/>
        </w:rPr>
      </w:pPr>
      <w:bookmarkStart w:id="217" w:name="_Toc33535363"/>
      <w:bookmarkStart w:id="218" w:name="_Toc50012869"/>
      <w:bookmarkStart w:id="219" w:name="_Toc406402993"/>
      <w:bookmarkStart w:id="220" w:name="_Toc402963087"/>
      <w:bookmarkStart w:id="221" w:name="_Toc385854149"/>
      <w:bookmarkStart w:id="222" w:name="_Toc406402949"/>
      <w:bookmarkStart w:id="223" w:name="_Toc385854103"/>
      <w:bookmarkStart w:id="224" w:name="_Toc402963120"/>
      <w:r>
        <w:rPr>
          <w:rFonts w:ascii="宋体" w:hAnsi="宋体"/>
          <w:sz w:val="21"/>
          <w:szCs w:val="21"/>
        </w:rPr>
        <w:t>4</w:t>
      </w:r>
      <w:r>
        <w:rPr>
          <w:rFonts w:hint="eastAsia" w:ascii="宋体" w:hAnsi="宋体"/>
          <w:sz w:val="21"/>
          <w:szCs w:val="21"/>
        </w:rPr>
        <w:t>、</w:t>
      </w:r>
      <w:r>
        <w:rPr>
          <w:rFonts w:ascii="宋体" w:hAnsi="宋体"/>
          <w:sz w:val="21"/>
          <w:szCs w:val="21"/>
        </w:rPr>
        <w:t>中标人的投标文件自开标之日起至合同履行完毕止均应保持有效。</w:t>
      </w:r>
      <w:bookmarkEnd w:id="217"/>
      <w:bookmarkEnd w:id="218"/>
      <w:bookmarkEnd w:id="219"/>
      <w:bookmarkEnd w:id="220"/>
      <w:bookmarkEnd w:id="221"/>
      <w:bookmarkEnd w:id="222"/>
      <w:bookmarkEnd w:id="223"/>
      <w:bookmarkEnd w:id="224"/>
    </w:p>
    <w:p w14:paraId="39606898">
      <w:pPr>
        <w:snapToGrid w:val="0"/>
        <w:spacing w:line="360" w:lineRule="auto"/>
        <w:ind w:firstLine="422" w:firstLineChars="200"/>
        <w:jc w:val="left"/>
        <w:outlineLvl w:val="0"/>
        <w:rPr>
          <w:rFonts w:ascii="宋体" w:hAnsi="宋体"/>
          <w:b/>
          <w:szCs w:val="21"/>
        </w:rPr>
      </w:pPr>
      <w:bookmarkStart w:id="225" w:name="_Toc50012870"/>
      <w:bookmarkStart w:id="226" w:name="_Toc406402995"/>
      <w:bookmarkStart w:id="227" w:name="_Toc385854105"/>
      <w:bookmarkStart w:id="228" w:name="_Toc16226"/>
      <w:bookmarkStart w:id="229" w:name="_Toc33535364"/>
      <w:bookmarkStart w:id="230" w:name="_Toc385854151"/>
      <w:bookmarkStart w:id="231" w:name="_Toc402963089"/>
      <w:bookmarkStart w:id="232" w:name="_Toc402963122"/>
      <w:bookmarkStart w:id="233" w:name="_Toc406402951"/>
      <w:r>
        <w:rPr>
          <w:rFonts w:hint="eastAsia" w:ascii="宋体" w:hAnsi="宋体"/>
          <w:b/>
          <w:szCs w:val="21"/>
        </w:rPr>
        <w:t>（五）投标文件的签署和份数</w:t>
      </w:r>
      <w:bookmarkEnd w:id="225"/>
      <w:bookmarkEnd w:id="226"/>
      <w:bookmarkEnd w:id="227"/>
      <w:bookmarkEnd w:id="228"/>
      <w:bookmarkEnd w:id="229"/>
      <w:bookmarkEnd w:id="230"/>
      <w:bookmarkEnd w:id="231"/>
      <w:bookmarkEnd w:id="232"/>
      <w:bookmarkEnd w:id="233"/>
    </w:p>
    <w:p w14:paraId="3CB178BB">
      <w:pPr>
        <w:wordWrap w:val="0"/>
        <w:snapToGrid w:val="0"/>
        <w:spacing w:line="360" w:lineRule="auto"/>
        <w:ind w:firstLine="420" w:firstLineChars="200"/>
        <w:jc w:val="left"/>
        <w:rPr>
          <w:rFonts w:ascii="宋体" w:hAnsi="宋体"/>
        </w:rPr>
      </w:pPr>
      <w:bookmarkStart w:id="234" w:name="_Toc33535368"/>
      <w:r>
        <w:rPr>
          <w:rFonts w:ascii="宋体" w:hAnsi="宋体"/>
        </w:rPr>
        <w:t>1</w:t>
      </w:r>
      <w:r>
        <w:rPr>
          <w:rFonts w:hint="eastAsia" w:ascii="宋体" w:hAnsi="宋体"/>
        </w:rPr>
        <w:t>、</w:t>
      </w:r>
      <w:r>
        <w:rPr>
          <w:rFonts w:ascii="宋体" w:hAnsi="宋体"/>
        </w:rPr>
        <w:t>投标人应</w:t>
      </w:r>
      <w:r>
        <w:rPr>
          <w:rFonts w:hint="eastAsia" w:ascii="宋体" w:hAnsi="宋体"/>
        </w:rPr>
        <w:t>按</w:t>
      </w:r>
      <w:r>
        <w:rPr>
          <w:rFonts w:ascii="宋体" w:hAnsi="宋体"/>
        </w:rPr>
        <w:t>本招标文件规定的格式和顺序编制、装订投标文件</w:t>
      </w:r>
      <w:r>
        <w:rPr>
          <w:rFonts w:hint="eastAsia" w:ascii="宋体" w:hAnsi="宋体"/>
        </w:rPr>
        <w:t>并标注页码</w:t>
      </w:r>
      <w:r>
        <w:rPr>
          <w:rFonts w:ascii="宋体" w:hAnsi="宋体"/>
        </w:rPr>
        <w:t>，投标文件内容不完整、编排混乱导致投标文件被误读、漏读或者查找不到相关内容的，是投标人的责任。</w:t>
      </w:r>
    </w:p>
    <w:p w14:paraId="4E2363EF">
      <w:pPr>
        <w:tabs>
          <w:tab w:val="left" w:pos="4820"/>
        </w:tabs>
        <w:wordWrap w:val="0"/>
        <w:snapToGrid w:val="0"/>
        <w:spacing w:line="360" w:lineRule="auto"/>
        <w:ind w:firstLine="420" w:firstLineChars="200"/>
        <w:jc w:val="left"/>
        <w:rPr>
          <w:rFonts w:ascii="宋体" w:hAnsi="宋体"/>
        </w:rPr>
      </w:pPr>
      <w:r>
        <w:rPr>
          <w:rFonts w:ascii="宋体" w:hAnsi="宋体"/>
        </w:rPr>
        <w:t>2</w:t>
      </w:r>
      <w:r>
        <w:rPr>
          <w:rFonts w:hint="eastAsia" w:ascii="宋体" w:hAnsi="宋体"/>
        </w:rPr>
        <w:t>、</w:t>
      </w:r>
      <w:r>
        <w:rPr>
          <w:rFonts w:hint="eastAsia" w:ascii="Calibri" w:hAnsi="Calibri"/>
          <w:sz w:val="22"/>
        </w:rPr>
        <w:t>▲</w:t>
      </w:r>
      <w:r>
        <w:rPr>
          <w:rFonts w:ascii="宋体" w:hAnsi="宋体"/>
        </w:rPr>
        <w:t>投标人应按</w:t>
      </w:r>
      <w:r>
        <w:rPr>
          <w:rFonts w:hint="eastAsia" w:ascii="宋体" w:hAnsi="宋体"/>
        </w:rPr>
        <w:t>报价文件、资信商务及技术文件的顺序</w:t>
      </w:r>
      <w:r>
        <w:rPr>
          <w:rFonts w:hint="eastAsia" w:ascii="宋体" w:hAnsi="宋体"/>
          <w:b/>
          <w:bCs/>
          <w:u w:val="single"/>
        </w:rPr>
        <w:t>分别单独</w:t>
      </w:r>
      <w:r>
        <w:rPr>
          <w:rFonts w:hint="eastAsia" w:ascii="宋体" w:hAnsi="宋体"/>
        </w:rPr>
        <w:t>装订成册，资信商务文件、技术文件可装订在一起），</w:t>
      </w:r>
      <w:r>
        <w:rPr>
          <w:rFonts w:hint="eastAsia" w:ascii="宋体" w:hAnsi="宋体"/>
          <w:b/>
          <w:u w:val="single"/>
        </w:rPr>
        <w:t>投标报价文件单独装订成册</w:t>
      </w:r>
      <w:r>
        <w:rPr>
          <w:rFonts w:hint="eastAsia" w:ascii="宋体" w:hAnsi="宋体"/>
          <w:b/>
          <w:bCs/>
          <w:szCs w:val="21"/>
          <w:u w:val="single"/>
        </w:rPr>
        <w:t>（电子文件密封在报价文件内）</w:t>
      </w:r>
      <w:r>
        <w:rPr>
          <w:rFonts w:hint="eastAsia" w:ascii="宋体" w:hAnsi="宋体"/>
        </w:rPr>
        <w:t>。所有投标文件正本各</w:t>
      </w:r>
      <w:r>
        <w:rPr>
          <w:rFonts w:hint="eastAsia" w:ascii="宋体" w:hAnsi="宋体"/>
          <w:u w:val="single"/>
        </w:rPr>
        <w:t xml:space="preserve"> 1</w:t>
      </w:r>
      <w:r>
        <w:rPr>
          <w:rFonts w:hint="eastAsia" w:ascii="宋体" w:hAnsi="宋体"/>
        </w:rPr>
        <w:t>份，副本各</w:t>
      </w:r>
      <w:r>
        <w:rPr>
          <w:rFonts w:hint="eastAsia" w:ascii="宋体" w:hAnsi="宋体"/>
          <w:u w:val="single"/>
        </w:rPr>
        <w:t>4</w:t>
      </w:r>
      <w:r>
        <w:rPr>
          <w:rFonts w:hint="eastAsia" w:ascii="宋体" w:hAnsi="宋体"/>
        </w:rPr>
        <w:t>份。提供电子文档一份（光盘/u盘），电子文件密封在资信商务及技术文件中。投标文件的封面应注明“正本”、“副本”字样。未装订的投标文件将被拒绝。</w:t>
      </w:r>
    </w:p>
    <w:p w14:paraId="7E8C2AA6">
      <w:pPr>
        <w:wordWrap w:val="0"/>
        <w:snapToGrid w:val="0"/>
        <w:spacing w:line="360" w:lineRule="auto"/>
        <w:ind w:firstLine="420" w:firstLineChars="200"/>
        <w:jc w:val="left"/>
        <w:rPr>
          <w:rFonts w:ascii="宋体" w:hAnsi="宋体"/>
        </w:rPr>
      </w:pPr>
      <w:r>
        <w:rPr>
          <w:rFonts w:ascii="宋体" w:hAnsi="宋体"/>
        </w:rPr>
        <w:t>3</w:t>
      </w:r>
      <w:r>
        <w:rPr>
          <w:rFonts w:hint="eastAsia" w:ascii="宋体" w:hAnsi="宋体"/>
        </w:rPr>
        <w:t>、</w:t>
      </w:r>
      <w:r>
        <w:rPr>
          <w:rFonts w:ascii="宋体" w:hAnsi="宋体"/>
        </w:rPr>
        <w:t>投标文件的正本需打印或用不褪色的墨水填写，投标文件正本除本</w:t>
      </w:r>
      <w:r>
        <w:rPr>
          <w:rFonts w:hint="eastAsia" w:ascii="宋体" w:hAnsi="宋体"/>
        </w:rPr>
        <w:t>《</w:t>
      </w:r>
      <w:r>
        <w:rPr>
          <w:rFonts w:ascii="宋体" w:hAnsi="宋体"/>
        </w:rPr>
        <w:t>投标人须知</w:t>
      </w:r>
      <w:r>
        <w:rPr>
          <w:rFonts w:hint="eastAsia" w:ascii="宋体" w:hAnsi="宋体"/>
        </w:rPr>
        <w:t>》</w:t>
      </w:r>
      <w:r>
        <w:rPr>
          <w:rFonts w:ascii="宋体" w:hAnsi="宋体"/>
        </w:rPr>
        <w:t>中规定的可提供复印件外均须提供原件。副本为正本的复印件。</w:t>
      </w:r>
    </w:p>
    <w:p w14:paraId="5EEF7D60">
      <w:pPr>
        <w:wordWrap w:val="0"/>
        <w:snapToGrid w:val="0"/>
        <w:spacing w:line="360" w:lineRule="auto"/>
        <w:ind w:firstLine="420" w:firstLineChars="200"/>
        <w:jc w:val="left"/>
        <w:rPr>
          <w:rFonts w:ascii="宋体" w:hAnsi="宋体"/>
        </w:rPr>
      </w:pPr>
      <w:r>
        <w:rPr>
          <w:rFonts w:ascii="宋体" w:hAnsi="宋体"/>
        </w:rPr>
        <w:t>4</w:t>
      </w:r>
      <w:r>
        <w:rPr>
          <w:rFonts w:hint="eastAsia" w:ascii="宋体" w:hAnsi="宋体"/>
        </w:rPr>
        <w:t>、</w:t>
      </w:r>
      <w:r>
        <w:rPr>
          <w:rFonts w:hint="eastAsia" w:ascii="Calibri" w:hAnsi="Calibri"/>
          <w:sz w:val="22"/>
        </w:rPr>
        <w:t>▲</w:t>
      </w:r>
      <w:r>
        <w:rPr>
          <w:rFonts w:ascii="宋体" w:hAnsi="宋体"/>
        </w:rPr>
        <w:t>投标文件须由投标人在规定位置盖章并由法定代表人或法定代表</w:t>
      </w:r>
      <w:r>
        <w:rPr>
          <w:rFonts w:hint="eastAsia" w:ascii="宋体" w:hAnsi="宋体"/>
        </w:rPr>
        <w:t>人的</w:t>
      </w:r>
      <w:r>
        <w:rPr>
          <w:rFonts w:ascii="宋体" w:hAnsi="宋体"/>
        </w:rPr>
        <w:t>授权</w:t>
      </w:r>
      <w:r>
        <w:rPr>
          <w:rFonts w:hint="eastAsia" w:ascii="宋体" w:hAnsi="宋体"/>
        </w:rPr>
        <w:t>委托</w:t>
      </w:r>
      <w:r>
        <w:rPr>
          <w:rFonts w:ascii="宋体" w:hAnsi="宋体"/>
        </w:rPr>
        <w:t>人签署，投标人应写全称。</w:t>
      </w:r>
    </w:p>
    <w:p w14:paraId="13C1C328">
      <w:pPr>
        <w:snapToGrid w:val="0"/>
        <w:spacing w:line="360" w:lineRule="auto"/>
        <w:ind w:firstLine="420" w:firstLineChars="200"/>
        <w:jc w:val="left"/>
        <w:outlineLvl w:val="0"/>
        <w:rPr>
          <w:rFonts w:ascii="宋体" w:hAnsi="宋体"/>
        </w:rPr>
      </w:pPr>
      <w:r>
        <w:rPr>
          <w:rFonts w:ascii="宋体" w:hAnsi="宋体"/>
        </w:rPr>
        <w:t>5</w:t>
      </w:r>
      <w:r>
        <w:rPr>
          <w:rFonts w:hint="eastAsia" w:ascii="宋体" w:hAnsi="宋体"/>
        </w:rPr>
        <w:t>、</w:t>
      </w:r>
      <w:r>
        <w:rPr>
          <w:rFonts w:hint="eastAsia" w:ascii="Calibri" w:hAnsi="Calibri"/>
          <w:sz w:val="22"/>
        </w:rPr>
        <w:t>▲</w:t>
      </w:r>
      <w:r>
        <w:rPr>
          <w:rFonts w:ascii="宋体" w:hAnsi="宋体"/>
        </w:rPr>
        <w:t>投标文件不得涂改，若有修改错漏处，须加盖单位公章或者法定代表人或法定代表</w:t>
      </w:r>
      <w:r>
        <w:rPr>
          <w:rFonts w:hint="eastAsia" w:ascii="宋体" w:hAnsi="宋体"/>
        </w:rPr>
        <w:t>人的</w:t>
      </w:r>
      <w:r>
        <w:rPr>
          <w:rFonts w:ascii="宋体" w:hAnsi="宋体"/>
        </w:rPr>
        <w:t>授权委托人签字或盖章。投标文件因字迹潦草或表达不清所引起的后果由投标人负责。</w:t>
      </w:r>
    </w:p>
    <w:p w14:paraId="7CEEB63B">
      <w:pPr>
        <w:wordWrap w:val="0"/>
        <w:spacing w:line="360" w:lineRule="auto"/>
        <w:ind w:firstLine="413" w:firstLineChars="196"/>
        <w:rPr>
          <w:rFonts w:ascii="宋体" w:hAnsi="宋体"/>
          <w:b/>
          <w:szCs w:val="21"/>
        </w:rPr>
      </w:pPr>
      <w:r>
        <w:rPr>
          <w:rFonts w:hint="eastAsia" w:ascii="宋体" w:hAnsi="宋体"/>
          <w:b/>
          <w:szCs w:val="21"/>
        </w:rPr>
        <w:t>（六）投标文件的包装、递交、修改和撤回</w:t>
      </w:r>
    </w:p>
    <w:p w14:paraId="25A01590">
      <w:pPr>
        <w:wordWrap w:val="0"/>
        <w:snapToGrid w:val="0"/>
        <w:spacing w:line="360" w:lineRule="auto"/>
        <w:ind w:firstLine="420" w:firstLineChars="200"/>
        <w:jc w:val="left"/>
        <w:rPr>
          <w:rFonts w:ascii="宋体" w:hAnsi="宋体"/>
        </w:rPr>
      </w:pPr>
      <w:r>
        <w:rPr>
          <w:rFonts w:hint="eastAsia" w:ascii="宋体" w:hAnsi="宋体"/>
        </w:rPr>
        <w:t>1、投标人应按报价文件、资信商务及技术文件二部分</w:t>
      </w:r>
      <w:r>
        <w:rPr>
          <w:rFonts w:hint="eastAsia" w:ascii="宋体" w:hAnsi="宋体"/>
          <w:b/>
          <w:bCs/>
          <w:sz w:val="24"/>
          <w:u w:val="single"/>
        </w:rPr>
        <w:t>分别</w:t>
      </w:r>
      <w:r>
        <w:rPr>
          <w:rFonts w:hint="eastAsia" w:ascii="宋体" w:hAnsi="宋体"/>
        </w:rPr>
        <w:t>密封封装投标文件。投标文件的包装封面上应注明投标人名称、投标人地址、投标文件名称（报价文件、资信商务及技术文件等）、投标项目名称、项目编号、标项及“开标时启封”字样，并加投标人公章。</w:t>
      </w:r>
    </w:p>
    <w:p w14:paraId="62ED41EB">
      <w:pPr>
        <w:wordWrap w:val="0"/>
        <w:snapToGrid w:val="0"/>
        <w:spacing w:line="360" w:lineRule="auto"/>
        <w:ind w:firstLine="420" w:firstLineChars="200"/>
        <w:jc w:val="left"/>
        <w:rPr>
          <w:rFonts w:ascii="宋体" w:hAnsi="宋体"/>
        </w:rPr>
      </w:pPr>
      <w:r>
        <w:rPr>
          <w:rFonts w:hint="eastAsia" w:ascii="宋体" w:hAnsi="宋体"/>
        </w:rPr>
        <w:t>2、未按规定密封或标记的投标文件将被拒绝，由此造成投标文件被误投或提前拆封的风险由投标人承担。</w:t>
      </w:r>
    </w:p>
    <w:p w14:paraId="6AD66716">
      <w:pPr>
        <w:wordWrap w:val="0"/>
        <w:snapToGrid w:val="0"/>
        <w:spacing w:line="360" w:lineRule="auto"/>
        <w:ind w:firstLine="420" w:firstLineChars="200"/>
        <w:jc w:val="left"/>
        <w:rPr>
          <w:rFonts w:ascii="宋体" w:hAnsi="宋体"/>
        </w:rPr>
      </w:pPr>
      <w:r>
        <w:rPr>
          <w:rFonts w:hint="eastAsia" w:ascii="宋体" w:hAnsi="宋体"/>
        </w:rPr>
        <w:t>3、投标人在投标截止时间之前，可以对已提交的投标文件进行修改或撤回，并书面通知招标采购单位；投标截止时间后，投标人不得撤回、修改投标文件。修改后重新递交的投标文件应当按本招标文件的要求签署、盖章和密封。</w:t>
      </w:r>
    </w:p>
    <w:p w14:paraId="2E41E4E6">
      <w:pPr>
        <w:snapToGrid w:val="0"/>
        <w:spacing w:line="360" w:lineRule="auto"/>
        <w:ind w:firstLine="422" w:firstLineChars="200"/>
        <w:jc w:val="left"/>
        <w:outlineLvl w:val="0"/>
        <w:rPr>
          <w:rFonts w:ascii="宋体" w:hAnsi="宋体"/>
          <w:b/>
          <w:szCs w:val="21"/>
        </w:rPr>
      </w:pPr>
      <w:bookmarkStart w:id="235" w:name="_Toc50012882"/>
      <w:bookmarkStart w:id="236" w:name="_Toc7277"/>
      <w:r>
        <w:rPr>
          <w:rFonts w:hint="eastAsia" w:ascii="宋体" w:hAnsi="宋体"/>
          <w:b/>
          <w:szCs w:val="21"/>
        </w:rPr>
        <w:t>（七）投标无效的情形</w:t>
      </w:r>
      <w:bookmarkEnd w:id="234"/>
      <w:bookmarkEnd w:id="235"/>
      <w:bookmarkEnd w:id="236"/>
    </w:p>
    <w:p w14:paraId="1523FAB7">
      <w:pPr>
        <w:wordWrap w:val="0"/>
        <w:snapToGrid w:val="0"/>
        <w:spacing w:line="360" w:lineRule="auto"/>
        <w:ind w:firstLine="420" w:firstLineChars="200"/>
        <w:rPr>
          <w:rFonts w:ascii="宋体" w:hAnsi="宋体"/>
          <w:bCs/>
          <w:szCs w:val="21"/>
        </w:rPr>
      </w:pPr>
      <w:r>
        <w:rPr>
          <w:rFonts w:hint="eastAsia" w:ascii="宋体" w:hAnsi="宋体"/>
          <w:bCs/>
          <w:szCs w:val="21"/>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复印件、传真件等，原件必须加盖单位公章）。修改或者补正投标文件必须以书面形式进行，并应在中标结果3之前查核原件。限期内不补正或经补正后仍不符合招标文件要求的，应认定其投标无效。投标人修改、补正投标文件后，不影响评标委员会对其投标文件所作的评价和评分结果。</w:t>
      </w:r>
    </w:p>
    <w:p w14:paraId="4D03E3BE">
      <w:pPr>
        <w:adjustRightInd w:val="0"/>
        <w:snapToGrid w:val="0"/>
        <w:spacing w:line="420" w:lineRule="exact"/>
        <w:ind w:firstLine="422" w:firstLineChars="200"/>
        <w:jc w:val="left"/>
        <w:rPr>
          <w:rFonts w:ascii="宋体" w:hAnsi="宋体" w:cs="宋体"/>
          <w:b/>
          <w:bCs/>
          <w:szCs w:val="21"/>
        </w:rPr>
      </w:pPr>
      <w:bookmarkStart w:id="237" w:name="_Toc50012885"/>
      <w:bookmarkStart w:id="238" w:name="_Toc9286"/>
      <w:bookmarkStart w:id="239" w:name="_Toc33535369"/>
      <w:r>
        <w:rPr>
          <w:rFonts w:hint="eastAsia" w:ascii="宋体" w:hAnsi="宋体" w:cs="宋体"/>
          <w:b/>
          <w:bCs/>
          <w:szCs w:val="21"/>
        </w:rPr>
        <w:t>1、投标人资格审查</w:t>
      </w:r>
    </w:p>
    <w:p w14:paraId="18F29C0A">
      <w:pPr>
        <w:adjustRightInd w:val="0"/>
        <w:snapToGrid w:val="0"/>
        <w:spacing w:line="420" w:lineRule="exact"/>
        <w:ind w:firstLine="420" w:firstLineChars="200"/>
        <w:jc w:val="left"/>
        <w:rPr>
          <w:rFonts w:ascii="宋体" w:hAnsi="宋体" w:cs="宋体"/>
          <w:szCs w:val="21"/>
        </w:rPr>
      </w:pPr>
      <w:r>
        <w:rPr>
          <w:rFonts w:hint="eastAsia" w:ascii="宋体" w:hAnsi="宋体" w:cs="宋体"/>
          <w:color w:val="000000"/>
          <w:szCs w:val="21"/>
        </w:rPr>
        <w:t>采购代理机构</w:t>
      </w:r>
      <w:r>
        <w:rPr>
          <w:rFonts w:hint="eastAsia" w:ascii="宋体" w:hAnsi="宋体" w:cs="宋体"/>
          <w:szCs w:val="21"/>
        </w:rPr>
        <w:t>首先对投标人进行资格审查，投标人通过资格审查必须符合本项目对投标人的资格要求。</w:t>
      </w:r>
      <w:r>
        <w:rPr>
          <w:rFonts w:hint="eastAsia" w:ascii="宋体" w:hAnsi="宋体" w:cs="宋体"/>
          <w:b/>
          <w:bCs/>
          <w:szCs w:val="21"/>
        </w:rPr>
        <w:t>资格审查未通过的投标人，其投标文件将不再评审。</w:t>
      </w:r>
    </w:p>
    <w:p w14:paraId="01F98C11">
      <w:pPr>
        <w:adjustRightInd w:val="0"/>
        <w:snapToGrid w:val="0"/>
        <w:spacing w:line="420" w:lineRule="exact"/>
        <w:ind w:firstLine="422" w:firstLineChars="200"/>
        <w:jc w:val="left"/>
        <w:rPr>
          <w:rFonts w:ascii="宋体" w:hAnsi="宋体" w:cs="宋体"/>
          <w:b/>
          <w:bCs/>
          <w:szCs w:val="21"/>
        </w:rPr>
      </w:pPr>
      <w:r>
        <w:rPr>
          <w:rFonts w:hint="eastAsia" w:ascii="宋体" w:hAnsi="宋体" w:cs="宋体"/>
          <w:b/>
          <w:bCs/>
          <w:szCs w:val="21"/>
        </w:rPr>
        <w:t>2、投标文件符合性审查</w:t>
      </w:r>
    </w:p>
    <w:p w14:paraId="075D4945">
      <w:pPr>
        <w:adjustRightInd w:val="0"/>
        <w:snapToGrid w:val="0"/>
        <w:spacing w:line="420" w:lineRule="exact"/>
        <w:ind w:firstLine="420" w:firstLineChars="200"/>
        <w:jc w:val="left"/>
        <w:rPr>
          <w:rFonts w:ascii="宋体" w:hAnsi="宋体" w:cs="宋体"/>
          <w:szCs w:val="21"/>
        </w:rPr>
      </w:pPr>
      <w:r>
        <w:rPr>
          <w:rFonts w:hint="eastAsia" w:ascii="宋体" w:hAnsi="宋体" w:cs="宋体"/>
          <w:szCs w:val="21"/>
        </w:rPr>
        <w:t>评标委员会对已通过资格审查的投标人进行符合性审查，如发现下列情形之一的，投标文件应当被视为无效：</w:t>
      </w:r>
    </w:p>
    <w:p w14:paraId="0AC0B8A4">
      <w:pPr>
        <w:spacing w:line="420" w:lineRule="exact"/>
        <w:ind w:firstLine="420" w:firstLineChars="200"/>
        <w:rPr>
          <w:rFonts w:ascii="宋体" w:hAnsi="宋体" w:cs="宋体"/>
          <w:szCs w:val="21"/>
        </w:rPr>
      </w:pPr>
      <w:r>
        <w:rPr>
          <w:rFonts w:hint="eastAsia" w:ascii="宋体" w:hAnsi="宋体" w:cs="宋体"/>
          <w:szCs w:val="21"/>
        </w:rPr>
        <w:t>（1）未按招标文件规定密封、签字、盖章的；</w:t>
      </w:r>
    </w:p>
    <w:p w14:paraId="17A61141">
      <w:pPr>
        <w:spacing w:line="420" w:lineRule="exact"/>
        <w:ind w:firstLine="420" w:firstLineChars="200"/>
        <w:rPr>
          <w:rFonts w:ascii="宋体" w:hAnsi="宋体" w:cs="宋体"/>
          <w:szCs w:val="21"/>
        </w:rPr>
      </w:pPr>
      <w:r>
        <w:rPr>
          <w:rFonts w:hint="eastAsia" w:ascii="宋体" w:hAnsi="宋体" w:cs="宋体"/>
          <w:szCs w:val="21"/>
        </w:rPr>
        <w:t>（2）投标文件规定应有法定代表人签字的，无法定代表人签字，或未提供法定代表人授权委托书、投标声明书或者填写项目不齐全的；</w:t>
      </w:r>
    </w:p>
    <w:p w14:paraId="74C1A807">
      <w:pPr>
        <w:spacing w:line="420" w:lineRule="exact"/>
        <w:ind w:firstLine="420" w:firstLineChars="200"/>
        <w:rPr>
          <w:rFonts w:ascii="宋体" w:hAnsi="宋体" w:cs="宋体"/>
          <w:szCs w:val="21"/>
        </w:rPr>
      </w:pPr>
      <w:r>
        <w:rPr>
          <w:rFonts w:hint="eastAsia" w:ascii="宋体" w:hAnsi="宋体" w:cs="宋体"/>
          <w:szCs w:val="21"/>
        </w:rPr>
        <w:t>（3）投标文件格式不规范、项目不齐全或者内容虚假的；</w:t>
      </w:r>
    </w:p>
    <w:p w14:paraId="1C019C0B">
      <w:pPr>
        <w:spacing w:line="420" w:lineRule="exact"/>
        <w:ind w:firstLine="420" w:firstLineChars="200"/>
        <w:rPr>
          <w:rFonts w:ascii="宋体" w:hAnsi="宋体" w:cs="宋体"/>
          <w:szCs w:val="21"/>
        </w:rPr>
      </w:pPr>
      <w:r>
        <w:rPr>
          <w:rFonts w:hint="eastAsia" w:ascii="宋体" w:hAnsi="宋体" w:cs="宋体"/>
          <w:szCs w:val="21"/>
        </w:rPr>
        <w:t>（4）投标文件的实质性内容未使用中文表述、意思表述不明确、前后矛盾或者使用计量单位不符合招标文件要求的（经评标委员会认定允许其当场更正的笔误除外）；</w:t>
      </w:r>
    </w:p>
    <w:p w14:paraId="41DFD8AD">
      <w:pPr>
        <w:spacing w:line="420" w:lineRule="exact"/>
        <w:ind w:firstLine="420" w:firstLineChars="200"/>
        <w:rPr>
          <w:rFonts w:ascii="宋体" w:hAnsi="宋体" w:cs="宋体"/>
          <w:szCs w:val="21"/>
        </w:rPr>
      </w:pPr>
      <w:r>
        <w:rPr>
          <w:rFonts w:hint="eastAsia" w:ascii="宋体" w:hAnsi="宋体" w:cs="宋体"/>
          <w:szCs w:val="21"/>
        </w:rPr>
        <w:t>（5）投标文件的关键内容字迹模糊、无法辨认的，或者投标文件中经修正的内容字迹模糊难以辨认或者修改处未按规定签名盖章的；</w:t>
      </w:r>
    </w:p>
    <w:p w14:paraId="178AFB5A">
      <w:pPr>
        <w:spacing w:line="420" w:lineRule="exact"/>
        <w:ind w:firstLine="420" w:firstLineChars="200"/>
        <w:rPr>
          <w:rFonts w:ascii="宋体" w:hAnsi="宋体" w:cs="宋体"/>
          <w:szCs w:val="21"/>
        </w:rPr>
      </w:pPr>
      <w:r>
        <w:rPr>
          <w:rFonts w:hint="eastAsia" w:ascii="宋体" w:hAnsi="宋体" w:cs="宋体"/>
          <w:szCs w:val="21"/>
        </w:rPr>
        <w:t>（6）投标有效期不能满足招标文件要求的；</w:t>
      </w:r>
    </w:p>
    <w:p w14:paraId="51A4B7EA">
      <w:pPr>
        <w:spacing w:line="420" w:lineRule="exact"/>
        <w:ind w:firstLine="420" w:firstLineChars="200"/>
        <w:rPr>
          <w:rFonts w:ascii="宋体" w:hAnsi="宋体" w:cs="宋体"/>
          <w:szCs w:val="21"/>
        </w:rPr>
      </w:pPr>
      <w:r>
        <w:rPr>
          <w:rFonts w:hint="eastAsia" w:ascii="宋体" w:hAnsi="宋体" w:cs="宋体"/>
          <w:szCs w:val="21"/>
        </w:rPr>
        <w:t>（7）明显不符合招标文件要求的或者与招标文件中标“▲”的招标要求发生实质性偏离的；</w:t>
      </w:r>
    </w:p>
    <w:p w14:paraId="4FCD7AED">
      <w:pPr>
        <w:spacing w:line="420" w:lineRule="exact"/>
        <w:ind w:firstLine="420" w:firstLineChars="200"/>
        <w:rPr>
          <w:rFonts w:ascii="宋体" w:hAnsi="宋体" w:cs="宋体"/>
          <w:szCs w:val="21"/>
        </w:rPr>
      </w:pPr>
      <w:r>
        <w:rPr>
          <w:rFonts w:hint="eastAsia" w:ascii="宋体" w:hAnsi="宋体" w:cs="宋体"/>
          <w:szCs w:val="21"/>
        </w:rPr>
        <w:t>（8）投标文件含有采购人不能接受的附加条件的；</w:t>
      </w:r>
    </w:p>
    <w:p w14:paraId="5B2EAFBE">
      <w:pPr>
        <w:spacing w:line="420" w:lineRule="exact"/>
        <w:ind w:firstLine="420" w:firstLineChars="200"/>
        <w:rPr>
          <w:rFonts w:ascii="宋体" w:hAnsi="宋体" w:cs="宋体"/>
          <w:szCs w:val="21"/>
        </w:rPr>
      </w:pPr>
      <w:r>
        <w:rPr>
          <w:rFonts w:hint="eastAsia" w:ascii="宋体" w:hAnsi="宋体" w:cs="宋体"/>
          <w:szCs w:val="21"/>
        </w:rPr>
        <w:t>（9）法律、法规和招标文件规定的其他无效情形。</w:t>
      </w:r>
    </w:p>
    <w:p w14:paraId="4CE24F7F">
      <w:pPr>
        <w:spacing w:line="420" w:lineRule="exact"/>
        <w:ind w:firstLine="422" w:firstLineChars="200"/>
        <w:rPr>
          <w:rFonts w:ascii="宋体" w:hAnsi="宋体" w:cs="宋体"/>
          <w:b/>
          <w:szCs w:val="21"/>
        </w:rPr>
      </w:pPr>
      <w:r>
        <w:rPr>
          <w:rFonts w:hint="eastAsia" w:ascii="宋体" w:hAnsi="宋体" w:cs="宋体"/>
          <w:b/>
          <w:szCs w:val="21"/>
        </w:rPr>
        <w:t>投标文件符合性审查未通过的投标人，其投标文件将不再评审。</w:t>
      </w:r>
    </w:p>
    <w:p w14:paraId="6F2B3FB6">
      <w:pPr>
        <w:spacing w:line="420" w:lineRule="exact"/>
        <w:ind w:firstLine="422" w:firstLineChars="200"/>
        <w:rPr>
          <w:rFonts w:ascii="宋体" w:hAnsi="宋体" w:cs="宋体"/>
          <w:b/>
          <w:bCs/>
          <w:szCs w:val="21"/>
        </w:rPr>
      </w:pPr>
      <w:r>
        <w:rPr>
          <w:rFonts w:hint="eastAsia" w:ascii="宋体" w:hAnsi="宋体" w:cs="宋体"/>
          <w:b/>
          <w:bCs/>
          <w:szCs w:val="21"/>
        </w:rPr>
        <w:t>3、在报价评审时，如发现下列情形之一的，投标文件将被视为无效：</w:t>
      </w:r>
    </w:p>
    <w:p w14:paraId="4ADFD32A">
      <w:pPr>
        <w:pStyle w:val="26"/>
        <w:adjustRightInd w:val="0"/>
        <w:snapToGrid w:val="0"/>
        <w:spacing w:line="420" w:lineRule="exact"/>
        <w:ind w:firstLine="420" w:firstLineChars="200"/>
        <w:rPr>
          <w:rFonts w:hAnsi="宋体" w:cs="宋体"/>
          <w:szCs w:val="21"/>
        </w:rPr>
      </w:pPr>
      <w:r>
        <w:rPr>
          <w:rFonts w:hint="eastAsia" w:hAnsi="宋体" w:cs="宋体"/>
          <w:szCs w:val="21"/>
        </w:rPr>
        <w:t>（1）未按招标文件规定密封、签字、盖章的；</w:t>
      </w:r>
    </w:p>
    <w:p w14:paraId="653AD7C3">
      <w:pPr>
        <w:pStyle w:val="26"/>
        <w:adjustRightInd w:val="0"/>
        <w:snapToGrid w:val="0"/>
        <w:spacing w:line="420" w:lineRule="exact"/>
        <w:ind w:firstLine="420" w:firstLineChars="200"/>
        <w:rPr>
          <w:rFonts w:hAnsi="宋体" w:cs="宋体"/>
          <w:szCs w:val="21"/>
        </w:rPr>
      </w:pPr>
      <w:r>
        <w:rPr>
          <w:rFonts w:hint="eastAsia" w:hAnsi="宋体" w:cs="宋体"/>
          <w:szCs w:val="21"/>
        </w:rPr>
        <w:t>（2）投标文件格式不规范、项目不齐全或者内容虚假的；</w:t>
      </w:r>
    </w:p>
    <w:p w14:paraId="6C2E3D6C">
      <w:pPr>
        <w:pStyle w:val="26"/>
        <w:adjustRightInd w:val="0"/>
        <w:snapToGrid w:val="0"/>
        <w:spacing w:line="420" w:lineRule="exact"/>
        <w:ind w:firstLine="420" w:firstLineChars="200"/>
        <w:rPr>
          <w:rFonts w:hAnsi="宋体" w:cs="宋体"/>
          <w:szCs w:val="21"/>
        </w:rPr>
      </w:pPr>
      <w:r>
        <w:rPr>
          <w:rFonts w:hint="eastAsia" w:hAnsi="宋体" w:cs="宋体"/>
          <w:szCs w:val="21"/>
        </w:rPr>
        <w:t>（3）投标文件的关键内容字迹模糊、无法辨认的，或者投标文件中经修正的内容字迹模糊难以辨认或者修改处未按规定签名盖章的；</w:t>
      </w:r>
    </w:p>
    <w:p w14:paraId="20E78021">
      <w:pPr>
        <w:pStyle w:val="26"/>
        <w:adjustRightInd w:val="0"/>
        <w:snapToGrid w:val="0"/>
        <w:spacing w:line="420" w:lineRule="exact"/>
        <w:ind w:firstLine="420" w:firstLineChars="200"/>
        <w:rPr>
          <w:rFonts w:hAnsi="宋体" w:cs="宋体"/>
          <w:szCs w:val="21"/>
        </w:rPr>
      </w:pPr>
      <w:r>
        <w:rPr>
          <w:rFonts w:hint="eastAsia" w:hAnsi="宋体" w:cs="宋体"/>
          <w:szCs w:val="21"/>
        </w:rPr>
        <w:t>（4）</w:t>
      </w:r>
      <w:r>
        <w:rPr>
          <w:rFonts w:hint="eastAsia" w:hAnsi="宋体" w:cs="宋体"/>
          <w:b/>
          <w:bCs/>
          <w:szCs w:val="21"/>
        </w:rPr>
        <w:t>报价折扣率超过100%的；</w:t>
      </w:r>
    </w:p>
    <w:p w14:paraId="165C7E76">
      <w:pPr>
        <w:pStyle w:val="26"/>
        <w:adjustRightInd w:val="0"/>
        <w:snapToGrid w:val="0"/>
        <w:spacing w:line="420" w:lineRule="exact"/>
        <w:ind w:firstLine="420" w:firstLineChars="200"/>
        <w:rPr>
          <w:rFonts w:hAnsi="宋体" w:cs="宋体"/>
          <w:szCs w:val="21"/>
        </w:rPr>
      </w:pPr>
      <w:r>
        <w:rPr>
          <w:rFonts w:hint="eastAsia" w:hAnsi="宋体" w:cs="宋体"/>
          <w:szCs w:val="21"/>
        </w:rPr>
        <w:t>（5）未实质性响应招标文件要求或者投标文件有招标方不能接受的附加条件的；</w:t>
      </w:r>
    </w:p>
    <w:p w14:paraId="1E9AFEE0">
      <w:pPr>
        <w:pStyle w:val="26"/>
        <w:adjustRightInd w:val="0"/>
        <w:snapToGrid w:val="0"/>
        <w:spacing w:line="420" w:lineRule="exact"/>
        <w:ind w:firstLine="420" w:firstLineChars="200"/>
        <w:rPr>
          <w:rFonts w:hAnsi="宋体" w:cs="宋体"/>
          <w:szCs w:val="21"/>
        </w:rPr>
      </w:pPr>
      <w:r>
        <w:rPr>
          <w:rFonts w:hint="eastAsia" w:hAnsi="宋体" w:cs="宋体"/>
          <w:szCs w:val="21"/>
        </w:rPr>
        <w:t>（6）法律、法规和招标文件规定的其他无效情形。</w:t>
      </w:r>
    </w:p>
    <w:p w14:paraId="3F45F091">
      <w:pPr>
        <w:pStyle w:val="9"/>
        <w:wordWrap w:val="0"/>
        <w:snapToGrid w:val="0"/>
        <w:spacing w:line="420" w:lineRule="exact"/>
        <w:ind w:firstLine="406" w:firstLineChars="200"/>
        <w:rPr>
          <w:rFonts w:hAnsi="宋体"/>
          <w:b/>
          <w:sz w:val="21"/>
          <w:szCs w:val="21"/>
        </w:rPr>
      </w:pPr>
      <w:r>
        <w:rPr>
          <w:rFonts w:hAnsi="宋体"/>
          <w:b/>
          <w:sz w:val="21"/>
          <w:szCs w:val="21"/>
        </w:rPr>
        <w:t>4</w:t>
      </w:r>
      <w:r>
        <w:rPr>
          <w:rFonts w:hint="eastAsia" w:hAnsi="宋体"/>
          <w:b/>
          <w:sz w:val="21"/>
          <w:szCs w:val="21"/>
        </w:rPr>
        <w:t>、</w:t>
      </w:r>
      <w:r>
        <w:rPr>
          <w:rFonts w:hAnsi="宋体"/>
          <w:b/>
          <w:bCs/>
          <w:sz w:val="21"/>
          <w:szCs w:val="21"/>
        </w:rPr>
        <w:t>在</w:t>
      </w:r>
      <w:r>
        <w:rPr>
          <w:rFonts w:hint="eastAsia" w:hAnsi="宋体"/>
          <w:b/>
          <w:bCs/>
          <w:sz w:val="21"/>
          <w:szCs w:val="21"/>
        </w:rPr>
        <w:t>其他内容</w:t>
      </w:r>
      <w:r>
        <w:rPr>
          <w:rFonts w:hAnsi="宋体"/>
          <w:b/>
          <w:bCs/>
          <w:sz w:val="21"/>
          <w:szCs w:val="21"/>
        </w:rPr>
        <w:t>评审时，如发现下列情形之一的，投标文件将被视为无效：</w:t>
      </w:r>
    </w:p>
    <w:p w14:paraId="6C0A0400">
      <w:pPr>
        <w:pStyle w:val="9"/>
        <w:wordWrap w:val="0"/>
        <w:snapToGrid w:val="0"/>
        <w:spacing w:line="420" w:lineRule="exact"/>
        <w:ind w:firstLine="420" w:firstLineChars="200"/>
        <w:rPr>
          <w:rFonts w:hAnsi="宋体"/>
          <w:bCs/>
          <w:spacing w:val="0"/>
          <w:sz w:val="21"/>
          <w:szCs w:val="21"/>
        </w:rPr>
      </w:pPr>
      <w:r>
        <w:rPr>
          <w:rFonts w:hint="eastAsia" w:hAnsi="宋体"/>
          <w:bCs/>
          <w:spacing w:val="0"/>
          <w:sz w:val="21"/>
          <w:szCs w:val="21"/>
        </w:rPr>
        <w:t>（1）不同投标人的投标文件由同一单位或者个人编制（委托给同一个单位编制（有委托协议或支付费用的）、委托给同一个人编制（有委托协议或支付费用的）、投标文件电子文件编辑人员同一人或者工程类项目报价委托同一单位编制等情形）；</w:t>
      </w:r>
    </w:p>
    <w:p w14:paraId="2A719445">
      <w:pPr>
        <w:pStyle w:val="9"/>
        <w:wordWrap w:val="0"/>
        <w:snapToGrid w:val="0"/>
        <w:spacing w:line="420" w:lineRule="exact"/>
        <w:ind w:firstLine="420" w:firstLineChars="200"/>
        <w:rPr>
          <w:rFonts w:hAnsi="宋体"/>
          <w:bCs/>
          <w:spacing w:val="0"/>
          <w:sz w:val="21"/>
          <w:szCs w:val="21"/>
        </w:rPr>
      </w:pPr>
      <w:r>
        <w:rPr>
          <w:rFonts w:hint="eastAsia" w:hAnsi="宋体"/>
          <w:bCs/>
          <w:spacing w:val="0"/>
          <w:sz w:val="21"/>
          <w:szCs w:val="21"/>
        </w:rPr>
        <w:t>（2）不同投标人委托同一单位或者个人办理投标事宜（委托书中的名字、身份证号等信息为同一人等情形）；</w:t>
      </w:r>
    </w:p>
    <w:p w14:paraId="51D71A2A">
      <w:pPr>
        <w:pStyle w:val="9"/>
        <w:wordWrap w:val="0"/>
        <w:snapToGrid w:val="0"/>
        <w:spacing w:line="420" w:lineRule="exact"/>
        <w:ind w:firstLine="420" w:firstLineChars="200"/>
        <w:rPr>
          <w:rFonts w:hAnsi="宋体"/>
          <w:bCs/>
          <w:spacing w:val="0"/>
          <w:sz w:val="21"/>
          <w:szCs w:val="21"/>
        </w:rPr>
      </w:pPr>
      <w:r>
        <w:rPr>
          <w:rFonts w:hint="eastAsia" w:hAnsi="宋体"/>
          <w:bCs/>
          <w:spacing w:val="0"/>
          <w:sz w:val="21"/>
          <w:szCs w:val="21"/>
        </w:rPr>
        <w:t>（3）不同投标人的投标文件载明的项目管理成员或者联系人员为同一人（项目组成员有一名或多名相同的情形等情形）；</w:t>
      </w:r>
    </w:p>
    <w:p w14:paraId="460146F8">
      <w:pPr>
        <w:pStyle w:val="9"/>
        <w:wordWrap w:val="0"/>
        <w:snapToGrid w:val="0"/>
        <w:spacing w:line="420" w:lineRule="exact"/>
        <w:ind w:firstLine="420" w:firstLineChars="200"/>
        <w:rPr>
          <w:rFonts w:hAnsi="宋体"/>
          <w:bCs/>
          <w:spacing w:val="0"/>
          <w:sz w:val="21"/>
          <w:szCs w:val="21"/>
        </w:rPr>
      </w:pPr>
      <w:r>
        <w:rPr>
          <w:rFonts w:hint="eastAsia" w:hAnsi="宋体"/>
          <w:bCs/>
          <w:spacing w:val="0"/>
          <w:sz w:val="21"/>
          <w:szCs w:val="21"/>
        </w:rPr>
        <w:t>（4）不同投标人的投标文件异常一致或者投标报价呈规律性差异（投标人分项报价完全一致、投标报价呈现等差或等比数列等情形）；</w:t>
      </w:r>
    </w:p>
    <w:p w14:paraId="389946FB">
      <w:pPr>
        <w:pStyle w:val="9"/>
        <w:wordWrap w:val="0"/>
        <w:snapToGrid w:val="0"/>
        <w:spacing w:line="420" w:lineRule="exact"/>
        <w:ind w:firstLine="420" w:firstLineChars="200"/>
        <w:rPr>
          <w:rFonts w:hAnsi="宋体"/>
          <w:bCs/>
          <w:spacing w:val="0"/>
          <w:sz w:val="21"/>
          <w:szCs w:val="21"/>
        </w:rPr>
      </w:pPr>
      <w:r>
        <w:rPr>
          <w:rFonts w:hint="eastAsia" w:hAnsi="宋体"/>
          <w:bCs/>
          <w:spacing w:val="0"/>
          <w:sz w:val="21"/>
          <w:szCs w:val="21"/>
        </w:rPr>
        <w:t>（5）不同投标人的投标文件相互混装（A公司的投标文件装在B公司的密封袋内，B公司的装在A公司袋内等情形）；</w:t>
      </w:r>
    </w:p>
    <w:p w14:paraId="135EF4CE">
      <w:pPr>
        <w:pStyle w:val="9"/>
        <w:wordWrap w:val="0"/>
        <w:snapToGrid w:val="0"/>
        <w:spacing w:line="420" w:lineRule="exact"/>
        <w:ind w:firstLine="420" w:firstLineChars="200"/>
        <w:rPr>
          <w:rFonts w:hAnsi="宋体"/>
          <w:bCs/>
          <w:spacing w:val="0"/>
          <w:sz w:val="21"/>
          <w:szCs w:val="21"/>
        </w:rPr>
      </w:pPr>
      <w:r>
        <w:rPr>
          <w:rFonts w:hint="eastAsia" w:hAnsi="宋体"/>
          <w:bCs/>
          <w:spacing w:val="0"/>
          <w:sz w:val="21"/>
          <w:szCs w:val="21"/>
        </w:rPr>
        <w:t>（6）不同投标人的投标保证金（若有）从同一单位或者个人的账户转出。</w:t>
      </w:r>
    </w:p>
    <w:p w14:paraId="7997E743">
      <w:pPr>
        <w:pStyle w:val="9"/>
        <w:snapToGrid w:val="0"/>
        <w:spacing w:line="360" w:lineRule="auto"/>
        <w:ind w:firstLine="406" w:firstLineChars="200"/>
        <w:jc w:val="left"/>
        <w:outlineLvl w:val="1"/>
        <w:rPr>
          <w:rFonts w:hAnsi="宋体"/>
          <w:b/>
          <w:sz w:val="21"/>
          <w:szCs w:val="21"/>
        </w:rPr>
      </w:pPr>
      <w:r>
        <w:rPr>
          <w:rFonts w:hint="eastAsia" w:hAnsi="宋体"/>
          <w:b/>
          <w:sz w:val="21"/>
          <w:szCs w:val="21"/>
        </w:rPr>
        <w:t>5、</w:t>
      </w:r>
      <w:r>
        <w:rPr>
          <w:rFonts w:hAnsi="宋体"/>
          <w:b/>
          <w:sz w:val="21"/>
          <w:szCs w:val="21"/>
        </w:rPr>
        <w:t>被拒绝的投标文件为无效。</w:t>
      </w:r>
    </w:p>
    <w:p w14:paraId="2BD21722">
      <w:pPr>
        <w:pStyle w:val="9"/>
        <w:snapToGrid w:val="0"/>
        <w:spacing w:line="360" w:lineRule="auto"/>
        <w:ind w:firstLine="406" w:firstLineChars="200"/>
        <w:jc w:val="left"/>
        <w:outlineLvl w:val="1"/>
        <w:rPr>
          <w:rFonts w:hAnsi="宋体"/>
          <w:b/>
          <w:snapToGrid w:val="0"/>
          <w:sz w:val="21"/>
          <w:szCs w:val="21"/>
        </w:rPr>
      </w:pPr>
      <w:r>
        <w:rPr>
          <w:rFonts w:hint="eastAsia" w:hAnsi="宋体"/>
          <w:b/>
          <w:sz w:val="21"/>
          <w:szCs w:val="21"/>
        </w:rPr>
        <w:t>四、开标</w:t>
      </w:r>
      <w:bookmarkEnd w:id="237"/>
      <w:bookmarkEnd w:id="238"/>
      <w:bookmarkEnd w:id="239"/>
    </w:p>
    <w:p w14:paraId="6E2CCFB4">
      <w:pPr>
        <w:wordWrap w:val="0"/>
        <w:spacing w:line="360" w:lineRule="auto"/>
        <w:ind w:firstLine="413" w:firstLineChars="196"/>
        <w:rPr>
          <w:rFonts w:ascii="宋体" w:hAnsi="宋体"/>
          <w:b/>
          <w:szCs w:val="21"/>
        </w:rPr>
      </w:pPr>
      <w:r>
        <w:rPr>
          <w:rFonts w:hint="eastAsia" w:ascii="宋体" w:hAnsi="宋体"/>
          <w:b/>
          <w:szCs w:val="21"/>
        </w:rPr>
        <w:t>1、开标准备</w:t>
      </w:r>
    </w:p>
    <w:p w14:paraId="4F7B343E">
      <w:pPr>
        <w:pStyle w:val="26"/>
        <w:wordWrap w:val="0"/>
        <w:spacing w:line="360" w:lineRule="auto"/>
        <w:ind w:firstLine="480"/>
        <w:rPr>
          <w:rFonts w:hAnsi="宋体"/>
          <w:b/>
          <w:bCs/>
          <w:szCs w:val="21"/>
          <w:u w:val="single"/>
        </w:rPr>
      </w:pPr>
      <w:r>
        <w:rPr>
          <w:rFonts w:hint="eastAsia" w:hAnsi="宋体"/>
          <w:szCs w:val="21"/>
        </w:rPr>
        <w:t>1.1、采购代理机构将在规定的时间和地点进行开标。</w:t>
      </w:r>
    </w:p>
    <w:p w14:paraId="020A7319">
      <w:pPr>
        <w:wordWrap w:val="0"/>
        <w:spacing w:line="360" w:lineRule="auto"/>
        <w:ind w:firstLine="413" w:firstLineChars="196"/>
        <w:rPr>
          <w:rFonts w:ascii="宋体" w:hAnsi="宋体"/>
          <w:b/>
          <w:szCs w:val="21"/>
        </w:rPr>
      </w:pPr>
      <w:r>
        <w:rPr>
          <w:rFonts w:hint="eastAsia" w:ascii="宋体" w:hAnsi="宋体"/>
          <w:b/>
          <w:szCs w:val="21"/>
        </w:rPr>
        <w:t>2、开标程序</w:t>
      </w:r>
    </w:p>
    <w:p w14:paraId="4CC10A2D">
      <w:pPr>
        <w:pStyle w:val="26"/>
        <w:wordWrap w:val="0"/>
        <w:spacing w:line="360" w:lineRule="auto"/>
        <w:ind w:firstLine="420" w:firstLineChars="200"/>
        <w:rPr>
          <w:rFonts w:hAnsi="宋体"/>
          <w:szCs w:val="21"/>
        </w:rPr>
      </w:pPr>
      <w:r>
        <w:rPr>
          <w:rFonts w:hint="eastAsia" w:hAnsi="宋体"/>
          <w:szCs w:val="21"/>
        </w:rPr>
        <w:t>2.1、开标会由采购代理机构主持，主持人宣布开标会议开始；</w:t>
      </w:r>
    </w:p>
    <w:p w14:paraId="59254CAD">
      <w:pPr>
        <w:pStyle w:val="26"/>
        <w:wordWrap w:val="0"/>
        <w:spacing w:line="360" w:lineRule="auto"/>
        <w:ind w:firstLine="420" w:firstLineChars="200"/>
        <w:rPr>
          <w:rFonts w:hAnsi="宋体"/>
          <w:szCs w:val="21"/>
        </w:rPr>
      </w:pPr>
      <w:r>
        <w:rPr>
          <w:rFonts w:hint="eastAsia" w:hAnsi="宋体"/>
          <w:szCs w:val="21"/>
        </w:rPr>
        <w:t>2.2、介绍参加开标会的人员名单；</w:t>
      </w:r>
    </w:p>
    <w:p w14:paraId="38B8F18B">
      <w:pPr>
        <w:pStyle w:val="26"/>
        <w:wordWrap w:val="0"/>
        <w:spacing w:line="360" w:lineRule="auto"/>
        <w:ind w:firstLine="420" w:firstLineChars="200"/>
        <w:rPr>
          <w:rFonts w:hAnsi="宋体"/>
          <w:szCs w:val="21"/>
        </w:rPr>
      </w:pPr>
      <w:r>
        <w:rPr>
          <w:rFonts w:hint="eastAsia" w:hAnsi="宋体"/>
          <w:szCs w:val="21"/>
        </w:rPr>
        <w:t>2.3、主持人宣布评标期间的有关事项；告知应当回避的情形,提请有关人员回避；</w:t>
      </w:r>
    </w:p>
    <w:p w14:paraId="6572B436">
      <w:pPr>
        <w:pStyle w:val="26"/>
        <w:wordWrap w:val="0"/>
        <w:spacing w:line="360" w:lineRule="auto"/>
        <w:ind w:firstLine="420" w:firstLineChars="200"/>
        <w:rPr>
          <w:rFonts w:hAnsi="宋体"/>
          <w:szCs w:val="21"/>
        </w:rPr>
      </w:pPr>
      <w:r>
        <w:rPr>
          <w:rFonts w:hint="eastAsia" w:hAnsi="宋体"/>
          <w:szCs w:val="21"/>
        </w:rPr>
        <w:t>2.4、唱标及勘误：工作人员先拆封资信商务文件及技术文件，后拆封报价文件。按递交投标文件先后顺序拆封，打开各投标人提交的资信商务文件及技术文件外包装，清点投标文件正本、副本数量，送评标地点评审，其中密封的报价文件现场集中封存保管等候拆封，待评标委员会对资信商务文件及技术文件评审结束后开启报价文件；</w:t>
      </w:r>
    </w:p>
    <w:p w14:paraId="2A9FD94D">
      <w:pPr>
        <w:pStyle w:val="26"/>
        <w:wordWrap w:val="0"/>
        <w:spacing w:line="360" w:lineRule="auto"/>
        <w:ind w:firstLine="420" w:firstLineChars="200"/>
        <w:rPr>
          <w:rFonts w:hAnsi="宋体"/>
          <w:szCs w:val="21"/>
        </w:rPr>
      </w:pPr>
      <w:r>
        <w:rPr>
          <w:rFonts w:hint="eastAsia" w:hAnsi="宋体"/>
          <w:szCs w:val="21"/>
        </w:rPr>
        <w:t>2.5、宣布评标期间的有关事项；</w:t>
      </w:r>
    </w:p>
    <w:p w14:paraId="07E6C7A4">
      <w:pPr>
        <w:pStyle w:val="26"/>
        <w:wordWrap w:val="0"/>
        <w:spacing w:line="360" w:lineRule="auto"/>
        <w:ind w:firstLine="420" w:firstLineChars="200"/>
        <w:rPr>
          <w:rFonts w:hAnsi="宋体"/>
          <w:szCs w:val="21"/>
        </w:rPr>
      </w:pPr>
      <w:r>
        <w:rPr>
          <w:rFonts w:hint="eastAsia" w:hAnsi="宋体"/>
          <w:szCs w:val="21"/>
        </w:rPr>
        <w:t>2.6、开标会议结束。</w:t>
      </w:r>
    </w:p>
    <w:p w14:paraId="176B1382">
      <w:pPr>
        <w:wordWrap w:val="0"/>
        <w:spacing w:line="360" w:lineRule="auto"/>
        <w:ind w:firstLine="413" w:firstLineChars="196"/>
        <w:rPr>
          <w:rFonts w:ascii="宋体" w:hAnsi="宋体"/>
          <w:b/>
          <w:szCs w:val="21"/>
        </w:rPr>
      </w:pPr>
      <w:r>
        <w:rPr>
          <w:rFonts w:hint="eastAsia" w:ascii="宋体" w:hAnsi="宋体"/>
          <w:b/>
          <w:szCs w:val="21"/>
        </w:rPr>
        <w:t>3、开标记录</w:t>
      </w:r>
    </w:p>
    <w:p w14:paraId="2D0AE7BE">
      <w:pPr>
        <w:spacing w:line="360" w:lineRule="auto"/>
        <w:ind w:firstLine="420" w:firstLineChars="200"/>
        <w:jc w:val="left"/>
        <w:rPr>
          <w:rFonts w:ascii="宋体" w:hAnsi="宋体" w:cs="宋体"/>
          <w:kern w:val="0"/>
          <w:szCs w:val="21"/>
        </w:rPr>
      </w:pPr>
      <w:r>
        <w:rPr>
          <w:rFonts w:hint="eastAsia" w:hAnsi="宋体"/>
          <w:szCs w:val="21"/>
        </w:rPr>
        <w:t>采购代理机构做开标记录,并由记录人签字确认。</w:t>
      </w:r>
    </w:p>
    <w:p w14:paraId="13C6C7FB">
      <w:pPr>
        <w:wordWrap w:val="0"/>
        <w:spacing w:line="360" w:lineRule="auto"/>
        <w:ind w:firstLine="413" w:firstLineChars="196"/>
        <w:rPr>
          <w:rFonts w:ascii="宋体" w:hAnsi="宋体"/>
          <w:b/>
          <w:szCs w:val="21"/>
        </w:rPr>
      </w:pPr>
      <w:bookmarkStart w:id="240" w:name="_Toc33194393"/>
      <w:bookmarkStart w:id="241" w:name="_Toc24550037"/>
      <w:r>
        <w:rPr>
          <w:rFonts w:hint="eastAsia" w:ascii="宋体" w:hAnsi="宋体"/>
          <w:b/>
          <w:szCs w:val="21"/>
        </w:rPr>
        <w:t>（四）</w:t>
      </w:r>
      <w:bookmarkEnd w:id="240"/>
      <w:bookmarkEnd w:id="241"/>
      <w:r>
        <w:rPr>
          <w:rFonts w:hint="eastAsia" w:ascii="宋体" w:hAnsi="宋体"/>
          <w:b/>
          <w:szCs w:val="21"/>
        </w:rPr>
        <w:t>评标</w:t>
      </w:r>
    </w:p>
    <w:p w14:paraId="534EEDEA">
      <w:pPr>
        <w:wordWrap w:val="0"/>
        <w:spacing w:line="360" w:lineRule="auto"/>
        <w:ind w:firstLine="413" w:firstLineChars="196"/>
        <w:rPr>
          <w:rFonts w:ascii="宋体" w:hAnsi="宋体"/>
          <w:b/>
          <w:szCs w:val="21"/>
        </w:rPr>
      </w:pPr>
      <w:r>
        <w:rPr>
          <w:rFonts w:hint="eastAsia" w:ascii="宋体" w:hAnsi="宋体"/>
          <w:b/>
          <w:szCs w:val="21"/>
        </w:rPr>
        <w:t>1、评标组织</w:t>
      </w:r>
    </w:p>
    <w:p w14:paraId="718AD00E">
      <w:pPr>
        <w:pStyle w:val="26"/>
        <w:wordWrap w:val="0"/>
        <w:spacing w:line="360" w:lineRule="auto"/>
        <w:ind w:left="630" w:leftChars="200" w:hanging="210" w:hangingChars="100"/>
        <w:rPr>
          <w:rFonts w:hAnsi="宋体"/>
          <w:szCs w:val="21"/>
        </w:rPr>
      </w:pPr>
      <w:r>
        <w:rPr>
          <w:rFonts w:hint="eastAsia" w:hAnsi="宋体"/>
          <w:szCs w:val="21"/>
        </w:rPr>
        <w:t>1.1、按照《中华人民共和国政府采购法》相关要求，本项目评标委员会成员由业主专家1名，以及在专家库中随机抽取的4人，共5人（含）组成。</w:t>
      </w:r>
    </w:p>
    <w:p w14:paraId="1467D6E3">
      <w:pPr>
        <w:pStyle w:val="26"/>
        <w:wordWrap w:val="0"/>
        <w:spacing w:line="360" w:lineRule="auto"/>
        <w:ind w:left="630" w:leftChars="200" w:hanging="210" w:hangingChars="100"/>
        <w:rPr>
          <w:rFonts w:hAnsi="宋体"/>
          <w:szCs w:val="21"/>
        </w:rPr>
      </w:pPr>
      <w:r>
        <w:rPr>
          <w:rFonts w:hint="eastAsia" w:hAnsi="宋体"/>
          <w:szCs w:val="21"/>
        </w:rPr>
        <w:t>1.2、评标、决标全过程录音录像。</w:t>
      </w:r>
    </w:p>
    <w:p w14:paraId="1B60A6B0">
      <w:pPr>
        <w:wordWrap w:val="0"/>
        <w:spacing w:line="360" w:lineRule="auto"/>
        <w:ind w:firstLine="413" w:firstLineChars="196"/>
        <w:rPr>
          <w:rFonts w:ascii="宋体" w:hAnsi="宋体"/>
          <w:b/>
          <w:szCs w:val="21"/>
        </w:rPr>
      </w:pPr>
      <w:r>
        <w:rPr>
          <w:rFonts w:hint="eastAsia" w:ascii="宋体" w:hAnsi="宋体"/>
          <w:b/>
          <w:szCs w:val="21"/>
        </w:rPr>
        <w:t>2、评标的方式</w:t>
      </w:r>
    </w:p>
    <w:p w14:paraId="5D5A2D67">
      <w:pPr>
        <w:pStyle w:val="26"/>
        <w:wordWrap w:val="0"/>
        <w:spacing w:line="360" w:lineRule="auto"/>
        <w:ind w:left="630" w:leftChars="200" w:hanging="210" w:hangingChars="100"/>
        <w:rPr>
          <w:rFonts w:hAnsi="宋体"/>
          <w:szCs w:val="21"/>
        </w:rPr>
      </w:pPr>
      <w:r>
        <w:rPr>
          <w:rFonts w:hint="eastAsia" w:hAnsi="宋体"/>
          <w:szCs w:val="21"/>
        </w:rPr>
        <w:t>2.1、本采购项目采用不公开方式评标，评标的依据为招标文件和投标文件。</w:t>
      </w:r>
    </w:p>
    <w:p w14:paraId="746CEA03">
      <w:pPr>
        <w:wordWrap w:val="0"/>
        <w:spacing w:line="360" w:lineRule="auto"/>
        <w:ind w:firstLine="413" w:firstLineChars="196"/>
        <w:rPr>
          <w:rFonts w:ascii="宋体" w:hAnsi="宋体"/>
          <w:b/>
          <w:szCs w:val="21"/>
        </w:rPr>
      </w:pPr>
      <w:r>
        <w:rPr>
          <w:rFonts w:hint="eastAsia" w:ascii="宋体" w:hAnsi="宋体"/>
          <w:b/>
          <w:szCs w:val="21"/>
        </w:rPr>
        <w:t>3、评标程序</w:t>
      </w:r>
    </w:p>
    <w:p w14:paraId="6D68F360">
      <w:pPr>
        <w:pStyle w:val="26"/>
        <w:wordWrap w:val="0"/>
        <w:spacing w:line="360" w:lineRule="auto"/>
        <w:ind w:firstLine="480"/>
        <w:rPr>
          <w:rFonts w:hAnsi="宋体"/>
          <w:szCs w:val="21"/>
        </w:rPr>
      </w:pPr>
      <w:r>
        <w:rPr>
          <w:rFonts w:hint="eastAsia" w:hAnsi="宋体"/>
          <w:szCs w:val="21"/>
        </w:rPr>
        <w:t>3.1、形式审查:评标委员会将审查投标文件是否真实、完整,总体编排是否有序,文件签署是否正确等。</w:t>
      </w:r>
    </w:p>
    <w:p w14:paraId="5EB9C84C">
      <w:pPr>
        <w:pStyle w:val="26"/>
        <w:wordWrap w:val="0"/>
        <w:spacing w:line="360" w:lineRule="auto"/>
        <w:ind w:firstLine="480"/>
        <w:rPr>
          <w:rFonts w:hAnsi="宋体"/>
          <w:szCs w:val="21"/>
        </w:rPr>
      </w:pPr>
      <w:r>
        <w:rPr>
          <w:rFonts w:hint="eastAsia" w:hAnsi="宋体"/>
          <w:szCs w:val="21"/>
        </w:rPr>
        <w:t>3.2、实质审查与比较</w:t>
      </w:r>
    </w:p>
    <w:p w14:paraId="78C2F136">
      <w:pPr>
        <w:pStyle w:val="26"/>
        <w:wordWrap w:val="0"/>
        <w:spacing w:line="360" w:lineRule="auto"/>
        <w:ind w:firstLine="480"/>
        <w:rPr>
          <w:rFonts w:hAnsi="宋体"/>
          <w:szCs w:val="21"/>
        </w:rPr>
      </w:pPr>
      <w:r>
        <w:rPr>
          <w:rFonts w:hint="eastAsia" w:hAnsi="宋体"/>
          <w:szCs w:val="21"/>
        </w:rPr>
        <w:t>3.2.1、评标委员会审查投标文件的实质性内容是否符合招标文件的实质性要求。</w:t>
      </w:r>
    </w:p>
    <w:p w14:paraId="659BE943">
      <w:pPr>
        <w:pStyle w:val="26"/>
        <w:wordWrap w:val="0"/>
        <w:spacing w:line="360" w:lineRule="auto"/>
        <w:ind w:firstLine="480"/>
        <w:rPr>
          <w:rFonts w:hAnsi="宋体"/>
          <w:szCs w:val="21"/>
        </w:rPr>
      </w:pPr>
      <w:r>
        <w:rPr>
          <w:rFonts w:hint="eastAsia" w:hAnsi="宋体"/>
          <w:szCs w:val="21"/>
        </w:rPr>
        <w:t>3.2.2、评标委员会将根据投标人的资信技术标书进行审查、核对,如有疑问,将对投标人进行询标,投标人要向评标委员会澄清有关问题,并最终以书面形式进行答复。</w:t>
      </w:r>
      <w:r>
        <w:rPr>
          <w:rFonts w:hAnsi="宋体"/>
          <w:szCs w:val="21"/>
        </w:rPr>
        <w:t>询标</w:t>
      </w:r>
      <w:r>
        <w:rPr>
          <w:rFonts w:hint="eastAsia" w:hAnsi="宋体"/>
          <w:szCs w:val="21"/>
        </w:rPr>
        <w:t>时，投标人代表未到场或者拒绝澄清或者澄清的内容改变了投标文件的实质性内容的，评标委员会有权对该投标文件作出不利于投标人的评判。</w:t>
      </w:r>
    </w:p>
    <w:p w14:paraId="179BF6FE">
      <w:pPr>
        <w:pStyle w:val="26"/>
        <w:wordWrap w:val="0"/>
        <w:spacing w:line="360" w:lineRule="auto"/>
        <w:ind w:firstLine="480"/>
        <w:rPr>
          <w:rFonts w:hAnsi="宋体"/>
          <w:szCs w:val="21"/>
        </w:rPr>
      </w:pPr>
      <w:r>
        <w:rPr>
          <w:rFonts w:hint="eastAsia" w:hAnsi="宋体"/>
          <w:szCs w:val="21"/>
        </w:rPr>
        <w:t>3.2.3、</w:t>
      </w:r>
      <w:r>
        <w:rPr>
          <w:rFonts w:hAnsi="宋体"/>
          <w:szCs w:val="21"/>
        </w:rPr>
        <w:t>各投标人的</w:t>
      </w:r>
      <w:r>
        <w:rPr>
          <w:rFonts w:hint="eastAsia" w:hAnsi="宋体"/>
          <w:szCs w:val="21"/>
        </w:rPr>
        <w:t>资信技术分按照评标委员会成员的独立评分结果汇总后的算术平均分计算。</w:t>
      </w:r>
    </w:p>
    <w:p w14:paraId="1EE56997">
      <w:pPr>
        <w:pStyle w:val="26"/>
        <w:wordWrap w:val="0"/>
        <w:spacing w:line="360" w:lineRule="auto"/>
        <w:ind w:firstLine="480"/>
        <w:rPr>
          <w:rFonts w:hAnsi="宋体"/>
          <w:szCs w:val="21"/>
        </w:rPr>
      </w:pPr>
      <w:r>
        <w:rPr>
          <w:rFonts w:hint="eastAsia" w:hAnsi="宋体"/>
          <w:szCs w:val="21"/>
        </w:rPr>
        <w:t>3.2.4、评标委员会将根据投标人的报价文件进行审查、核对,如有疑问,将对投标人进行询标,投标人要向评标委员会澄清有关问题,并最终以书面形式进行答复。</w:t>
      </w:r>
    </w:p>
    <w:p w14:paraId="6DDDA70E">
      <w:pPr>
        <w:pStyle w:val="26"/>
        <w:wordWrap w:val="0"/>
        <w:spacing w:line="360" w:lineRule="auto"/>
        <w:ind w:firstLine="480"/>
        <w:rPr>
          <w:rFonts w:hAnsi="宋体"/>
          <w:szCs w:val="21"/>
        </w:rPr>
      </w:pPr>
      <w:r>
        <w:rPr>
          <w:rFonts w:hint="eastAsia" w:hAnsi="宋体"/>
          <w:szCs w:val="21"/>
        </w:rPr>
        <w:t>3.2.5、代理公司工作人员协助评标委员会根据本项目的评分标准计算各投标人的报价得分。对明显畸高、畸低的评分（其总评分偏离平均分30%以上的），评标委员会组长应提醒相关评审人员进行复核或书面说明理由，评审人员拒绝说明的，由招标代理机构人员据实记录；评审人员的评审、修改记录应保留原件，随项目其他资料一并存档。</w:t>
      </w:r>
    </w:p>
    <w:p w14:paraId="43A6301C">
      <w:pPr>
        <w:pStyle w:val="26"/>
        <w:wordWrap w:val="0"/>
        <w:spacing w:line="360" w:lineRule="auto"/>
        <w:ind w:firstLine="480"/>
        <w:rPr>
          <w:rFonts w:hAnsi="宋体"/>
          <w:szCs w:val="21"/>
        </w:rPr>
      </w:pPr>
      <w:r>
        <w:rPr>
          <w:rFonts w:hint="eastAsia" w:hAnsi="宋体"/>
          <w:szCs w:val="21"/>
        </w:rPr>
        <w:t>3.2.6、</w:t>
      </w:r>
      <w:r>
        <w:rPr>
          <w:rFonts w:hAnsi="宋体"/>
          <w:szCs w:val="21"/>
        </w:rPr>
        <w:t>评标委员会完成评标后,评委对各部分得分汇总,</w:t>
      </w:r>
      <w:r>
        <w:rPr>
          <w:rFonts w:hint="eastAsia" w:hAnsi="宋体"/>
          <w:szCs w:val="21"/>
        </w:rPr>
        <w:t>计算</w:t>
      </w:r>
      <w:r>
        <w:rPr>
          <w:rFonts w:hAnsi="宋体"/>
          <w:szCs w:val="21"/>
        </w:rPr>
        <w:t>出本项目</w:t>
      </w:r>
      <w:r>
        <w:rPr>
          <w:rFonts w:hint="eastAsia" w:hAnsi="宋体"/>
          <w:szCs w:val="21"/>
        </w:rPr>
        <w:t>最终得分、性价比、评标价等</w:t>
      </w:r>
      <w:r>
        <w:rPr>
          <w:rFonts w:hAnsi="宋体"/>
          <w:szCs w:val="21"/>
        </w:rPr>
        <w:t>。评标委员会按评标原则推荐中标候选人同时起草评标报告。</w:t>
      </w:r>
    </w:p>
    <w:p w14:paraId="5AC80A77">
      <w:pPr>
        <w:wordWrap w:val="0"/>
        <w:spacing w:line="360" w:lineRule="auto"/>
        <w:ind w:firstLine="413" w:firstLineChars="196"/>
        <w:rPr>
          <w:rFonts w:ascii="宋体" w:hAnsi="宋体"/>
          <w:b/>
          <w:szCs w:val="21"/>
        </w:rPr>
      </w:pPr>
      <w:r>
        <w:rPr>
          <w:rFonts w:hint="eastAsia" w:ascii="宋体" w:hAnsi="宋体"/>
          <w:b/>
          <w:szCs w:val="21"/>
        </w:rPr>
        <w:t>4、澄清问题的形式</w:t>
      </w:r>
    </w:p>
    <w:p w14:paraId="3B48DD95">
      <w:pPr>
        <w:pStyle w:val="26"/>
        <w:wordWrap w:val="0"/>
        <w:spacing w:line="360" w:lineRule="auto"/>
        <w:ind w:firstLine="480"/>
        <w:rPr>
          <w:rFonts w:hAnsi="宋体"/>
          <w:szCs w:val="21"/>
        </w:rPr>
      </w:pPr>
      <w:r>
        <w:rPr>
          <w:rFonts w:hint="eastAsia" w:hAnsi="宋体"/>
          <w:szCs w:val="21"/>
        </w:rPr>
        <w:t>4.1、对投标文件中含义不明确、同类问题表述不一致或者有明显文字和计算错误的内容，评标委员会可以书面形式要求投标人作出必要的澄清、说明或者纠正。投标人的澄清、说明或者补正应当采用书面形式，由其法定代表人或委托代理人签字或盖章确认，并不得超出投标文件的范围或者改变投标文件的实质性内容。</w:t>
      </w:r>
    </w:p>
    <w:p w14:paraId="70C6162B">
      <w:pPr>
        <w:wordWrap w:val="0"/>
        <w:spacing w:line="360" w:lineRule="auto"/>
        <w:ind w:firstLine="413" w:firstLineChars="196"/>
        <w:rPr>
          <w:rFonts w:ascii="宋体" w:hAnsi="宋体"/>
          <w:b/>
          <w:szCs w:val="21"/>
        </w:rPr>
      </w:pPr>
      <w:r>
        <w:rPr>
          <w:rFonts w:hint="eastAsia" w:ascii="宋体" w:hAnsi="宋体"/>
          <w:b/>
          <w:szCs w:val="21"/>
        </w:rPr>
        <w:t>5、 错误修正</w:t>
      </w:r>
    </w:p>
    <w:p w14:paraId="78F8EE82">
      <w:pPr>
        <w:pStyle w:val="26"/>
        <w:wordWrap w:val="0"/>
        <w:spacing w:line="360" w:lineRule="auto"/>
        <w:ind w:firstLine="480"/>
        <w:rPr>
          <w:rFonts w:hAnsi="宋体"/>
          <w:szCs w:val="21"/>
        </w:rPr>
      </w:pPr>
      <w:r>
        <w:rPr>
          <w:rFonts w:hint="eastAsia" w:hAnsi="宋体"/>
          <w:szCs w:val="21"/>
        </w:rPr>
        <w:t>投标文件如果出现计算或表达上的错误，修正错误的原则如下：</w:t>
      </w:r>
    </w:p>
    <w:p w14:paraId="49EF5CE9">
      <w:pPr>
        <w:pStyle w:val="26"/>
        <w:wordWrap w:val="0"/>
        <w:spacing w:line="360" w:lineRule="auto"/>
        <w:ind w:firstLine="480"/>
        <w:rPr>
          <w:rFonts w:hAnsi="宋体"/>
          <w:szCs w:val="21"/>
        </w:rPr>
      </w:pPr>
      <w:r>
        <w:rPr>
          <w:rFonts w:hint="eastAsia" w:hAnsi="宋体"/>
          <w:szCs w:val="21"/>
        </w:rPr>
        <w:t>5.1、开标时，投标文件中开标报价一览表</w:t>
      </w:r>
      <w:r>
        <w:rPr>
          <w:rFonts w:hAnsi="宋体"/>
          <w:szCs w:val="21"/>
        </w:rPr>
        <w:t>内容与投标报价表中明细表内容不一致的，以</w:t>
      </w:r>
      <w:r>
        <w:rPr>
          <w:rFonts w:hint="eastAsia" w:hAnsi="宋体"/>
          <w:szCs w:val="21"/>
        </w:rPr>
        <w:t>开标报价一览表</w:t>
      </w:r>
      <w:r>
        <w:rPr>
          <w:rFonts w:hAnsi="宋体"/>
          <w:szCs w:val="21"/>
        </w:rPr>
        <w:t>为准。</w:t>
      </w:r>
    </w:p>
    <w:p w14:paraId="31F5897D">
      <w:pPr>
        <w:pStyle w:val="26"/>
        <w:wordWrap w:val="0"/>
        <w:spacing w:line="360" w:lineRule="auto"/>
        <w:ind w:firstLine="480"/>
        <w:rPr>
          <w:rFonts w:hAnsi="宋体"/>
          <w:szCs w:val="21"/>
        </w:rPr>
      </w:pPr>
      <w:r>
        <w:rPr>
          <w:rFonts w:hint="eastAsia" w:hAnsi="宋体"/>
          <w:szCs w:val="21"/>
        </w:rPr>
        <w:t>5.2、投标文件的大写金额和小写金额不一致的，以大写金额为准；</w:t>
      </w:r>
    </w:p>
    <w:p w14:paraId="37919FF6">
      <w:pPr>
        <w:pStyle w:val="26"/>
        <w:wordWrap w:val="0"/>
        <w:spacing w:line="360" w:lineRule="auto"/>
        <w:ind w:firstLine="480"/>
        <w:rPr>
          <w:rFonts w:hAnsi="宋体"/>
          <w:szCs w:val="21"/>
        </w:rPr>
      </w:pPr>
      <w:r>
        <w:rPr>
          <w:rFonts w:hint="eastAsia" w:hAnsi="宋体"/>
          <w:szCs w:val="21"/>
        </w:rPr>
        <w:t>5.3、总价金额与按单价汇总金额不一致的，以单价金额计算结果为准；</w:t>
      </w:r>
    </w:p>
    <w:p w14:paraId="2F1D24EA">
      <w:pPr>
        <w:pStyle w:val="26"/>
        <w:wordWrap w:val="0"/>
        <w:spacing w:line="360" w:lineRule="auto"/>
        <w:ind w:firstLine="480"/>
        <w:rPr>
          <w:rFonts w:hAnsi="宋体"/>
          <w:szCs w:val="21"/>
        </w:rPr>
      </w:pPr>
      <w:r>
        <w:rPr>
          <w:rFonts w:hint="eastAsia" w:hAnsi="宋体"/>
          <w:szCs w:val="21"/>
        </w:rPr>
        <w:t>5.4、对不同文字文本投标文件的解释发生异议的，以中文文本为准。</w:t>
      </w:r>
    </w:p>
    <w:p w14:paraId="771F1788">
      <w:pPr>
        <w:pStyle w:val="26"/>
        <w:wordWrap w:val="0"/>
        <w:spacing w:line="360" w:lineRule="auto"/>
        <w:ind w:firstLine="480"/>
        <w:rPr>
          <w:rFonts w:hAnsi="宋体"/>
          <w:szCs w:val="21"/>
        </w:rPr>
      </w:pPr>
      <w:r>
        <w:rPr>
          <w:rFonts w:hint="eastAsia" w:hAnsi="宋体"/>
          <w:szCs w:val="21"/>
        </w:rPr>
        <w:t>5.5、按上述修正错误的原则及方法调整或修正投标文件的投标报价，投标人同意后，调整后的投标报价对投标人起约束作用。如果投标人不接受修正后的报价，则其投标将被拒绝。</w:t>
      </w:r>
    </w:p>
    <w:p w14:paraId="2EA2210E">
      <w:pPr>
        <w:wordWrap w:val="0"/>
        <w:spacing w:line="360" w:lineRule="auto"/>
        <w:ind w:firstLine="413" w:firstLineChars="196"/>
        <w:rPr>
          <w:rFonts w:ascii="宋体" w:hAnsi="宋体"/>
          <w:b/>
          <w:szCs w:val="21"/>
        </w:rPr>
      </w:pPr>
      <w:r>
        <w:rPr>
          <w:rFonts w:hint="eastAsia" w:ascii="宋体" w:hAnsi="宋体"/>
          <w:b/>
          <w:szCs w:val="21"/>
        </w:rPr>
        <w:t>6、评标过程的保密性</w:t>
      </w:r>
    </w:p>
    <w:p w14:paraId="1ED09D69">
      <w:pPr>
        <w:pStyle w:val="26"/>
        <w:wordWrap w:val="0"/>
        <w:spacing w:line="360" w:lineRule="auto"/>
        <w:ind w:firstLine="480"/>
        <w:rPr>
          <w:rFonts w:hAnsi="宋体"/>
          <w:szCs w:val="21"/>
        </w:rPr>
      </w:pPr>
      <w:r>
        <w:rPr>
          <w:rFonts w:hint="eastAsia" w:hAnsi="宋体"/>
          <w:szCs w:val="21"/>
        </w:rPr>
        <w:t>6.1、凡是属于审查、澄清、评审和比较的有关资料以及授标建议，任何人均不得向投标人或其他无关的人员透露。投标人在评标过程中，所进行的力图影响评标结果的不公正活动，可能导致其投标被拒绝。</w:t>
      </w:r>
    </w:p>
    <w:p w14:paraId="6B4DD011">
      <w:pPr>
        <w:wordWrap w:val="0"/>
        <w:spacing w:line="360" w:lineRule="auto"/>
        <w:ind w:firstLine="413" w:firstLineChars="196"/>
        <w:rPr>
          <w:rFonts w:ascii="宋体" w:hAnsi="宋体"/>
          <w:b/>
          <w:szCs w:val="21"/>
        </w:rPr>
      </w:pPr>
      <w:r>
        <w:rPr>
          <w:rFonts w:hint="eastAsia" w:ascii="宋体" w:hAnsi="宋体"/>
          <w:b/>
          <w:szCs w:val="21"/>
        </w:rPr>
        <w:t>7、评标原则和评标办法</w:t>
      </w:r>
    </w:p>
    <w:p w14:paraId="55CEB308">
      <w:pPr>
        <w:pStyle w:val="26"/>
        <w:wordWrap w:val="0"/>
        <w:spacing w:line="360" w:lineRule="auto"/>
        <w:ind w:firstLine="480"/>
        <w:rPr>
          <w:rFonts w:hAnsi="宋体"/>
          <w:szCs w:val="21"/>
        </w:rPr>
      </w:pPr>
      <w:r>
        <w:rPr>
          <w:rFonts w:hint="eastAsia" w:hAnsi="宋体"/>
          <w:szCs w:val="21"/>
        </w:rPr>
        <w:t>7.1、评标原则。评标委员会必须做到公平、公正、客观，不带任何倾向性和启发性；不得向外界透露任何与评标有关的内容；任何单位和个人不得干扰、影响评标的正常进行；评标委员会及有关工作人员不得私下与投标人接触。</w:t>
      </w:r>
    </w:p>
    <w:p w14:paraId="630F84ED">
      <w:pPr>
        <w:spacing w:line="360" w:lineRule="auto"/>
        <w:ind w:firstLine="420" w:firstLineChars="200"/>
        <w:jc w:val="left"/>
        <w:rPr>
          <w:rFonts w:ascii="宋体" w:hAnsi="宋体"/>
          <w:szCs w:val="21"/>
        </w:rPr>
      </w:pPr>
      <w:r>
        <w:rPr>
          <w:rFonts w:hint="eastAsia" w:ascii="宋体" w:hAnsi="宋体"/>
          <w:szCs w:val="21"/>
        </w:rPr>
        <w:t>7.2、评标办法。本项目的具体评标办法详</w:t>
      </w:r>
      <w:r>
        <w:rPr>
          <w:rFonts w:hint="eastAsia" w:hAnsi="宋体"/>
          <w:szCs w:val="21"/>
        </w:rPr>
        <w:t>见《评标办法》。</w:t>
      </w:r>
    </w:p>
    <w:p w14:paraId="3814BB5F">
      <w:pPr>
        <w:pStyle w:val="26"/>
        <w:snapToGrid w:val="0"/>
        <w:spacing w:line="360" w:lineRule="auto"/>
        <w:ind w:firstLine="422" w:firstLineChars="200"/>
        <w:jc w:val="left"/>
        <w:outlineLvl w:val="1"/>
        <w:rPr>
          <w:rFonts w:hAnsi="宋体"/>
          <w:b/>
          <w:szCs w:val="21"/>
        </w:rPr>
      </w:pPr>
      <w:bookmarkStart w:id="242" w:name="_Toc33535371"/>
      <w:bookmarkStart w:id="243" w:name="_Toc19997"/>
      <w:bookmarkStart w:id="244" w:name="_Toc50012887"/>
      <w:r>
        <w:rPr>
          <w:rFonts w:hint="eastAsia" w:hAnsi="宋体"/>
          <w:b/>
          <w:szCs w:val="21"/>
        </w:rPr>
        <w:t>六、定标</w:t>
      </w:r>
      <w:bookmarkEnd w:id="242"/>
      <w:bookmarkEnd w:id="243"/>
      <w:bookmarkEnd w:id="244"/>
    </w:p>
    <w:p w14:paraId="28BAE164">
      <w:pPr>
        <w:pStyle w:val="26"/>
        <w:snapToGrid w:val="0"/>
        <w:spacing w:line="360" w:lineRule="auto"/>
        <w:ind w:firstLine="422" w:firstLineChars="200"/>
        <w:jc w:val="left"/>
        <w:rPr>
          <w:rFonts w:hAnsi="宋体"/>
          <w:b/>
          <w:bCs/>
          <w:szCs w:val="21"/>
        </w:rPr>
      </w:pPr>
      <w:r>
        <w:rPr>
          <w:rFonts w:hint="eastAsia" w:hAnsi="宋体"/>
          <w:b/>
          <w:bCs/>
          <w:szCs w:val="21"/>
        </w:rPr>
        <w:t>（一）确定中标人。</w:t>
      </w:r>
    </w:p>
    <w:p w14:paraId="6C1DBC8F">
      <w:pPr>
        <w:pStyle w:val="43"/>
        <w:shd w:val="clear" w:color="auto" w:fill="FFFFFF"/>
        <w:spacing w:before="0" w:beforeAutospacing="0" w:after="0" w:afterAutospacing="0" w:line="560" w:lineRule="atLeast"/>
        <w:ind w:firstLine="420" w:firstLineChars="200"/>
        <w:jc w:val="both"/>
        <w:textAlignment w:val="baseline"/>
        <w:rPr>
          <w:rFonts w:cs="宋体"/>
          <w:kern w:val="2"/>
          <w:sz w:val="21"/>
          <w:szCs w:val="21"/>
        </w:rPr>
      </w:pPr>
      <w:bookmarkStart w:id="245" w:name="_Toc50012888"/>
      <w:bookmarkStart w:id="246" w:name="_Toc33535372"/>
      <w:bookmarkStart w:id="247" w:name="_Toc5136"/>
      <w:r>
        <w:rPr>
          <w:rFonts w:hint="eastAsia" w:cs="宋体"/>
          <w:sz w:val="21"/>
          <w:szCs w:val="21"/>
        </w:rPr>
        <w:t>1、</w:t>
      </w:r>
      <w:r>
        <w:rPr>
          <w:rFonts w:hint="eastAsia" w:cs="宋体"/>
          <w:kern w:val="2"/>
          <w:sz w:val="21"/>
          <w:szCs w:val="21"/>
        </w:rPr>
        <w:t>采购代理机构应当在评标结束后2个工作日内将评标报告送采购人。</w:t>
      </w:r>
    </w:p>
    <w:p w14:paraId="394A9E33">
      <w:pPr>
        <w:pStyle w:val="43"/>
        <w:shd w:val="clear" w:color="auto" w:fill="FFFFFF"/>
        <w:spacing w:before="0" w:beforeAutospacing="0" w:after="0" w:afterAutospacing="0" w:line="560" w:lineRule="atLeast"/>
        <w:jc w:val="both"/>
        <w:textAlignment w:val="baseline"/>
        <w:rPr>
          <w:rFonts w:cs="宋体"/>
          <w:kern w:val="2"/>
          <w:sz w:val="21"/>
          <w:szCs w:val="21"/>
        </w:rPr>
      </w:pPr>
      <w:r>
        <w:rPr>
          <w:rFonts w:hint="eastAsia" w:cs="宋体"/>
          <w:kern w:val="2"/>
          <w:sz w:val="21"/>
          <w:szCs w:val="21"/>
        </w:rPr>
        <w:t>　　</w:t>
      </w:r>
      <w:r>
        <w:rPr>
          <w:rFonts w:hint="eastAsia" w:cs="宋体"/>
          <w:sz w:val="21"/>
          <w:szCs w:val="21"/>
        </w:rPr>
        <w:t>2、</w:t>
      </w:r>
      <w:r>
        <w:rPr>
          <w:rFonts w:hint="eastAsia" w:cs="宋体"/>
          <w:kern w:val="2"/>
          <w:sz w:val="21"/>
          <w:szCs w:val="21"/>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271F4F3F">
      <w:pPr>
        <w:pStyle w:val="43"/>
        <w:shd w:val="clear" w:color="auto" w:fill="FFFFFF"/>
        <w:spacing w:before="0" w:beforeAutospacing="0" w:after="0" w:afterAutospacing="0" w:line="560" w:lineRule="atLeast"/>
        <w:jc w:val="both"/>
        <w:textAlignment w:val="baseline"/>
        <w:rPr>
          <w:rFonts w:cs="宋体"/>
          <w:kern w:val="2"/>
          <w:sz w:val="21"/>
          <w:szCs w:val="21"/>
        </w:rPr>
      </w:pPr>
      <w:r>
        <w:rPr>
          <w:rFonts w:hint="eastAsia" w:cs="宋体"/>
          <w:kern w:val="2"/>
          <w:sz w:val="21"/>
          <w:szCs w:val="21"/>
        </w:rPr>
        <w:t>　　</w:t>
      </w:r>
      <w:r>
        <w:rPr>
          <w:rFonts w:hint="eastAsia" w:cs="宋体"/>
          <w:sz w:val="21"/>
          <w:szCs w:val="21"/>
        </w:rPr>
        <w:t>3、</w:t>
      </w:r>
      <w:r>
        <w:rPr>
          <w:rFonts w:hint="eastAsia" w:cs="宋体"/>
          <w:kern w:val="2"/>
          <w:sz w:val="21"/>
          <w:szCs w:val="21"/>
        </w:rPr>
        <w:t>采购人自行组织招标的，应当在评标结束后5个工作日内确定中标人。</w:t>
      </w:r>
    </w:p>
    <w:p w14:paraId="78CD8B2B">
      <w:pPr>
        <w:pStyle w:val="43"/>
        <w:shd w:val="clear" w:color="auto" w:fill="FFFFFF"/>
        <w:spacing w:before="0" w:beforeAutospacing="0" w:after="0" w:afterAutospacing="0" w:line="560" w:lineRule="atLeast"/>
        <w:ind w:firstLine="423"/>
        <w:jc w:val="both"/>
        <w:textAlignment w:val="baseline"/>
        <w:rPr>
          <w:rFonts w:cs="宋体"/>
          <w:kern w:val="2"/>
          <w:sz w:val="21"/>
          <w:szCs w:val="21"/>
        </w:rPr>
      </w:pPr>
      <w:r>
        <w:rPr>
          <w:rFonts w:hint="eastAsia" w:cs="宋体"/>
          <w:kern w:val="2"/>
          <w:sz w:val="21"/>
          <w:szCs w:val="21"/>
        </w:rPr>
        <w:t>4</w:t>
      </w:r>
      <w:r>
        <w:rPr>
          <w:rFonts w:hint="eastAsia" w:cs="宋体"/>
          <w:sz w:val="21"/>
          <w:szCs w:val="21"/>
        </w:rPr>
        <w:t>、</w:t>
      </w:r>
      <w:r>
        <w:rPr>
          <w:rFonts w:hint="eastAsia" w:cs="宋体"/>
          <w:kern w:val="2"/>
          <w:sz w:val="21"/>
          <w:szCs w:val="21"/>
        </w:rPr>
        <w:t>采购人在收到评标报告5个工作日内未按评标报告推荐的中标候选人顺序确定中标人，又不能说明合法理由的，视同按评标报告推荐的顺序确定排名第一的中标候选人为中标人。</w:t>
      </w:r>
    </w:p>
    <w:p w14:paraId="7F1269A0">
      <w:pPr>
        <w:pStyle w:val="43"/>
        <w:shd w:val="clear" w:color="auto" w:fill="FFFFFF"/>
        <w:spacing w:before="0" w:beforeAutospacing="0" w:after="0" w:afterAutospacing="0" w:line="560" w:lineRule="atLeast"/>
        <w:ind w:firstLine="423"/>
        <w:jc w:val="both"/>
        <w:textAlignment w:val="baseline"/>
        <w:rPr>
          <w:rFonts w:cs="宋体"/>
          <w:kern w:val="2"/>
          <w:sz w:val="21"/>
          <w:szCs w:val="21"/>
        </w:rPr>
      </w:pPr>
      <w:r>
        <w:rPr>
          <w:rFonts w:cs="宋体"/>
          <w:kern w:val="2"/>
          <w:sz w:val="21"/>
          <w:szCs w:val="21"/>
        </w:rPr>
        <w:t>5</w:t>
      </w:r>
      <w:r>
        <w:rPr>
          <w:rFonts w:hint="eastAsia" w:cs="宋体"/>
          <w:kern w:val="2"/>
          <w:sz w:val="21"/>
          <w:szCs w:val="21"/>
        </w:rPr>
        <w:t>、</w:t>
      </w:r>
      <w:r>
        <w:rPr>
          <w:rFonts w:cs="宋体"/>
          <w:kern w:val="2"/>
          <w:sz w:val="21"/>
          <w:szCs w:val="21"/>
        </w:rPr>
        <w:t>采购人或者采购代理机构应当自中标人确定之日起2个工作日内，在省级以上财政部门指定的媒体上公告中标结果，招标文件应当随中标结果同时公告。</w:t>
      </w:r>
    </w:p>
    <w:p w14:paraId="3A0EF8F2">
      <w:pPr>
        <w:pStyle w:val="43"/>
        <w:shd w:val="clear" w:color="auto" w:fill="FFFFFF"/>
        <w:spacing w:before="0" w:beforeAutospacing="0" w:after="0" w:afterAutospacing="0" w:line="560" w:lineRule="atLeast"/>
        <w:jc w:val="both"/>
        <w:textAlignment w:val="baseline"/>
        <w:rPr>
          <w:rFonts w:cs="宋体"/>
          <w:kern w:val="2"/>
          <w:sz w:val="21"/>
          <w:szCs w:val="21"/>
        </w:rPr>
      </w:pPr>
    </w:p>
    <w:p w14:paraId="19D2064E">
      <w:pPr>
        <w:pStyle w:val="26"/>
        <w:snapToGrid w:val="0"/>
        <w:spacing w:line="360" w:lineRule="auto"/>
        <w:ind w:firstLine="422" w:firstLineChars="200"/>
        <w:jc w:val="left"/>
        <w:outlineLvl w:val="1"/>
        <w:rPr>
          <w:rFonts w:hAnsi="宋体"/>
          <w:b/>
          <w:szCs w:val="21"/>
        </w:rPr>
      </w:pPr>
      <w:r>
        <w:rPr>
          <w:rFonts w:hint="eastAsia" w:hAnsi="宋体"/>
          <w:b/>
          <w:szCs w:val="21"/>
        </w:rPr>
        <w:t>七、合同授予</w:t>
      </w:r>
      <w:bookmarkEnd w:id="245"/>
      <w:bookmarkEnd w:id="246"/>
      <w:bookmarkEnd w:id="247"/>
    </w:p>
    <w:p w14:paraId="6C0F4E5F">
      <w:pPr>
        <w:snapToGrid w:val="0"/>
        <w:spacing w:line="360" w:lineRule="auto"/>
        <w:ind w:firstLine="422" w:firstLineChars="200"/>
        <w:jc w:val="left"/>
        <w:rPr>
          <w:rFonts w:ascii="宋体" w:hAnsi="宋体"/>
          <w:bCs/>
          <w:szCs w:val="21"/>
        </w:rPr>
      </w:pPr>
      <w:r>
        <w:rPr>
          <w:rFonts w:hint="eastAsia" w:ascii="宋体" w:hAnsi="宋体"/>
          <w:b/>
          <w:bCs/>
          <w:szCs w:val="21"/>
        </w:rPr>
        <w:t>（一）签订合同</w:t>
      </w:r>
    </w:p>
    <w:p w14:paraId="249A2685">
      <w:pPr>
        <w:snapToGrid w:val="0"/>
        <w:spacing w:line="360" w:lineRule="auto"/>
        <w:ind w:firstLine="420" w:firstLineChars="200"/>
        <w:jc w:val="left"/>
        <w:rPr>
          <w:rFonts w:ascii="宋体" w:hAnsi="宋体"/>
          <w:szCs w:val="21"/>
        </w:rPr>
      </w:pPr>
      <w:r>
        <w:rPr>
          <w:rFonts w:ascii="宋体" w:hAnsi="宋体"/>
          <w:szCs w:val="21"/>
        </w:rPr>
        <w:t>1</w:t>
      </w:r>
      <w:r>
        <w:rPr>
          <w:rFonts w:hint="eastAsia" w:ascii="宋体" w:hAnsi="宋体"/>
          <w:szCs w:val="21"/>
        </w:rPr>
        <w:t>、采购人与</w:t>
      </w:r>
      <w:r>
        <w:rPr>
          <w:rFonts w:ascii="宋体" w:hAnsi="宋体"/>
          <w:szCs w:val="21"/>
        </w:rPr>
        <w:t>中标人应</w:t>
      </w:r>
      <w:r>
        <w:rPr>
          <w:rFonts w:hint="eastAsia" w:ascii="宋体" w:hAnsi="宋体"/>
          <w:szCs w:val="21"/>
        </w:rPr>
        <w:t>当在中标公示发出之日起30日内签订政府采购合同。同时，采购机构对合同内容进行审查，如发现与采购结果和投标承诺内容不一致的，将予以纠正。</w:t>
      </w:r>
    </w:p>
    <w:p w14:paraId="23D55C9C">
      <w:pPr>
        <w:snapToGrid w:val="0"/>
        <w:spacing w:line="360" w:lineRule="auto"/>
        <w:ind w:firstLine="420" w:firstLineChars="200"/>
        <w:jc w:val="left"/>
        <w:rPr>
          <w:rFonts w:ascii="宋体" w:hAnsi="宋体"/>
          <w:szCs w:val="21"/>
        </w:rPr>
      </w:pPr>
      <w:r>
        <w:rPr>
          <w:rFonts w:ascii="宋体" w:hAnsi="宋体"/>
          <w:szCs w:val="21"/>
        </w:rPr>
        <w:t>2</w:t>
      </w:r>
      <w:r>
        <w:rPr>
          <w:rFonts w:hint="eastAsia" w:ascii="宋体" w:hAnsi="宋体"/>
          <w:szCs w:val="21"/>
        </w:rPr>
        <w:t>、</w:t>
      </w:r>
      <w:r>
        <w:rPr>
          <w:rFonts w:ascii="宋体" w:hAnsi="宋体"/>
          <w:szCs w:val="21"/>
        </w:rPr>
        <w:t>中标人拖延、拒签合同的,将被取消中标资格</w:t>
      </w:r>
      <w:r>
        <w:rPr>
          <w:rFonts w:hint="eastAsia" w:ascii="宋体" w:hAnsi="宋体"/>
          <w:szCs w:val="21"/>
        </w:rPr>
        <w:t>，并报</w:t>
      </w:r>
      <w:r>
        <w:rPr>
          <w:rFonts w:hint="eastAsia" w:cs="宋体"/>
          <w:szCs w:val="21"/>
        </w:rPr>
        <w:t>嘉兴市消防救援支队采购办公室</w:t>
      </w:r>
      <w:r>
        <w:rPr>
          <w:rFonts w:ascii="宋体" w:hAnsi="宋体"/>
          <w:szCs w:val="21"/>
        </w:rPr>
        <w:t>。</w:t>
      </w:r>
    </w:p>
    <w:p w14:paraId="599AA322">
      <w:pPr>
        <w:pStyle w:val="26"/>
        <w:snapToGrid w:val="0"/>
        <w:spacing w:line="360" w:lineRule="auto"/>
        <w:ind w:firstLine="422" w:firstLineChars="200"/>
        <w:jc w:val="left"/>
        <w:rPr>
          <w:rFonts w:hAnsi="宋体"/>
          <w:b/>
          <w:szCs w:val="21"/>
        </w:rPr>
      </w:pPr>
      <w:r>
        <w:rPr>
          <w:rFonts w:hAnsi="宋体"/>
          <w:b/>
          <w:szCs w:val="21"/>
        </w:rPr>
        <w:t>（二）履约保证金</w:t>
      </w:r>
    </w:p>
    <w:bookmarkEnd w:id="199"/>
    <w:p w14:paraId="486A48A5">
      <w:pPr>
        <w:pStyle w:val="26"/>
        <w:snapToGrid w:val="0"/>
        <w:spacing w:line="360" w:lineRule="auto"/>
        <w:ind w:firstLine="420" w:firstLineChars="200"/>
        <w:jc w:val="left"/>
        <w:rPr>
          <w:rFonts w:hint="eastAsia" w:hAnsi="宋体"/>
          <w:szCs w:val="21"/>
          <w:highlight w:val="yellow"/>
        </w:rPr>
      </w:pPr>
      <w:bookmarkStart w:id="248" w:name="_Toc493511776"/>
      <w:bookmarkStart w:id="249" w:name="_Toc27157"/>
      <w:bookmarkStart w:id="250" w:name="_Toc170792807"/>
      <w:bookmarkStart w:id="251" w:name="_Toc177870559"/>
      <w:r>
        <w:rPr>
          <w:rFonts w:hint="eastAsia" w:hAnsi="宋体"/>
          <w:szCs w:val="21"/>
        </w:rPr>
        <w:t xml:space="preserve"> </w:t>
      </w:r>
      <w:r>
        <w:rPr>
          <w:rFonts w:hint="eastAsia" w:hAnsi="宋体"/>
          <w:szCs w:val="21"/>
          <w:highlight w:val="green"/>
        </w:rPr>
        <w:t xml:space="preserve">  </w:t>
      </w:r>
      <w:r>
        <w:rPr>
          <w:rFonts w:hint="eastAsia" w:ascii="宋体" w:hAnsi="宋体" w:eastAsia="宋体"/>
          <w:kern w:val="2"/>
          <w:sz w:val="21"/>
          <w:szCs w:val="21"/>
          <w:highlight w:val="green"/>
        </w:rPr>
        <w:t>中标单位在 签订合同后5个工作日</w:t>
      </w:r>
      <w:r>
        <w:rPr>
          <w:rFonts w:hint="eastAsia" w:hAnsi="宋体"/>
          <w:kern w:val="2"/>
          <w:sz w:val="21"/>
          <w:szCs w:val="21"/>
          <w:highlight w:val="green"/>
          <w:lang w:val="en-US" w:eastAsia="zh-CN"/>
        </w:rPr>
        <w:t>内</w:t>
      </w:r>
      <w:r>
        <w:rPr>
          <w:rFonts w:hint="eastAsia" w:ascii="宋体" w:hAnsi="宋体" w:eastAsia="宋体"/>
          <w:kern w:val="2"/>
          <w:sz w:val="21"/>
          <w:szCs w:val="21"/>
          <w:highlight w:val="green"/>
        </w:rPr>
        <w:t>向采购人提交预算价的1%作为履约保证金，中标单位可以支票、汇票、本票或者金融机构、担保机构出具的保函等非现金形式提交。合同履行完毕后</w:t>
      </w:r>
      <w:r>
        <w:rPr>
          <w:rFonts w:hint="eastAsia" w:ascii="宋体" w:hAnsi="宋体" w:eastAsia="宋体" w:cs="Times New Roman"/>
          <w:kern w:val="2"/>
          <w:sz w:val="21"/>
          <w:szCs w:val="21"/>
          <w:highlight w:val="green"/>
        </w:rPr>
        <w:t>10个工作日</w:t>
      </w:r>
      <w:r>
        <w:rPr>
          <w:rFonts w:hint="eastAsia" w:ascii="宋体" w:hAnsi="宋体" w:eastAsia="宋体"/>
          <w:kern w:val="2"/>
          <w:sz w:val="21"/>
          <w:szCs w:val="21"/>
          <w:highlight w:val="green"/>
        </w:rPr>
        <w:t>无息退还。</w:t>
      </w:r>
    </w:p>
    <w:p w14:paraId="31BC5DA7">
      <w:pPr>
        <w:pStyle w:val="26"/>
        <w:snapToGrid w:val="0"/>
        <w:spacing w:line="360" w:lineRule="auto"/>
        <w:ind w:firstLine="420" w:firstLineChars="200"/>
        <w:jc w:val="left"/>
        <w:rPr>
          <w:rFonts w:hAnsi="宋体"/>
          <w:szCs w:val="21"/>
        </w:rPr>
      </w:pPr>
    </w:p>
    <w:p w14:paraId="61D3E3B5">
      <w:pPr>
        <w:pStyle w:val="79"/>
        <w:rPr>
          <w:rFonts w:ascii="宋体" w:eastAsia="宋体"/>
          <w:b w:val="0"/>
        </w:rPr>
      </w:pPr>
      <w:r>
        <w:rPr>
          <w:rStyle w:val="132"/>
          <w:rFonts w:hint="eastAsia" w:ascii="宋体" w:eastAsia="宋体" w:cs="微软雅黑"/>
          <w:b/>
        </w:rPr>
        <w:t>第四章  评标办法及评分标准</w:t>
      </w:r>
      <w:bookmarkEnd w:id="248"/>
      <w:bookmarkEnd w:id="249"/>
    </w:p>
    <w:bookmarkEnd w:id="250"/>
    <w:bookmarkEnd w:id="251"/>
    <w:p w14:paraId="44414805">
      <w:pPr>
        <w:spacing w:line="360" w:lineRule="auto"/>
        <w:ind w:firstLine="472" w:firstLineChars="225"/>
        <w:rPr>
          <w:rFonts w:ascii="宋体" w:hAnsi="宋体"/>
          <w:szCs w:val="21"/>
        </w:rPr>
      </w:pPr>
      <w:bookmarkStart w:id="252" w:name="_Toc170792802"/>
      <w:r>
        <w:rPr>
          <w:rFonts w:hint="eastAsia" w:ascii="宋体" w:hAnsi="宋体"/>
          <w:szCs w:val="21"/>
        </w:rPr>
        <w:t>为公正、公平、科学地选择成交投标人，根据《中华人民共和国政府采购法》等有关法律法规的规定，并结合本项目的实际，制定本办法。</w:t>
      </w:r>
    </w:p>
    <w:p w14:paraId="26227CAE">
      <w:pPr>
        <w:spacing w:line="360" w:lineRule="auto"/>
        <w:ind w:firstLine="420" w:firstLineChars="200"/>
        <w:rPr>
          <w:rFonts w:ascii="宋体" w:hAnsi="宋体"/>
          <w:szCs w:val="21"/>
        </w:rPr>
      </w:pPr>
      <w:r>
        <w:rPr>
          <w:rFonts w:hint="eastAsia" w:ascii="宋体" w:hAnsi="宋体"/>
          <w:szCs w:val="21"/>
        </w:rPr>
        <w:t>本次评标采用综合评分法，总分为100分，其中价格分15分、技术资信分85分。</w:t>
      </w:r>
      <w:r>
        <w:rPr>
          <w:rFonts w:hint="eastAsia" w:ascii="宋体" w:hAnsi="宋体" w:cs="宋体"/>
          <w:szCs w:val="21"/>
        </w:rPr>
        <w:t>评标小组按综合得分排名由高到低顺序推荐成交投标人，最终推荐排名第一的为本项目成交投标人。</w:t>
      </w:r>
    </w:p>
    <w:p w14:paraId="15CF977C">
      <w:pPr>
        <w:spacing w:line="360" w:lineRule="auto"/>
        <w:ind w:firstLine="422" w:firstLineChars="200"/>
        <w:rPr>
          <w:rFonts w:ascii="宋体" w:hAnsi="宋体"/>
          <w:b/>
          <w:szCs w:val="21"/>
        </w:rPr>
      </w:pPr>
      <w:r>
        <w:rPr>
          <w:rFonts w:hint="eastAsia" w:ascii="宋体" w:hAnsi="宋体"/>
          <w:b/>
          <w:szCs w:val="21"/>
        </w:rPr>
        <w:t>投标人评标综合得分=价格分+技术资信</w:t>
      </w:r>
    </w:p>
    <w:p w14:paraId="0BD59747">
      <w:pPr>
        <w:numPr>
          <w:ilvl w:val="0"/>
          <w:numId w:val="4"/>
        </w:numPr>
        <w:spacing w:line="360" w:lineRule="auto"/>
        <w:rPr>
          <w:rFonts w:ascii="宋体" w:hAnsi="Courier New"/>
          <w:b/>
          <w:bCs/>
          <w:spacing w:val="-4"/>
          <w:kern w:val="0"/>
          <w:szCs w:val="21"/>
        </w:rPr>
      </w:pPr>
      <w:r>
        <w:rPr>
          <w:rFonts w:ascii="宋体" w:hAnsi="Courier New"/>
          <w:b/>
          <w:bCs/>
          <w:spacing w:val="-4"/>
          <w:kern w:val="0"/>
          <w:szCs w:val="21"/>
        </w:rPr>
        <w:t>价格分（</w:t>
      </w:r>
      <w:r>
        <w:rPr>
          <w:rFonts w:hint="eastAsia" w:ascii="宋体" w:hAnsi="Courier New"/>
          <w:b/>
          <w:bCs/>
          <w:spacing w:val="-4"/>
          <w:kern w:val="0"/>
          <w:szCs w:val="21"/>
        </w:rPr>
        <w:t>15</w:t>
      </w:r>
      <w:r>
        <w:rPr>
          <w:rFonts w:ascii="宋体" w:hAnsi="Courier New"/>
          <w:b/>
          <w:bCs/>
          <w:spacing w:val="-4"/>
          <w:kern w:val="0"/>
          <w:szCs w:val="21"/>
        </w:rPr>
        <w:t>分）</w:t>
      </w:r>
    </w:p>
    <w:p w14:paraId="257D54BE">
      <w:pPr>
        <w:pStyle w:val="26"/>
        <w:tabs>
          <w:tab w:val="left" w:pos="630"/>
        </w:tabs>
        <w:spacing w:line="360" w:lineRule="auto"/>
        <w:ind w:right="42" w:rightChars="20" w:firstLine="420" w:firstLineChars="200"/>
        <w:jc w:val="left"/>
        <w:rPr>
          <w:rFonts w:hint="eastAsia" w:ascii="宋体" w:hAnsi="宋体" w:eastAsia="宋体" w:cs="宋体"/>
          <w:bCs w:val="0"/>
          <w:kern w:val="2"/>
          <w:sz w:val="21"/>
          <w:szCs w:val="21"/>
          <w:highlight w:val="green"/>
        </w:rPr>
      </w:pPr>
      <w:r>
        <w:rPr>
          <w:rFonts w:hint="eastAsia" w:ascii="宋体" w:hAnsi="宋体" w:eastAsia="宋体" w:cs="宋体"/>
          <w:bCs w:val="0"/>
          <w:kern w:val="2"/>
          <w:sz w:val="21"/>
          <w:szCs w:val="21"/>
          <w:highlight w:val="green"/>
        </w:rPr>
        <w:t>1、采用低价优先法计算，即满足招标文件要求且投标价格最低的投标报价为评标基准价，其价格分为满分。其他满足招标文件要求的投标人的价格分统一按照下列公式计算：</w:t>
      </w:r>
    </w:p>
    <w:p w14:paraId="525E74CD">
      <w:pPr>
        <w:pStyle w:val="26"/>
        <w:tabs>
          <w:tab w:val="left" w:pos="630"/>
        </w:tabs>
        <w:spacing w:line="360" w:lineRule="auto"/>
        <w:ind w:right="42" w:rightChars="20" w:firstLine="420" w:firstLineChars="200"/>
        <w:jc w:val="left"/>
        <w:rPr>
          <w:rFonts w:hint="eastAsia" w:ascii="宋体" w:hAnsi="宋体" w:eastAsia="宋体" w:cs="宋体"/>
          <w:bCs w:val="0"/>
          <w:kern w:val="2"/>
          <w:sz w:val="21"/>
          <w:szCs w:val="21"/>
          <w:highlight w:val="green"/>
        </w:rPr>
      </w:pPr>
      <w:r>
        <w:rPr>
          <w:rFonts w:hint="eastAsia" w:ascii="宋体" w:hAnsi="宋体" w:eastAsia="宋体" w:cs="宋体"/>
          <w:bCs w:val="0"/>
          <w:kern w:val="2"/>
          <w:sz w:val="21"/>
          <w:szCs w:val="21"/>
          <w:highlight w:val="green"/>
        </w:rPr>
        <w:t>投标报价得分=(评标基准价／评标价格)×相应权重分（保留小数点后2位小数）。</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8"/>
        <w:gridCol w:w="4309"/>
        <w:gridCol w:w="2422"/>
      </w:tblGrid>
      <w:tr w14:paraId="01A8C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jc w:val="center"/>
        </w:trPr>
        <w:tc>
          <w:tcPr>
            <w:tcW w:w="1049" w:type="pct"/>
            <w:vAlign w:val="center"/>
          </w:tcPr>
          <w:p w14:paraId="64E82567">
            <w:pPr>
              <w:jc w:val="center"/>
              <w:rPr>
                <w:rFonts w:ascii="宋体" w:hAnsi="宋体" w:cs="宋体"/>
                <w:color w:val="000000"/>
                <w:szCs w:val="21"/>
              </w:rPr>
            </w:pPr>
            <w:r>
              <w:rPr>
                <w:rFonts w:hint="eastAsia" w:ascii="宋体" w:hAnsi="宋体" w:cs="宋体"/>
                <w:color w:val="000000"/>
                <w:szCs w:val="21"/>
              </w:rPr>
              <w:t>序号</w:t>
            </w:r>
          </w:p>
        </w:tc>
        <w:tc>
          <w:tcPr>
            <w:tcW w:w="2528" w:type="pct"/>
            <w:vAlign w:val="center"/>
          </w:tcPr>
          <w:p w14:paraId="64F7ED24">
            <w:pPr>
              <w:jc w:val="center"/>
              <w:rPr>
                <w:rFonts w:ascii="宋体" w:hAnsi="宋体" w:cs="宋体"/>
                <w:color w:val="000000"/>
                <w:szCs w:val="21"/>
              </w:rPr>
            </w:pPr>
            <w:r>
              <w:rPr>
                <w:rFonts w:hint="eastAsia" w:ascii="宋体" w:hAnsi="宋体" w:cs="宋体"/>
                <w:color w:val="000000"/>
                <w:szCs w:val="21"/>
              </w:rPr>
              <w:t>类别</w:t>
            </w:r>
          </w:p>
        </w:tc>
        <w:tc>
          <w:tcPr>
            <w:tcW w:w="1421" w:type="pct"/>
            <w:vAlign w:val="center"/>
          </w:tcPr>
          <w:p w14:paraId="0B65048E">
            <w:pPr>
              <w:jc w:val="center"/>
              <w:rPr>
                <w:rFonts w:ascii="宋体" w:hAnsi="宋体" w:cs="宋体"/>
                <w:color w:val="000000"/>
                <w:szCs w:val="21"/>
              </w:rPr>
            </w:pPr>
            <w:r>
              <w:rPr>
                <w:rFonts w:hint="eastAsia" w:ascii="宋体" w:hAnsi="宋体" w:cs="宋体"/>
                <w:color w:val="000000"/>
                <w:szCs w:val="21"/>
              </w:rPr>
              <w:t>权重分</w:t>
            </w:r>
          </w:p>
        </w:tc>
      </w:tr>
      <w:tr w14:paraId="3359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49" w:type="pct"/>
            <w:vAlign w:val="center"/>
          </w:tcPr>
          <w:p w14:paraId="7697165B">
            <w:pPr>
              <w:jc w:val="center"/>
              <w:rPr>
                <w:rFonts w:ascii="宋体" w:hAnsi="宋体" w:cs="宋体"/>
                <w:color w:val="000000"/>
                <w:szCs w:val="21"/>
              </w:rPr>
            </w:pPr>
            <w:r>
              <w:rPr>
                <w:rFonts w:hint="eastAsia" w:ascii="宋体" w:hAnsi="宋体" w:cs="宋体"/>
                <w:color w:val="000000"/>
                <w:szCs w:val="21"/>
              </w:rPr>
              <w:t>1</w:t>
            </w:r>
          </w:p>
        </w:tc>
        <w:tc>
          <w:tcPr>
            <w:tcW w:w="2528" w:type="pct"/>
            <w:vAlign w:val="center"/>
          </w:tcPr>
          <w:p w14:paraId="680DB988">
            <w:pPr>
              <w:jc w:val="center"/>
              <w:rPr>
                <w:rFonts w:ascii="宋体" w:hAnsi="宋体" w:cs="宋体"/>
                <w:color w:val="000000"/>
                <w:szCs w:val="21"/>
              </w:rPr>
            </w:pPr>
            <w:r>
              <w:rPr>
                <w:rFonts w:hint="eastAsia" w:ascii="宋体" w:hAnsi="宋体" w:cs="宋体"/>
                <w:color w:val="000000"/>
                <w:szCs w:val="21"/>
              </w:rPr>
              <w:t>蔬菜类</w:t>
            </w:r>
          </w:p>
        </w:tc>
        <w:tc>
          <w:tcPr>
            <w:tcW w:w="1421" w:type="pct"/>
            <w:vAlign w:val="center"/>
          </w:tcPr>
          <w:p w14:paraId="71A86E4C">
            <w:pPr>
              <w:jc w:val="center"/>
              <w:rPr>
                <w:rFonts w:ascii="宋体" w:hAnsi="宋体" w:cs="宋体"/>
                <w:color w:val="000000"/>
                <w:szCs w:val="21"/>
              </w:rPr>
            </w:pPr>
            <w:r>
              <w:rPr>
                <w:rFonts w:hint="eastAsia" w:ascii="宋体" w:hAnsi="宋体" w:cs="宋体"/>
                <w:color w:val="000000"/>
                <w:szCs w:val="21"/>
              </w:rPr>
              <w:t>2</w:t>
            </w:r>
            <w:r>
              <w:rPr>
                <w:rFonts w:hint="eastAsia" w:ascii="宋体" w:hAnsi="宋体" w:cs="宋体"/>
                <w:bCs/>
                <w:color w:val="000000"/>
                <w:kern w:val="0"/>
                <w:szCs w:val="21"/>
              </w:rPr>
              <w:t>分</w:t>
            </w:r>
          </w:p>
        </w:tc>
      </w:tr>
      <w:tr w14:paraId="1D486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49" w:type="pct"/>
            <w:vAlign w:val="center"/>
          </w:tcPr>
          <w:p w14:paraId="3129D310">
            <w:pPr>
              <w:jc w:val="center"/>
              <w:rPr>
                <w:rFonts w:ascii="宋体" w:hAnsi="宋体" w:cs="宋体"/>
                <w:color w:val="000000"/>
                <w:szCs w:val="21"/>
              </w:rPr>
            </w:pPr>
            <w:r>
              <w:rPr>
                <w:rFonts w:hint="eastAsia" w:ascii="宋体" w:hAnsi="宋体" w:cs="宋体"/>
                <w:color w:val="000000"/>
                <w:szCs w:val="21"/>
              </w:rPr>
              <w:t>2</w:t>
            </w:r>
          </w:p>
        </w:tc>
        <w:tc>
          <w:tcPr>
            <w:tcW w:w="2528" w:type="pct"/>
            <w:vAlign w:val="center"/>
          </w:tcPr>
          <w:p w14:paraId="0786CD44">
            <w:pPr>
              <w:jc w:val="center"/>
              <w:rPr>
                <w:rFonts w:ascii="宋体" w:hAnsi="宋体" w:cs="宋体"/>
                <w:color w:val="000000"/>
                <w:szCs w:val="21"/>
              </w:rPr>
            </w:pPr>
            <w:r>
              <w:rPr>
                <w:rFonts w:hint="eastAsia" w:ascii="宋体" w:hAnsi="宋体" w:cs="宋体"/>
                <w:color w:val="000000"/>
                <w:szCs w:val="21"/>
              </w:rPr>
              <w:t>饮品类</w:t>
            </w:r>
          </w:p>
        </w:tc>
        <w:tc>
          <w:tcPr>
            <w:tcW w:w="1421" w:type="pct"/>
            <w:vAlign w:val="center"/>
          </w:tcPr>
          <w:p w14:paraId="464FFEC4">
            <w:pPr>
              <w:jc w:val="center"/>
              <w:rPr>
                <w:rFonts w:ascii="宋体" w:hAnsi="宋体" w:cs="宋体"/>
                <w:color w:val="000000"/>
                <w:szCs w:val="21"/>
              </w:rPr>
            </w:pPr>
            <w:r>
              <w:rPr>
                <w:rFonts w:hint="eastAsia" w:ascii="宋体" w:hAnsi="宋体" w:cs="宋体"/>
                <w:color w:val="000000"/>
                <w:szCs w:val="21"/>
              </w:rPr>
              <w:t>1</w:t>
            </w:r>
            <w:r>
              <w:rPr>
                <w:rFonts w:hint="eastAsia" w:ascii="宋体" w:hAnsi="宋体" w:cs="宋体"/>
                <w:bCs/>
                <w:color w:val="000000"/>
                <w:kern w:val="0"/>
                <w:szCs w:val="21"/>
              </w:rPr>
              <w:t>分</w:t>
            </w:r>
          </w:p>
        </w:tc>
      </w:tr>
      <w:tr w14:paraId="0709D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49" w:type="pct"/>
            <w:vAlign w:val="center"/>
          </w:tcPr>
          <w:p w14:paraId="7C03311B">
            <w:pPr>
              <w:jc w:val="center"/>
              <w:rPr>
                <w:rFonts w:ascii="宋体" w:hAnsi="宋体" w:cs="宋体"/>
                <w:color w:val="000000"/>
                <w:szCs w:val="21"/>
              </w:rPr>
            </w:pPr>
            <w:r>
              <w:rPr>
                <w:rFonts w:hint="eastAsia" w:ascii="宋体" w:hAnsi="宋体" w:cs="宋体"/>
                <w:color w:val="000000"/>
                <w:szCs w:val="21"/>
              </w:rPr>
              <w:t>3</w:t>
            </w:r>
          </w:p>
        </w:tc>
        <w:tc>
          <w:tcPr>
            <w:tcW w:w="2528" w:type="pct"/>
            <w:vAlign w:val="center"/>
          </w:tcPr>
          <w:p w14:paraId="29E6D958">
            <w:pPr>
              <w:jc w:val="center"/>
              <w:rPr>
                <w:rFonts w:ascii="宋体" w:hAnsi="宋体" w:cs="宋体"/>
                <w:color w:val="000000"/>
                <w:szCs w:val="21"/>
              </w:rPr>
            </w:pPr>
            <w:r>
              <w:rPr>
                <w:rFonts w:hint="eastAsia" w:ascii="宋体" w:hAnsi="宋体" w:cs="宋体"/>
                <w:color w:val="000000"/>
                <w:szCs w:val="21"/>
              </w:rPr>
              <w:t>肉类</w:t>
            </w:r>
          </w:p>
        </w:tc>
        <w:tc>
          <w:tcPr>
            <w:tcW w:w="1421" w:type="pct"/>
            <w:vAlign w:val="center"/>
          </w:tcPr>
          <w:p w14:paraId="6873CE61">
            <w:pPr>
              <w:jc w:val="center"/>
              <w:rPr>
                <w:rFonts w:ascii="宋体" w:hAnsi="宋体" w:cs="宋体"/>
                <w:color w:val="000000"/>
                <w:szCs w:val="21"/>
              </w:rPr>
            </w:pPr>
            <w:r>
              <w:rPr>
                <w:rFonts w:hint="eastAsia" w:ascii="宋体" w:hAnsi="宋体" w:cs="宋体"/>
                <w:color w:val="000000"/>
                <w:szCs w:val="21"/>
              </w:rPr>
              <w:t>2</w:t>
            </w:r>
            <w:r>
              <w:rPr>
                <w:rFonts w:hint="eastAsia" w:ascii="宋体" w:hAnsi="宋体" w:cs="宋体"/>
                <w:bCs/>
                <w:color w:val="000000"/>
                <w:kern w:val="0"/>
                <w:szCs w:val="21"/>
              </w:rPr>
              <w:t>分</w:t>
            </w:r>
          </w:p>
        </w:tc>
      </w:tr>
      <w:tr w14:paraId="5B62B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49" w:type="pct"/>
            <w:vAlign w:val="center"/>
          </w:tcPr>
          <w:p w14:paraId="2C3DBB23">
            <w:pPr>
              <w:jc w:val="center"/>
              <w:rPr>
                <w:rFonts w:ascii="宋体" w:hAnsi="宋体" w:cs="宋体"/>
                <w:color w:val="000000"/>
                <w:szCs w:val="21"/>
              </w:rPr>
            </w:pPr>
            <w:r>
              <w:rPr>
                <w:rFonts w:hint="eastAsia" w:ascii="宋体" w:hAnsi="宋体" w:cs="宋体"/>
                <w:color w:val="000000"/>
                <w:szCs w:val="21"/>
              </w:rPr>
              <w:t>4</w:t>
            </w:r>
          </w:p>
        </w:tc>
        <w:tc>
          <w:tcPr>
            <w:tcW w:w="2528" w:type="pct"/>
            <w:vAlign w:val="center"/>
          </w:tcPr>
          <w:p w14:paraId="1F5B640A">
            <w:pPr>
              <w:jc w:val="center"/>
              <w:rPr>
                <w:rFonts w:ascii="宋体" w:hAnsi="宋体" w:cs="宋体"/>
                <w:color w:val="000000"/>
                <w:szCs w:val="21"/>
              </w:rPr>
            </w:pPr>
            <w:r>
              <w:rPr>
                <w:rFonts w:hint="eastAsia" w:ascii="宋体" w:hAnsi="宋体" w:cs="宋体"/>
                <w:color w:val="000000"/>
                <w:szCs w:val="21"/>
              </w:rPr>
              <w:t>冷冻食品类</w:t>
            </w:r>
          </w:p>
        </w:tc>
        <w:tc>
          <w:tcPr>
            <w:tcW w:w="1421" w:type="pct"/>
            <w:vAlign w:val="center"/>
          </w:tcPr>
          <w:p w14:paraId="0F822F28">
            <w:pPr>
              <w:jc w:val="center"/>
              <w:rPr>
                <w:rFonts w:ascii="宋体" w:hAnsi="宋体" w:cs="宋体"/>
                <w:color w:val="000000"/>
                <w:szCs w:val="21"/>
              </w:rPr>
            </w:pPr>
            <w:r>
              <w:rPr>
                <w:rFonts w:hint="eastAsia" w:ascii="宋体" w:hAnsi="宋体" w:cs="宋体"/>
                <w:color w:val="000000"/>
                <w:szCs w:val="21"/>
              </w:rPr>
              <w:t>2</w:t>
            </w:r>
            <w:r>
              <w:rPr>
                <w:rFonts w:hint="eastAsia" w:ascii="宋体" w:hAnsi="宋体" w:cs="宋体"/>
                <w:bCs/>
                <w:color w:val="000000"/>
                <w:kern w:val="0"/>
                <w:szCs w:val="21"/>
              </w:rPr>
              <w:t>分</w:t>
            </w:r>
          </w:p>
        </w:tc>
      </w:tr>
      <w:tr w14:paraId="03072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49" w:type="pct"/>
            <w:vAlign w:val="center"/>
          </w:tcPr>
          <w:p w14:paraId="3B810EDB">
            <w:pPr>
              <w:jc w:val="center"/>
              <w:rPr>
                <w:rFonts w:ascii="宋体" w:hAnsi="宋体" w:cs="宋体"/>
                <w:color w:val="000000"/>
                <w:szCs w:val="21"/>
              </w:rPr>
            </w:pPr>
            <w:r>
              <w:rPr>
                <w:rFonts w:hint="eastAsia" w:ascii="宋体" w:hAnsi="宋体" w:cs="宋体"/>
                <w:color w:val="000000"/>
                <w:szCs w:val="21"/>
              </w:rPr>
              <w:t>5</w:t>
            </w:r>
          </w:p>
        </w:tc>
        <w:tc>
          <w:tcPr>
            <w:tcW w:w="2528" w:type="pct"/>
            <w:vAlign w:val="center"/>
          </w:tcPr>
          <w:p w14:paraId="20DEB119">
            <w:pPr>
              <w:jc w:val="center"/>
              <w:rPr>
                <w:rFonts w:ascii="宋体" w:hAnsi="宋体" w:cs="宋体"/>
                <w:color w:val="000000"/>
                <w:szCs w:val="21"/>
              </w:rPr>
            </w:pPr>
            <w:r>
              <w:rPr>
                <w:rFonts w:hint="eastAsia" w:ascii="宋体" w:hAnsi="宋体" w:cs="宋体"/>
                <w:color w:val="000000"/>
                <w:szCs w:val="21"/>
              </w:rPr>
              <w:t>干货类</w:t>
            </w:r>
          </w:p>
        </w:tc>
        <w:tc>
          <w:tcPr>
            <w:tcW w:w="1421" w:type="pct"/>
            <w:vAlign w:val="center"/>
          </w:tcPr>
          <w:p w14:paraId="2271A300">
            <w:pPr>
              <w:jc w:val="center"/>
              <w:rPr>
                <w:rFonts w:ascii="宋体" w:hAnsi="宋体" w:cs="宋体"/>
                <w:color w:val="000000"/>
                <w:szCs w:val="21"/>
              </w:rPr>
            </w:pPr>
            <w:r>
              <w:rPr>
                <w:rFonts w:hint="eastAsia" w:ascii="宋体" w:hAnsi="宋体" w:cs="宋体"/>
                <w:color w:val="000000"/>
                <w:szCs w:val="21"/>
              </w:rPr>
              <w:t>2</w:t>
            </w:r>
            <w:r>
              <w:rPr>
                <w:rFonts w:hint="eastAsia" w:ascii="宋体" w:hAnsi="宋体" w:cs="宋体"/>
                <w:bCs/>
                <w:color w:val="000000"/>
                <w:kern w:val="0"/>
                <w:szCs w:val="21"/>
              </w:rPr>
              <w:t>分</w:t>
            </w:r>
          </w:p>
        </w:tc>
      </w:tr>
      <w:tr w14:paraId="3D591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49" w:type="pct"/>
            <w:vAlign w:val="center"/>
          </w:tcPr>
          <w:p w14:paraId="3975C4D3">
            <w:pPr>
              <w:jc w:val="center"/>
              <w:rPr>
                <w:rFonts w:ascii="宋体" w:hAnsi="宋体" w:cs="宋体"/>
                <w:color w:val="000000"/>
                <w:szCs w:val="21"/>
              </w:rPr>
            </w:pPr>
            <w:r>
              <w:rPr>
                <w:rFonts w:hint="eastAsia" w:ascii="宋体" w:hAnsi="宋体" w:cs="宋体"/>
                <w:color w:val="000000"/>
                <w:szCs w:val="21"/>
              </w:rPr>
              <w:t>6</w:t>
            </w:r>
          </w:p>
        </w:tc>
        <w:tc>
          <w:tcPr>
            <w:tcW w:w="2528" w:type="pct"/>
            <w:vAlign w:val="center"/>
          </w:tcPr>
          <w:p w14:paraId="16CF0755">
            <w:pPr>
              <w:jc w:val="center"/>
              <w:rPr>
                <w:rFonts w:ascii="宋体" w:hAnsi="宋体" w:cs="宋体"/>
                <w:color w:val="000000"/>
                <w:szCs w:val="21"/>
              </w:rPr>
            </w:pPr>
            <w:r>
              <w:rPr>
                <w:rFonts w:hint="eastAsia" w:ascii="宋体" w:hAnsi="宋体" w:cs="宋体"/>
                <w:color w:val="000000"/>
                <w:szCs w:val="21"/>
              </w:rPr>
              <w:t>豆制品类</w:t>
            </w:r>
          </w:p>
        </w:tc>
        <w:tc>
          <w:tcPr>
            <w:tcW w:w="1421" w:type="pct"/>
            <w:vAlign w:val="center"/>
          </w:tcPr>
          <w:p w14:paraId="755B4EFA">
            <w:pPr>
              <w:jc w:val="center"/>
              <w:rPr>
                <w:rFonts w:ascii="宋体" w:hAnsi="宋体" w:cs="宋体"/>
                <w:color w:val="000000"/>
                <w:szCs w:val="21"/>
              </w:rPr>
            </w:pPr>
            <w:r>
              <w:rPr>
                <w:rFonts w:hint="eastAsia" w:ascii="宋体" w:hAnsi="宋体" w:cs="宋体"/>
                <w:color w:val="000000"/>
                <w:szCs w:val="21"/>
              </w:rPr>
              <w:t>1</w:t>
            </w:r>
            <w:r>
              <w:rPr>
                <w:rFonts w:hint="eastAsia" w:ascii="宋体" w:hAnsi="宋体" w:cs="宋体"/>
                <w:bCs/>
                <w:color w:val="000000"/>
                <w:kern w:val="0"/>
                <w:szCs w:val="21"/>
              </w:rPr>
              <w:t>分</w:t>
            </w:r>
          </w:p>
        </w:tc>
      </w:tr>
      <w:tr w14:paraId="1CC0E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49" w:type="pct"/>
            <w:vAlign w:val="center"/>
          </w:tcPr>
          <w:p w14:paraId="73B8B8C9">
            <w:pPr>
              <w:jc w:val="center"/>
              <w:rPr>
                <w:rFonts w:ascii="宋体" w:hAnsi="宋体" w:cs="宋体"/>
                <w:color w:val="000000"/>
                <w:szCs w:val="21"/>
              </w:rPr>
            </w:pPr>
            <w:r>
              <w:rPr>
                <w:rFonts w:hint="eastAsia" w:ascii="宋体" w:hAnsi="宋体" w:cs="宋体"/>
                <w:color w:val="000000"/>
                <w:szCs w:val="21"/>
              </w:rPr>
              <w:t>7</w:t>
            </w:r>
          </w:p>
        </w:tc>
        <w:tc>
          <w:tcPr>
            <w:tcW w:w="2528" w:type="pct"/>
            <w:vAlign w:val="center"/>
          </w:tcPr>
          <w:p w14:paraId="78E022EA">
            <w:pPr>
              <w:jc w:val="center"/>
              <w:rPr>
                <w:rFonts w:ascii="宋体" w:hAnsi="宋体" w:cs="宋体"/>
                <w:color w:val="000000"/>
                <w:szCs w:val="21"/>
              </w:rPr>
            </w:pPr>
            <w:r>
              <w:rPr>
                <w:rFonts w:hint="eastAsia"/>
                <w:highlight w:val="green"/>
              </w:rPr>
              <w:t>水产品类</w:t>
            </w:r>
          </w:p>
        </w:tc>
        <w:tc>
          <w:tcPr>
            <w:tcW w:w="1421" w:type="pct"/>
            <w:vAlign w:val="center"/>
          </w:tcPr>
          <w:p w14:paraId="5D7B9102">
            <w:pPr>
              <w:jc w:val="center"/>
              <w:rPr>
                <w:rFonts w:ascii="宋体" w:hAnsi="宋体" w:cs="宋体"/>
                <w:color w:val="000000"/>
                <w:szCs w:val="21"/>
              </w:rPr>
            </w:pPr>
            <w:r>
              <w:rPr>
                <w:rFonts w:hint="eastAsia" w:ascii="宋体" w:hAnsi="宋体" w:cs="宋体"/>
                <w:color w:val="000000"/>
                <w:szCs w:val="21"/>
              </w:rPr>
              <w:t>1</w:t>
            </w:r>
            <w:r>
              <w:rPr>
                <w:rFonts w:hint="eastAsia" w:ascii="宋体" w:hAnsi="宋体" w:cs="宋体"/>
                <w:bCs/>
                <w:color w:val="000000"/>
                <w:kern w:val="0"/>
                <w:szCs w:val="21"/>
              </w:rPr>
              <w:t>分</w:t>
            </w:r>
          </w:p>
        </w:tc>
      </w:tr>
      <w:tr w14:paraId="323EB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49" w:type="pct"/>
            <w:vAlign w:val="center"/>
          </w:tcPr>
          <w:p w14:paraId="4A85485B">
            <w:pPr>
              <w:jc w:val="center"/>
              <w:rPr>
                <w:rFonts w:ascii="宋体" w:hAnsi="宋体" w:cs="宋体"/>
                <w:color w:val="000000"/>
                <w:szCs w:val="21"/>
              </w:rPr>
            </w:pPr>
            <w:r>
              <w:rPr>
                <w:rFonts w:hint="eastAsia" w:ascii="宋体" w:hAnsi="宋体" w:cs="宋体"/>
                <w:color w:val="000000"/>
                <w:szCs w:val="21"/>
              </w:rPr>
              <w:t>8</w:t>
            </w:r>
          </w:p>
        </w:tc>
        <w:tc>
          <w:tcPr>
            <w:tcW w:w="2528" w:type="pct"/>
            <w:vAlign w:val="center"/>
          </w:tcPr>
          <w:p w14:paraId="7F6923BC">
            <w:pPr>
              <w:jc w:val="center"/>
              <w:rPr>
                <w:rFonts w:ascii="宋体" w:hAnsi="宋体" w:cs="宋体"/>
                <w:color w:val="000000"/>
                <w:szCs w:val="21"/>
              </w:rPr>
            </w:pPr>
            <w:r>
              <w:rPr>
                <w:rFonts w:hint="eastAsia" w:ascii="宋体" w:hAnsi="宋体" w:cs="宋体"/>
                <w:color w:val="000000"/>
                <w:szCs w:val="21"/>
              </w:rPr>
              <w:t>禽蛋类</w:t>
            </w:r>
          </w:p>
        </w:tc>
        <w:tc>
          <w:tcPr>
            <w:tcW w:w="1421" w:type="pct"/>
            <w:vAlign w:val="center"/>
          </w:tcPr>
          <w:p w14:paraId="193FC0CE">
            <w:pPr>
              <w:jc w:val="center"/>
              <w:rPr>
                <w:rFonts w:ascii="宋体" w:hAnsi="宋体" w:cs="宋体"/>
                <w:color w:val="000000"/>
                <w:szCs w:val="21"/>
              </w:rPr>
            </w:pPr>
            <w:r>
              <w:rPr>
                <w:rFonts w:hint="eastAsia" w:ascii="宋体" w:hAnsi="宋体" w:cs="宋体"/>
                <w:color w:val="000000"/>
                <w:szCs w:val="21"/>
              </w:rPr>
              <w:t>2</w:t>
            </w:r>
            <w:r>
              <w:rPr>
                <w:rFonts w:hint="eastAsia" w:ascii="宋体" w:hAnsi="宋体" w:cs="宋体"/>
                <w:bCs/>
                <w:color w:val="000000"/>
                <w:kern w:val="0"/>
                <w:szCs w:val="21"/>
              </w:rPr>
              <w:t>分</w:t>
            </w:r>
          </w:p>
        </w:tc>
      </w:tr>
      <w:tr w14:paraId="4BC32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49" w:type="pct"/>
            <w:vAlign w:val="center"/>
          </w:tcPr>
          <w:p w14:paraId="48C5573A">
            <w:pPr>
              <w:jc w:val="center"/>
              <w:rPr>
                <w:rFonts w:ascii="宋体" w:hAnsi="宋体" w:cs="宋体"/>
                <w:color w:val="000000"/>
                <w:szCs w:val="21"/>
              </w:rPr>
            </w:pPr>
            <w:r>
              <w:rPr>
                <w:rFonts w:hint="eastAsia" w:ascii="宋体" w:hAnsi="宋体" w:cs="宋体"/>
                <w:color w:val="000000"/>
                <w:szCs w:val="21"/>
              </w:rPr>
              <w:t>9</w:t>
            </w:r>
          </w:p>
        </w:tc>
        <w:tc>
          <w:tcPr>
            <w:tcW w:w="2528" w:type="pct"/>
            <w:vAlign w:val="center"/>
          </w:tcPr>
          <w:p w14:paraId="0435D0D9">
            <w:pPr>
              <w:jc w:val="center"/>
              <w:rPr>
                <w:rFonts w:ascii="宋体" w:hAnsi="宋体" w:cs="宋体"/>
                <w:color w:val="000000"/>
                <w:szCs w:val="21"/>
              </w:rPr>
            </w:pPr>
            <w:r>
              <w:rPr>
                <w:rFonts w:hint="eastAsia" w:ascii="宋体" w:hAnsi="宋体" w:cs="宋体"/>
                <w:color w:val="000000"/>
                <w:szCs w:val="21"/>
              </w:rPr>
              <w:t>其他类</w:t>
            </w:r>
          </w:p>
        </w:tc>
        <w:tc>
          <w:tcPr>
            <w:tcW w:w="1421" w:type="pct"/>
            <w:vAlign w:val="center"/>
          </w:tcPr>
          <w:p w14:paraId="3F6D31D3">
            <w:pPr>
              <w:jc w:val="center"/>
              <w:rPr>
                <w:rFonts w:ascii="宋体" w:hAnsi="宋体" w:cs="宋体"/>
                <w:color w:val="000000"/>
                <w:szCs w:val="21"/>
              </w:rPr>
            </w:pPr>
            <w:r>
              <w:rPr>
                <w:rFonts w:hint="eastAsia" w:ascii="宋体" w:hAnsi="宋体" w:cs="宋体"/>
                <w:color w:val="000000"/>
                <w:szCs w:val="21"/>
              </w:rPr>
              <w:t>2</w:t>
            </w:r>
            <w:r>
              <w:rPr>
                <w:rFonts w:hint="eastAsia" w:ascii="宋体" w:hAnsi="宋体" w:cs="宋体"/>
                <w:bCs/>
                <w:color w:val="000000"/>
                <w:kern w:val="0"/>
                <w:szCs w:val="21"/>
              </w:rPr>
              <w:t>分</w:t>
            </w:r>
          </w:p>
        </w:tc>
      </w:tr>
    </w:tbl>
    <w:p w14:paraId="2F68A589">
      <w:pPr>
        <w:pStyle w:val="26"/>
        <w:tabs>
          <w:tab w:val="left" w:pos="630"/>
        </w:tabs>
        <w:spacing w:line="360" w:lineRule="auto"/>
        <w:ind w:right="42" w:rightChars="20"/>
        <w:jc w:val="left"/>
        <w:rPr>
          <w:rFonts w:hAnsi="宋体" w:cs="宋体"/>
          <w:szCs w:val="21"/>
        </w:rPr>
      </w:pPr>
    </w:p>
    <w:p w14:paraId="3905FEB9">
      <w:pPr>
        <w:pStyle w:val="26"/>
        <w:tabs>
          <w:tab w:val="left" w:pos="630"/>
        </w:tabs>
        <w:spacing w:line="360" w:lineRule="auto"/>
        <w:ind w:right="42" w:rightChars="20"/>
        <w:jc w:val="left"/>
        <w:rPr>
          <w:rFonts w:hAnsi="宋体" w:cs="宋体"/>
          <w:szCs w:val="21"/>
        </w:rPr>
      </w:pPr>
      <w:r>
        <w:rPr>
          <w:rFonts w:hint="eastAsia" w:hAnsi="宋体" w:cs="宋体"/>
          <w:szCs w:val="21"/>
        </w:rPr>
        <w:t>2、投标人的投标报价超过采购人设定的最高限价（总价及单价），将作为无效标。</w:t>
      </w:r>
    </w:p>
    <w:p w14:paraId="3DBF4370">
      <w:pPr>
        <w:widowControl/>
        <w:spacing w:line="360" w:lineRule="auto"/>
        <w:contextualSpacing/>
        <w:rPr>
          <w:rFonts w:ascii="黑体" w:hAnsi="黑体" w:eastAsia="黑体" w:cs="宋体"/>
          <w:bCs/>
          <w:color w:val="000000"/>
          <w:kern w:val="0"/>
          <w:sz w:val="24"/>
        </w:rPr>
      </w:pPr>
      <w:r>
        <w:rPr>
          <w:rFonts w:hint="eastAsia" w:ascii="宋体" w:hAnsi="宋体" w:cs="宋体"/>
          <w:szCs w:val="21"/>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65C4FBE">
      <w:pPr>
        <w:spacing w:line="360" w:lineRule="auto"/>
        <w:ind w:firstLine="632" w:firstLineChars="300"/>
        <w:jc w:val="left"/>
        <w:rPr>
          <w:rFonts w:ascii="宋体" w:hAnsi="宋体"/>
          <w:b/>
          <w:bCs/>
          <w:szCs w:val="21"/>
        </w:rPr>
      </w:pPr>
      <w:r>
        <w:rPr>
          <w:rFonts w:hint="eastAsia" w:ascii="宋体" w:hAnsi="宋体"/>
          <w:b/>
          <w:bCs/>
          <w:szCs w:val="21"/>
        </w:rPr>
        <w:t>二、技术资信分：</w:t>
      </w:r>
      <w:bookmarkStart w:id="253" w:name="_Toc416422800"/>
      <w:bookmarkStart w:id="254" w:name="_Toc28829"/>
      <w:bookmarkStart w:id="255" w:name="_Toc417992896"/>
      <w:bookmarkStart w:id="256" w:name="_Toc493511826"/>
      <w:r>
        <w:rPr>
          <w:rFonts w:hint="eastAsia" w:ascii="宋体" w:hAnsi="宋体"/>
          <w:b/>
          <w:bCs/>
          <w:szCs w:val="21"/>
        </w:rPr>
        <w:t>（85分）</w:t>
      </w:r>
    </w:p>
    <w:tbl>
      <w:tblPr>
        <w:tblStyle w:val="47"/>
        <w:tblpPr w:leftFromText="180" w:rightFromText="180" w:vertAnchor="text" w:horzAnchor="page" w:tblpX="1771" w:tblpY="429"/>
        <w:tblOverlap w:val="never"/>
        <w:tblW w:w="8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0"/>
        <w:gridCol w:w="6206"/>
        <w:gridCol w:w="870"/>
      </w:tblGrid>
      <w:tr w14:paraId="50F3A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520" w:type="dxa"/>
            <w:vAlign w:val="center"/>
          </w:tcPr>
          <w:p w14:paraId="0EC0DCC3">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评审项目</w:t>
            </w:r>
          </w:p>
        </w:tc>
        <w:tc>
          <w:tcPr>
            <w:tcW w:w="6206" w:type="dxa"/>
            <w:vAlign w:val="center"/>
          </w:tcPr>
          <w:p w14:paraId="604285DC">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评分内容</w:t>
            </w:r>
          </w:p>
        </w:tc>
        <w:tc>
          <w:tcPr>
            <w:tcW w:w="870" w:type="dxa"/>
            <w:vAlign w:val="center"/>
          </w:tcPr>
          <w:p w14:paraId="101868D6">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分值</w:t>
            </w:r>
          </w:p>
        </w:tc>
      </w:tr>
      <w:tr w14:paraId="1A660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520" w:type="dxa"/>
            <w:vAlign w:val="center"/>
          </w:tcPr>
          <w:p w14:paraId="5ED63D7C">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企业证书（2分）</w:t>
            </w:r>
          </w:p>
          <w:p w14:paraId="69AEE400">
            <w:pPr>
              <w:widowControl/>
              <w:spacing w:line="360" w:lineRule="auto"/>
              <w:contextualSpacing/>
              <w:jc w:val="left"/>
              <w:rPr>
                <w:rFonts w:ascii="宋体" w:hAnsi="宋体" w:cs="宋体"/>
                <w:bCs/>
                <w:color w:val="000000"/>
                <w:kern w:val="0"/>
                <w:szCs w:val="21"/>
              </w:rPr>
            </w:pPr>
          </w:p>
        </w:tc>
        <w:tc>
          <w:tcPr>
            <w:tcW w:w="6206" w:type="dxa"/>
            <w:vAlign w:val="center"/>
          </w:tcPr>
          <w:p w14:paraId="28245E9E">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1.有效的质量管理体系（ISO9001或 GB/T19001）的得0.5分；</w:t>
            </w:r>
          </w:p>
          <w:p w14:paraId="0C1119BE">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2.有效的环境管理体系（ISO14001或GB/T24001）的得0.5分；</w:t>
            </w:r>
          </w:p>
          <w:p w14:paraId="0A000105">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3.有效的职业健康安全管理体系（OHSAS18001 或ISO45001 或 GB/T28001）的得0.5分；</w:t>
            </w:r>
          </w:p>
          <w:p w14:paraId="7BB30193">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4.有效的食品安全管理体系认证（ISO22000）的得0.5分。</w:t>
            </w:r>
          </w:p>
          <w:p w14:paraId="52F9F423">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（以上体系认证证书必须提供证书及中国国家认证认可监督管理委员会网页截图http://cx.cnca.cn/CertECloud/result/skipResultList（有效期内且年检合格），否则不得分。）</w:t>
            </w:r>
          </w:p>
        </w:tc>
        <w:tc>
          <w:tcPr>
            <w:tcW w:w="870" w:type="dxa"/>
            <w:vAlign w:val="center"/>
          </w:tcPr>
          <w:p w14:paraId="4A8944D8">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0-2分</w:t>
            </w:r>
          </w:p>
        </w:tc>
      </w:tr>
      <w:tr w14:paraId="7F36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Align w:val="center"/>
          </w:tcPr>
          <w:p w14:paraId="5BDB4A20">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供货渠道的多样性（3分）</w:t>
            </w:r>
          </w:p>
          <w:p w14:paraId="1DBE3CCE">
            <w:pPr>
              <w:widowControl/>
              <w:spacing w:line="360" w:lineRule="auto"/>
              <w:contextualSpacing/>
              <w:jc w:val="left"/>
              <w:rPr>
                <w:rFonts w:ascii="宋体" w:hAnsi="宋体" w:cs="宋体"/>
                <w:bCs/>
                <w:color w:val="000000"/>
                <w:kern w:val="0"/>
                <w:szCs w:val="21"/>
              </w:rPr>
            </w:pPr>
          </w:p>
        </w:tc>
        <w:tc>
          <w:tcPr>
            <w:tcW w:w="6206" w:type="dxa"/>
            <w:vAlign w:val="center"/>
          </w:tcPr>
          <w:p w14:paraId="6F9FF5F8">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1.截止开标之日起24个月内自有或签约在有效期内的果蔬农场或水产基地或肉类的，每个得0.5分，最高得1.5分。</w:t>
            </w:r>
          </w:p>
          <w:p w14:paraId="6CEA1CB1">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（须同时提供①合作协议或其他合作证明材料、②合作基地情况介绍。同一品类不重复计分）</w:t>
            </w:r>
          </w:p>
          <w:p w14:paraId="4BD95185">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2.投标人具有奶品类或饮品类或调味品类商品直销或加盟商或地区代理经销商或其他代理销售相关证明的，1个产品得0.5分，最高得1.5分。（提供相关商品供货渠道的证明文件并加盖投标人公章。同一品类不重复计分）</w:t>
            </w:r>
          </w:p>
        </w:tc>
        <w:tc>
          <w:tcPr>
            <w:tcW w:w="870" w:type="dxa"/>
            <w:vAlign w:val="center"/>
          </w:tcPr>
          <w:p w14:paraId="4B4DCDE4">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0-3分</w:t>
            </w:r>
          </w:p>
        </w:tc>
      </w:tr>
      <w:tr w14:paraId="46901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Align w:val="center"/>
          </w:tcPr>
          <w:p w14:paraId="27D76325">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运输能力（5分）</w:t>
            </w:r>
          </w:p>
          <w:p w14:paraId="3392A896">
            <w:pPr>
              <w:widowControl/>
              <w:spacing w:line="360" w:lineRule="auto"/>
              <w:contextualSpacing/>
              <w:jc w:val="left"/>
              <w:rPr>
                <w:rFonts w:ascii="宋体" w:hAnsi="宋体" w:cs="宋体"/>
                <w:bCs/>
                <w:color w:val="000000"/>
                <w:kern w:val="0"/>
                <w:szCs w:val="21"/>
              </w:rPr>
            </w:pPr>
          </w:p>
        </w:tc>
        <w:tc>
          <w:tcPr>
            <w:tcW w:w="6206" w:type="dxa"/>
            <w:vAlign w:val="center"/>
          </w:tcPr>
          <w:p w14:paraId="327B9BE6">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1.自有或租赁冷藏车辆，每有1辆得1.5分，最高得3分。</w:t>
            </w:r>
          </w:p>
          <w:p w14:paraId="6232F9BC">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提供车辆行驶证（提供12123中车辆检验有效期界面截图）、车辆正面照片，若为租赁则另需提供车辆租赁合同并加盖投标人公章，若车辆行驶证中无法体现车辆为冷藏车的，则另需提供机动车销售统一发票或强制性产品认证车辆一致性证书或车辆合格证需反应车辆类型为冷藏车，车辆识别代号/车架号与行驶证中的一致）</w:t>
            </w:r>
          </w:p>
          <w:p w14:paraId="4387C0B3">
            <w:pPr>
              <w:widowControl/>
              <w:tabs>
                <w:tab w:val="left" w:pos="312"/>
              </w:tabs>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自有或租赁配送车辆（轿车及皮卡等非封闭的车辆不予计分），每有1辆得1分，最高得2分。</w:t>
            </w:r>
          </w:p>
          <w:p w14:paraId="7E1DA27A">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（提供有效的车辆行驶证（提供12123中车辆检验有效期界面截图）、车辆正面照片，若为租赁则另需提供车辆租赁合同并加盖投标人公章）</w:t>
            </w:r>
          </w:p>
        </w:tc>
        <w:tc>
          <w:tcPr>
            <w:tcW w:w="870" w:type="dxa"/>
            <w:vAlign w:val="center"/>
          </w:tcPr>
          <w:p w14:paraId="0B034762">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0-5分</w:t>
            </w:r>
          </w:p>
        </w:tc>
      </w:tr>
      <w:tr w14:paraId="340CC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Align w:val="center"/>
          </w:tcPr>
          <w:p w14:paraId="25DCAEBB">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项目业绩（1分）</w:t>
            </w:r>
          </w:p>
          <w:p w14:paraId="78F2BC67">
            <w:pPr>
              <w:widowControl/>
              <w:spacing w:line="360" w:lineRule="auto"/>
              <w:contextualSpacing/>
              <w:jc w:val="left"/>
              <w:rPr>
                <w:rFonts w:ascii="宋体" w:hAnsi="宋体" w:cs="宋体"/>
                <w:bCs/>
                <w:color w:val="000000"/>
                <w:kern w:val="0"/>
                <w:szCs w:val="21"/>
              </w:rPr>
            </w:pPr>
          </w:p>
        </w:tc>
        <w:tc>
          <w:tcPr>
            <w:tcW w:w="6206" w:type="dxa"/>
            <w:vAlign w:val="center"/>
          </w:tcPr>
          <w:p w14:paraId="0363BE17">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2021年1月1日（以合同签订日期为准）至今投标人承担的类似食材配送服务业绩，每提供1个有效业绩得0.5分，最高得1分。（须同时提供合同关键页（合同首页、信息页、签字盖章页）复印件并加盖投标人公章，复印件应清晰可见；类似食材是指全品类，合同中至少包含本项目采购品类5个或以上的按1个得分点计算，若同一业主同一时间段内提供5个品种（含）以上本项目采购品类内的合同各一份的则按1个得分点计算）</w:t>
            </w:r>
          </w:p>
        </w:tc>
        <w:tc>
          <w:tcPr>
            <w:tcW w:w="870" w:type="dxa"/>
            <w:vAlign w:val="center"/>
          </w:tcPr>
          <w:p w14:paraId="3ABEC8A0">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0-1分</w:t>
            </w:r>
          </w:p>
        </w:tc>
      </w:tr>
      <w:tr w14:paraId="62E80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Align w:val="center"/>
          </w:tcPr>
          <w:p w14:paraId="6BCA972A">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智能化管理系统（4分）</w:t>
            </w:r>
          </w:p>
        </w:tc>
        <w:tc>
          <w:tcPr>
            <w:tcW w:w="6206" w:type="dxa"/>
            <w:vAlign w:val="center"/>
          </w:tcPr>
          <w:p w14:paraId="7C0B96AA">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投标人具有智能化管理系统，系统中可反应货物溯源管理的得1分，系统中可反应财务核算使用情况的得1分，系统中可反应出入库信息化管理使用情况的得1分，系统中可反应各使用单位的订单完成情况的得1分（提供系统对应界面截图并加盖投标人公章）</w:t>
            </w:r>
          </w:p>
        </w:tc>
        <w:tc>
          <w:tcPr>
            <w:tcW w:w="870" w:type="dxa"/>
            <w:vAlign w:val="center"/>
          </w:tcPr>
          <w:p w14:paraId="36B59885">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0-4分</w:t>
            </w:r>
          </w:p>
        </w:tc>
      </w:tr>
      <w:tr w14:paraId="585F8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Merge w:val="restart"/>
            <w:vAlign w:val="center"/>
          </w:tcPr>
          <w:p w14:paraId="758A307A">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食品质量控制（8分）</w:t>
            </w:r>
          </w:p>
        </w:tc>
        <w:tc>
          <w:tcPr>
            <w:tcW w:w="6206" w:type="dxa"/>
            <w:vAlign w:val="center"/>
          </w:tcPr>
          <w:p w14:paraId="04AA004C">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投标人具有严格的进货渠道，来源可追溯、质量可控的得2分</w:t>
            </w:r>
          </w:p>
        </w:tc>
        <w:tc>
          <w:tcPr>
            <w:tcW w:w="870" w:type="dxa"/>
            <w:vAlign w:val="center"/>
          </w:tcPr>
          <w:p w14:paraId="51E031C6">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0-2分</w:t>
            </w:r>
          </w:p>
        </w:tc>
      </w:tr>
      <w:tr w14:paraId="77B41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Merge w:val="continue"/>
            <w:vAlign w:val="center"/>
          </w:tcPr>
          <w:p w14:paraId="5C2A4384">
            <w:pPr>
              <w:widowControl/>
              <w:spacing w:line="360" w:lineRule="auto"/>
              <w:contextualSpacing/>
              <w:jc w:val="left"/>
              <w:rPr>
                <w:rFonts w:ascii="宋体" w:hAnsi="宋体" w:cs="宋体"/>
                <w:bCs/>
                <w:color w:val="000000"/>
                <w:kern w:val="0"/>
                <w:szCs w:val="21"/>
              </w:rPr>
            </w:pPr>
          </w:p>
        </w:tc>
        <w:tc>
          <w:tcPr>
            <w:tcW w:w="6206" w:type="dxa"/>
            <w:vAlign w:val="center"/>
          </w:tcPr>
          <w:p w14:paraId="417B20C3">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具有原材料质量管理制度的得1分</w:t>
            </w:r>
          </w:p>
        </w:tc>
        <w:tc>
          <w:tcPr>
            <w:tcW w:w="870" w:type="dxa"/>
            <w:vAlign w:val="center"/>
          </w:tcPr>
          <w:p w14:paraId="5E2EBB1F">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0-1分</w:t>
            </w:r>
          </w:p>
        </w:tc>
      </w:tr>
      <w:tr w14:paraId="3BF76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Merge w:val="continue"/>
            <w:vAlign w:val="center"/>
          </w:tcPr>
          <w:p w14:paraId="4894F3C5">
            <w:pPr>
              <w:widowControl/>
              <w:spacing w:line="360" w:lineRule="auto"/>
              <w:contextualSpacing/>
              <w:jc w:val="left"/>
              <w:rPr>
                <w:rFonts w:ascii="宋体" w:hAnsi="宋体" w:cs="宋体"/>
                <w:bCs/>
                <w:color w:val="000000"/>
                <w:kern w:val="0"/>
                <w:szCs w:val="21"/>
              </w:rPr>
            </w:pPr>
          </w:p>
        </w:tc>
        <w:tc>
          <w:tcPr>
            <w:tcW w:w="6206" w:type="dxa"/>
            <w:vAlign w:val="center"/>
          </w:tcPr>
          <w:p w14:paraId="5EE7E1E2">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检验检疫证明齐全，食品安全和质量要求满足国家或行业标准的得2分</w:t>
            </w:r>
          </w:p>
        </w:tc>
        <w:tc>
          <w:tcPr>
            <w:tcW w:w="870" w:type="dxa"/>
            <w:vAlign w:val="center"/>
          </w:tcPr>
          <w:p w14:paraId="305B0B8B">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0-2分</w:t>
            </w:r>
          </w:p>
        </w:tc>
      </w:tr>
      <w:tr w14:paraId="65532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Merge w:val="continue"/>
            <w:vAlign w:val="center"/>
          </w:tcPr>
          <w:p w14:paraId="64AF2CA5">
            <w:pPr>
              <w:widowControl/>
              <w:spacing w:line="360" w:lineRule="auto"/>
              <w:contextualSpacing/>
              <w:jc w:val="left"/>
              <w:rPr>
                <w:rFonts w:ascii="宋体" w:hAnsi="宋体" w:cs="宋体"/>
                <w:bCs/>
                <w:color w:val="000000"/>
                <w:kern w:val="0"/>
                <w:szCs w:val="21"/>
              </w:rPr>
            </w:pPr>
          </w:p>
        </w:tc>
        <w:tc>
          <w:tcPr>
            <w:tcW w:w="6206" w:type="dxa"/>
            <w:vAlign w:val="center"/>
          </w:tcPr>
          <w:p w14:paraId="56441CFA">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制定完善的食品自检、抽检流程的并制作检测台账的，检测流程有效的保障食品安全的得3分</w:t>
            </w:r>
          </w:p>
        </w:tc>
        <w:tc>
          <w:tcPr>
            <w:tcW w:w="870" w:type="dxa"/>
            <w:vAlign w:val="center"/>
          </w:tcPr>
          <w:p w14:paraId="3D0F244A">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0-3分</w:t>
            </w:r>
          </w:p>
        </w:tc>
      </w:tr>
      <w:tr w14:paraId="5628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520" w:type="dxa"/>
            <w:vMerge w:val="restart"/>
            <w:vAlign w:val="center"/>
          </w:tcPr>
          <w:p w14:paraId="599FF39F">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食品安全控制（3分）</w:t>
            </w:r>
          </w:p>
        </w:tc>
        <w:tc>
          <w:tcPr>
            <w:tcW w:w="6206" w:type="dxa"/>
            <w:vAlign w:val="center"/>
          </w:tcPr>
          <w:p w14:paraId="6C3B186B">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具有食品留样制度并制作台账的得1分</w:t>
            </w:r>
          </w:p>
        </w:tc>
        <w:tc>
          <w:tcPr>
            <w:tcW w:w="870" w:type="dxa"/>
            <w:vAlign w:val="center"/>
          </w:tcPr>
          <w:p w14:paraId="08D38CB6">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0-1分</w:t>
            </w:r>
          </w:p>
        </w:tc>
      </w:tr>
      <w:tr w14:paraId="41294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Merge w:val="continue"/>
            <w:vAlign w:val="center"/>
          </w:tcPr>
          <w:p w14:paraId="76FFB770">
            <w:pPr>
              <w:widowControl/>
              <w:spacing w:line="360" w:lineRule="auto"/>
              <w:contextualSpacing/>
              <w:jc w:val="left"/>
              <w:rPr>
                <w:rFonts w:ascii="宋体" w:hAnsi="宋体" w:cs="宋体"/>
                <w:bCs/>
                <w:color w:val="000000"/>
                <w:kern w:val="0"/>
                <w:szCs w:val="21"/>
              </w:rPr>
            </w:pPr>
          </w:p>
        </w:tc>
        <w:tc>
          <w:tcPr>
            <w:tcW w:w="6206" w:type="dxa"/>
            <w:vAlign w:val="center"/>
          </w:tcPr>
          <w:p w14:paraId="01339E55">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购买食品安全责任险在500万（含）-1000万（不含）元的得1分；1000万（含）-2000万（不含）之间的得1.5分；2000万元（含）以上的得2分。</w:t>
            </w:r>
          </w:p>
          <w:p w14:paraId="5D2D28DB">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（提供保单复印件并加盖公章或承诺中标后购买食品安全责任险，若保单或承诺中无法体现金额等得分内容的视为未提供）；</w:t>
            </w:r>
          </w:p>
        </w:tc>
        <w:tc>
          <w:tcPr>
            <w:tcW w:w="870" w:type="dxa"/>
            <w:vAlign w:val="center"/>
          </w:tcPr>
          <w:p w14:paraId="04A0F1EB">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0-2分</w:t>
            </w:r>
          </w:p>
        </w:tc>
      </w:tr>
      <w:tr w14:paraId="247F1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Merge w:val="restart"/>
            <w:vAlign w:val="center"/>
          </w:tcPr>
          <w:p w14:paraId="25D7B52F">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投标人仓储情况（5分）</w:t>
            </w:r>
          </w:p>
        </w:tc>
        <w:tc>
          <w:tcPr>
            <w:tcW w:w="6206" w:type="dxa"/>
            <w:vAlign w:val="center"/>
          </w:tcPr>
          <w:p w14:paraId="0E941E85">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（1）投标人配有冷冻库的得1分，配有冷藏库的得1分，配有常温库的得1分。（提供现场照片、照片中能反应得分项功能的）</w:t>
            </w:r>
          </w:p>
        </w:tc>
        <w:tc>
          <w:tcPr>
            <w:tcW w:w="870" w:type="dxa"/>
            <w:vAlign w:val="center"/>
          </w:tcPr>
          <w:p w14:paraId="691DB66B">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0-3分</w:t>
            </w:r>
          </w:p>
        </w:tc>
      </w:tr>
      <w:tr w14:paraId="67463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Merge w:val="continue"/>
            <w:vAlign w:val="center"/>
          </w:tcPr>
          <w:p w14:paraId="0E624BF4">
            <w:pPr>
              <w:widowControl/>
              <w:spacing w:line="360" w:lineRule="auto"/>
              <w:contextualSpacing/>
              <w:jc w:val="left"/>
              <w:rPr>
                <w:rFonts w:ascii="宋体" w:hAnsi="宋体" w:cs="宋体"/>
                <w:bCs/>
                <w:color w:val="000000"/>
                <w:kern w:val="0"/>
                <w:szCs w:val="21"/>
              </w:rPr>
            </w:pPr>
          </w:p>
        </w:tc>
        <w:tc>
          <w:tcPr>
            <w:tcW w:w="6206" w:type="dxa"/>
            <w:vAlign w:val="center"/>
          </w:tcPr>
          <w:p w14:paraId="5ECEE118">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（2）投标人仓储场所摆放合理性，对干湿区域、冻品区域、生鲜区域等区域的布局：</w:t>
            </w:r>
          </w:p>
          <w:p w14:paraId="59DBDC4A">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各存放区域相对独立的得1分，各类产品存放区域设置合理的得1分（提供现场照片、照片中能反应得分项功能的）</w:t>
            </w:r>
          </w:p>
        </w:tc>
        <w:tc>
          <w:tcPr>
            <w:tcW w:w="870" w:type="dxa"/>
            <w:vAlign w:val="center"/>
          </w:tcPr>
          <w:p w14:paraId="393D5A8D">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0-2分</w:t>
            </w:r>
          </w:p>
        </w:tc>
      </w:tr>
      <w:tr w14:paraId="14A0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Align w:val="center"/>
          </w:tcPr>
          <w:p w14:paraId="13A1457D">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投标人加工车间情况（5分）</w:t>
            </w:r>
          </w:p>
        </w:tc>
        <w:tc>
          <w:tcPr>
            <w:tcW w:w="6206" w:type="dxa"/>
            <w:vAlign w:val="center"/>
          </w:tcPr>
          <w:p w14:paraId="2DE1B33D">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加工分拣车间环境、布局及卫生条件合理性（提供现场照片、照片中能反应得分项功能的）</w:t>
            </w:r>
          </w:p>
          <w:p w14:paraId="691C0E65">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（1）具有独立的蔬菜清洗分拣区（或蔬菜粗加工区）的得1分，具有独立猪肉分割区（或肉类粗加工区）的得1分，</w:t>
            </w:r>
          </w:p>
          <w:p w14:paraId="0768BA6B">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（2）具有独立农药残留检测区的得1分，具有独立鱼类宰杀清洗区（或海鲜粗加工区））的得1分，具有独立的打包或包装或周转区的得1分</w:t>
            </w:r>
          </w:p>
        </w:tc>
        <w:tc>
          <w:tcPr>
            <w:tcW w:w="870" w:type="dxa"/>
            <w:vAlign w:val="center"/>
          </w:tcPr>
          <w:p w14:paraId="74F0F1DB">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0-5分</w:t>
            </w:r>
          </w:p>
        </w:tc>
      </w:tr>
      <w:tr w14:paraId="7D430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Merge w:val="restart"/>
            <w:vAlign w:val="center"/>
          </w:tcPr>
          <w:p w14:paraId="34A707A4">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投标人场地信息化管理（3分）</w:t>
            </w:r>
          </w:p>
        </w:tc>
        <w:tc>
          <w:tcPr>
            <w:tcW w:w="6206" w:type="dxa"/>
            <w:vAlign w:val="center"/>
          </w:tcPr>
          <w:p w14:paraId="4FC9C3D1">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（1）仓库、加工车间具有视频监控等信息化设备的得1分（提供现场照片、照片中能反应得分项功能的）</w:t>
            </w:r>
          </w:p>
        </w:tc>
        <w:tc>
          <w:tcPr>
            <w:tcW w:w="870" w:type="dxa"/>
            <w:vAlign w:val="center"/>
          </w:tcPr>
          <w:p w14:paraId="61D0BB56">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0-1分</w:t>
            </w:r>
          </w:p>
        </w:tc>
      </w:tr>
      <w:tr w14:paraId="43153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Merge w:val="continue"/>
            <w:vAlign w:val="center"/>
          </w:tcPr>
          <w:p w14:paraId="3EC9CAAF">
            <w:pPr>
              <w:widowControl/>
              <w:spacing w:line="360" w:lineRule="auto"/>
              <w:contextualSpacing/>
              <w:jc w:val="left"/>
              <w:rPr>
                <w:rFonts w:ascii="宋体" w:hAnsi="宋体" w:cs="宋体"/>
                <w:bCs/>
                <w:color w:val="000000"/>
                <w:kern w:val="0"/>
                <w:szCs w:val="21"/>
              </w:rPr>
            </w:pPr>
          </w:p>
        </w:tc>
        <w:tc>
          <w:tcPr>
            <w:tcW w:w="6206" w:type="dxa"/>
            <w:vAlign w:val="center"/>
          </w:tcPr>
          <w:p w14:paraId="284A8670">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（2）投标人仓库、加工车间具有温、湿度等控制预警系统的得2分（提供现场照片、照片中能反应得分项功能的）</w:t>
            </w:r>
          </w:p>
        </w:tc>
        <w:tc>
          <w:tcPr>
            <w:tcW w:w="870" w:type="dxa"/>
            <w:vAlign w:val="center"/>
          </w:tcPr>
          <w:p w14:paraId="423F60A8">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0-2分</w:t>
            </w:r>
          </w:p>
        </w:tc>
      </w:tr>
      <w:tr w14:paraId="694B4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Align w:val="center"/>
          </w:tcPr>
          <w:p w14:paraId="4F62100A">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投标人配套设备（3分）</w:t>
            </w:r>
          </w:p>
        </w:tc>
        <w:tc>
          <w:tcPr>
            <w:tcW w:w="6206" w:type="dxa"/>
            <w:vAlign w:val="center"/>
          </w:tcPr>
          <w:p w14:paraId="16D39EA7">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投标人自有或合作检测机构具有独立、封闭的检测室的得1分，配备专业的农药残留、肉类检测设备的得1分，各检测设备定期校准的得1分（若设备为自有则提供设备购置发票、设备配置信息及有效的校准报告，若为合作检测机构的则提供合作协议、设备配置信息及有效的校准报告）</w:t>
            </w:r>
          </w:p>
        </w:tc>
        <w:tc>
          <w:tcPr>
            <w:tcW w:w="870" w:type="dxa"/>
            <w:vAlign w:val="center"/>
          </w:tcPr>
          <w:p w14:paraId="58438410">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0-3分</w:t>
            </w:r>
          </w:p>
        </w:tc>
      </w:tr>
      <w:tr w14:paraId="6955D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Align w:val="center"/>
          </w:tcPr>
          <w:p w14:paraId="71801866">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需求理解（6分）</w:t>
            </w:r>
          </w:p>
          <w:p w14:paraId="34960043">
            <w:pPr>
              <w:widowControl/>
              <w:spacing w:line="360" w:lineRule="auto"/>
              <w:contextualSpacing/>
              <w:jc w:val="left"/>
              <w:rPr>
                <w:rFonts w:ascii="宋体" w:hAnsi="宋体" w:cs="宋体"/>
                <w:bCs/>
                <w:color w:val="000000"/>
                <w:kern w:val="0"/>
                <w:szCs w:val="21"/>
              </w:rPr>
            </w:pPr>
          </w:p>
        </w:tc>
        <w:tc>
          <w:tcPr>
            <w:tcW w:w="6206" w:type="dxa"/>
            <w:vAlign w:val="center"/>
          </w:tcPr>
          <w:p w14:paraId="42696651">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投标人对需求的理解，包括但不限于仓储、配送、运输、食品来源、重难点分析等，</w:t>
            </w:r>
          </w:p>
          <w:p w14:paraId="456EA42C">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（1）需求理解全面准确、层级分明，调研充分，服务措施具有较强的针对性，完全满足实际需求，得 6分； </w:t>
            </w:r>
          </w:p>
          <w:p w14:paraId="1203DF98">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（2）需求理解较全面、层级较分明，调研较充分，服务措施具有一定的针对性，满足实际需求，得 5分；</w:t>
            </w:r>
          </w:p>
          <w:p w14:paraId="28ABFD0A">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（3）需求理解基本全面、层级基本分明，调研基本充分，服务措施具有基本的针对性，基本满足实际需求，得 4分；</w:t>
            </w:r>
          </w:p>
          <w:p w14:paraId="3A75456C">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（4）需求理解相对欠缺，调研充分性欠缺，服务措施针对性较弱，满足部分实际需求，得 3分； </w:t>
            </w:r>
          </w:p>
          <w:p w14:paraId="5A2A35EF">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（5）提供需求分析，但不全面不充分，不具备针对性，得 1 分； </w:t>
            </w:r>
          </w:p>
          <w:p w14:paraId="69A5C1C3">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（6）未提供需求分析的，得 0 分</w:t>
            </w:r>
          </w:p>
        </w:tc>
        <w:tc>
          <w:tcPr>
            <w:tcW w:w="870" w:type="dxa"/>
            <w:vAlign w:val="center"/>
          </w:tcPr>
          <w:p w14:paraId="17E09B5D">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0-6分</w:t>
            </w:r>
          </w:p>
        </w:tc>
      </w:tr>
      <w:tr w14:paraId="4993E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Align w:val="center"/>
          </w:tcPr>
          <w:p w14:paraId="6C9326B9">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配送方案（6分）</w:t>
            </w:r>
          </w:p>
        </w:tc>
        <w:tc>
          <w:tcPr>
            <w:tcW w:w="6206" w:type="dxa"/>
            <w:vAlign w:val="center"/>
          </w:tcPr>
          <w:p w14:paraId="77D567C7">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包括各类食材的具体配送措施、运输方案、运输途中保鲜措施等，</w:t>
            </w:r>
          </w:p>
          <w:p w14:paraId="6EA7AF5F">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（1）配送措施完整合理、具有较强的针对性，运输方案合理可行，配送途中的保鲜措施合理可行，完全满足招标文件要求，得6分； </w:t>
            </w:r>
          </w:p>
          <w:p w14:paraId="13FE1CBF">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（2）配送措施较完整、方案较合理、具有一定的针对性运输方案具有一定的可行性，配送途中的保鲜措施具有一定可行性，满足招标文件要求，得 5分； </w:t>
            </w:r>
          </w:p>
          <w:p w14:paraId="6137B1E4">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（3）配送措施相对完整、方案相对合理，运输方案相对合理，配送途中的保鲜措施相对合理，符合招标文件要求，得4分； </w:t>
            </w:r>
          </w:p>
          <w:p w14:paraId="06DE8AD4">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（4）配送措施和方案完整性略有欠缺，运输方案针对性不强，，配送途中的保鲜措施略有欠缺，基本符合招标文件要求，得 3分； </w:t>
            </w:r>
          </w:p>
          <w:p w14:paraId="593062D3">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（5）提供食品配送方案，但方案不完整，不具备针对性，未提供运输途中的保鲜措施，得 1 分； </w:t>
            </w:r>
          </w:p>
          <w:p w14:paraId="09230617">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 xml:space="preserve">（6）未提供食品配送方案的，得 0 分。 </w:t>
            </w:r>
          </w:p>
        </w:tc>
        <w:tc>
          <w:tcPr>
            <w:tcW w:w="870" w:type="dxa"/>
            <w:vAlign w:val="center"/>
          </w:tcPr>
          <w:p w14:paraId="54641CFE">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0-6分</w:t>
            </w:r>
          </w:p>
        </w:tc>
      </w:tr>
      <w:tr w14:paraId="31330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Align w:val="center"/>
          </w:tcPr>
          <w:p w14:paraId="07AB2B0F">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人员配备（5分）</w:t>
            </w:r>
          </w:p>
        </w:tc>
        <w:tc>
          <w:tcPr>
            <w:tcW w:w="6206" w:type="dxa"/>
            <w:vAlign w:val="center"/>
          </w:tcPr>
          <w:p w14:paraId="46F4322B">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项目团队人员配备，配置方案、配置岗位、各岗位人员稳定性，</w:t>
            </w:r>
          </w:p>
          <w:p w14:paraId="5AAF5828">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（1）团队配置方案完整合理、人员固定、每个岗位设置专职人员，完全满足招标文件要求，得 5分； </w:t>
            </w:r>
          </w:p>
          <w:p w14:paraId="72E111E1">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（2）团队配置方案较合理、人员较固定，符合招标文件要求，得 4 分；</w:t>
            </w:r>
          </w:p>
          <w:p w14:paraId="3A4DCBBA">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（3）团队配置方案相对合理、人员相对固定，基本符合招标文件要求，得3 分；</w:t>
            </w:r>
          </w:p>
          <w:p w14:paraId="146A7C72">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（4）团队配置方案相基本合理、人员基本固定，部分符合招标文件要求，得 1 分；</w:t>
            </w:r>
          </w:p>
          <w:p w14:paraId="4C8A991F">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（5）团队配置方案不合理、人员不固定或未提供方案的，得 0 分。</w:t>
            </w:r>
          </w:p>
        </w:tc>
        <w:tc>
          <w:tcPr>
            <w:tcW w:w="870" w:type="dxa"/>
            <w:vAlign w:val="center"/>
          </w:tcPr>
          <w:p w14:paraId="44E92418">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0-5分</w:t>
            </w:r>
          </w:p>
        </w:tc>
      </w:tr>
      <w:tr w14:paraId="21893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Align w:val="center"/>
          </w:tcPr>
          <w:p w14:paraId="16364039">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配送时效（5分）</w:t>
            </w:r>
          </w:p>
          <w:p w14:paraId="42A00068">
            <w:pPr>
              <w:widowControl/>
              <w:spacing w:line="360" w:lineRule="auto"/>
              <w:contextualSpacing/>
              <w:jc w:val="left"/>
              <w:rPr>
                <w:rFonts w:ascii="宋体" w:hAnsi="宋体" w:cs="宋体"/>
                <w:bCs/>
                <w:color w:val="000000"/>
                <w:kern w:val="0"/>
                <w:szCs w:val="21"/>
              </w:rPr>
            </w:pPr>
          </w:p>
        </w:tc>
        <w:tc>
          <w:tcPr>
            <w:tcW w:w="6206" w:type="dxa"/>
            <w:vAlign w:val="center"/>
          </w:tcPr>
          <w:p w14:paraId="38F6E7D4">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配送时效，从产品订货、分拣、加工、打包、装车各节点的时间控制措施，</w:t>
            </w:r>
          </w:p>
          <w:p w14:paraId="45338EFC">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（1）对各品类产品订货、分拣、加工、打包、装车各节点时间明确、合理、科学的，完全满足招标文件要求，得5分；</w:t>
            </w:r>
          </w:p>
          <w:p w14:paraId="5ACEE449">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（2）对各品类产品订货、分拣、加工、打包、装车各节点时间基本合理、科学的，基本满足招标文件要求，得4分；</w:t>
            </w:r>
          </w:p>
          <w:p w14:paraId="0EDB7E46">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（3）对部分产品订货、分拣、加工、打包、装车各节点时间，较合理、科学的，部分满足招标文件要求，得3分；</w:t>
            </w:r>
          </w:p>
          <w:p w14:paraId="1CCF280B">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（4）对少部分产品订货、分拣、加工、打包、装车各节点时间基本合理、科学的，少部分满足招标文件要求，得1分；</w:t>
            </w:r>
          </w:p>
          <w:p w14:paraId="5DE1CE2A">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（5）未提供方案的，得 0 分。 </w:t>
            </w:r>
          </w:p>
        </w:tc>
        <w:tc>
          <w:tcPr>
            <w:tcW w:w="870" w:type="dxa"/>
            <w:vAlign w:val="center"/>
          </w:tcPr>
          <w:p w14:paraId="17CA71BF">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0-5分</w:t>
            </w:r>
          </w:p>
        </w:tc>
      </w:tr>
      <w:tr w14:paraId="76338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Merge w:val="restart"/>
            <w:vAlign w:val="center"/>
          </w:tcPr>
          <w:p w14:paraId="7912A57C">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应急保障措施（9分）</w:t>
            </w:r>
          </w:p>
        </w:tc>
        <w:tc>
          <w:tcPr>
            <w:tcW w:w="6206" w:type="dxa"/>
            <w:vAlign w:val="center"/>
          </w:tcPr>
          <w:p w14:paraId="35F3DB1E">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应急配送保障方案，对临时加单、特殊保障时期、突发事件（天气、交通、重大事件等因素）的配送保障措施，</w:t>
            </w:r>
          </w:p>
          <w:p w14:paraId="6AFFA20F">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（1）应急配送方案完整、内容详细、采购人配送30分钟范围内设立紧急配送点的，保障措施合理可行，完全满足实际需求，得5分； </w:t>
            </w:r>
          </w:p>
          <w:p w14:paraId="1768EB5F">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（2）应急配送方案较完整、内容较详细、采购人配送45分钟范围内设立紧急配送点的，保障措施具有可行性，满足实际需求，得4分； </w:t>
            </w:r>
          </w:p>
          <w:p w14:paraId="7D61F583">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（3）应急配送方案相对完整、采购人配送60分钟范围内设立配送点的，保障措施单一，基本符合实际需求，得 3分； </w:t>
            </w:r>
          </w:p>
          <w:p w14:paraId="22CF713D">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（4）提供应急方案保障，但内容存在明显缺陷，不符合实际需求，得 1 分； </w:t>
            </w:r>
          </w:p>
          <w:p w14:paraId="34F92007">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（5）未提供应急方案保障的，得 0 分。 </w:t>
            </w:r>
          </w:p>
        </w:tc>
        <w:tc>
          <w:tcPr>
            <w:tcW w:w="870" w:type="dxa"/>
            <w:vAlign w:val="center"/>
          </w:tcPr>
          <w:p w14:paraId="0AEA4EF1">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0-5分</w:t>
            </w:r>
          </w:p>
        </w:tc>
      </w:tr>
      <w:tr w14:paraId="54E37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Merge w:val="continue"/>
            <w:vAlign w:val="center"/>
          </w:tcPr>
          <w:p w14:paraId="36D78150">
            <w:pPr>
              <w:widowControl/>
              <w:spacing w:line="360" w:lineRule="auto"/>
              <w:contextualSpacing/>
              <w:jc w:val="left"/>
              <w:rPr>
                <w:rFonts w:ascii="宋体" w:hAnsi="宋体" w:cs="宋体"/>
                <w:bCs/>
                <w:color w:val="000000"/>
                <w:kern w:val="0"/>
                <w:szCs w:val="21"/>
              </w:rPr>
            </w:pPr>
          </w:p>
        </w:tc>
        <w:tc>
          <w:tcPr>
            <w:tcW w:w="6206" w:type="dxa"/>
            <w:vAlign w:val="center"/>
          </w:tcPr>
          <w:p w14:paraId="0C4ACC10">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食品中毒应急预案，对处理时效、赔偿方案、追责方式等提供预案，</w:t>
            </w:r>
          </w:p>
          <w:p w14:paraId="6F8B3DE0">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（1）预案明确处理时效、赔偿方案、追责方式的，且时效合理，除保险外提供额外赔偿并确保追责到位的，得4分；</w:t>
            </w:r>
          </w:p>
          <w:p w14:paraId="62F83CDA">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（2）预案基本明确处理时效、赔偿方案、追责方式的，时效较合理，仅提供保险对应赔偿金额的，得3分；</w:t>
            </w:r>
          </w:p>
          <w:p w14:paraId="6F017752">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（3）未提供预案或不合理的，仅提供保险对应赔偿金额的，得1分；</w:t>
            </w:r>
          </w:p>
          <w:p w14:paraId="69668C53">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 xml:space="preserve">（4）未提供预案或不合理的，未提供保险的，得 0 分。 </w:t>
            </w:r>
          </w:p>
        </w:tc>
        <w:tc>
          <w:tcPr>
            <w:tcW w:w="870" w:type="dxa"/>
            <w:vAlign w:val="center"/>
          </w:tcPr>
          <w:p w14:paraId="12559EEB">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0-4分</w:t>
            </w:r>
          </w:p>
        </w:tc>
      </w:tr>
      <w:tr w14:paraId="1BCA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0" w:type="dxa"/>
            <w:vAlign w:val="center"/>
          </w:tcPr>
          <w:p w14:paraId="185C5775">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管理制度（5分）</w:t>
            </w:r>
          </w:p>
        </w:tc>
        <w:tc>
          <w:tcPr>
            <w:tcW w:w="6206" w:type="dxa"/>
            <w:vAlign w:val="center"/>
          </w:tcPr>
          <w:p w14:paraId="30A1225F">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制度建设：包括但不限于财务制度（包含进销存台账等）、食品安全培训制度、从业人员健康管理制度、内控制度等，</w:t>
            </w:r>
          </w:p>
          <w:p w14:paraId="27463AA1">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（1）各项制度制定全面、有效、可实施的，完全满足实际需求，得5 分；</w:t>
            </w:r>
          </w:p>
          <w:p w14:paraId="5A9FD315">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（2）各项制度制定较全面、有效、可实施的，满足实际需求，得3 分；</w:t>
            </w:r>
          </w:p>
          <w:p w14:paraId="7AA6BD1A">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（3）各项制度制定相对全面、有效、可实施的，基本符合实际需求，得2 分；</w:t>
            </w:r>
          </w:p>
          <w:p w14:paraId="26B298FF">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（4）制定部分制度，部分可行，部分符合实际需求的，得1分；</w:t>
            </w:r>
          </w:p>
          <w:p w14:paraId="4070BAFB">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（5）未提供上述制度的，得0分</w:t>
            </w:r>
          </w:p>
        </w:tc>
        <w:tc>
          <w:tcPr>
            <w:tcW w:w="870" w:type="dxa"/>
            <w:vAlign w:val="center"/>
          </w:tcPr>
          <w:p w14:paraId="30023F08">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0-5分</w:t>
            </w:r>
          </w:p>
        </w:tc>
      </w:tr>
      <w:tr w14:paraId="0775D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1520" w:type="dxa"/>
            <w:vMerge w:val="restart"/>
            <w:vAlign w:val="center"/>
          </w:tcPr>
          <w:p w14:paraId="2CDEEA05">
            <w:pPr>
              <w:widowControl/>
              <w:contextualSpacing/>
              <w:rPr>
                <w:rFonts w:ascii="宋体" w:hAnsi="宋体" w:cs="宋体"/>
                <w:bCs/>
                <w:color w:val="000000"/>
                <w:kern w:val="0"/>
                <w:szCs w:val="21"/>
              </w:rPr>
            </w:pPr>
            <w:r>
              <w:rPr>
                <w:rFonts w:hint="eastAsia" w:ascii="宋体" w:hAnsi="宋体" w:cs="宋体"/>
                <w:bCs/>
                <w:color w:val="000000"/>
                <w:kern w:val="0"/>
                <w:szCs w:val="21"/>
              </w:rPr>
              <w:t>售后服务（7分）</w:t>
            </w:r>
          </w:p>
        </w:tc>
        <w:tc>
          <w:tcPr>
            <w:tcW w:w="6206" w:type="dxa"/>
            <w:vAlign w:val="center"/>
          </w:tcPr>
          <w:p w14:paraId="18CDB6EA">
            <w:pPr>
              <w:widowControl/>
              <w:contextualSpacing/>
              <w:rPr>
                <w:rFonts w:ascii="宋体" w:hAnsi="宋体" w:cs="宋体"/>
                <w:bCs/>
                <w:color w:val="000000"/>
                <w:kern w:val="0"/>
                <w:szCs w:val="21"/>
              </w:rPr>
            </w:pPr>
            <w:r>
              <w:rPr>
                <w:rFonts w:hint="eastAsia" w:ascii="宋体" w:hAnsi="宋体" w:cs="宋体"/>
                <w:bCs/>
                <w:color w:val="000000"/>
                <w:kern w:val="0"/>
                <w:szCs w:val="21"/>
              </w:rPr>
              <w:t>售后服务方案，对产品剩余质保期、货品质量（召回、补货、退货、换货）的服务方案，</w:t>
            </w:r>
          </w:p>
          <w:p w14:paraId="5D89B996">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（1）投标人所供商品剩余质保期、货品质量（召回、补货、退货、换货）问题提供合理的相应补偿措施，完全满足采购需求，得5 分；</w:t>
            </w:r>
          </w:p>
          <w:p w14:paraId="71BCCF7B">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（2）投标人所供商品剩余质保期、货品质量问题（召回、补货、退货、换货）提供基本可实施的补偿措施，满足采购需求，得 3分</w:t>
            </w:r>
          </w:p>
          <w:p w14:paraId="6980A05D">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（3）投标人所供商品剩余质保期、货品质量问题（召回、补货、退货、换货）提供简单的补偿措施，基本符合采购需求，得2分</w:t>
            </w:r>
          </w:p>
          <w:p w14:paraId="5BAD0219">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（4）投标人所供商品剩余质保期、货品质量问题（召回、补货、退货、换货）提供简单的补偿措施不全面，部分符合采购需求，得1分</w:t>
            </w:r>
          </w:p>
          <w:p w14:paraId="7EF101F2">
            <w:pPr>
              <w:widowControl/>
              <w:spacing w:line="360" w:lineRule="auto"/>
              <w:contextualSpacing/>
              <w:rPr>
                <w:rFonts w:ascii="宋体" w:hAnsi="宋体" w:cs="宋体"/>
                <w:bCs/>
                <w:color w:val="000000"/>
                <w:kern w:val="0"/>
                <w:szCs w:val="21"/>
              </w:rPr>
            </w:pPr>
            <w:r>
              <w:rPr>
                <w:rFonts w:hint="eastAsia" w:ascii="宋体" w:hAnsi="宋体" w:cs="宋体"/>
                <w:bCs/>
                <w:color w:val="000000"/>
                <w:kern w:val="0"/>
                <w:szCs w:val="21"/>
              </w:rPr>
              <w:t>（5）未提供售后服务方案的，得0分</w:t>
            </w:r>
          </w:p>
        </w:tc>
        <w:tc>
          <w:tcPr>
            <w:tcW w:w="870" w:type="dxa"/>
            <w:vAlign w:val="center"/>
          </w:tcPr>
          <w:p w14:paraId="53792F1C">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0-5分</w:t>
            </w:r>
          </w:p>
        </w:tc>
      </w:tr>
      <w:tr w14:paraId="0A102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1520" w:type="dxa"/>
            <w:vMerge w:val="continue"/>
            <w:vAlign w:val="center"/>
          </w:tcPr>
          <w:p w14:paraId="4F510C83">
            <w:pPr>
              <w:widowControl/>
              <w:spacing w:line="360" w:lineRule="auto"/>
              <w:contextualSpacing/>
              <w:jc w:val="left"/>
              <w:rPr>
                <w:rFonts w:ascii="宋体" w:hAnsi="宋体" w:cs="宋体"/>
                <w:bCs/>
                <w:color w:val="000000"/>
                <w:kern w:val="0"/>
                <w:szCs w:val="21"/>
              </w:rPr>
            </w:pPr>
          </w:p>
        </w:tc>
        <w:tc>
          <w:tcPr>
            <w:tcW w:w="6206" w:type="dxa"/>
            <w:vAlign w:val="center"/>
          </w:tcPr>
          <w:p w14:paraId="53909C20">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承诺</w:t>
            </w:r>
          </w:p>
          <w:p w14:paraId="34E1CEFB">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补货、退货、换货响应送到时间优于采购需求的，承诺1小时内得2分；1个半小时内得1分；2个小时内（不含2小时）的得0.5分，其余不得分。（承诺书格式自拟，提供单独承诺否则不得分）</w:t>
            </w:r>
          </w:p>
        </w:tc>
        <w:tc>
          <w:tcPr>
            <w:tcW w:w="870" w:type="dxa"/>
            <w:vAlign w:val="center"/>
          </w:tcPr>
          <w:p w14:paraId="76F9EB6E">
            <w:pPr>
              <w:widowControl/>
              <w:spacing w:line="360" w:lineRule="auto"/>
              <w:contextualSpacing/>
              <w:jc w:val="left"/>
              <w:rPr>
                <w:rFonts w:ascii="宋体" w:hAnsi="宋体" w:cs="宋体"/>
                <w:bCs/>
                <w:color w:val="000000"/>
                <w:kern w:val="0"/>
                <w:szCs w:val="21"/>
              </w:rPr>
            </w:pPr>
            <w:r>
              <w:rPr>
                <w:rFonts w:hint="eastAsia" w:ascii="宋体" w:hAnsi="宋体" w:cs="宋体"/>
                <w:bCs/>
                <w:color w:val="000000"/>
                <w:kern w:val="0"/>
                <w:szCs w:val="21"/>
              </w:rPr>
              <w:t>0-2</w:t>
            </w:r>
          </w:p>
        </w:tc>
      </w:tr>
    </w:tbl>
    <w:p w14:paraId="66242F05">
      <w:pPr>
        <w:pStyle w:val="58"/>
        <w:spacing w:line="360" w:lineRule="auto"/>
      </w:pPr>
    </w:p>
    <w:p w14:paraId="67289C32">
      <w:pPr>
        <w:pStyle w:val="58"/>
        <w:spacing w:line="360" w:lineRule="auto"/>
        <w:rPr>
          <w:rFonts w:hint="eastAsia"/>
        </w:rPr>
      </w:pPr>
      <w:r>
        <w:rPr>
          <w:rFonts w:hint="eastAsia"/>
        </w:rPr>
        <w:t>注：评标委员会独立打分，保留小数点后2位小数，所有有效评分的平均分作为对应投标人的技术资信得分。</w:t>
      </w:r>
    </w:p>
    <w:p w14:paraId="6F54D786">
      <w:pPr>
        <w:pStyle w:val="58"/>
        <w:spacing w:line="360" w:lineRule="auto"/>
        <w:rPr>
          <w:rFonts w:hint="eastAsia"/>
        </w:rPr>
      </w:pPr>
    </w:p>
    <w:p w14:paraId="419A9DBC">
      <w:pPr>
        <w:pStyle w:val="79"/>
        <w:rPr>
          <w:rFonts w:ascii="宋体" w:eastAsia="宋体"/>
        </w:rPr>
      </w:pPr>
      <w:r>
        <w:rPr>
          <w:rStyle w:val="132"/>
          <w:rFonts w:hint="eastAsia" w:ascii="宋体" w:eastAsia="宋体" w:cs="微软雅黑"/>
          <w:b w:val="0"/>
        </w:rPr>
        <w:t>第五章  政府采购合同</w:t>
      </w:r>
      <w:bookmarkEnd w:id="253"/>
      <w:bookmarkEnd w:id="254"/>
      <w:bookmarkEnd w:id="255"/>
      <w:bookmarkEnd w:id="256"/>
      <w:r>
        <w:rPr>
          <w:rStyle w:val="132"/>
          <w:rFonts w:hint="eastAsia" w:ascii="宋体" w:eastAsia="宋体" w:cs="微软雅黑"/>
          <w:b w:val="0"/>
        </w:rPr>
        <w:t>（参考）</w:t>
      </w:r>
    </w:p>
    <w:p w14:paraId="288030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kern w:val="0"/>
          <w:sz w:val="24"/>
        </w:rPr>
      </w:pPr>
    </w:p>
    <w:p w14:paraId="3678537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项目名称：浙江省嘉兴支队经济技术开发区消防救援大队2024-2025年度食堂大宗物品配送采购项目</w:t>
      </w:r>
    </w:p>
    <w:p w14:paraId="3F782F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 xml:space="preserve">项目编号： </w:t>
      </w:r>
      <w:r>
        <w:rPr>
          <w:rFonts w:hint="eastAsia" w:ascii="宋体" w:hAnsi="宋体" w:cs="宋体"/>
          <w:b/>
          <w:szCs w:val="21"/>
        </w:rPr>
        <w:t xml:space="preserve"> </w:t>
      </w:r>
    </w:p>
    <w:p w14:paraId="356221BB">
      <w:pPr>
        <w:pStyle w:val="8"/>
        <w:shd w:val="clear" w:color="auto" w:fill="FFFFFF"/>
        <w:spacing w:line="360" w:lineRule="auto"/>
        <w:ind w:firstLineChars="200"/>
        <w:jc w:val="left"/>
        <w:rPr>
          <w:rFonts w:ascii="宋体" w:hAnsi="宋体" w:cs="宋体"/>
          <w:kern w:val="0"/>
          <w:szCs w:val="21"/>
        </w:rPr>
      </w:pPr>
      <w:r>
        <w:rPr>
          <w:rFonts w:hint="eastAsia" w:ascii="宋体" w:hAnsi="宋体" w:cs="宋体"/>
          <w:szCs w:val="21"/>
        </w:rPr>
        <w:t>合同编号：</w:t>
      </w:r>
    </w:p>
    <w:p w14:paraId="1BFA44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采购人（以下称甲方）：</w:t>
      </w:r>
    </w:p>
    <w:p w14:paraId="698625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供应商（以下称乙方）：</w:t>
      </w:r>
    </w:p>
    <w:p w14:paraId="6C0CC5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预算金额：180.5万元</w:t>
      </w:r>
    </w:p>
    <w:p w14:paraId="324103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采购代理机构：</w:t>
      </w:r>
    </w:p>
    <w:p w14:paraId="691F5C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采购方式：公开招标</w:t>
      </w:r>
    </w:p>
    <w:p w14:paraId="73EAC21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根据《中华人民共和国政府采购法》、《中华人民共和国民法典》等法律法规的规定，甲乙双方按照</w:t>
      </w:r>
      <w:r>
        <w:rPr>
          <w:rFonts w:hint="eastAsia" w:ascii="宋体" w:hAnsi="宋体" w:cs="宋体"/>
          <w:kern w:val="0"/>
          <w:szCs w:val="21"/>
          <w:u w:val="single"/>
        </w:rPr>
        <w:t xml:space="preserve">  浙江省嘉兴支队经济技术开发区消防救援大队2024-2025年度食堂大宗物品配送采购项目  </w:t>
      </w:r>
      <w:r>
        <w:rPr>
          <w:rFonts w:hint="eastAsia" w:ascii="宋体" w:hAnsi="宋体" w:cs="宋体"/>
          <w:kern w:val="0"/>
          <w:szCs w:val="21"/>
        </w:rPr>
        <w:t>结果签订本合同。</w:t>
      </w:r>
    </w:p>
    <w:p w14:paraId="38C31B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kern w:val="0"/>
          <w:szCs w:val="21"/>
        </w:rPr>
      </w:pPr>
      <w:r>
        <w:rPr>
          <w:rFonts w:hint="eastAsia" w:ascii="宋体" w:hAnsi="宋体" w:cs="宋体"/>
          <w:b/>
          <w:kern w:val="0"/>
          <w:szCs w:val="21"/>
        </w:rPr>
        <w:t>第一条 合同组成</w:t>
      </w:r>
    </w:p>
    <w:p w14:paraId="2171F2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本次政府采购活动的相关文件为本合同的组成部分，这些文件包括但不限于：</w:t>
      </w:r>
    </w:p>
    <w:p w14:paraId="782391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（1）本合同文本；</w:t>
      </w:r>
    </w:p>
    <w:p w14:paraId="6A5FFB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（2）采购文件与采购响应文件；</w:t>
      </w:r>
    </w:p>
    <w:p w14:paraId="636AD7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（3）中标或成交通知书；</w:t>
      </w:r>
    </w:p>
    <w:p w14:paraId="0B4E6F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组成本合同的所有文件必须为书面形式。</w:t>
      </w:r>
    </w:p>
    <w:p w14:paraId="22ABFA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kern w:val="0"/>
          <w:szCs w:val="21"/>
        </w:rPr>
      </w:pPr>
      <w:r>
        <w:rPr>
          <w:rFonts w:hint="eastAsia" w:ascii="宋体" w:hAnsi="宋体" w:cs="宋体"/>
          <w:b/>
          <w:kern w:val="0"/>
          <w:szCs w:val="21"/>
        </w:rPr>
        <w:t>第二条 合同标的与相关属性</w:t>
      </w:r>
    </w:p>
    <w:p w14:paraId="130ADC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szCs w:val="21"/>
          <w:u w:val="single"/>
        </w:rPr>
      </w:pPr>
      <w:r>
        <w:rPr>
          <w:rFonts w:hint="eastAsia" w:ascii="宋体" w:hAnsi="宋体" w:cs="宋体"/>
          <w:kern w:val="0"/>
          <w:szCs w:val="21"/>
        </w:rPr>
        <w:t>1、本次采购的是</w:t>
      </w:r>
      <w:r>
        <w:rPr>
          <w:rFonts w:hint="eastAsia" w:ascii="宋体" w:hAnsi="宋体" w:cs="宋体"/>
          <w:kern w:val="0"/>
          <w:szCs w:val="21"/>
          <w:u w:val="single"/>
        </w:rPr>
        <w:t xml:space="preserve">  浙江省嘉兴支队经济技术开发区消防救援大队2024-2025年度食堂大宗物品配送采购项目  </w:t>
      </w:r>
      <w:r>
        <w:rPr>
          <w:rFonts w:hint="eastAsia" w:ascii="宋体" w:hAnsi="宋体" w:cs="宋体"/>
          <w:szCs w:val="21"/>
          <w:u w:val="single"/>
        </w:rPr>
        <w:t>。</w:t>
      </w:r>
    </w:p>
    <w:p w14:paraId="08A58D7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2、乙方是否属于小微企业：</w:t>
      </w:r>
      <w:r>
        <w:rPr>
          <w:rFonts w:hint="eastAsia" w:ascii="宋体" w:hAnsi="宋体" w:cs="宋体"/>
          <w:kern w:val="0"/>
          <w:szCs w:val="21"/>
          <w:lang w:eastAsia="zh-CN"/>
        </w:rPr>
        <w:t>□</w:t>
      </w:r>
      <w:r>
        <w:rPr>
          <w:rFonts w:hint="eastAsia" w:ascii="宋体" w:hAnsi="宋体" w:cs="宋体"/>
          <w:kern w:val="0"/>
          <w:szCs w:val="21"/>
        </w:rPr>
        <w:t>是  □否</w:t>
      </w:r>
    </w:p>
    <w:p w14:paraId="235F735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kern w:val="0"/>
          <w:szCs w:val="21"/>
        </w:rPr>
      </w:pPr>
      <w:r>
        <w:rPr>
          <w:rFonts w:hint="eastAsia" w:ascii="宋体" w:hAnsi="宋体" w:cs="宋体"/>
          <w:b/>
          <w:kern w:val="0"/>
          <w:szCs w:val="21"/>
        </w:rPr>
        <w:t>第三条 合同价款</w:t>
      </w:r>
    </w:p>
    <w:p w14:paraId="163DAD2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p>
    <w:p w14:paraId="713D06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p>
    <w:p w14:paraId="5BC3B3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p>
    <w:p w14:paraId="2F546B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p>
    <w:p w14:paraId="6D2E2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1、本合同项下报价，分项价款见“价格清单”。</w:t>
      </w:r>
    </w:p>
    <w:tbl>
      <w:tblPr>
        <w:tblStyle w:val="47"/>
        <w:tblW w:w="85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09"/>
        <w:gridCol w:w="2600"/>
        <w:gridCol w:w="4520"/>
      </w:tblGrid>
      <w:tr w14:paraId="2BC3F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jc w:val="center"/>
        </w:trPr>
        <w:tc>
          <w:tcPr>
            <w:tcW w:w="1409" w:type="dxa"/>
          </w:tcPr>
          <w:p w14:paraId="63F61705">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序号</w:t>
            </w:r>
          </w:p>
        </w:tc>
        <w:tc>
          <w:tcPr>
            <w:tcW w:w="2600" w:type="dxa"/>
          </w:tcPr>
          <w:p w14:paraId="3105EAA9">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品类</w:t>
            </w:r>
          </w:p>
        </w:tc>
        <w:tc>
          <w:tcPr>
            <w:tcW w:w="4520" w:type="dxa"/>
          </w:tcPr>
          <w:p w14:paraId="71A06B93">
            <w:pPr>
              <w:widowControl/>
              <w:kinsoku w:val="0"/>
              <w:autoSpaceDE w:val="0"/>
              <w:autoSpaceDN w:val="0"/>
              <w:adjustRightInd w:val="0"/>
              <w:snapToGrid w:val="0"/>
              <w:spacing w:beforeLines="50" w:afterLines="50" w:line="360" w:lineRule="auto"/>
              <w:ind w:firstLine="420" w:firstLineChars="200"/>
              <w:jc w:val="center"/>
              <w:textAlignment w:val="baseline"/>
              <w:rPr>
                <w:rFonts w:ascii="宋体" w:hAnsi="宋体" w:cs="宋体"/>
                <w:szCs w:val="21"/>
              </w:rPr>
            </w:pPr>
            <w:r>
              <w:rPr>
                <w:rFonts w:hint="eastAsia" w:ascii="宋体" w:hAnsi="宋体" w:cs="宋体"/>
                <w:szCs w:val="21"/>
                <w:highlight w:val="green"/>
                <w:lang w:val="en-US" w:eastAsia="zh-CN"/>
              </w:rPr>
              <w:t>折扣</w:t>
            </w:r>
            <w:r>
              <w:rPr>
                <w:rFonts w:hint="eastAsia" w:ascii="宋体" w:hAnsi="宋体" w:cs="宋体"/>
                <w:szCs w:val="21"/>
                <w:highlight w:val="green"/>
              </w:rPr>
              <w:t>率</w:t>
            </w:r>
            <w:r>
              <w:rPr>
                <w:rFonts w:hint="eastAsia" w:ascii="宋体" w:hAnsi="宋体" w:cs="宋体"/>
                <w:szCs w:val="21"/>
              </w:rPr>
              <w:t>（%）</w:t>
            </w:r>
          </w:p>
        </w:tc>
      </w:tr>
      <w:tr w14:paraId="1167F5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1409" w:type="dxa"/>
            <w:vAlign w:val="center"/>
          </w:tcPr>
          <w:p w14:paraId="0CFBDA34">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1</w:t>
            </w:r>
          </w:p>
        </w:tc>
        <w:tc>
          <w:tcPr>
            <w:tcW w:w="2600" w:type="dxa"/>
            <w:vAlign w:val="center"/>
          </w:tcPr>
          <w:p w14:paraId="0486CC43">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蔬菜类</w:t>
            </w:r>
          </w:p>
        </w:tc>
        <w:tc>
          <w:tcPr>
            <w:tcW w:w="4520" w:type="dxa"/>
          </w:tcPr>
          <w:p w14:paraId="624A1909">
            <w:pPr>
              <w:widowControl/>
              <w:kinsoku w:val="0"/>
              <w:autoSpaceDE w:val="0"/>
              <w:autoSpaceDN w:val="0"/>
              <w:adjustRightInd w:val="0"/>
              <w:snapToGrid w:val="0"/>
              <w:spacing w:beforeLines="50" w:afterLines="50" w:line="360" w:lineRule="auto"/>
              <w:ind w:firstLine="218" w:firstLineChars="104"/>
              <w:jc w:val="left"/>
              <w:textAlignment w:val="baseline"/>
              <w:rPr>
                <w:rFonts w:ascii="宋体" w:hAnsi="宋体" w:cs="宋体"/>
                <w:szCs w:val="21"/>
              </w:rPr>
            </w:pPr>
            <w:r>
              <w:rPr>
                <w:rFonts w:hint="eastAsia" w:ascii="宋体" w:hAnsi="宋体" w:cs="宋体"/>
                <w:szCs w:val="21"/>
              </w:rPr>
              <w:t xml:space="preserve"> </w:t>
            </w:r>
          </w:p>
        </w:tc>
      </w:tr>
      <w:tr w14:paraId="5C2C80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1409" w:type="dxa"/>
            <w:vAlign w:val="center"/>
          </w:tcPr>
          <w:p w14:paraId="3C137FE0">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2</w:t>
            </w:r>
          </w:p>
        </w:tc>
        <w:tc>
          <w:tcPr>
            <w:tcW w:w="2600" w:type="dxa"/>
            <w:vAlign w:val="center"/>
          </w:tcPr>
          <w:p w14:paraId="2AC20ECB">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饮品类</w:t>
            </w:r>
          </w:p>
        </w:tc>
        <w:tc>
          <w:tcPr>
            <w:tcW w:w="4520" w:type="dxa"/>
          </w:tcPr>
          <w:p w14:paraId="2CB920BE">
            <w:pPr>
              <w:widowControl/>
              <w:kinsoku w:val="0"/>
              <w:autoSpaceDE w:val="0"/>
              <w:autoSpaceDN w:val="0"/>
              <w:adjustRightInd w:val="0"/>
              <w:snapToGrid w:val="0"/>
              <w:spacing w:beforeLines="50" w:afterLines="50" w:line="360" w:lineRule="auto"/>
              <w:ind w:firstLine="218" w:firstLineChars="104"/>
              <w:jc w:val="left"/>
              <w:textAlignment w:val="baseline"/>
              <w:rPr>
                <w:rFonts w:ascii="宋体" w:hAnsi="宋体" w:cs="宋体"/>
                <w:szCs w:val="21"/>
              </w:rPr>
            </w:pPr>
            <w:r>
              <w:rPr>
                <w:rFonts w:hint="eastAsia" w:ascii="宋体" w:hAnsi="宋体" w:cs="宋体"/>
                <w:szCs w:val="21"/>
              </w:rPr>
              <w:t xml:space="preserve"> </w:t>
            </w:r>
          </w:p>
        </w:tc>
      </w:tr>
      <w:tr w14:paraId="5BB17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1409" w:type="dxa"/>
            <w:vAlign w:val="center"/>
          </w:tcPr>
          <w:p w14:paraId="5985E49C">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3</w:t>
            </w:r>
          </w:p>
        </w:tc>
        <w:tc>
          <w:tcPr>
            <w:tcW w:w="2600" w:type="dxa"/>
            <w:vAlign w:val="center"/>
          </w:tcPr>
          <w:p w14:paraId="7948BF0E">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肉类</w:t>
            </w:r>
          </w:p>
        </w:tc>
        <w:tc>
          <w:tcPr>
            <w:tcW w:w="4520" w:type="dxa"/>
          </w:tcPr>
          <w:p w14:paraId="44BB6D87">
            <w:pPr>
              <w:widowControl/>
              <w:kinsoku w:val="0"/>
              <w:autoSpaceDE w:val="0"/>
              <w:autoSpaceDN w:val="0"/>
              <w:adjustRightInd w:val="0"/>
              <w:snapToGrid w:val="0"/>
              <w:spacing w:beforeLines="50" w:afterLines="50" w:line="360" w:lineRule="auto"/>
              <w:ind w:firstLine="218" w:firstLineChars="104"/>
              <w:jc w:val="left"/>
              <w:textAlignment w:val="baseline"/>
              <w:rPr>
                <w:rFonts w:ascii="宋体" w:hAnsi="宋体" w:cs="宋体"/>
                <w:szCs w:val="21"/>
              </w:rPr>
            </w:pPr>
          </w:p>
        </w:tc>
      </w:tr>
      <w:tr w14:paraId="128A15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1409" w:type="dxa"/>
            <w:vAlign w:val="center"/>
          </w:tcPr>
          <w:p w14:paraId="32591F03">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4</w:t>
            </w:r>
          </w:p>
        </w:tc>
        <w:tc>
          <w:tcPr>
            <w:tcW w:w="2600" w:type="dxa"/>
            <w:vAlign w:val="center"/>
          </w:tcPr>
          <w:p w14:paraId="1F763A0B">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冷冻食品类</w:t>
            </w:r>
          </w:p>
        </w:tc>
        <w:tc>
          <w:tcPr>
            <w:tcW w:w="4520" w:type="dxa"/>
          </w:tcPr>
          <w:p w14:paraId="15F10871">
            <w:pPr>
              <w:widowControl/>
              <w:kinsoku w:val="0"/>
              <w:autoSpaceDE w:val="0"/>
              <w:autoSpaceDN w:val="0"/>
              <w:adjustRightInd w:val="0"/>
              <w:snapToGrid w:val="0"/>
              <w:spacing w:beforeLines="50" w:afterLines="50" w:line="360" w:lineRule="auto"/>
              <w:ind w:firstLine="218" w:firstLineChars="104"/>
              <w:jc w:val="left"/>
              <w:textAlignment w:val="baseline"/>
              <w:rPr>
                <w:rFonts w:ascii="宋体" w:hAnsi="宋体" w:cs="宋体"/>
                <w:szCs w:val="21"/>
              </w:rPr>
            </w:pPr>
          </w:p>
        </w:tc>
      </w:tr>
      <w:tr w14:paraId="136624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1409" w:type="dxa"/>
            <w:vAlign w:val="center"/>
          </w:tcPr>
          <w:p w14:paraId="439F0A14">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5</w:t>
            </w:r>
          </w:p>
        </w:tc>
        <w:tc>
          <w:tcPr>
            <w:tcW w:w="2600" w:type="dxa"/>
            <w:vAlign w:val="center"/>
          </w:tcPr>
          <w:p w14:paraId="4023FB94">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干货类</w:t>
            </w:r>
          </w:p>
        </w:tc>
        <w:tc>
          <w:tcPr>
            <w:tcW w:w="4520" w:type="dxa"/>
          </w:tcPr>
          <w:p w14:paraId="293811C8">
            <w:pPr>
              <w:widowControl/>
              <w:kinsoku w:val="0"/>
              <w:autoSpaceDE w:val="0"/>
              <w:autoSpaceDN w:val="0"/>
              <w:adjustRightInd w:val="0"/>
              <w:snapToGrid w:val="0"/>
              <w:spacing w:beforeLines="50" w:afterLines="50" w:line="360" w:lineRule="auto"/>
              <w:ind w:firstLine="218" w:firstLineChars="104"/>
              <w:jc w:val="left"/>
              <w:textAlignment w:val="baseline"/>
              <w:rPr>
                <w:rFonts w:ascii="宋体" w:hAnsi="宋体" w:cs="宋体"/>
                <w:szCs w:val="21"/>
              </w:rPr>
            </w:pPr>
            <w:r>
              <w:rPr>
                <w:rFonts w:hint="eastAsia" w:ascii="宋体" w:hAnsi="宋体" w:cs="宋体"/>
                <w:szCs w:val="21"/>
              </w:rPr>
              <w:t xml:space="preserve"> </w:t>
            </w:r>
          </w:p>
        </w:tc>
      </w:tr>
      <w:tr w14:paraId="70042D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1409" w:type="dxa"/>
            <w:vAlign w:val="center"/>
          </w:tcPr>
          <w:p w14:paraId="6692B7E0">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6</w:t>
            </w:r>
          </w:p>
        </w:tc>
        <w:tc>
          <w:tcPr>
            <w:tcW w:w="2600" w:type="dxa"/>
            <w:vAlign w:val="center"/>
          </w:tcPr>
          <w:p w14:paraId="0239F1FB">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豆制品类</w:t>
            </w:r>
          </w:p>
        </w:tc>
        <w:tc>
          <w:tcPr>
            <w:tcW w:w="4520" w:type="dxa"/>
          </w:tcPr>
          <w:p w14:paraId="4A1BAC0E">
            <w:pPr>
              <w:widowControl/>
              <w:kinsoku w:val="0"/>
              <w:autoSpaceDE w:val="0"/>
              <w:autoSpaceDN w:val="0"/>
              <w:adjustRightInd w:val="0"/>
              <w:snapToGrid w:val="0"/>
              <w:spacing w:beforeLines="50" w:afterLines="50" w:line="360" w:lineRule="auto"/>
              <w:ind w:firstLine="218" w:firstLineChars="104"/>
              <w:jc w:val="left"/>
              <w:textAlignment w:val="baseline"/>
              <w:rPr>
                <w:rFonts w:ascii="宋体" w:hAnsi="宋体" w:cs="宋体"/>
                <w:szCs w:val="21"/>
              </w:rPr>
            </w:pPr>
            <w:r>
              <w:rPr>
                <w:rFonts w:hint="eastAsia" w:ascii="宋体" w:hAnsi="宋体" w:cs="宋体"/>
                <w:szCs w:val="21"/>
              </w:rPr>
              <w:t xml:space="preserve"> </w:t>
            </w:r>
          </w:p>
        </w:tc>
      </w:tr>
      <w:tr w14:paraId="3F02A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1409" w:type="dxa"/>
            <w:vAlign w:val="center"/>
          </w:tcPr>
          <w:p w14:paraId="704AD39C">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7</w:t>
            </w:r>
          </w:p>
        </w:tc>
        <w:tc>
          <w:tcPr>
            <w:tcW w:w="2600" w:type="dxa"/>
            <w:vAlign w:val="center"/>
          </w:tcPr>
          <w:p w14:paraId="11E0358B">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highlight w:val="green"/>
              </w:rPr>
              <w:t>水产品类</w:t>
            </w:r>
          </w:p>
        </w:tc>
        <w:tc>
          <w:tcPr>
            <w:tcW w:w="4520" w:type="dxa"/>
          </w:tcPr>
          <w:p w14:paraId="522FD7C2">
            <w:pPr>
              <w:widowControl/>
              <w:kinsoku w:val="0"/>
              <w:autoSpaceDE w:val="0"/>
              <w:autoSpaceDN w:val="0"/>
              <w:adjustRightInd w:val="0"/>
              <w:snapToGrid w:val="0"/>
              <w:spacing w:beforeLines="50" w:afterLines="50" w:line="360" w:lineRule="auto"/>
              <w:ind w:firstLine="218" w:firstLineChars="104"/>
              <w:jc w:val="left"/>
              <w:textAlignment w:val="baseline"/>
              <w:rPr>
                <w:rFonts w:ascii="宋体" w:hAnsi="宋体" w:cs="宋体"/>
                <w:szCs w:val="21"/>
              </w:rPr>
            </w:pPr>
            <w:r>
              <w:rPr>
                <w:rFonts w:hint="eastAsia" w:ascii="宋体" w:hAnsi="宋体" w:cs="宋体"/>
                <w:szCs w:val="21"/>
              </w:rPr>
              <w:t xml:space="preserve"> </w:t>
            </w:r>
          </w:p>
        </w:tc>
      </w:tr>
      <w:tr w14:paraId="0FC482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1409" w:type="dxa"/>
            <w:vAlign w:val="center"/>
          </w:tcPr>
          <w:p w14:paraId="11E486BF">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8</w:t>
            </w:r>
          </w:p>
        </w:tc>
        <w:tc>
          <w:tcPr>
            <w:tcW w:w="2600" w:type="dxa"/>
            <w:vAlign w:val="center"/>
          </w:tcPr>
          <w:p w14:paraId="64178A5C">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禽蛋类</w:t>
            </w:r>
          </w:p>
        </w:tc>
        <w:tc>
          <w:tcPr>
            <w:tcW w:w="4520" w:type="dxa"/>
          </w:tcPr>
          <w:p w14:paraId="23417244">
            <w:pPr>
              <w:widowControl/>
              <w:kinsoku w:val="0"/>
              <w:autoSpaceDE w:val="0"/>
              <w:autoSpaceDN w:val="0"/>
              <w:adjustRightInd w:val="0"/>
              <w:snapToGrid w:val="0"/>
              <w:spacing w:beforeLines="50" w:afterLines="50" w:line="360" w:lineRule="auto"/>
              <w:ind w:firstLine="218" w:firstLineChars="104"/>
              <w:jc w:val="left"/>
              <w:textAlignment w:val="baseline"/>
              <w:rPr>
                <w:rFonts w:ascii="宋体" w:hAnsi="宋体" w:cs="宋体"/>
                <w:szCs w:val="21"/>
              </w:rPr>
            </w:pPr>
            <w:r>
              <w:rPr>
                <w:rFonts w:hint="eastAsia" w:ascii="宋体" w:hAnsi="宋体" w:cs="宋体"/>
                <w:szCs w:val="21"/>
              </w:rPr>
              <w:t xml:space="preserve"> </w:t>
            </w:r>
          </w:p>
        </w:tc>
      </w:tr>
      <w:tr w14:paraId="72BC0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1409" w:type="dxa"/>
            <w:vAlign w:val="center"/>
          </w:tcPr>
          <w:p w14:paraId="50E3D5C2">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9</w:t>
            </w:r>
          </w:p>
        </w:tc>
        <w:tc>
          <w:tcPr>
            <w:tcW w:w="2600" w:type="dxa"/>
            <w:vAlign w:val="center"/>
          </w:tcPr>
          <w:p w14:paraId="69EA76F8">
            <w:pPr>
              <w:widowControl/>
              <w:kinsoku w:val="0"/>
              <w:autoSpaceDE w:val="0"/>
              <w:autoSpaceDN w:val="0"/>
              <w:adjustRightInd w:val="0"/>
              <w:snapToGrid w:val="0"/>
              <w:spacing w:beforeLines="50" w:afterLines="50" w:line="360" w:lineRule="auto"/>
              <w:jc w:val="center"/>
              <w:textAlignment w:val="baseline"/>
              <w:rPr>
                <w:rFonts w:ascii="宋体" w:hAnsi="宋体" w:cs="宋体"/>
                <w:szCs w:val="21"/>
              </w:rPr>
            </w:pPr>
            <w:r>
              <w:rPr>
                <w:rFonts w:hint="eastAsia" w:ascii="宋体" w:hAnsi="宋体" w:cs="宋体"/>
                <w:szCs w:val="21"/>
              </w:rPr>
              <w:t>其他类</w:t>
            </w:r>
          </w:p>
        </w:tc>
        <w:tc>
          <w:tcPr>
            <w:tcW w:w="4520" w:type="dxa"/>
          </w:tcPr>
          <w:p w14:paraId="0365F0F9">
            <w:pPr>
              <w:widowControl/>
              <w:kinsoku w:val="0"/>
              <w:autoSpaceDE w:val="0"/>
              <w:autoSpaceDN w:val="0"/>
              <w:adjustRightInd w:val="0"/>
              <w:snapToGrid w:val="0"/>
              <w:spacing w:beforeLines="50" w:afterLines="50" w:line="360" w:lineRule="auto"/>
              <w:ind w:firstLine="218" w:firstLineChars="104"/>
              <w:jc w:val="left"/>
              <w:textAlignment w:val="baseline"/>
              <w:rPr>
                <w:rFonts w:ascii="宋体" w:hAnsi="宋体" w:cs="宋体"/>
                <w:szCs w:val="21"/>
              </w:rPr>
            </w:pPr>
          </w:p>
        </w:tc>
      </w:tr>
    </w:tbl>
    <w:p w14:paraId="5A4D12FA">
      <w:pPr>
        <w:pStyle w:val="26"/>
        <w:snapToGrid w:val="0"/>
        <w:spacing w:line="360" w:lineRule="auto"/>
        <w:ind w:firstLine="420" w:firstLineChars="200"/>
        <w:jc w:val="left"/>
        <w:rPr>
          <w:rFonts w:hAnsi="宋体" w:cs="宋体"/>
          <w:b/>
          <w:bCs/>
          <w:szCs w:val="21"/>
        </w:rPr>
      </w:pPr>
      <w:r>
        <w:rPr>
          <w:rFonts w:hint="eastAsia" w:hAnsi="宋体" w:cs="宋体"/>
          <w:szCs w:val="21"/>
        </w:rPr>
        <w:t>2、本合同总价款含所有税费。</w:t>
      </w:r>
      <w:r>
        <w:rPr>
          <w:rFonts w:hint="eastAsia" w:hAnsi="宋体" w:cs="宋体"/>
          <w:b/>
          <w:bCs/>
          <w:szCs w:val="21"/>
        </w:rPr>
        <w:t>(必须包括提供项目服务所需的一切人员费用（人员工资、奖金、各种加班费、各种社会保险（基本养老保险、基本医疗保险、工伤保险、失业保险、公积金等）、食宿与交通、高温补偿费）、货款、管理费用（意外保险、车辆、培训、税费、利润等完成合同所需的一切本身和不可或缺的所有工作开支、政策性文件规定及合同包含的所有风险、责任等各项全部费用并承担一切风险责任。)</w:t>
      </w:r>
    </w:p>
    <w:p w14:paraId="7B5F6B93">
      <w:pPr>
        <w:widowControl/>
        <w:spacing w:line="360" w:lineRule="auto"/>
        <w:ind w:firstLine="420" w:firstLineChars="200"/>
        <w:contextualSpacing/>
        <w:rPr>
          <w:rFonts w:hint="eastAsia"/>
          <w:highlight w:val="green"/>
          <w:lang w:val="en-US" w:eastAsia="zh-CN"/>
        </w:rPr>
      </w:pPr>
      <w:r>
        <w:rPr>
          <w:rFonts w:hint="eastAsia" w:ascii="宋体" w:hAnsi="宋体" w:cs="宋体"/>
          <w:kern w:val="0"/>
          <w:szCs w:val="21"/>
        </w:rPr>
        <w:t>3、本合同付款方式为：</w:t>
      </w:r>
      <w:r>
        <w:rPr>
          <w:rFonts w:hint="eastAsia" w:ascii="宋体" w:hAnsi="宋体" w:cs="宋体"/>
          <w:szCs w:val="21"/>
        </w:rPr>
        <w:t>按每周对公结算一次，采购人食堂管理人员每天依据结算价统计食堂大宗物品的配送金额上报财务结算，每周由采购人食堂管理人员统计上周的发生额与中标人相关人员确认，双方核对无误，中标人开具发票。采购人在收到发票后，按照10个工作日结算期限将货款转至中标人账户（如遇节假日顺延），因中标人延迟提供发票导致采购人逾期付款的，采购人不因此承担违约责任。以嘉兴市发展和改革委员会网站中发布的为基准，原则上每月公布一次，结算时按已公布的最近一个月的单价作为结算依据，若结算当日有最新更新的则按最新单价结算；以大润发优鲜app为基准的则根据app上每日对应产品单价结算</w:t>
      </w:r>
      <w:r>
        <w:rPr>
          <w:rFonts w:hint="eastAsia" w:ascii="宋体" w:hAnsi="宋体" w:cs="宋体"/>
          <w:kern w:val="0"/>
          <w:szCs w:val="21"/>
        </w:rPr>
        <w:t>。</w:t>
      </w:r>
      <w:r>
        <w:rPr>
          <w:rFonts w:hint="eastAsia" w:ascii="宋体" w:hAnsi="宋体" w:cs="宋体"/>
          <w:kern w:val="0"/>
          <w:szCs w:val="21"/>
          <w:highlight w:val="green"/>
          <w:lang w:val="en-US" w:eastAsia="zh-CN"/>
        </w:rPr>
        <w:t>结算价计算方式：</w:t>
      </w:r>
      <w:r>
        <w:rPr>
          <w:rFonts w:hint="eastAsia"/>
          <w:highlight w:val="green"/>
          <w:lang w:val="en-US" w:eastAsia="zh-CN"/>
        </w:rPr>
        <w:t>基准价*投标报价百分率</w:t>
      </w:r>
    </w:p>
    <w:p w14:paraId="2277216F">
      <w:pPr>
        <w:pStyle w:val="2"/>
        <w:rPr>
          <w:rFonts w:hint="default"/>
          <w:lang w:val="en-US" w:eastAsia="zh-CN"/>
        </w:rPr>
      </w:pPr>
      <w:bookmarkStart w:id="377" w:name="_GoBack"/>
      <w:bookmarkEnd w:id="377"/>
    </w:p>
    <w:p w14:paraId="772DB4C8">
      <w:pPr>
        <w:widowControl/>
        <w:spacing w:line="360" w:lineRule="auto"/>
        <w:ind w:firstLine="422" w:firstLineChars="200"/>
        <w:contextualSpacing/>
        <w:rPr>
          <w:rFonts w:ascii="宋体" w:hAnsi="宋体" w:cs="宋体"/>
          <w:b/>
          <w:kern w:val="0"/>
          <w:szCs w:val="21"/>
        </w:rPr>
      </w:pPr>
      <w:r>
        <w:rPr>
          <w:rFonts w:hint="eastAsia" w:ascii="宋体" w:hAnsi="宋体" w:cs="宋体"/>
          <w:b/>
          <w:kern w:val="0"/>
          <w:szCs w:val="21"/>
        </w:rPr>
        <w:t>第四条 履约保证金</w:t>
      </w:r>
    </w:p>
    <w:p w14:paraId="0B2622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乙方应于</w:t>
      </w:r>
      <w:r>
        <w:rPr>
          <w:rFonts w:hint="eastAsia" w:ascii="宋体" w:hAnsi="宋体" w:cs="宋体"/>
          <w:kern w:val="0"/>
          <w:szCs w:val="21"/>
          <w:u w:val="single"/>
        </w:rPr>
        <w:t xml:space="preserve"> 签订合同后5个工作日 </w:t>
      </w:r>
      <w:r>
        <w:rPr>
          <w:rFonts w:hint="eastAsia" w:ascii="宋体" w:hAnsi="宋体" w:cs="宋体"/>
          <w:kern w:val="0"/>
          <w:szCs w:val="21"/>
        </w:rPr>
        <w:t>内向甲方提交履约保证金，金额为预算价的1%，乙方可以支票、汇票、本票或者金融机构、担保机构出具的保函等非现金形式提交。合同履行完毕后10个工作日内无息退还。</w:t>
      </w:r>
    </w:p>
    <w:p w14:paraId="650CCB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kern w:val="0"/>
          <w:szCs w:val="21"/>
        </w:rPr>
      </w:pPr>
      <w:r>
        <w:rPr>
          <w:rFonts w:hint="eastAsia" w:ascii="宋体" w:hAnsi="宋体" w:cs="宋体"/>
          <w:b/>
          <w:kern w:val="0"/>
          <w:szCs w:val="21"/>
        </w:rPr>
        <w:t>第五条 合同的变更和终止</w:t>
      </w:r>
    </w:p>
    <w:p w14:paraId="44C6D72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除《政府采购法》第49条、第50条第二款规定的情形外，本合同一经签订，甲乙双方不得擅自终止合同或对合同实质性条款进行变更。确有特殊情况的，须经同级财政部门备案同意。</w:t>
      </w:r>
    </w:p>
    <w:p w14:paraId="4E58250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kern w:val="0"/>
          <w:szCs w:val="21"/>
        </w:rPr>
      </w:pPr>
      <w:r>
        <w:rPr>
          <w:rFonts w:hint="eastAsia" w:ascii="宋体" w:hAnsi="宋体" w:cs="宋体"/>
          <w:b/>
          <w:kern w:val="0"/>
          <w:szCs w:val="21"/>
        </w:rPr>
        <w:t>第六条 合同的转让与分包</w:t>
      </w:r>
    </w:p>
    <w:p w14:paraId="679257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乙方不得擅自部分或全部转让其应履行的合同义务。乙方分包的，应经过甲方书面同意。</w:t>
      </w:r>
    </w:p>
    <w:p w14:paraId="68909B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kern w:val="0"/>
          <w:szCs w:val="21"/>
        </w:rPr>
      </w:pPr>
      <w:r>
        <w:rPr>
          <w:rFonts w:hint="eastAsia" w:ascii="宋体" w:hAnsi="宋体" w:cs="宋体"/>
          <w:b/>
          <w:kern w:val="0"/>
          <w:szCs w:val="21"/>
        </w:rPr>
        <w:t>第七条 争议的解决</w:t>
      </w:r>
    </w:p>
    <w:p w14:paraId="258CF3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bookmarkStart w:id="257" w:name="OLE_LINK3"/>
      <w:r>
        <w:rPr>
          <w:rFonts w:hint="eastAsia" w:ascii="宋体" w:hAnsi="宋体" w:cs="宋体"/>
          <w:kern w:val="0"/>
          <w:szCs w:val="21"/>
        </w:rPr>
        <w:t>1、因履行本合同引起的或与本合同有关的争议，甲、乙双方应首先通过友好协商解决，如果协商不能解决争议，则采取以下第</w:t>
      </w:r>
      <w:r>
        <w:rPr>
          <w:rFonts w:hint="eastAsia" w:ascii="宋体" w:hAnsi="宋体" w:cs="宋体"/>
          <w:kern w:val="0"/>
          <w:szCs w:val="21"/>
          <w:u w:val="single"/>
        </w:rPr>
        <w:t xml:space="preserve">  （1）  </w:t>
      </w:r>
      <w:r>
        <w:rPr>
          <w:rFonts w:hint="eastAsia" w:ascii="宋体" w:hAnsi="宋体" w:cs="宋体"/>
          <w:kern w:val="0"/>
          <w:szCs w:val="21"/>
        </w:rPr>
        <w:t>种方式解决争议：</w:t>
      </w:r>
    </w:p>
    <w:p w14:paraId="7F964E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（1）向甲方所在地有管辖权的人民法院提起诉讼；</w:t>
      </w:r>
    </w:p>
    <w:p w14:paraId="216915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宋体" w:hAnsi="宋体" w:cs="宋体"/>
          <w:kern w:val="0"/>
          <w:szCs w:val="21"/>
        </w:rPr>
      </w:pPr>
      <w:r>
        <w:rPr>
          <w:rFonts w:hint="eastAsia" w:ascii="宋体" w:hAnsi="宋体" w:cs="宋体"/>
          <w:kern w:val="0"/>
          <w:szCs w:val="21"/>
        </w:rPr>
        <w:t>（2）向</w:t>
      </w:r>
      <w:r>
        <w:rPr>
          <w:rFonts w:hint="eastAsia" w:ascii="宋体" w:hAnsi="宋体" w:cs="宋体"/>
          <w:kern w:val="0"/>
          <w:szCs w:val="21"/>
          <w:u w:val="single"/>
        </w:rPr>
        <w:t xml:space="preserve">  嘉兴 </w:t>
      </w:r>
      <w:r>
        <w:rPr>
          <w:rFonts w:hint="eastAsia" w:ascii="宋体" w:hAnsi="宋体" w:cs="宋体"/>
          <w:kern w:val="0"/>
          <w:szCs w:val="21"/>
        </w:rPr>
        <w:t>仲裁委员申请仲裁。</w:t>
      </w:r>
    </w:p>
    <w:bookmarkEnd w:id="257"/>
    <w:p w14:paraId="09C36A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宋体" w:hAnsi="宋体" w:cs="宋体"/>
          <w:b/>
          <w:kern w:val="0"/>
          <w:szCs w:val="21"/>
        </w:rPr>
      </w:pPr>
      <w:r>
        <w:rPr>
          <w:rFonts w:hint="eastAsia" w:ascii="宋体" w:hAnsi="宋体" w:cs="宋体"/>
          <w:b/>
          <w:kern w:val="0"/>
          <w:szCs w:val="21"/>
        </w:rPr>
        <w:t>第八条 合同备案及其他</w:t>
      </w:r>
    </w:p>
    <w:p w14:paraId="79D279A2">
      <w:pPr>
        <w:widowControl/>
        <w:spacing w:line="360" w:lineRule="auto"/>
        <w:ind w:firstLine="420" w:firstLineChars="200"/>
        <w:jc w:val="left"/>
        <w:rPr>
          <w:rFonts w:ascii="宋体" w:hAnsi="宋体" w:cs="宋体"/>
          <w:b/>
          <w:bCs/>
          <w:kern w:val="0"/>
          <w:szCs w:val="21"/>
        </w:rPr>
      </w:pPr>
      <w:r>
        <w:rPr>
          <w:rFonts w:hint="eastAsia" w:ascii="宋体" w:hAnsi="宋体" w:cs="宋体"/>
          <w:kern w:val="0"/>
          <w:szCs w:val="21"/>
        </w:rPr>
        <w:t>本合同一式</w:t>
      </w:r>
      <w:r>
        <w:rPr>
          <w:rFonts w:hint="eastAsia" w:ascii="宋体" w:hAnsi="宋体" w:cs="宋体"/>
          <w:kern w:val="0"/>
          <w:szCs w:val="21"/>
          <w:u w:val="single"/>
        </w:rPr>
        <w:t xml:space="preserve"> 五 </w:t>
      </w:r>
      <w:r>
        <w:rPr>
          <w:rFonts w:hint="eastAsia" w:ascii="宋体" w:hAnsi="宋体" w:cs="宋体"/>
          <w:kern w:val="0"/>
          <w:szCs w:val="21"/>
        </w:rPr>
        <w:t>份，甲乙双方各执</w:t>
      </w:r>
      <w:r>
        <w:rPr>
          <w:rFonts w:hint="eastAsia" w:ascii="宋体" w:hAnsi="宋体" w:cs="宋体"/>
          <w:kern w:val="0"/>
          <w:szCs w:val="21"/>
          <w:u w:val="single"/>
        </w:rPr>
        <w:t xml:space="preserve"> 二 </w:t>
      </w:r>
      <w:r>
        <w:rPr>
          <w:rFonts w:hint="eastAsia" w:ascii="宋体" w:hAnsi="宋体" w:cs="宋体"/>
          <w:kern w:val="0"/>
          <w:szCs w:val="21"/>
        </w:rPr>
        <w:t>份，</w:t>
      </w:r>
      <w:r>
        <w:rPr>
          <w:rFonts w:hint="eastAsia" w:ascii="宋体" w:hAnsi="宋体" w:cs="宋体"/>
          <w:kern w:val="0"/>
          <w:szCs w:val="21"/>
          <w:u w:val="single"/>
        </w:rPr>
        <w:t xml:space="preserve"> 一 </w:t>
      </w:r>
      <w:r>
        <w:rPr>
          <w:rFonts w:hint="eastAsia" w:ascii="宋体" w:hAnsi="宋体" w:cs="宋体"/>
          <w:kern w:val="0"/>
          <w:szCs w:val="21"/>
        </w:rPr>
        <w:t>份留采购代理单位存档备查。</w:t>
      </w:r>
    </w:p>
    <w:p w14:paraId="36BF955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center"/>
        <w:rPr>
          <w:rFonts w:ascii="宋体" w:hAnsi="宋体" w:cs="宋体"/>
          <w:b/>
          <w:bCs/>
          <w:kern w:val="0"/>
          <w:szCs w:val="21"/>
        </w:rPr>
      </w:pPr>
      <w:r>
        <w:rPr>
          <w:rFonts w:hint="eastAsia" w:ascii="宋体" w:hAnsi="宋体" w:cs="宋体"/>
          <w:b/>
          <w:bCs/>
          <w:kern w:val="0"/>
          <w:szCs w:val="21"/>
        </w:rPr>
        <w:t>二、专用条款部分</w:t>
      </w:r>
    </w:p>
    <w:p w14:paraId="79D7264B">
      <w:pPr>
        <w:pStyle w:val="43"/>
        <w:spacing w:before="0" w:beforeAutospacing="0" w:after="0" w:afterAutospacing="0" w:line="360" w:lineRule="auto"/>
        <w:ind w:firstLine="422" w:firstLineChars="200"/>
        <w:rPr>
          <w:rFonts w:cs="宋体"/>
          <w:sz w:val="21"/>
          <w:szCs w:val="21"/>
        </w:rPr>
      </w:pPr>
      <w:r>
        <w:rPr>
          <w:rFonts w:hint="eastAsia" w:cs="宋体"/>
          <w:b/>
          <w:bCs/>
          <w:sz w:val="21"/>
          <w:szCs w:val="21"/>
        </w:rPr>
        <w:t>一、服务内容</w:t>
      </w:r>
    </w:p>
    <w:p w14:paraId="586D0734">
      <w:pPr>
        <w:pStyle w:val="9"/>
        <w:tabs>
          <w:tab w:val="left" w:pos="297"/>
          <w:tab w:val="left" w:pos="900"/>
        </w:tabs>
        <w:spacing w:line="360" w:lineRule="auto"/>
        <w:ind w:firstLine="404" w:firstLineChars="200"/>
        <w:rPr>
          <w:rFonts w:hAnsi="宋体" w:cs="宋体"/>
          <w:kern w:val="0"/>
          <w:sz w:val="21"/>
          <w:szCs w:val="21"/>
          <w:highlight w:val="yellow"/>
        </w:rPr>
      </w:pPr>
      <w:r>
        <w:rPr>
          <w:rFonts w:hint="eastAsia" w:hAnsi="宋体" w:cs="宋体"/>
          <w:kern w:val="0"/>
          <w:sz w:val="21"/>
          <w:szCs w:val="21"/>
        </w:rPr>
        <w:t>与采购需求中的内容一致</w:t>
      </w:r>
    </w:p>
    <w:p w14:paraId="22C6CF70">
      <w:pPr>
        <w:pStyle w:val="9"/>
        <w:tabs>
          <w:tab w:val="left" w:pos="297"/>
          <w:tab w:val="left" w:pos="900"/>
        </w:tabs>
        <w:spacing w:line="360" w:lineRule="auto"/>
        <w:ind w:firstLine="406" w:firstLineChars="200"/>
        <w:rPr>
          <w:rFonts w:hAnsi="宋体" w:cs="宋体"/>
          <w:b/>
          <w:bCs/>
          <w:kern w:val="0"/>
          <w:sz w:val="21"/>
          <w:szCs w:val="21"/>
        </w:rPr>
      </w:pPr>
      <w:r>
        <w:rPr>
          <w:rFonts w:hint="eastAsia" w:hAnsi="宋体" w:cs="宋体"/>
          <w:b/>
          <w:bCs/>
          <w:kern w:val="0"/>
          <w:sz w:val="21"/>
          <w:szCs w:val="21"/>
        </w:rPr>
        <w:t>二、服务期限、服务地点</w:t>
      </w:r>
    </w:p>
    <w:p w14:paraId="2FDE8297">
      <w:pPr>
        <w:pStyle w:val="9"/>
        <w:tabs>
          <w:tab w:val="left" w:pos="297"/>
          <w:tab w:val="left" w:pos="900"/>
        </w:tabs>
        <w:spacing w:line="360" w:lineRule="auto"/>
        <w:ind w:firstLine="404" w:firstLineChars="200"/>
        <w:rPr>
          <w:rFonts w:hAnsi="宋体" w:cs="宋体"/>
          <w:kern w:val="0"/>
          <w:sz w:val="21"/>
          <w:szCs w:val="21"/>
        </w:rPr>
      </w:pPr>
      <w:r>
        <w:rPr>
          <w:rFonts w:hint="eastAsia" w:hAnsi="宋体" w:cs="宋体"/>
          <w:kern w:val="0"/>
          <w:sz w:val="21"/>
          <w:szCs w:val="21"/>
          <w:lang w:val="zh-CN"/>
        </w:rPr>
        <w:t>1、服务</w:t>
      </w:r>
      <w:r>
        <w:rPr>
          <w:rFonts w:hint="eastAsia" w:hAnsi="宋体" w:cs="宋体"/>
          <w:kern w:val="0"/>
          <w:sz w:val="21"/>
          <w:szCs w:val="21"/>
        </w:rPr>
        <w:t>期限</w:t>
      </w:r>
      <w:r>
        <w:rPr>
          <w:rFonts w:hint="eastAsia" w:hAnsi="宋体" w:cs="宋体"/>
          <w:kern w:val="0"/>
          <w:sz w:val="21"/>
          <w:szCs w:val="21"/>
          <w:lang w:val="zh-CN"/>
        </w:rPr>
        <w:t>：</w:t>
      </w:r>
      <w:r>
        <w:rPr>
          <w:rFonts w:hint="eastAsia" w:hAnsi="宋体" w:cs="宋体"/>
          <w:kern w:val="0"/>
          <w:sz w:val="21"/>
          <w:szCs w:val="21"/>
        </w:rPr>
        <w:t xml:space="preserve"> 合同签订后1年或配送金额达到预算金额（以先到为准） </w:t>
      </w:r>
      <w:r>
        <w:rPr>
          <w:rFonts w:hint="eastAsia" w:hAnsi="宋体" w:cs="宋体"/>
          <w:sz w:val="21"/>
          <w:szCs w:val="21"/>
        </w:rPr>
        <w:t xml:space="preserve"> </w:t>
      </w:r>
      <w:r>
        <w:rPr>
          <w:rFonts w:hint="eastAsia" w:hAnsi="宋体" w:cs="宋体"/>
          <w:kern w:val="0"/>
          <w:sz w:val="21"/>
          <w:szCs w:val="21"/>
        </w:rPr>
        <w:t xml:space="preserve">                         </w:t>
      </w:r>
    </w:p>
    <w:p w14:paraId="6B640AD4">
      <w:pPr>
        <w:widowControl/>
        <w:spacing w:line="320" w:lineRule="exact"/>
        <w:ind w:firstLine="420" w:firstLineChars="200"/>
        <w:contextualSpacing/>
        <w:rPr>
          <w:rFonts w:ascii="宋体" w:hAnsi="宋体" w:cs="宋体"/>
          <w:spacing w:val="-4"/>
          <w:kern w:val="0"/>
          <w:szCs w:val="21"/>
        </w:rPr>
      </w:pPr>
      <w:r>
        <w:rPr>
          <w:rFonts w:hint="eastAsia" w:ascii="宋体" w:hAnsi="宋体" w:cs="宋体"/>
          <w:kern w:val="0"/>
          <w:szCs w:val="21"/>
          <w:lang w:val="zh-CN"/>
        </w:rPr>
        <w:t>2、服务地点：</w:t>
      </w:r>
      <w:r>
        <w:rPr>
          <w:rFonts w:hint="eastAsia" w:ascii="宋体" w:hAnsi="宋体" w:cs="宋体"/>
          <w:kern w:val="0"/>
          <w:szCs w:val="21"/>
        </w:rPr>
        <w:t xml:space="preserve"> </w:t>
      </w:r>
      <w:r>
        <w:rPr>
          <w:rFonts w:hint="eastAsia" w:ascii="宋体" w:hAnsi="宋体" w:cs="宋体"/>
          <w:spacing w:val="-4"/>
          <w:kern w:val="0"/>
          <w:szCs w:val="21"/>
        </w:rPr>
        <w:t>1.经开消防救援大队及城南消防站</w:t>
      </w:r>
    </w:p>
    <w:p w14:paraId="6B96A2D7">
      <w:pPr>
        <w:widowControl/>
        <w:spacing w:line="320" w:lineRule="exact"/>
        <w:ind w:firstLine="1878" w:firstLineChars="930"/>
        <w:contextualSpacing/>
        <w:rPr>
          <w:rFonts w:ascii="宋体" w:hAnsi="宋体" w:cs="宋体"/>
          <w:spacing w:val="-4"/>
          <w:kern w:val="0"/>
          <w:szCs w:val="21"/>
        </w:rPr>
      </w:pPr>
      <w:r>
        <w:rPr>
          <w:rFonts w:hint="eastAsia" w:ascii="宋体" w:hAnsi="宋体" w:cs="宋体"/>
          <w:spacing w:val="-4"/>
          <w:kern w:val="0"/>
          <w:szCs w:val="21"/>
        </w:rPr>
        <w:t>2.嘉北消防救援站</w:t>
      </w:r>
    </w:p>
    <w:p w14:paraId="51308E5F">
      <w:pPr>
        <w:widowControl/>
        <w:spacing w:line="360" w:lineRule="auto"/>
        <w:ind w:firstLine="1898" w:firstLineChars="940"/>
        <w:jc w:val="left"/>
        <w:rPr>
          <w:rFonts w:ascii="宋体" w:hAnsi="宋体" w:cs="宋体"/>
          <w:spacing w:val="-4"/>
          <w:kern w:val="0"/>
          <w:szCs w:val="21"/>
        </w:rPr>
      </w:pPr>
      <w:r>
        <w:rPr>
          <w:rFonts w:hint="eastAsia" w:ascii="宋体" w:hAnsi="宋体" w:cs="宋体"/>
          <w:spacing w:val="-4"/>
          <w:kern w:val="0"/>
          <w:szCs w:val="21"/>
        </w:rPr>
        <w:t xml:space="preserve">3.长水消防救援站 </w:t>
      </w:r>
    </w:p>
    <w:p w14:paraId="2E21794D">
      <w:pPr>
        <w:widowControl/>
        <w:spacing w:line="360" w:lineRule="auto"/>
        <w:ind w:firstLine="420" w:firstLineChars="200"/>
        <w:jc w:val="left"/>
        <w:rPr>
          <w:rFonts w:ascii="宋体" w:hAnsi="宋体" w:cs="宋体"/>
          <w:b/>
          <w:bCs/>
          <w:kern w:val="0"/>
          <w:szCs w:val="21"/>
        </w:rPr>
      </w:pPr>
      <w:r>
        <w:rPr>
          <w:rFonts w:hint="eastAsia" w:ascii="宋体" w:hAnsi="宋体" w:cs="宋体"/>
          <w:kern w:val="0"/>
          <w:szCs w:val="21"/>
        </w:rPr>
        <w:t xml:space="preserve">3、服务标准：与采购需求中的内容一致   </w:t>
      </w:r>
    </w:p>
    <w:p w14:paraId="4642B074">
      <w:pPr>
        <w:spacing w:line="360" w:lineRule="auto"/>
        <w:ind w:firstLine="422" w:firstLineChars="200"/>
        <w:rPr>
          <w:rFonts w:ascii="宋体" w:hAnsi="宋体" w:cs="宋体"/>
          <w:b/>
          <w:szCs w:val="21"/>
        </w:rPr>
      </w:pPr>
      <w:r>
        <w:rPr>
          <w:rFonts w:hint="eastAsia" w:ascii="宋体" w:hAnsi="宋体" w:cs="宋体"/>
          <w:b/>
          <w:bCs/>
          <w:kern w:val="0"/>
          <w:szCs w:val="21"/>
        </w:rPr>
        <w:t>三、</w:t>
      </w:r>
      <w:r>
        <w:rPr>
          <w:rFonts w:hint="eastAsia" w:ascii="宋体" w:hAnsi="宋体" w:cs="宋体"/>
          <w:b/>
          <w:szCs w:val="21"/>
        </w:rPr>
        <w:t>双方权利和义务：</w:t>
      </w:r>
    </w:p>
    <w:p w14:paraId="30C23B24">
      <w:pPr>
        <w:pStyle w:val="26"/>
        <w:snapToGrid w:val="0"/>
        <w:spacing w:line="360" w:lineRule="auto"/>
        <w:ind w:firstLine="420" w:firstLineChars="200"/>
        <w:rPr>
          <w:rFonts w:hAnsi="宋体" w:cs="宋体"/>
          <w:szCs w:val="21"/>
        </w:rPr>
      </w:pPr>
      <w:r>
        <w:rPr>
          <w:rFonts w:hint="eastAsia" w:hAnsi="宋体" w:cs="宋体"/>
          <w:szCs w:val="21"/>
        </w:rPr>
        <w:t>(一)甲方权利</w:t>
      </w:r>
    </w:p>
    <w:p w14:paraId="520E6B77">
      <w:pPr>
        <w:pStyle w:val="26"/>
        <w:snapToGrid w:val="0"/>
        <w:spacing w:line="360" w:lineRule="auto"/>
        <w:ind w:right="-313" w:rightChars="-149" w:firstLine="420" w:firstLineChars="200"/>
        <w:rPr>
          <w:rFonts w:hAnsi="宋体" w:cs="宋体"/>
          <w:szCs w:val="21"/>
        </w:rPr>
      </w:pPr>
      <w:r>
        <w:rPr>
          <w:rFonts w:hint="eastAsia" w:hAnsi="宋体" w:cs="宋体"/>
          <w:szCs w:val="21"/>
        </w:rPr>
        <w:t>1.甲方有权按照乙方提供食品的数量、质量、卫生、新鲜程度及相关检验文件(动物检疫证明、农产品农药残留证明)等进行验收。</w:t>
      </w:r>
    </w:p>
    <w:p w14:paraId="7BF9AF67">
      <w:pPr>
        <w:pStyle w:val="26"/>
        <w:snapToGrid w:val="0"/>
        <w:spacing w:line="360" w:lineRule="auto"/>
        <w:ind w:firstLine="420" w:firstLineChars="200"/>
        <w:rPr>
          <w:rFonts w:hAnsi="宋体" w:cs="宋体"/>
          <w:szCs w:val="21"/>
        </w:rPr>
      </w:pPr>
      <w:r>
        <w:rPr>
          <w:rFonts w:hint="eastAsia" w:hAnsi="宋体" w:cs="宋体"/>
          <w:szCs w:val="21"/>
        </w:rPr>
        <w:t>2.甲方有权指定乙方在规定时间、地点将配送品种送达，乙方没有按照甲方提出的要求</w:t>
      </w:r>
    </w:p>
    <w:p w14:paraId="7DC23798">
      <w:pPr>
        <w:pStyle w:val="26"/>
        <w:snapToGrid w:val="0"/>
        <w:spacing w:line="360" w:lineRule="auto"/>
        <w:ind w:firstLine="218" w:firstLineChars="104"/>
        <w:rPr>
          <w:rFonts w:hAnsi="宋体" w:cs="宋体"/>
          <w:szCs w:val="21"/>
        </w:rPr>
      </w:pPr>
      <w:r>
        <w:rPr>
          <w:rFonts w:hint="eastAsia" w:hAnsi="宋体" w:cs="宋体"/>
          <w:szCs w:val="21"/>
        </w:rPr>
        <w:t>落实，甲方有权拒收、退货且不承担任何责任。</w:t>
      </w:r>
    </w:p>
    <w:p w14:paraId="14563B1F">
      <w:pPr>
        <w:widowControl/>
        <w:spacing w:line="360" w:lineRule="auto"/>
        <w:ind w:firstLine="420" w:firstLineChars="200"/>
        <w:contextualSpacing/>
        <w:rPr>
          <w:rFonts w:ascii="宋体" w:hAnsi="宋体" w:cs="宋体"/>
          <w:szCs w:val="21"/>
        </w:rPr>
      </w:pPr>
      <w:r>
        <w:rPr>
          <w:rFonts w:hint="eastAsia" w:ascii="宋体" w:hAnsi="宋体" w:cs="宋体"/>
          <w:szCs w:val="21"/>
        </w:rPr>
        <w:t>3.甲方有权对不符合标准要求的农副产品作退货处理，乙方在2小时内</w:t>
      </w:r>
      <w:r>
        <w:rPr>
          <w:rFonts w:hint="eastAsia" w:ascii="宋体" w:hAnsi="宋体" w:cs="宋体"/>
          <w:kern w:val="0"/>
          <w:szCs w:val="21"/>
        </w:rPr>
        <w:t>更换、补充到位，造成的损失由中标人承担</w:t>
      </w:r>
      <w:r>
        <w:rPr>
          <w:rFonts w:hint="eastAsia" w:ascii="宋体" w:hAnsi="宋体" w:cs="宋体"/>
          <w:szCs w:val="21"/>
        </w:rPr>
        <w:t>。</w:t>
      </w:r>
    </w:p>
    <w:p w14:paraId="5BD105D7">
      <w:pPr>
        <w:pStyle w:val="26"/>
        <w:snapToGrid w:val="0"/>
        <w:spacing w:line="360" w:lineRule="auto"/>
        <w:ind w:firstLine="420" w:firstLineChars="200"/>
        <w:rPr>
          <w:rFonts w:hAnsi="宋体" w:cs="宋体"/>
          <w:szCs w:val="21"/>
        </w:rPr>
      </w:pPr>
      <w:r>
        <w:rPr>
          <w:rFonts w:hint="eastAsia" w:hAnsi="宋体" w:cs="宋体"/>
          <w:szCs w:val="21"/>
        </w:rPr>
        <w:t>4.乙方在送货过程中出现错送、漏送、少送、多送，甲方有权要求乙方按照甲方提出的</w:t>
      </w:r>
    </w:p>
    <w:p w14:paraId="273A369B">
      <w:pPr>
        <w:pStyle w:val="26"/>
        <w:snapToGrid w:val="0"/>
        <w:spacing w:line="360" w:lineRule="auto"/>
        <w:ind w:firstLine="218" w:firstLineChars="104"/>
        <w:rPr>
          <w:rFonts w:hAnsi="宋体" w:cs="宋体"/>
          <w:szCs w:val="21"/>
        </w:rPr>
      </w:pPr>
      <w:r>
        <w:rPr>
          <w:rFonts w:hint="eastAsia" w:hAnsi="宋体" w:cs="宋体"/>
          <w:szCs w:val="21"/>
        </w:rPr>
        <w:t>要求，立即整改，造成的损失由乙方承担。</w:t>
      </w:r>
    </w:p>
    <w:p w14:paraId="1CED235B">
      <w:pPr>
        <w:pStyle w:val="26"/>
        <w:snapToGrid w:val="0"/>
        <w:spacing w:line="360" w:lineRule="auto"/>
        <w:ind w:firstLine="420" w:firstLineChars="200"/>
        <w:rPr>
          <w:rFonts w:hAnsi="宋体" w:cs="宋体"/>
          <w:szCs w:val="21"/>
        </w:rPr>
      </w:pPr>
      <w:r>
        <w:rPr>
          <w:rFonts w:hint="eastAsia" w:hAnsi="宋体" w:cs="宋体"/>
          <w:szCs w:val="21"/>
        </w:rPr>
        <w:t>5.甲方对乙方提供的发票有权进行真伪检验，如果发现乙方提供假发票，甲方将立即终 止与乙方的合作，扣除全部履约保证金，由此造成的经济损失由乙方全部负责，甲方不承担</w:t>
      </w:r>
    </w:p>
    <w:p w14:paraId="38FFA595">
      <w:pPr>
        <w:pStyle w:val="26"/>
        <w:snapToGrid w:val="0"/>
        <w:spacing w:line="360" w:lineRule="auto"/>
        <w:rPr>
          <w:rFonts w:hAnsi="宋体" w:cs="宋体"/>
          <w:szCs w:val="21"/>
        </w:rPr>
      </w:pPr>
      <w:r>
        <w:rPr>
          <w:rFonts w:hint="eastAsia" w:hAnsi="宋体" w:cs="宋体"/>
          <w:szCs w:val="21"/>
        </w:rPr>
        <w:t>任何法律责任。</w:t>
      </w:r>
    </w:p>
    <w:p w14:paraId="13BDFE8E">
      <w:pPr>
        <w:pStyle w:val="26"/>
        <w:snapToGrid w:val="0"/>
        <w:spacing w:line="360" w:lineRule="auto"/>
        <w:ind w:firstLine="420" w:firstLineChars="200"/>
        <w:rPr>
          <w:rFonts w:hAnsi="宋体" w:cs="宋体"/>
          <w:szCs w:val="21"/>
        </w:rPr>
      </w:pPr>
      <w:r>
        <w:rPr>
          <w:rFonts w:hint="eastAsia" w:hAnsi="宋体" w:cs="宋体"/>
          <w:szCs w:val="21"/>
        </w:rPr>
        <w:t>6.甲方有权对乙方配送的农副产品进行农残和质量检测。</w:t>
      </w:r>
    </w:p>
    <w:p w14:paraId="304A3740">
      <w:pPr>
        <w:pStyle w:val="26"/>
        <w:snapToGrid w:val="0"/>
        <w:spacing w:line="360" w:lineRule="auto"/>
        <w:ind w:firstLine="420" w:firstLineChars="200"/>
        <w:rPr>
          <w:rFonts w:hAnsi="宋体" w:cs="宋体"/>
          <w:szCs w:val="21"/>
        </w:rPr>
      </w:pPr>
      <w:r>
        <w:rPr>
          <w:rFonts w:hint="eastAsia" w:hAnsi="宋体" w:cs="宋体"/>
          <w:szCs w:val="21"/>
        </w:rPr>
        <w:t>7.遇突发情况，甲方紧急制订相关防控要求，乙方须无条件执行，拒不执行的， 甲方有权扣除全部履约保证金，由于乙方不执行相关要求对甲方造成的损失，全部由乙方承</w:t>
      </w:r>
    </w:p>
    <w:p w14:paraId="3A7C1E18">
      <w:pPr>
        <w:pStyle w:val="26"/>
        <w:snapToGrid w:val="0"/>
        <w:spacing w:line="360" w:lineRule="auto"/>
        <w:rPr>
          <w:rFonts w:hAnsi="宋体" w:cs="宋体"/>
          <w:szCs w:val="21"/>
        </w:rPr>
      </w:pPr>
      <w:r>
        <w:rPr>
          <w:rFonts w:hint="eastAsia" w:hAnsi="宋体" w:cs="宋体"/>
          <w:szCs w:val="21"/>
        </w:rPr>
        <w:t>担。</w:t>
      </w:r>
    </w:p>
    <w:p w14:paraId="1A4A0D43">
      <w:pPr>
        <w:pStyle w:val="26"/>
        <w:snapToGrid w:val="0"/>
        <w:spacing w:line="360" w:lineRule="auto"/>
        <w:ind w:firstLine="420" w:firstLineChars="200"/>
        <w:rPr>
          <w:rFonts w:hAnsi="宋体" w:cs="宋体"/>
          <w:szCs w:val="21"/>
        </w:rPr>
      </w:pPr>
      <w:r>
        <w:rPr>
          <w:rFonts w:hint="eastAsia" w:hAnsi="宋体" w:cs="宋体"/>
          <w:szCs w:val="21"/>
        </w:rPr>
        <w:t>8.如乙方因自身情况所配送的农副产品3次（含）不符合甲方需求，以及甲方有应急保障需要乙方不能满足，甲方有权解除合同。</w:t>
      </w:r>
    </w:p>
    <w:p w14:paraId="280ACF7C">
      <w:pPr>
        <w:pStyle w:val="26"/>
        <w:snapToGrid w:val="0"/>
        <w:spacing w:line="360" w:lineRule="auto"/>
        <w:ind w:firstLine="420" w:firstLineChars="200"/>
        <w:rPr>
          <w:rFonts w:hAnsi="宋体" w:cs="宋体"/>
          <w:szCs w:val="21"/>
        </w:rPr>
      </w:pPr>
      <w:r>
        <w:rPr>
          <w:rFonts w:hint="eastAsia" w:hAnsi="宋体" w:cs="宋体"/>
          <w:szCs w:val="21"/>
        </w:rPr>
        <w:t>(二)甲方义务</w:t>
      </w:r>
    </w:p>
    <w:p w14:paraId="34A099E2">
      <w:pPr>
        <w:pStyle w:val="26"/>
        <w:snapToGrid w:val="0"/>
        <w:spacing w:line="360" w:lineRule="auto"/>
        <w:ind w:firstLine="420" w:firstLineChars="200"/>
        <w:rPr>
          <w:rFonts w:hAnsi="宋体" w:cs="宋体"/>
          <w:szCs w:val="21"/>
        </w:rPr>
      </w:pPr>
      <w:r>
        <w:rPr>
          <w:rFonts w:hint="eastAsia" w:hAnsi="宋体" w:cs="宋体"/>
          <w:szCs w:val="21"/>
        </w:rPr>
        <w:t>采购品种发生变化时，甲方应第一时间告知乙方，乙方根据通知进行调整和配送。</w:t>
      </w:r>
    </w:p>
    <w:p w14:paraId="155A481B">
      <w:pPr>
        <w:pStyle w:val="26"/>
        <w:snapToGrid w:val="0"/>
        <w:spacing w:line="360" w:lineRule="auto"/>
        <w:ind w:firstLine="420" w:firstLineChars="200"/>
        <w:rPr>
          <w:rFonts w:hAnsi="宋体" w:cs="宋体"/>
          <w:szCs w:val="21"/>
        </w:rPr>
      </w:pPr>
      <w:r>
        <w:rPr>
          <w:rFonts w:hint="eastAsia" w:hAnsi="宋体" w:cs="宋体"/>
          <w:szCs w:val="21"/>
        </w:rPr>
        <w:t>(三)乙方权利</w:t>
      </w:r>
    </w:p>
    <w:p w14:paraId="1DAA27C1">
      <w:pPr>
        <w:pStyle w:val="26"/>
        <w:snapToGrid w:val="0"/>
        <w:spacing w:line="360" w:lineRule="auto"/>
        <w:ind w:firstLine="420" w:firstLineChars="200"/>
        <w:rPr>
          <w:rFonts w:hAnsi="宋体" w:cs="宋体"/>
          <w:szCs w:val="21"/>
        </w:rPr>
      </w:pPr>
      <w:r>
        <w:rPr>
          <w:rFonts w:hint="eastAsia" w:hAnsi="宋体" w:cs="宋体"/>
          <w:szCs w:val="21"/>
        </w:rPr>
        <w:t>1. 乙方有权要求甲方在规定时间内结算和支付经费。</w:t>
      </w:r>
    </w:p>
    <w:p w14:paraId="2B0E3301">
      <w:pPr>
        <w:pStyle w:val="26"/>
        <w:snapToGrid w:val="0"/>
        <w:spacing w:line="360" w:lineRule="auto"/>
        <w:ind w:firstLine="420" w:firstLineChars="200"/>
        <w:rPr>
          <w:rFonts w:hAnsi="宋体" w:cs="宋体"/>
          <w:szCs w:val="21"/>
        </w:rPr>
      </w:pPr>
      <w:r>
        <w:rPr>
          <w:rFonts w:hint="eastAsia" w:hAnsi="宋体" w:cs="宋体"/>
          <w:szCs w:val="21"/>
        </w:rPr>
        <w:t>2.如果甲方提出的配送项目不符合招标文件及本合同要求的内容，乙方有权利拒绝配送。</w:t>
      </w:r>
    </w:p>
    <w:p w14:paraId="7EA4B32B">
      <w:pPr>
        <w:pStyle w:val="26"/>
        <w:snapToGrid w:val="0"/>
        <w:spacing w:line="360" w:lineRule="auto"/>
        <w:ind w:firstLine="420" w:firstLineChars="200"/>
        <w:rPr>
          <w:rFonts w:hAnsi="宋体" w:cs="宋体"/>
          <w:szCs w:val="21"/>
        </w:rPr>
      </w:pPr>
      <w:r>
        <w:rPr>
          <w:rFonts w:hint="eastAsia" w:hAnsi="宋体" w:cs="宋体"/>
          <w:szCs w:val="21"/>
        </w:rPr>
        <w:t>(四)乙方义务</w:t>
      </w:r>
    </w:p>
    <w:p w14:paraId="41B12CC2">
      <w:pPr>
        <w:pStyle w:val="26"/>
        <w:snapToGrid w:val="0"/>
        <w:spacing w:line="360" w:lineRule="auto"/>
        <w:ind w:firstLine="420" w:firstLineChars="200"/>
        <w:rPr>
          <w:rFonts w:hAnsi="宋体" w:cs="宋体"/>
          <w:szCs w:val="21"/>
        </w:rPr>
      </w:pPr>
      <w:r>
        <w:rPr>
          <w:rFonts w:hint="eastAsia" w:hAnsi="宋体" w:cs="宋体"/>
          <w:szCs w:val="21"/>
        </w:rPr>
        <w:t>1. 乙方要按照甲方规定时间、地点，准时将食材配送到位，不能影响甲方开餐前的准备工作。</w:t>
      </w:r>
    </w:p>
    <w:p w14:paraId="37459A63">
      <w:pPr>
        <w:pStyle w:val="26"/>
        <w:snapToGrid w:val="0"/>
        <w:spacing w:line="360" w:lineRule="auto"/>
        <w:ind w:firstLine="420" w:firstLineChars="200"/>
        <w:rPr>
          <w:rFonts w:hAnsi="宋体" w:cs="宋体"/>
          <w:szCs w:val="21"/>
        </w:rPr>
      </w:pPr>
      <w:r>
        <w:rPr>
          <w:rFonts w:hint="eastAsia" w:hAnsi="宋体" w:cs="宋体"/>
          <w:szCs w:val="21"/>
        </w:rPr>
        <w:t>2.乙方要按照甲方要求，在食品卫生、质量等方面严把质量关，从源头杜绝危害</w:t>
      </w:r>
    </w:p>
    <w:p w14:paraId="6BD9C77D">
      <w:pPr>
        <w:pStyle w:val="26"/>
        <w:snapToGrid w:val="0"/>
        <w:spacing w:line="360" w:lineRule="auto"/>
        <w:rPr>
          <w:rFonts w:hAnsi="宋体" w:cs="宋体"/>
          <w:szCs w:val="21"/>
        </w:rPr>
      </w:pPr>
      <w:r>
        <w:rPr>
          <w:rFonts w:hint="eastAsia" w:hAnsi="宋体" w:cs="宋体"/>
          <w:szCs w:val="21"/>
        </w:rPr>
        <w:t>食品。</w:t>
      </w:r>
    </w:p>
    <w:p w14:paraId="31DC7EC2">
      <w:pPr>
        <w:pStyle w:val="26"/>
        <w:snapToGrid w:val="0"/>
        <w:spacing w:line="360" w:lineRule="auto"/>
        <w:ind w:firstLine="420" w:firstLineChars="200"/>
        <w:rPr>
          <w:rFonts w:hAnsi="宋体" w:cs="宋体"/>
          <w:szCs w:val="21"/>
        </w:rPr>
      </w:pPr>
      <w:r>
        <w:rPr>
          <w:rFonts w:hint="eastAsia" w:hAnsi="宋体" w:cs="宋体"/>
          <w:szCs w:val="21"/>
        </w:rPr>
        <w:t>3.乙方提供食品符合国家食品卫生检疫，符合国家农产品质量法，食品药品监督管理法，</w:t>
      </w:r>
    </w:p>
    <w:p w14:paraId="583D89D3">
      <w:pPr>
        <w:pStyle w:val="26"/>
        <w:snapToGrid w:val="0"/>
        <w:spacing w:line="360" w:lineRule="auto"/>
        <w:rPr>
          <w:rFonts w:hAnsi="宋体" w:cs="宋体"/>
          <w:szCs w:val="21"/>
        </w:rPr>
      </w:pPr>
      <w:r>
        <w:rPr>
          <w:rFonts w:hint="eastAsia" w:hAnsi="宋体" w:cs="宋体"/>
          <w:szCs w:val="21"/>
        </w:rPr>
        <w:t>食品包装上有清楚的食品标识、质检标识、质量标识和生产日期。</w:t>
      </w:r>
    </w:p>
    <w:p w14:paraId="2284AB1B">
      <w:pPr>
        <w:pStyle w:val="26"/>
        <w:snapToGrid w:val="0"/>
        <w:spacing w:line="360" w:lineRule="auto"/>
        <w:ind w:firstLine="420" w:firstLineChars="200"/>
        <w:rPr>
          <w:rFonts w:hAnsi="宋体" w:cs="宋体"/>
          <w:szCs w:val="21"/>
        </w:rPr>
      </w:pPr>
      <w:r>
        <w:rPr>
          <w:rFonts w:hint="eastAsia" w:hAnsi="宋体" w:cs="宋体"/>
          <w:szCs w:val="21"/>
        </w:rPr>
        <w:t>4.乙方不能提供腐烂、病变等对人体有害的食品， 一经发现，每发现一次扣除相应考评分，发现3次（含）的甲方有权解除合同。若甲方在验收时货品质量规格无误，但因甲方在储存过程中操作不当造成的上述货品质量问题，不归属乙方责任。</w:t>
      </w:r>
    </w:p>
    <w:p w14:paraId="3251C462">
      <w:pPr>
        <w:pStyle w:val="26"/>
        <w:snapToGrid w:val="0"/>
        <w:spacing w:line="360" w:lineRule="auto"/>
        <w:ind w:firstLine="420" w:firstLineChars="200"/>
        <w:rPr>
          <w:rFonts w:hAnsi="宋体" w:cs="宋体"/>
          <w:szCs w:val="21"/>
        </w:rPr>
      </w:pPr>
      <w:r>
        <w:rPr>
          <w:rFonts w:hint="eastAsia" w:hAnsi="宋体" w:cs="宋体"/>
          <w:szCs w:val="21"/>
        </w:rPr>
        <w:t>5.乙方每周提供一次农副产品目录，为甲方了解掌握市场行情和农副产品上新情况提供</w:t>
      </w:r>
    </w:p>
    <w:p w14:paraId="1EAD845D">
      <w:pPr>
        <w:pStyle w:val="26"/>
        <w:snapToGrid w:val="0"/>
        <w:spacing w:line="360" w:lineRule="auto"/>
        <w:rPr>
          <w:rFonts w:hAnsi="宋体" w:cs="宋体"/>
          <w:szCs w:val="21"/>
        </w:rPr>
      </w:pPr>
      <w:r>
        <w:rPr>
          <w:rFonts w:hint="eastAsia" w:hAnsi="宋体" w:cs="宋体"/>
          <w:szCs w:val="21"/>
        </w:rPr>
        <w:t>参考。</w:t>
      </w:r>
    </w:p>
    <w:p w14:paraId="282CF858">
      <w:pPr>
        <w:pStyle w:val="26"/>
        <w:snapToGrid w:val="0"/>
        <w:spacing w:line="360" w:lineRule="auto"/>
        <w:ind w:firstLine="420" w:firstLineChars="200"/>
        <w:rPr>
          <w:rFonts w:hAnsi="宋体" w:cs="宋体"/>
          <w:szCs w:val="21"/>
        </w:rPr>
      </w:pPr>
      <w:r>
        <w:rPr>
          <w:rFonts w:hint="eastAsia" w:hAnsi="宋体" w:cs="宋体"/>
          <w:szCs w:val="21"/>
        </w:rPr>
        <w:t>6.乙方配送的肉类、禽类必须出具动物防疫检疫部门的相关证明。</w:t>
      </w:r>
    </w:p>
    <w:p w14:paraId="7D8B1DE7">
      <w:pPr>
        <w:pStyle w:val="26"/>
        <w:snapToGrid w:val="0"/>
        <w:spacing w:line="360" w:lineRule="auto"/>
        <w:ind w:firstLine="420" w:firstLineChars="200"/>
        <w:rPr>
          <w:rFonts w:hAnsi="宋体" w:cs="宋体"/>
          <w:szCs w:val="21"/>
        </w:rPr>
      </w:pPr>
      <w:r>
        <w:rPr>
          <w:rFonts w:hint="eastAsia" w:hAnsi="宋体" w:cs="宋体"/>
          <w:szCs w:val="21"/>
        </w:rPr>
        <w:t>7.乙方提供的发票必须是由国家税务部门领取的正规票据，并且发票单位名称和乙方公</w:t>
      </w:r>
    </w:p>
    <w:p w14:paraId="6895CD2F">
      <w:pPr>
        <w:pStyle w:val="26"/>
        <w:snapToGrid w:val="0"/>
        <w:spacing w:line="360" w:lineRule="auto"/>
        <w:rPr>
          <w:rFonts w:hAnsi="宋体" w:cs="宋体"/>
          <w:szCs w:val="21"/>
        </w:rPr>
      </w:pPr>
      <w:r>
        <w:rPr>
          <w:rFonts w:hint="eastAsia" w:hAnsi="宋体" w:cs="宋体"/>
          <w:szCs w:val="21"/>
        </w:rPr>
        <w:t>司名称要一致。</w:t>
      </w:r>
    </w:p>
    <w:p w14:paraId="1F399669">
      <w:pPr>
        <w:pStyle w:val="26"/>
        <w:snapToGrid w:val="0"/>
        <w:spacing w:line="360" w:lineRule="auto"/>
        <w:ind w:firstLine="420" w:firstLineChars="200"/>
        <w:rPr>
          <w:rFonts w:hAnsi="宋体" w:cs="宋体"/>
          <w:szCs w:val="21"/>
        </w:rPr>
      </w:pPr>
      <w:r>
        <w:rPr>
          <w:rFonts w:hint="eastAsia" w:hAnsi="宋体" w:cs="宋体"/>
          <w:szCs w:val="21"/>
        </w:rPr>
        <w:t>8.乙方与甲方工作人员不能有任何非正常经济来往， 一旦发现立即解除合同。</w:t>
      </w:r>
    </w:p>
    <w:p w14:paraId="6BA4A803">
      <w:pPr>
        <w:pStyle w:val="26"/>
        <w:snapToGrid w:val="0"/>
        <w:spacing w:line="360" w:lineRule="auto"/>
        <w:ind w:firstLine="420" w:firstLineChars="200"/>
        <w:rPr>
          <w:rFonts w:hAnsi="宋体" w:cs="宋体"/>
          <w:szCs w:val="21"/>
        </w:rPr>
      </w:pPr>
      <w:r>
        <w:rPr>
          <w:rFonts w:hint="eastAsia" w:hAnsi="宋体" w:cs="宋体"/>
          <w:szCs w:val="21"/>
        </w:rPr>
        <w:t>9.乙方提供的冷链装置要达到冻品的标准温度和冷藏保鲜温度。</w:t>
      </w:r>
    </w:p>
    <w:p w14:paraId="6384321A">
      <w:pPr>
        <w:pStyle w:val="26"/>
        <w:snapToGrid w:val="0"/>
        <w:spacing w:line="360" w:lineRule="auto"/>
        <w:ind w:firstLine="420" w:firstLineChars="200"/>
        <w:rPr>
          <w:rFonts w:hAnsi="宋体" w:cs="宋体"/>
          <w:szCs w:val="21"/>
        </w:rPr>
      </w:pPr>
      <w:r>
        <w:rPr>
          <w:rFonts w:hint="eastAsia" w:hAnsi="宋体" w:cs="宋体"/>
          <w:szCs w:val="21"/>
        </w:rPr>
        <w:t>10.遇特殊情况，乙方有义务服从甲方紧急制订的相关防控要求。</w:t>
      </w:r>
    </w:p>
    <w:p w14:paraId="2812C790">
      <w:pPr>
        <w:pStyle w:val="26"/>
        <w:snapToGrid w:val="0"/>
        <w:spacing w:line="360" w:lineRule="auto"/>
        <w:ind w:firstLine="420" w:firstLineChars="200"/>
        <w:rPr>
          <w:rFonts w:hAnsi="宋体" w:cs="宋体"/>
          <w:szCs w:val="21"/>
        </w:rPr>
      </w:pPr>
      <w:r>
        <w:rPr>
          <w:rFonts w:hint="eastAsia" w:hAnsi="宋体" w:cs="宋体"/>
          <w:szCs w:val="21"/>
        </w:rPr>
        <w:t>11.乙方根据甲方要求，提供固定车辆牌号及配送人员名单。</w:t>
      </w:r>
    </w:p>
    <w:p w14:paraId="2E36C6B0">
      <w:pPr>
        <w:pStyle w:val="9"/>
        <w:tabs>
          <w:tab w:val="left" w:pos="297"/>
          <w:tab w:val="left" w:pos="900"/>
        </w:tabs>
        <w:spacing w:line="360" w:lineRule="auto"/>
        <w:ind w:firstLine="406" w:firstLineChars="200"/>
        <w:outlineLvl w:val="0"/>
        <w:rPr>
          <w:rFonts w:hAnsi="宋体" w:cs="宋体"/>
          <w:b/>
          <w:bCs/>
          <w:sz w:val="21"/>
          <w:szCs w:val="21"/>
        </w:rPr>
      </w:pPr>
      <w:r>
        <w:rPr>
          <w:rFonts w:hint="eastAsia" w:hAnsi="宋体" w:cs="宋体"/>
          <w:b/>
          <w:bCs/>
          <w:sz w:val="21"/>
          <w:szCs w:val="21"/>
        </w:rPr>
        <w:t>四、违约责任</w:t>
      </w:r>
    </w:p>
    <w:p w14:paraId="0E513D8D">
      <w:pPr>
        <w:pStyle w:val="26"/>
        <w:snapToGrid w:val="0"/>
        <w:spacing w:line="360" w:lineRule="auto"/>
        <w:ind w:firstLine="420" w:firstLineChars="200"/>
        <w:rPr>
          <w:rFonts w:hAnsi="宋体" w:cs="宋体"/>
          <w:szCs w:val="21"/>
        </w:rPr>
      </w:pPr>
      <w:r>
        <w:rPr>
          <w:rFonts w:hint="eastAsia" w:hAnsi="宋体" w:cs="宋体"/>
          <w:szCs w:val="21"/>
        </w:rPr>
        <w:t>1、乙方工作失职造成安全责任事故、产生恶劣社会影响、或致甲方受到上级部门批评的，甲方有权单方面解除合同，造成甲方经济损失的，乙方应给予甲方经济赔偿，并有权要求乙方承担人民币壹拾万元的违约金，如无法弥补甲方损失的，乙方应继续承担赔偿责任。</w:t>
      </w:r>
    </w:p>
    <w:p w14:paraId="4E325B22">
      <w:pPr>
        <w:pStyle w:val="26"/>
        <w:snapToGrid w:val="0"/>
        <w:spacing w:line="360" w:lineRule="auto"/>
        <w:ind w:firstLine="420" w:firstLineChars="200"/>
        <w:rPr>
          <w:rFonts w:hAnsi="宋体" w:cs="宋体"/>
          <w:szCs w:val="21"/>
        </w:rPr>
      </w:pPr>
      <w:r>
        <w:rPr>
          <w:rFonts w:hint="eastAsia" w:hAnsi="宋体" w:cs="宋体"/>
          <w:szCs w:val="21"/>
        </w:rPr>
        <w:t>2、乙方未能达到约定的管理目标，或配备的人员未达到要求，经在甲方提出整改要求的2个工作日内整改仍不符合合同约定的，甲方有权解除合同，并有权要求乙方承担人民币壹拾万元的违约金，如违约金不能弥补甲方的损失的，甲方有权要求乙方继续承担赔偿责任。</w:t>
      </w:r>
    </w:p>
    <w:p w14:paraId="60B9665E">
      <w:pPr>
        <w:pStyle w:val="26"/>
        <w:snapToGrid w:val="0"/>
        <w:spacing w:line="360" w:lineRule="auto"/>
        <w:ind w:firstLine="420" w:firstLineChars="200"/>
        <w:rPr>
          <w:rFonts w:hAnsi="宋体" w:cs="宋体"/>
          <w:szCs w:val="21"/>
        </w:rPr>
      </w:pPr>
      <w:r>
        <w:rPr>
          <w:rFonts w:hint="eastAsia" w:hAnsi="宋体" w:cs="宋体"/>
          <w:szCs w:val="21"/>
        </w:rPr>
        <w:t>3、在乙方无违约情况下，如甲方迟延支付乙方费用，则以应付未付金额为基数，按全国银行间同业拆借中心公布的贷款市场报价利率计算逾期付款违约金，逾期违约金累计不超过1000元。</w:t>
      </w:r>
    </w:p>
    <w:p w14:paraId="5D05FAB7">
      <w:pPr>
        <w:widowControl/>
        <w:spacing w:line="360" w:lineRule="auto"/>
        <w:ind w:firstLine="420" w:firstLineChars="200"/>
        <w:contextualSpacing/>
        <w:rPr>
          <w:rFonts w:ascii="宋体" w:hAnsi="宋体" w:cs="宋体"/>
          <w:szCs w:val="21"/>
        </w:rPr>
      </w:pPr>
      <w:r>
        <w:rPr>
          <w:rFonts w:hint="eastAsia" w:ascii="宋体" w:hAnsi="宋体" w:cs="宋体"/>
          <w:szCs w:val="21"/>
        </w:rPr>
        <w:t>4.乙方在供货过程中存在质量问题的需在2小时内更换、补充到位，若2小时内无法完成更换、补充到位的，出现一次扣除履约保证金的500元/次，出现5次（含）的甲方有权解除合同。若造成的损失由中标人承担。</w:t>
      </w:r>
    </w:p>
    <w:p w14:paraId="38458C66">
      <w:pPr>
        <w:pStyle w:val="26"/>
        <w:snapToGrid w:val="0"/>
        <w:spacing w:line="360" w:lineRule="auto"/>
        <w:ind w:firstLine="420" w:firstLineChars="200"/>
        <w:rPr>
          <w:rFonts w:hAnsi="宋体" w:cs="宋体"/>
          <w:szCs w:val="21"/>
        </w:rPr>
      </w:pPr>
      <w:r>
        <w:rPr>
          <w:rFonts w:hint="eastAsia" w:hAnsi="宋体" w:cs="宋体"/>
          <w:szCs w:val="21"/>
        </w:rPr>
        <w:t xml:space="preserve">5、本合同任意一方违反合同约定，经守约方催告在 </w:t>
      </w:r>
      <w:r>
        <w:rPr>
          <w:rFonts w:hint="eastAsia" w:hAnsi="宋体" w:cs="宋体"/>
          <w:szCs w:val="21"/>
          <w:u w:val="single"/>
        </w:rPr>
        <w:t xml:space="preserve">5 </w:t>
      </w:r>
      <w:r>
        <w:rPr>
          <w:rFonts w:hint="eastAsia" w:hAnsi="宋体" w:cs="宋体"/>
          <w:szCs w:val="21"/>
        </w:rPr>
        <w:t>个工作日内仍未改正的，守约方有权解除本合同，并有权要求违约方承担人民币伍万元的违约金，如无法弥补对方的经济损失的，应继续承担赔偿责任。</w:t>
      </w:r>
    </w:p>
    <w:p w14:paraId="2D4BF1DC">
      <w:pPr>
        <w:pStyle w:val="26"/>
        <w:snapToGrid w:val="0"/>
        <w:spacing w:line="360" w:lineRule="auto"/>
        <w:ind w:firstLine="420" w:firstLineChars="200"/>
        <w:rPr>
          <w:rFonts w:hAnsi="宋体" w:cs="宋体"/>
          <w:szCs w:val="21"/>
        </w:rPr>
      </w:pPr>
      <w:r>
        <w:rPr>
          <w:rFonts w:hint="eastAsia" w:hAnsi="宋体" w:cs="宋体"/>
          <w:szCs w:val="21"/>
        </w:rPr>
        <w:t>6.乙方在供货中严禁出现缺斤少两、以次充好或掺假等现象， 一旦发现弄虚作假，情节较轻的，扣除相应考评分。情节较重的（缺斤少两、以次充好或掺假等现象达单次送货重量10%（含）以上的），扣除全部履约保证金或解除合同。</w:t>
      </w:r>
    </w:p>
    <w:p w14:paraId="2F548EE7">
      <w:pPr>
        <w:pStyle w:val="26"/>
        <w:snapToGrid w:val="0"/>
        <w:spacing w:line="360" w:lineRule="auto"/>
        <w:ind w:firstLine="420" w:firstLineChars="200"/>
        <w:rPr>
          <w:rFonts w:hAnsi="宋体" w:cs="宋体"/>
          <w:szCs w:val="21"/>
        </w:rPr>
      </w:pPr>
      <w:r>
        <w:rPr>
          <w:rFonts w:hint="eastAsia" w:hAnsi="宋体" w:cs="宋体"/>
          <w:szCs w:val="21"/>
        </w:rPr>
        <w:t>7.乙方违反合同约定承担违约金的，由甲方从履约保证金中扣除，履约保证金不足以扣除违约金的，乙方应另行支付。</w:t>
      </w:r>
    </w:p>
    <w:p w14:paraId="06300ED2">
      <w:pPr>
        <w:pStyle w:val="26"/>
        <w:snapToGrid w:val="0"/>
        <w:spacing w:line="360" w:lineRule="auto"/>
        <w:ind w:firstLine="420" w:firstLineChars="200"/>
        <w:rPr>
          <w:rFonts w:hAnsi="宋体" w:cs="宋体"/>
          <w:szCs w:val="21"/>
        </w:rPr>
      </w:pPr>
    </w:p>
    <w:p w14:paraId="138AB702">
      <w:pPr>
        <w:pStyle w:val="9"/>
        <w:tabs>
          <w:tab w:val="left" w:pos="297"/>
          <w:tab w:val="left" w:pos="900"/>
        </w:tabs>
        <w:spacing w:line="360" w:lineRule="auto"/>
        <w:ind w:firstLine="406" w:firstLineChars="200"/>
        <w:outlineLvl w:val="0"/>
        <w:rPr>
          <w:rFonts w:hAnsi="宋体" w:cs="宋体"/>
          <w:b/>
          <w:bCs/>
          <w:sz w:val="21"/>
          <w:szCs w:val="21"/>
        </w:rPr>
      </w:pPr>
      <w:r>
        <w:rPr>
          <w:rFonts w:hint="eastAsia" w:hAnsi="宋体" w:cs="宋体"/>
          <w:b/>
          <w:bCs/>
          <w:sz w:val="21"/>
          <w:szCs w:val="21"/>
        </w:rPr>
        <w:t>五、不可抗力事件处理</w:t>
      </w:r>
    </w:p>
    <w:p w14:paraId="490F7855">
      <w:pPr>
        <w:pStyle w:val="43"/>
        <w:spacing w:before="0" w:beforeAutospacing="0" w:after="0" w:afterAutospacing="0" w:line="360" w:lineRule="auto"/>
        <w:ind w:firstLine="420" w:firstLineChars="200"/>
        <w:rPr>
          <w:rFonts w:cs="宋体"/>
          <w:sz w:val="21"/>
          <w:szCs w:val="21"/>
        </w:rPr>
      </w:pPr>
      <w:r>
        <w:rPr>
          <w:rFonts w:hint="eastAsia" w:cs="宋体"/>
          <w:sz w:val="21"/>
          <w:szCs w:val="21"/>
        </w:rPr>
        <w:t>1、在执行合同期限内，任何一方因不可抗力事件所致不能履行合同，则合同履行期可延长，延长期与不可抗力影响期相同。</w:t>
      </w:r>
    </w:p>
    <w:p w14:paraId="5DF2B78D">
      <w:pPr>
        <w:pStyle w:val="43"/>
        <w:spacing w:before="0" w:beforeAutospacing="0" w:after="0" w:afterAutospacing="0" w:line="360" w:lineRule="auto"/>
        <w:ind w:firstLine="420" w:firstLineChars="200"/>
        <w:rPr>
          <w:rFonts w:cs="宋体"/>
          <w:sz w:val="21"/>
          <w:szCs w:val="21"/>
        </w:rPr>
      </w:pPr>
      <w:r>
        <w:rPr>
          <w:rFonts w:hint="eastAsia" w:cs="宋体"/>
          <w:sz w:val="21"/>
          <w:szCs w:val="21"/>
        </w:rPr>
        <w:t>2、不可抗力事件发生后，应立即通知对方，并出具有关权威机构的证明。</w:t>
      </w:r>
    </w:p>
    <w:p w14:paraId="195CBDA2">
      <w:pPr>
        <w:pStyle w:val="43"/>
        <w:spacing w:before="0" w:beforeAutospacing="0" w:after="0" w:afterAutospacing="0" w:line="360" w:lineRule="auto"/>
        <w:ind w:firstLine="420" w:firstLineChars="200"/>
        <w:rPr>
          <w:rFonts w:cs="宋体"/>
          <w:sz w:val="21"/>
          <w:szCs w:val="21"/>
        </w:rPr>
      </w:pPr>
      <w:r>
        <w:rPr>
          <w:rFonts w:hint="eastAsia" w:cs="宋体"/>
          <w:sz w:val="21"/>
          <w:szCs w:val="21"/>
        </w:rPr>
        <w:t>3、不可抗力事件延续15天以上，双方应通过友好协商，确定是否继续履行合同。</w:t>
      </w:r>
    </w:p>
    <w:p w14:paraId="7D363DAE">
      <w:pPr>
        <w:pStyle w:val="9"/>
        <w:tabs>
          <w:tab w:val="left" w:pos="297"/>
          <w:tab w:val="left" w:pos="900"/>
        </w:tabs>
        <w:spacing w:line="360" w:lineRule="auto"/>
        <w:ind w:firstLine="406" w:firstLineChars="200"/>
        <w:outlineLvl w:val="0"/>
        <w:rPr>
          <w:rFonts w:hAnsi="宋体" w:cs="宋体"/>
          <w:b/>
          <w:bCs/>
          <w:sz w:val="21"/>
          <w:szCs w:val="21"/>
        </w:rPr>
      </w:pPr>
      <w:r>
        <w:rPr>
          <w:rFonts w:hint="eastAsia" w:hAnsi="宋体" w:cs="宋体"/>
          <w:b/>
          <w:bCs/>
          <w:sz w:val="21"/>
          <w:szCs w:val="21"/>
        </w:rPr>
        <w:t>六、合同的生效</w:t>
      </w:r>
    </w:p>
    <w:p w14:paraId="6DB6BA2B">
      <w:pPr>
        <w:pStyle w:val="26"/>
        <w:snapToGrid w:val="0"/>
        <w:spacing w:line="360" w:lineRule="auto"/>
        <w:ind w:firstLine="420" w:firstLineChars="200"/>
        <w:rPr>
          <w:rFonts w:hAnsi="宋体" w:cs="宋体"/>
          <w:szCs w:val="21"/>
        </w:rPr>
      </w:pPr>
      <w:r>
        <w:rPr>
          <w:rFonts w:hint="eastAsia" w:hAnsi="宋体" w:cs="宋体"/>
          <w:szCs w:val="21"/>
        </w:rPr>
        <w:t>本合同经甲方、乙方法定代表人或其委托人签字并加盖双方公章后生效。</w:t>
      </w:r>
    </w:p>
    <w:p w14:paraId="7AC9E133">
      <w:pPr>
        <w:pStyle w:val="225"/>
        <w:spacing w:line="360" w:lineRule="auto"/>
        <w:rPr>
          <w:rFonts w:ascii="宋体" w:hAnsi="宋体" w:cs="宋体"/>
          <w:color w:val="auto"/>
          <w:sz w:val="21"/>
          <w:szCs w:val="21"/>
        </w:rPr>
      </w:pPr>
    </w:p>
    <w:p w14:paraId="04AD0BE2">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 xml:space="preserve">甲方：                               乙方： </w:t>
      </w:r>
    </w:p>
    <w:p w14:paraId="30EB70CF">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 xml:space="preserve">地址：                               地址： </w:t>
      </w:r>
    </w:p>
    <w:p w14:paraId="7D01C6D4">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法定代表人：                         法定代表人：</w:t>
      </w:r>
    </w:p>
    <w:p w14:paraId="3F2D6E18">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或授权委托代理人：（签字）           或授权委托代理人：（签字）</w:t>
      </w:r>
    </w:p>
    <w:p w14:paraId="37DA1473">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开户行：                             开户行：</w:t>
      </w:r>
    </w:p>
    <w:p w14:paraId="5FBD30C0">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账号：                               账号：</w:t>
      </w:r>
    </w:p>
    <w:p w14:paraId="5E357940">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联系电话：                           联系电话：</w:t>
      </w:r>
    </w:p>
    <w:p w14:paraId="1833C9BB">
      <w:pPr>
        <w:autoSpaceDE w:val="0"/>
        <w:autoSpaceDN w:val="0"/>
        <w:adjustRightInd w:val="0"/>
        <w:spacing w:line="360" w:lineRule="auto"/>
        <w:ind w:firstLine="420" w:firstLineChars="200"/>
        <w:rPr>
          <w:rFonts w:ascii="宋体" w:hAnsi="宋体" w:cs="宋体"/>
          <w:szCs w:val="21"/>
        </w:rPr>
      </w:pPr>
    </w:p>
    <w:p w14:paraId="40BAA44B">
      <w:pPr>
        <w:autoSpaceDE w:val="0"/>
        <w:autoSpaceDN w:val="0"/>
        <w:adjustRightInd w:val="0"/>
        <w:spacing w:line="360" w:lineRule="auto"/>
        <w:ind w:right="480"/>
        <w:jc w:val="center"/>
        <w:rPr>
          <w:rFonts w:ascii="宋体" w:hAnsi="宋体" w:cs="宋体"/>
          <w:szCs w:val="21"/>
        </w:rPr>
      </w:pPr>
      <w:r>
        <w:rPr>
          <w:rFonts w:hint="eastAsia" w:ascii="宋体" w:hAnsi="宋体" w:cs="宋体"/>
          <w:szCs w:val="21"/>
        </w:rPr>
        <w:t xml:space="preserve">                        </w:t>
      </w:r>
    </w:p>
    <w:p w14:paraId="251B6EBD">
      <w:pPr>
        <w:autoSpaceDE w:val="0"/>
        <w:autoSpaceDN w:val="0"/>
        <w:adjustRightInd w:val="0"/>
        <w:spacing w:line="360" w:lineRule="auto"/>
        <w:ind w:right="480"/>
        <w:jc w:val="center"/>
        <w:rPr>
          <w:rFonts w:ascii="宋体" w:hAnsi="宋体" w:cs="宋体"/>
          <w:szCs w:val="21"/>
        </w:rPr>
      </w:pPr>
      <w:r>
        <w:rPr>
          <w:rFonts w:hint="eastAsia" w:ascii="宋体" w:hAnsi="宋体" w:cs="宋体"/>
          <w:szCs w:val="21"/>
        </w:rPr>
        <w:t xml:space="preserve">                                             签订地点：</w:t>
      </w:r>
    </w:p>
    <w:p w14:paraId="5E69D1AD">
      <w:pPr>
        <w:autoSpaceDE w:val="0"/>
        <w:autoSpaceDN w:val="0"/>
        <w:adjustRightInd w:val="0"/>
        <w:spacing w:line="360" w:lineRule="auto"/>
        <w:jc w:val="right"/>
        <w:rPr>
          <w:rFonts w:ascii="仿宋" w:hAnsi="仿宋" w:eastAsia="仿宋" w:cs="仿宋"/>
          <w:sz w:val="24"/>
        </w:rPr>
      </w:pPr>
      <w:r>
        <w:rPr>
          <w:rFonts w:hint="eastAsia" w:ascii="宋体" w:hAnsi="宋体" w:cs="宋体"/>
          <w:szCs w:val="21"/>
        </w:rPr>
        <w:t>签订日期：      年   月   日</w:t>
      </w:r>
    </w:p>
    <w:p w14:paraId="7DA0B98A">
      <w:pPr>
        <w:pStyle w:val="58"/>
        <w:rPr>
          <w:rFonts w:ascii="宋体" w:hAnsi="宋体" w:cs="宋体"/>
        </w:rPr>
      </w:pPr>
    </w:p>
    <w:p w14:paraId="48899A6B">
      <w:pPr>
        <w:pStyle w:val="58"/>
      </w:pPr>
    </w:p>
    <w:p w14:paraId="0DC9F249">
      <w:pPr>
        <w:pStyle w:val="58"/>
      </w:pPr>
    </w:p>
    <w:p w14:paraId="56DA0019">
      <w:pPr>
        <w:pStyle w:val="58"/>
      </w:pPr>
    </w:p>
    <w:p w14:paraId="2CD8DA6A">
      <w:pPr>
        <w:pStyle w:val="58"/>
      </w:pPr>
    </w:p>
    <w:p w14:paraId="45A4D1D6">
      <w:pPr>
        <w:pStyle w:val="58"/>
      </w:pPr>
    </w:p>
    <w:p w14:paraId="47555FF4">
      <w:pPr>
        <w:pStyle w:val="58"/>
      </w:pPr>
    </w:p>
    <w:p w14:paraId="5177A78A">
      <w:pPr>
        <w:pStyle w:val="58"/>
      </w:pPr>
    </w:p>
    <w:p w14:paraId="3DBA9209">
      <w:pPr>
        <w:pStyle w:val="58"/>
      </w:pPr>
    </w:p>
    <w:p w14:paraId="33CFC35C">
      <w:pPr>
        <w:pStyle w:val="58"/>
      </w:pPr>
    </w:p>
    <w:p w14:paraId="500811A1">
      <w:pPr>
        <w:pStyle w:val="58"/>
      </w:pPr>
    </w:p>
    <w:p w14:paraId="4C43D602">
      <w:pPr>
        <w:pStyle w:val="58"/>
      </w:pPr>
    </w:p>
    <w:p w14:paraId="78F1A7CD">
      <w:pPr>
        <w:pStyle w:val="58"/>
      </w:pPr>
    </w:p>
    <w:p w14:paraId="468D1652">
      <w:pPr>
        <w:pStyle w:val="58"/>
      </w:pPr>
    </w:p>
    <w:p w14:paraId="6519FF8B">
      <w:pPr>
        <w:pStyle w:val="58"/>
      </w:pPr>
    </w:p>
    <w:p w14:paraId="1F58F828">
      <w:pPr>
        <w:pStyle w:val="58"/>
      </w:pPr>
    </w:p>
    <w:p w14:paraId="62BEEB7E">
      <w:pPr>
        <w:pStyle w:val="58"/>
      </w:pPr>
    </w:p>
    <w:p w14:paraId="4692BA0F">
      <w:pPr>
        <w:pStyle w:val="58"/>
      </w:pPr>
    </w:p>
    <w:p w14:paraId="3D3B8C25">
      <w:pPr>
        <w:pStyle w:val="58"/>
      </w:pPr>
    </w:p>
    <w:p w14:paraId="7CC9E116">
      <w:pPr>
        <w:pStyle w:val="58"/>
      </w:pPr>
    </w:p>
    <w:p w14:paraId="746C9EF4">
      <w:pPr>
        <w:pStyle w:val="58"/>
      </w:pPr>
    </w:p>
    <w:p w14:paraId="2C92CB3D">
      <w:pPr>
        <w:pStyle w:val="58"/>
      </w:pPr>
    </w:p>
    <w:p w14:paraId="2E460F4B">
      <w:pPr>
        <w:pStyle w:val="58"/>
      </w:pPr>
    </w:p>
    <w:p w14:paraId="3D5F1C51">
      <w:pPr>
        <w:pStyle w:val="58"/>
      </w:pPr>
    </w:p>
    <w:p w14:paraId="2D1D9D30">
      <w:pPr>
        <w:pStyle w:val="58"/>
      </w:pPr>
    </w:p>
    <w:p w14:paraId="4724C467">
      <w:pPr>
        <w:pStyle w:val="58"/>
      </w:pPr>
    </w:p>
    <w:p w14:paraId="5007DE6C">
      <w:pPr>
        <w:pStyle w:val="58"/>
      </w:pPr>
      <w:r>
        <w:rPr>
          <w:rFonts w:hint="eastAsia"/>
        </w:rPr>
        <w:t>附件</w:t>
      </w:r>
    </w:p>
    <w:p w14:paraId="01CF3AF8">
      <w:pPr>
        <w:snapToGrid w:val="0"/>
        <w:spacing w:line="460" w:lineRule="exact"/>
        <w:jc w:val="center"/>
        <w:rPr>
          <w:rFonts w:eastAsia="新宋体"/>
          <w:b/>
          <w:sz w:val="22"/>
          <w:szCs w:val="22"/>
        </w:rPr>
      </w:pPr>
      <w:r>
        <w:rPr>
          <w:rFonts w:eastAsia="新宋体"/>
          <w:b/>
          <w:sz w:val="22"/>
          <w:szCs w:val="22"/>
        </w:rPr>
        <w:t>食材供应商评价表</w:t>
      </w:r>
    </w:p>
    <w:p w14:paraId="573F97D7">
      <w:pPr>
        <w:snapToGrid w:val="0"/>
        <w:spacing w:line="460" w:lineRule="exact"/>
        <w:jc w:val="left"/>
        <w:rPr>
          <w:rFonts w:eastAsia="新宋体"/>
          <w:sz w:val="22"/>
          <w:szCs w:val="22"/>
        </w:rPr>
      </w:pPr>
      <w:r>
        <w:rPr>
          <w:rFonts w:eastAsia="新宋体"/>
          <w:sz w:val="22"/>
          <w:szCs w:val="22"/>
        </w:rPr>
        <w:t>供应商名称：                                                        月度：</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7"/>
        <w:gridCol w:w="6371"/>
        <w:gridCol w:w="881"/>
      </w:tblGrid>
      <w:tr w14:paraId="7F52E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44" w:type="pct"/>
            <w:tcBorders>
              <w:top w:val="single" w:color="auto" w:sz="4" w:space="0"/>
              <w:left w:val="single" w:color="auto" w:sz="4" w:space="0"/>
              <w:bottom w:val="single" w:color="auto" w:sz="4" w:space="0"/>
              <w:right w:val="single" w:color="auto" w:sz="4" w:space="0"/>
            </w:tcBorders>
            <w:vAlign w:val="center"/>
          </w:tcPr>
          <w:p w14:paraId="34CA1A4C">
            <w:pPr>
              <w:snapToGrid w:val="0"/>
              <w:spacing w:line="460" w:lineRule="exact"/>
              <w:jc w:val="center"/>
              <w:rPr>
                <w:rFonts w:eastAsia="新宋体"/>
                <w:sz w:val="22"/>
                <w:szCs w:val="22"/>
              </w:rPr>
            </w:pPr>
            <w:r>
              <w:rPr>
                <w:rFonts w:eastAsia="新宋体"/>
                <w:sz w:val="22"/>
                <w:szCs w:val="22"/>
              </w:rPr>
              <w:t>评价指标</w:t>
            </w:r>
          </w:p>
        </w:tc>
        <w:tc>
          <w:tcPr>
            <w:tcW w:w="3738" w:type="pct"/>
            <w:tcBorders>
              <w:top w:val="single" w:color="auto" w:sz="4" w:space="0"/>
              <w:left w:val="single" w:color="auto" w:sz="4" w:space="0"/>
              <w:bottom w:val="single" w:color="auto" w:sz="4" w:space="0"/>
              <w:right w:val="single" w:color="auto" w:sz="4" w:space="0"/>
            </w:tcBorders>
            <w:vAlign w:val="center"/>
          </w:tcPr>
          <w:p w14:paraId="0A8C6115">
            <w:pPr>
              <w:snapToGrid w:val="0"/>
              <w:spacing w:line="460" w:lineRule="exact"/>
              <w:jc w:val="center"/>
              <w:rPr>
                <w:rFonts w:eastAsia="新宋体"/>
                <w:sz w:val="22"/>
                <w:szCs w:val="22"/>
              </w:rPr>
            </w:pPr>
            <w:r>
              <w:rPr>
                <w:rFonts w:eastAsia="新宋体"/>
                <w:sz w:val="22"/>
                <w:szCs w:val="22"/>
              </w:rPr>
              <w:t>评价细则</w:t>
            </w:r>
          </w:p>
        </w:tc>
        <w:tc>
          <w:tcPr>
            <w:tcW w:w="516" w:type="pct"/>
            <w:tcBorders>
              <w:top w:val="single" w:color="auto" w:sz="4" w:space="0"/>
              <w:left w:val="single" w:color="auto" w:sz="4" w:space="0"/>
              <w:bottom w:val="single" w:color="auto" w:sz="4" w:space="0"/>
              <w:right w:val="single" w:color="auto" w:sz="4" w:space="0"/>
            </w:tcBorders>
            <w:vAlign w:val="center"/>
          </w:tcPr>
          <w:p w14:paraId="6AA9E09D">
            <w:pPr>
              <w:snapToGrid w:val="0"/>
              <w:spacing w:line="460" w:lineRule="exact"/>
              <w:jc w:val="center"/>
              <w:rPr>
                <w:rFonts w:eastAsia="新宋体"/>
                <w:sz w:val="22"/>
                <w:szCs w:val="22"/>
              </w:rPr>
            </w:pPr>
            <w:r>
              <w:rPr>
                <w:rFonts w:eastAsia="新宋体"/>
                <w:sz w:val="22"/>
                <w:szCs w:val="22"/>
              </w:rPr>
              <w:t>扣分</w:t>
            </w:r>
          </w:p>
        </w:tc>
      </w:tr>
      <w:tr w14:paraId="0036E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44" w:type="pct"/>
            <w:vMerge w:val="restart"/>
            <w:tcBorders>
              <w:top w:val="single" w:color="auto" w:sz="4" w:space="0"/>
              <w:left w:val="single" w:color="auto" w:sz="4" w:space="0"/>
              <w:right w:val="single" w:color="auto" w:sz="4" w:space="0"/>
            </w:tcBorders>
            <w:vAlign w:val="center"/>
          </w:tcPr>
          <w:p w14:paraId="4AEFA7C8">
            <w:pPr>
              <w:snapToGrid w:val="0"/>
              <w:spacing w:line="460" w:lineRule="exact"/>
              <w:jc w:val="center"/>
              <w:rPr>
                <w:rFonts w:eastAsia="新宋体"/>
                <w:sz w:val="22"/>
                <w:szCs w:val="22"/>
              </w:rPr>
            </w:pPr>
            <w:r>
              <w:rPr>
                <w:rFonts w:eastAsia="新宋体"/>
                <w:sz w:val="22"/>
                <w:szCs w:val="22"/>
              </w:rPr>
              <w:t>流程管理（30分）</w:t>
            </w:r>
          </w:p>
        </w:tc>
        <w:tc>
          <w:tcPr>
            <w:tcW w:w="3738" w:type="pct"/>
            <w:tcBorders>
              <w:top w:val="single" w:color="auto" w:sz="4" w:space="0"/>
              <w:left w:val="single" w:color="auto" w:sz="4" w:space="0"/>
              <w:bottom w:val="single" w:color="auto" w:sz="4" w:space="0"/>
              <w:right w:val="single" w:color="auto" w:sz="4" w:space="0"/>
            </w:tcBorders>
            <w:vAlign w:val="center"/>
          </w:tcPr>
          <w:p w14:paraId="40809CCE">
            <w:pPr>
              <w:snapToGrid w:val="0"/>
              <w:spacing w:line="460" w:lineRule="exact"/>
              <w:jc w:val="left"/>
              <w:rPr>
                <w:rFonts w:eastAsia="新宋体"/>
                <w:sz w:val="22"/>
                <w:szCs w:val="22"/>
              </w:rPr>
            </w:pPr>
            <w:r>
              <w:rPr>
                <w:rFonts w:eastAsia="新宋体"/>
                <w:sz w:val="22"/>
                <w:szCs w:val="22"/>
              </w:rPr>
              <w:t>准时送货（15分）：每</w:t>
            </w:r>
            <w:r>
              <w:rPr>
                <w:rFonts w:hint="eastAsia" w:eastAsia="新宋体"/>
                <w:sz w:val="22"/>
                <w:szCs w:val="22"/>
              </w:rPr>
              <w:t>周</w:t>
            </w:r>
            <w:r>
              <w:rPr>
                <w:rFonts w:eastAsia="新宋体"/>
                <w:sz w:val="22"/>
                <w:szCs w:val="22"/>
              </w:rPr>
              <w:t>根据配送响应时间、应急供应情况等内容进行评价，未准时送货，非不可抗拒情况下延误一次扣3分，超出约定时间2小时以上的，或拒绝提供应急供应的，每出现一次，扣10分(以此类推，扣完为止)。</w:t>
            </w:r>
          </w:p>
        </w:tc>
        <w:tc>
          <w:tcPr>
            <w:tcW w:w="516" w:type="pct"/>
            <w:tcBorders>
              <w:top w:val="single" w:color="auto" w:sz="4" w:space="0"/>
              <w:left w:val="single" w:color="auto" w:sz="4" w:space="0"/>
              <w:right w:val="single" w:color="auto" w:sz="4" w:space="0"/>
            </w:tcBorders>
            <w:vAlign w:val="center"/>
          </w:tcPr>
          <w:p w14:paraId="59D8D3F8">
            <w:pPr>
              <w:snapToGrid w:val="0"/>
              <w:spacing w:line="460" w:lineRule="exact"/>
              <w:jc w:val="left"/>
              <w:rPr>
                <w:rFonts w:eastAsia="新宋体"/>
                <w:sz w:val="22"/>
                <w:szCs w:val="22"/>
              </w:rPr>
            </w:pPr>
          </w:p>
        </w:tc>
      </w:tr>
      <w:tr w14:paraId="23B1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44" w:type="pct"/>
            <w:vMerge w:val="continue"/>
            <w:tcBorders>
              <w:top w:val="single" w:color="auto" w:sz="4" w:space="0"/>
              <w:left w:val="single" w:color="auto" w:sz="4" w:space="0"/>
              <w:right w:val="single" w:color="auto" w:sz="4" w:space="0"/>
            </w:tcBorders>
            <w:vAlign w:val="center"/>
          </w:tcPr>
          <w:p w14:paraId="023639DD">
            <w:pPr>
              <w:snapToGrid w:val="0"/>
              <w:spacing w:line="460" w:lineRule="exact"/>
              <w:jc w:val="center"/>
              <w:rPr>
                <w:rFonts w:eastAsia="新宋体"/>
                <w:sz w:val="22"/>
                <w:szCs w:val="22"/>
              </w:rPr>
            </w:pPr>
          </w:p>
        </w:tc>
        <w:tc>
          <w:tcPr>
            <w:tcW w:w="3738" w:type="pct"/>
            <w:tcBorders>
              <w:top w:val="single" w:color="auto" w:sz="4" w:space="0"/>
              <w:left w:val="single" w:color="auto" w:sz="4" w:space="0"/>
              <w:bottom w:val="single" w:color="auto" w:sz="4" w:space="0"/>
              <w:right w:val="single" w:color="auto" w:sz="4" w:space="0"/>
            </w:tcBorders>
            <w:vAlign w:val="center"/>
          </w:tcPr>
          <w:p w14:paraId="50EFA5F9">
            <w:pPr>
              <w:snapToGrid w:val="0"/>
              <w:spacing w:line="460" w:lineRule="exact"/>
              <w:jc w:val="left"/>
              <w:rPr>
                <w:rFonts w:eastAsia="新宋体"/>
                <w:sz w:val="22"/>
                <w:szCs w:val="22"/>
              </w:rPr>
            </w:pPr>
            <w:r>
              <w:rPr>
                <w:rFonts w:eastAsia="新宋体"/>
                <w:sz w:val="22"/>
                <w:szCs w:val="22"/>
              </w:rPr>
              <w:t>服务态度（6分）：工作人员工作认真，服务热情周到，运送搬装文明(运送人员野蛮运装或无正当理由与食堂人员争执，每出现一次，扣3分，以此类推，扣完为止)；</w:t>
            </w:r>
          </w:p>
        </w:tc>
        <w:tc>
          <w:tcPr>
            <w:tcW w:w="516" w:type="pct"/>
            <w:tcBorders>
              <w:top w:val="single" w:color="auto" w:sz="4" w:space="0"/>
              <w:left w:val="single" w:color="auto" w:sz="4" w:space="0"/>
              <w:right w:val="single" w:color="auto" w:sz="4" w:space="0"/>
            </w:tcBorders>
            <w:vAlign w:val="center"/>
          </w:tcPr>
          <w:p w14:paraId="70380A49">
            <w:pPr>
              <w:snapToGrid w:val="0"/>
              <w:spacing w:line="460" w:lineRule="exact"/>
              <w:jc w:val="left"/>
              <w:rPr>
                <w:rFonts w:eastAsia="新宋体"/>
                <w:sz w:val="22"/>
                <w:szCs w:val="22"/>
              </w:rPr>
            </w:pPr>
          </w:p>
        </w:tc>
      </w:tr>
      <w:tr w14:paraId="6ACCD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44" w:type="pct"/>
            <w:vMerge w:val="continue"/>
            <w:tcBorders>
              <w:top w:val="single" w:color="auto" w:sz="4" w:space="0"/>
              <w:left w:val="single" w:color="auto" w:sz="4" w:space="0"/>
              <w:right w:val="single" w:color="auto" w:sz="4" w:space="0"/>
            </w:tcBorders>
            <w:vAlign w:val="center"/>
          </w:tcPr>
          <w:p w14:paraId="552C46CB">
            <w:pPr>
              <w:snapToGrid w:val="0"/>
              <w:spacing w:line="460" w:lineRule="exact"/>
              <w:jc w:val="center"/>
              <w:rPr>
                <w:rFonts w:eastAsia="新宋体"/>
                <w:sz w:val="22"/>
                <w:szCs w:val="22"/>
              </w:rPr>
            </w:pPr>
          </w:p>
        </w:tc>
        <w:tc>
          <w:tcPr>
            <w:tcW w:w="3738" w:type="pct"/>
            <w:tcBorders>
              <w:top w:val="single" w:color="auto" w:sz="4" w:space="0"/>
              <w:left w:val="single" w:color="auto" w:sz="4" w:space="0"/>
              <w:bottom w:val="single" w:color="auto" w:sz="4" w:space="0"/>
              <w:right w:val="single" w:color="auto" w:sz="4" w:space="0"/>
            </w:tcBorders>
            <w:vAlign w:val="center"/>
          </w:tcPr>
          <w:p w14:paraId="324B3D59">
            <w:pPr>
              <w:snapToGrid w:val="0"/>
              <w:spacing w:line="460" w:lineRule="exact"/>
              <w:jc w:val="left"/>
              <w:rPr>
                <w:rFonts w:eastAsia="新宋体"/>
                <w:sz w:val="22"/>
                <w:szCs w:val="22"/>
              </w:rPr>
            </w:pPr>
            <w:r>
              <w:rPr>
                <w:rFonts w:eastAsia="新宋体"/>
                <w:sz w:val="22"/>
                <w:szCs w:val="22"/>
              </w:rPr>
              <w:t>工作细致（6分）：配送物品清单与实际配送无差错，出现差错一次，扣3分，以此类推，扣完为止)；</w:t>
            </w:r>
          </w:p>
        </w:tc>
        <w:tc>
          <w:tcPr>
            <w:tcW w:w="516" w:type="pct"/>
            <w:tcBorders>
              <w:top w:val="single" w:color="auto" w:sz="4" w:space="0"/>
              <w:left w:val="single" w:color="auto" w:sz="4" w:space="0"/>
              <w:right w:val="single" w:color="auto" w:sz="4" w:space="0"/>
            </w:tcBorders>
            <w:vAlign w:val="center"/>
          </w:tcPr>
          <w:p w14:paraId="3C793801">
            <w:pPr>
              <w:snapToGrid w:val="0"/>
              <w:spacing w:line="460" w:lineRule="exact"/>
              <w:jc w:val="left"/>
              <w:rPr>
                <w:rFonts w:eastAsia="新宋体"/>
                <w:sz w:val="22"/>
                <w:szCs w:val="22"/>
              </w:rPr>
            </w:pPr>
          </w:p>
        </w:tc>
      </w:tr>
      <w:tr w14:paraId="79B8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44" w:type="pct"/>
            <w:vMerge w:val="continue"/>
            <w:tcBorders>
              <w:top w:val="single" w:color="auto" w:sz="4" w:space="0"/>
              <w:left w:val="single" w:color="auto" w:sz="4" w:space="0"/>
              <w:right w:val="single" w:color="auto" w:sz="4" w:space="0"/>
            </w:tcBorders>
            <w:vAlign w:val="center"/>
          </w:tcPr>
          <w:p w14:paraId="4515A852">
            <w:pPr>
              <w:snapToGrid w:val="0"/>
              <w:spacing w:line="460" w:lineRule="exact"/>
              <w:jc w:val="center"/>
              <w:rPr>
                <w:rFonts w:eastAsia="新宋体"/>
                <w:sz w:val="22"/>
                <w:szCs w:val="22"/>
              </w:rPr>
            </w:pPr>
          </w:p>
        </w:tc>
        <w:tc>
          <w:tcPr>
            <w:tcW w:w="3738" w:type="pct"/>
            <w:tcBorders>
              <w:top w:val="single" w:color="auto" w:sz="4" w:space="0"/>
              <w:left w:val="single" w:color="auto" w:sz="4" w:space="0"/>
              <w:bottom w:val="single" w:color="auto" w:sz="4" w:space="0"/>
              <w:right w:val="single" w:color="auto" w:sz="4" w:space="0"/>
            </w:tcBorders>
            <w:vAlign w:val="center"/>
          </w:tcPr>
          <w:p w14:paraId="0014B5AC">
            <w:pPr>
              <w:snapToGrid w:val="0"/>
              <w:spacing w:line="460" w:lineRule="exact"/>
              <w:jc w:val="left"/>
              <w:rPr>
                <w:rFonts w:eastAsia="新宋体"/>
                <w:sz w:val="22"/>
                <w:szCs w:val="22"/>
              </w:rPr>
            </w:pPr>
            <w:r>
              <w:rPr>
                <w:rFonts w:eastAsia="新宋体"/>
                <w:sz w:val="22"/>
                <w:szCs w:val="22"/>
              </w:rPr>
              <w:t>单据清晰（3分）：送货清单（结算凭证）项目齐全，机器打印清晰得</w:t>
            </w:r>
            <w:r>
              <w:rPr>
                <w:rFonts w:hint="eastAsia" w:eastAsia="新宋体"/>
                <w:sz w:val="22"/>
                <w:szCs w:val="22"/>
              </w:rPr>
              <w:t>3</w:t>
            </w:r>
            <w:r>
              <w:rPr>
                <w:rFonts w:eastAsia="新宋体"/>
                <w:sz w:val="22"/>
                <w:szCs w:val="22"/>
              </w:rPr>
              <w:t>分，否则不得分。</w:t>
            </w:r>
          </w:p>
        </w:tc>
        <w:tc>
          <w:tcPr>
            <w:tcW w:w="516" w:type="pct"/>
            <w:tcBorders>
              <w:top w:val="single" w:color="auto" w:sz="4" w:space="0"/>
              <w:left w:val="single" w:color="auto" w:sz="4" w:space="0"/>
              <w:right w:val="single" w:color="auto" w:sz="4" w:space="0"/>
            </w:tcBorders>
            <w:vAlign w:val="center"/>
          </w:tcPr>
          <w:p w14:paraId="78BF68AF">
            <w:pPr>
              <w:snapToGrid w:val="0"/>
              <w:spacing w:line="460" w:lineRule="exact"/>
              <w:jc w:val="left"/>
              <w:rPr>
                <w:rFonts w:eastAsia="新宋体"/>
                <w:sz w:val="22"/>
                <w:szCs w:val="22"/>
              </w:rPr>
            </w:pPr>
          </w:p>
        </w:tc>
      </w:tr>
      <w:tr w14:paraId="44CA2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744" w:type="pct"/>
            <w:tcBorders>
              <w:top w:val="single" w:color="auto" w:sz="4" w:space="0"/>
              <w:left w:val="single" w:color="auto" w:sz="4" w:space="0"/>
              <w:bottom w:val="single" w:color="auto" w:sz="4" w:space="0"/>
              <w:right w:val="single" w:color="auto" w:sz="4" w:space="0"/>
            </w:tcBorders>
            <w:vAlign w:val="center"/>
          </w:tcPr>
          <w:p w14:paraId="43103605">
            <w:pPr>
              <w:snapToGrid w:val="0"/>
              <w:spacing w:line="460" w:lineRule="exact"/>
              <w:jc w:val="center"/>
              <w:rPr>
                <w:rFonts w:eastAsia="新宋体"/>
                <w:sz w:val="22"/>
                <w:szCs w:val="22"/>
              </w:rPr>
            </w:pPr>
            <w:r>
              <w:rPr>
                <w:rFonts w:eastAsia="新宋体"/>
                <w:sz w:val="22"/>
                <w:szCs w:val="22"/>
              </w:rPr>
              <w:t>质量管理</w:t>
            </w:r>
          </w:p>
          <w:p w14:paraId="2B3CDA11">
            <w:pPr>
              <w:snapToGrid w:val="0"/>
              <w:spacing w:line="460" w:lineRule="exact"/>
              <w:jc w:val="center"/>
              <w:rPr>
                <w:rFonts w:eastAsia="新宋体"/>
                <w:sz w:val="22"/>
                <w:szCs w:val="22"/>
              </w:rPr>
            </w:pPr>
            <w:r>
              <w:rPr>
                <w:rFonts w:eastAsia="新宋体"/>
                <w:sz w:val="22"/>
                <w:szCs w:val="22"/>
              </w:rPr>
              <w:t>（50分）</w:t>
            </w:r>
          </w:p>
        </w:tc>
        <w:tc>
          <w:tcPr>
            <w:tcW w:w="3738" w:type="pct"/>
            <w:tcBorders>
              <w:top w:val="single" w:color="auto" w:sz="4" w:space="0"/>
              <w:left w:val="single" w:color="auto" w:sz="4" w:space="0"/>
              <w:bottom w:val="single" w:color="auto" w:sz="4" w:space="0"/>
              <w:right w:val="single" w:color="auto" w:sz="4" w:space="0"/>
            </w:tcBorders>
            <w:vAlign w:val="center"/>
          </w:tcPr>
          <w:p w14:paraId="16B6ABF3">
            <w:pPr>
              <w:snapToGrid w:val="0"/>
              <w:spacing w:line="460" w:lineRule="exact"/>
              <w:jc w:val="left"/>
              <w:rPr>
                <w:rFonts w:eastAsia="新宋体"/>
                <w:sz w:val="22"/>
                <w:szCs w:val="22"/>
              </w:rPr>
            </w:pPr>
            <w:r>
              <w:rPr>
                <w:rFonts w:eastAsia="新宋体"/>
                <w:sz w:val="22"/>
                <w:szCs w:val="22"/>
              </w:rPr>
              <w:t>每日选10个菜品，发现一个菜品不新鲜度扣2分，每发现一个菜品不足量扣2分。</w:t>
            </w:r>
            <w:r>
              <w:rPr>
                <w:rFonts w:hint="eastAsia" w:eastAsia="新宋体"/>
                <w:sz w:val="22"/>
                <w:szCs w:val="22"/>
              </w:rPr>
              <w:t>每日进行评审每月50分，扣完为止</w:t>
            </w:r>
            <w:r>
              <w:rPr>
                <w:rFonts w:eastAsia="新宋体"/>
                <w:sz w:val="22"/>
                <w:szCs w:val="22"/>
              </w:rPr>
              <w:t>。</w:t>
            </w:r>
          </w:p>
        </w:tc>
        <w:tc>
          <w:tcPr>
            <w:tcW w:w="516" w:type="pct"/>
            <w:tcBorders>
              <w:top w:val="single" w:color="auto" w:sz="4" w:space="0"/>
              <w:left w:val="single" w:color="auto" w:sz="4" w:space="0"/>
              <w:bottom w:val="single" w:color="auto" w:sz="4" w:space="0"/>
              <w:right w:val="single" w:color="auto" w:sz="4" w:space="0"/>
            </w:tcBorders>
            <w:vAlign w:val="center"/>
          </w:tcPr>
          <w:p w14:paraId="4786336F">
            <w:pPr>
              <w:snapToGrid w:val="0"/>
              <w:spacing w:line="460" w:lineRule="exact"/>
              <w:jc w:val="left"/>
              <w:rPr>
                <w:rFonts w:eastAsia="新宋体"/>
                <w:sz w:val="22"/>
                <w:szCs w:val="22"/>
              </w:rPr>
            </w:pPr>
          </w:p>
        </w:tc>
      </w:tr>
      <w:tr w14:paraId="30AB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744" w:type="pct"/>
            <w:tcBorders>
              <w:top w:val="single" w:color="auto" w:sz="4" w:space="0"/>
              <w:left w:val="single" w:color="auto" w:sz="4" w:space="0"/>
              <w:bottom w:val="single" w:color="auto" w:sz="4" w:space="0"/>
              <w:right w:val="single" w:color="auto" w:sz="4" w:space="0"/>
            </w:tcBorders>
            <w:vAlign w:val="center"/>
          </w:tcPr>
          <w:p w14:paraId="3E79B791">
            <w:pPr>
              <w:snapToGrid w:val="0"/>
              <w:spacing w:line="460" w:lineRule="exact"/>
              <w:jc w:val="center"/>
              <w:rPr>
                <w:rFonts w:eastAsia="新宋体"/>
                <w:sz w:val="22"/>
                <w:szCs w:val="22"/>
              </w:rPr>
            </w:pPr>
            <w:r>
              <w:rPr>
                <w:rFonts w:hint="eastAsia" w:eastAsia="新宋体"/>
                <w:sz w:val="22"/>
                <w:szCs w:val="22"/>
              </w:rPr>
              <w:t>退换货（20分）</w:t>
            </w:r>
          </w:p>
        </w:tc>
        <w:tc>
          <w:tcPr>
            <w:tcW w:w="3738" w:type="pct"/>
            <w:tcBorders>
              <w:top w:val="single" w:color="auto" w:sz="4" w:space="0"/>
              <w:left w:val="single" w:color="auto" w:sz="4" w:space="0"/>
              <w:bottom w:val="single" w:color="auto" w:sz="4" w:space="0"/>
              <w:right w:val="single" w:color="auto" w:sz="4" w:space="0"/>
            </w:tcBorders>
            <w:vAlign w:val="center"/>
          </w:tcPr>
          <w:p w14:paraId="28717F3B">
            <w:pPr>
              <w:snapToGrid w:val="0"/>
              <w:spacing w:line="460" w:lineRule="exact"/>
              <w:jc w:val="left"/>
              <w:rPr>
                <w:rFonts w:eastAsia="新宋体"/>
                <w:sz w:val="22"/>
                <w:szCs w:val="22"/>
              </w:rPr>
            </w:pPr>
            <w:r>
              <w:rPr>
                <w:rFonts w:hint="eastAsia" w:eastAsia="新宋体"/>
                <w:sz w:val="22"/>
                <w:szCs w:val="22"/>
              </w:rPr>
              <w:t>退还货未按约定时间完成的发现一次扣2分。每月20分，扣完为止。</w:t>
            </w:r>
          </w:p>
        </w:tc>
        <w:tc>
          <w:tcPr>
            <w:tcW w:w="516" w:type="pct"/>
            <w:tcBorders>
              <w:top w:val="single" w:color="auto" w:sz="4" w:space="0"/>
              <w:left w:val="single" w:color="auto" w:sz="4" w:space="0"/>
              <w:bottom w:val="single" w:color="auto" w:sz="4" w:space="0"/>
              <w:right w:val="single" w:color="auto" w:sz="4" w:space="0"/>
            </w:tcBorders>
            <w:vAlign w:val="center"/>
          </w:tcPr>
          <w:p w14:paraId="41DB9970">
            <w:pPr>
              <w:snapToGrid w:val="0"/>
              <w:spacing w:line="460" w:lineRule="exact"/>
              <w:jc w:val="left"/>
              <w:rPr>
                <w:rFonts w:eastAsia="新宋体"/>
                <w:sz w:val="22"/>
                <w:szCs w:val="22"/>
              </w:rPr>
            </w:pPr>
          </w:p>
        </w:tc>
      </w:tr>
      <w:tr w14:paraId="26A6F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483" w:type="pct"/>
            <w:gridSpan w:val="2"/>
            <w:tcBorders>
              <w:top w:val="single" w:color="auto" w:sz="4" w:space="0"/>
              <w:left w:val="single" w:color="auto" w:sz="4" w:space="0"/>
              <w:bottom w:val="single" w:color="auto" w:sz="4" w:space="0"/>
              <w:right w:val="single" w:color="auto" w:sz="4" w:space="0"/>
            </w:tcBorders>
            <w:vAlign w:val="center"/>
          </w:tcPr>
          <w:p w14:paraId="32158857">
            <w:pPr>
              <w:snapToGrid w:val="0"/>
              <w:spacing w:line="460" w:lineRule="exact"/>
              <w:jc w:val="center"/>
              <w:rPr>
                <w:rFonts w:eastAsia="新宋体"/>
                <w:sz w:val="22"/>
                <w:szCs w:val="22"/>
              </w:rPr>
            </w:pPr>
            <w:r>
              <w:rPr>
                <w:rFonts w:eastAsia="新宋体"/>
                <w:sz w:val="22"/>
                <w:szCs w:val="22"/>
              </w:rPr>
              <w:t>合计得分</w:t>
            </w:r>
          </w:p>
        </w:tc>
        <w:tc>
          <w:tcPr>
            <w:tcW w:w="516" w:type="pct"/>
            <w:tcBorders>
              <w:top w:val="single" w:color="auto" w:sz="4" w:space="0"/>
              <w:left w:val="single" w:color="auto" w:sz="4" w:space="0"/>
              <w:bottom w:val="single" w:color="auto" w:sz="4" w:space="0"/>
              <w:right w:val="single" w:color="auto" w:sz="4" w:space="0"/>
            </w:tcBorders>
            <w:vAlign w:val="center"/>
          </w:tcPr>
          <w:p w14:paraId="78D136C2">
            <w:pPr>
              <w:snapToGrid w:val="0"/>
              <w:spacing w:line="460" w:lineRule="exact"/>
              <w:jc w:val="left"/>
              <w:rPr>
                <w:rFonts w:eastAsia="新宋体"/>
                <w:sz w:val="22"/>
                <w:szCs w:val="22"/>
              </w:rPr>
            </w:pPr>
          </w:p>
        </w:tc>
      </w:tr>
      <w:tr w14:paraId="010A2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5000" w:type="pct"/>
            <w:gridSpan w:val="3"/>
            <w:tcBorders>
              <w:top w:val="single" w:color="auto" w:sz="4" w:space="0"/>
              <w:left w:val="single" w:color="auto" w:sz="4" w:space="0"/>
              <w:bottom w:val="single" w:color="auto" w:sz="4" w:space="0"/>
              <w:right w:val="single" w:color="auto" w:sz="4" w:space="0"/>
            </w:tcBorders>
            <w:vAlign w:val="center"/>
          </w:tcPr>
          <w:p w14:paraId="233ABAB5">
            <w:pPr>
              <w:snapToGrid w:val="0"/>
              <w:spacing w:line="460" w:lineRule="exact"/>
              <w:rPr>
                <w:rFonts w:eastAsia="新宋体"/>
                <w:b/>
                <w:bCs/>
                <w:sz w:val="22"/>
                <w:szCs w:val="22"/>
              </w:rPr>
            </w:pPr>
            <w:r>
              <w:rPr>
                <w:rFonts w:eastAsia="新宋体"/>
                <w:b/>
                <w:bCs/>
                <w:sz w:val="22"/>
                <w:szCs w:val="22"/>
              </w:rPr>
              <w:t>扣分项目说明：</w:t>
            </w:r>
            <w:r>
              <w:rPr>
                <w:rFonts w:hint="eastAsia" w:eastAsia="新宋体"/>
                <w:b/>
                <w:bCs/>
                <w:sz w:val="22"/>
                <w:szCs w:val="22"/>
              </w:rPr>
              <w:t>中标人</w:t>
            </w:r>
            <w:r>
              <w:rPr>
                <w:rFonts w:eastAsia="新宋体"/>
                <w:b/>
                <w:bCs/>
                <w:sz w:val="22"/>
                <w:szCs w:val="22"/>
              </w:rPr>
              <w:t>如在配送期间出现上述评价问题，必须及时纠正。</w:t>
            </w:r>
          </w:p>
          <w:p w14:paraId="46D62FBD">
            <w:pPr>
              <w:snapToGrid w:val="0"/>
              <w:spacing w:line="460" w:lineRule="exact"/>
              <w:ind w:firstLine="221" w:firstLineChars="100"/>
              <w:rPr>
                <w:rFonts w:eastAsia="新宋体"/>
                <w:b/>
                <w:bCs/>
                <w:sz w:val="22"/>
                <w:szCs w:val="22"/>
              </w:rPr>
            </w:pPr>
            <w:r>
              <w:rPr>
                <w:rFonts w:eastAsia="新宋体"/>
                <w:b/>
                <w:bCs/>
                <w:sz w:val="22"/>
                <w:szCs w:val="22"/>
              </w:rPr>
              <w:t>1、</w:t>
            </w:r>
            <w:r>
              <w:rPr>
                <w:rFonts w:hint="eastAsia" w:eastAsia="新宋体"/>
                <w:b/>
                <w:bCs/>
                <w:sz w:val="22"/>
                <w:szCs w:val="22"/>
              </w:rPr>
              <w:t>一周</w:t>
            </w:r>
            <w:r>
              <w:rPr>
                <w:rFonts w:eastAsia="新宋体"/>
                <w:b/>
                <w:bCs/>
                <w:sz w:val="22"/>
                <w:szCs w:val="22"/>
              </w:rPr>
              <w:t>如评价总分低于90分（含90分），</w:t>
            </w:r>
            <w:r>
              <w:rPr>
                <w:rFonts w:hint="eastAsia" w:eastAsia="新宋体"/>
                <w:b/>
                <w:bCs/>
                <w:sz w:val="22"/>
                <w:szCs w:val="22"/>
              </w:rPr>
              <w:t>中标人</w:t>
            </w:r>
            <w:r>
              <w:rPr>
                <w:rFonts w:eastAsia="新宋体"/>
                <w:b/>
                <w:bCs/>
                <w:sz w:val="22"/>
                <w:szCs w:val="22"/>
              </w:rPr>
              <w:t>要做出书面的整改承诺：</w:t>
            </w:r>
          </w:p>
          <w:p w14:paraId="454D5D5B">
            <w:pPr>
              <w:snapToGrid w:val="0"/>
              <w:spacing w:line="460" w:lineRule="exact"/>
              <w:ind w:firstLine="221" w:firstLineChars="100"/>
              <w:rPr>
                <w:rFonts w:eastAsia="新宋体"/>
                <w:b/>
                <w:bCs/>
                <w:sz w:val="22"/>
                <w:szCs w:val="22"/>
              </w:rPr>
            </w:pPr>
            <w:r>
              <w:rPr>
                <w:rFonts w:eastAsia="新宋体"/>
                <w:b/>
                <w:bCs/>
                <w:sz w:val="22"/>
                <w:szCs w:val="22"/>
              </w:rPr>
              <w:t>2、</w:t>
            </w:r>
            <w:r>
              <w:rPr>
                <w:rFonts w:hint="eastAsia" w:eastAsia="新宋体"/>
                <w:b/>
                <w:bCs/>
                <w:sz w:val="22"/>
                <w:szCs w:val="22"/>
              </w:rPr>
              <w:t>一周</w:t>
            </w:r>
            <w:r>
              <w:rPr>
                <w:rFonts w:eastAsia="新宋体"/>
                <w:b/>
                <w:bCs/>
                <w:sz w:val="22"/>
                <w:szCs w:val="22"/>
              </w:rPr>
              <w:t>评价总分在80分-90分，扣当月结算金额的1%作为罚金；</w:t>
            </w:r>
          </w:p>
          <w:p w14:paraId="214335D5">
            <w:pPr>
              <w:snapToGrid w:val="0"/>
              <w:spacing w:line="460" w:lineRule="exact"/>
              <w:ind w:firstLine="442" w:firstLineChars="200"/>
              <w:rPr>
                <w:rFonts w:eastAsia="新宋体"/>
                <w:b/>
                <w:bCs/>
                <w:sz w:val="22"/>
                <w:szCs w:val="22"/>
              </w:rPr>
            </w:pPr>
            <w:r>
              <w:rPr>
                <w:rFonts w:hint="eastAsia" w:eastAsia="新宋体"/>
                <w:b/>
                <w:bCs/>
                <w:sz w:val="22"/>
                <w:szCs w:val="22"/>
              </w:rPr>
              <w:t>一个月内出现</w:t>
            </w:r>
            <w:r>
              <w:rPr>
                <w:rFonts w:eastAsia="新宋体"/>
                <w:b/>
                <w:bCs/>
                <w:sz w:val="22"/>
                <w:szCs w:val="22"/>
              </w:rPr>
              <w:t>二次以上（含）在80分-90分，扣当月结算金额的5%作为罚金。</w:t>
            </w:r>
          </w:p>
          <w:p w14:paraId="242830B0">
            <w:pPr>
              <w:snapToGrid w:val="0"/>
              <w:spacing w:line="460" w:lineRule="exact"/>
              <w:ind w:firstLine="221" w:firstLineChars="100"/>
              <w:rPr>
                <w:rFonts w:eastAsia="新宋体"/>
                <w:b/>
                <w:bCs/>
                <w:sz w:val="22"/>
                <w:szCs w:val="22"/>
              </w:rPr>
            </w:pPr>
            <w:r>
              <w:rPr>
                <w:rFonts w:eastAsia="新宋体"/>
                <w:b/>
                <w:bCs/>
                <w:sz w:val="22"/>
                <w:szCs w:val="22"/>
              </w:rPr>
              <w:t>3、</w:t>
            </w:r>
            <w:r>
              <w:rPr>
                <w:rFonts w:hint="eastAsia" w:eastAsia="新宋体"/>
                <w:b/>
                <w:bCs/>
                <w:sz w:val="22"/>
                <w:szCs w:val="22"/>
              </w:rPr>
              <w:t>一周</w:t>
            </w:r>
            <w:r>
              <w:rPr>
                <w:rFonts w:eastAsia="新宋体"/>
                <w:b/>
                <w:bCs/>
                <w:sz w:val="22"/>
                <w:szCs w:val="22"/>
              </w:rPr>
              <w:t>评价总分在80分以下，约谈配送公司并予以警告，并扣当月结算金额的扣5%作为罚金；</w:t>
            </w:r>
          </w:p>
          <w:p w14:paraId="7D89F1C1">
            <w:pPr>
              <w:snapToGrid w:val="0"/>
              <w:spacing w:line="460" w:lineRule="exact"/>
              <w:ind w:firstLine="221" w:firstLineChars="100"/>
              <w:rPr>
                <w:rFonts w:eastAsia="新宋体"/>
                <w:sz w:val="22"/>
                <w:szCs w:val="22"/>
              </w:rPr>
            </w:pPr>
            <w:r>
              <w:rPr>
                <w:rFonts w:hint="eastAsia" w:eastAsia="新宋体"/>
                <w:b/>
                <w:bCs/>
                <w:sz w:val="22"/>
                <w:szCs w:val="22"/>
              </w:rPr>
              <w:t>4、一个月内出现</w:t>
            </w:r>
            <w:r>
              <w:rPr>
                <w:rFonts w:eastAsia="新宋体"/>
                <w:b/>
                <w:bCs/>
                <w:sz w:val="22"/>
                <w:szCs w:val="22"/>
              </w:rPr>
              <w:t>二次及以上</w:t>
            </w:r>
            <w:r>
              <w:rPr>
                <w:rFonts w:hint="eastAsia" w:eastAsia="新宋体"/>
                <w:b/>
                <w:bCs/>
                <w:sz w:val="22"/>
                <w:szCs w:val="22"/>
              </w:rPr>
              <w:t>，</w:t>
            </w:r>
            <w:r>
              <w:rPr>
                <w:rFonts w:eastAsia="新宋体"/>
                <w:b/>
                <w:bCs/>
                <w:sz w:val="22"/>
                <w:szCs w:val="22"/>
              </w:rPr>
              <w:t>评价总分在80分以下</w:t>
            </w:r>
            <w:r>
              <w:rPr>
                <w:rFonts w:hint="eastAsia" w:eastAsia="新宋体"/>
                <w:b/>
                <w:bCs/>
                <w:sz w:val="22"/>
                <w:szCs w:val="22"/>
              </w:rPr>
              <w:t>，采购人有权解除合同。</w:t>
            </w:r>
          </w:p>
        </w:tc>
      </w:tr>
    </w:tbl>
    <w:p w14:paraId="389B6C4C">
      <w:pPr>
        <w:pStyle w:val="58"/>
      </w:pPr>
    </w:p>
    <w:p w14:paraId="1FA154E4">
      <w:pPr>
        <w:pStyle w:val="58"/>
      </w:pPr>
    </w:p>
    <w:p w14:paraId="3E564367">
      <w:pPr>
        <w:pStyle w:val="26"/>
        <w:snapToGrid w:val="0"/>
        <w:spacing w:line="360" w:lineRule="auto"/>
        <w:ind w:firstLine="420" w:firstLineChars="200"/>
        <w:jc w:val="left"/>
        <w:rPr>
          <w:rFonts w:hAnsi="宋体"/>
          <w:szCs w:val="21"/>
        </w:rPr>
      </w:pPr>
    </w:p>
    <w:bookmarkEnd w:id="252"/>
    <w:p w14:paraId="34F83611">
      <w:pPr>
        <w:pStyle w:val="6"/>
        <w:rPr>
          <w:rFonts w:ascii="宋体" w:hAnsi="宋体" w:eastAsia="宋体" w:cs="微软雅黑"/>
        </w:rPr>
      </w:pPr>
      <w:bookmarkStart w:id="258" w:name="_Toc5531"/>
      <w:bookmarkStart w:id="259" w:name="_Toc493511828"/>
      <w:r>
        <w:rPr>
          <w:rFonts w:hint="eastAsia" w:ascii="宋体" w:hAnsi="宋体" w:eastAsia="宋体" w:cs="微软雅黑"/>
        </w:rPr>
        <w:t>第六章　投标文件相关格式</w:t>
      </w:r>
      <w:bookmarkEnd w:id="258"/>
      <w:bookmarkEnd w:id="259"/>
    </w:p>
    <w:p w14:paraId="7997A184">
      <w:pPr>
        <w:spacing w:line="360" w:lineRule="auto"/>
        <w:ind w:firstLine="420" w:firstLineChars="200"/>
        <w:jc w:val="left"/>
        <w:rPr>
          <w:rFonts w:ascii="宋体" w:hAnsi="宋体"/>
          <w:szCs w:val="21"/>
        </w:rPr>
      </w:pPr>
    </w:p>
    <w:p w14:paraId="3B0A1BC2">
      <w:pPr>
        <w:spacing w:line="360" w:lineRule="auto"/>
        <w:jc w:val="center"/>
        <w:rPr>
          <w:rFonts w:ascii="宋体" w:hAnsi="宋体"/>
          <w:b/>
        </w:rPr>
      </w:pPr>
      <w:bookmarkStart w:id="260" w:name="_Toc50012909"/>
      <w:bookmarkStart w:id="261" w:name="_Toc430786287"/>
      <w:r>
        <w:rPr>
          <w:rFonts w:hint="eastAsia" w:ascii="宋体" w:hAnsi="宋体"/>
          <w:b/>
          <w:szCs w:val="21"/>
        </w:rPr>
        <w:t>浙江省嘉兴支队经济技术开发区消防救援大队2024-2025年度食堂大宗物品配送采购项目</w:t>
      </w:r>
      <w:r>
        <w:rPr>
          <w:rFonts w:hint="eastAsia" w:ascii="宋体" w:hAnsi="宋体"/>
          <w:b/>
        </w:rPr>
        <w:t xml:space="preserve"> </w:t>
      </w:r>
    </w:p>
    <w:p w14:paraId="6317DB38">
      <w:pPr>
        <w:spacing w:line="360" w:lineRule="auto"/>
        <w:jc w:val="center"/>
        <w:rPr>
          <w:rFonts w:ascii="宋体" w:hAnsi="宋体"/>
          <w:b/>
          <w:szCs w:val="21"/>
        </w:rPr>
      </w:pPr>
      <w:r>
        <w:rPr>
          <w:rFonts w:hint="eastAsia" w:ascii="宋体" w:hAnsi="宋体"/>
          <w:b/>
          <w:szCs w:val="21"/>
        </w:rPr>
        <w:t>资信商务及技术文件/报价文件</w:t>
      </w:r>
      <w:bookmarkEnd w:id="260"/>
    </w:p>
    <w:p w14:paraId="7B8D6C90">
      <w:pPr>
        <w:spacing w:line="360" w:lineRule="auto"/>
        <w:jc w:val="center"/>
        <w:rPr>
          <w:rFonts w:ascii="宋体" w:hAnsi="宋体"/>
          <w:b/>
          <w:szCs w:val="21"/>
        </w:rPr>
      </w:pPr>
      <w:bookmarkStart w:id="262" w:name="_Toc50012910"/>
      <w:r>
        <w:rPr>
          <w:rFonts w:hint="eastAsia" w:ascii="宋体" w:hAnsi="宋体"/>
          <w:b/>
          <w:szCs w:val="21"/>
        </w:rPr>
        <w:t>项目编号：</w:t>
      </w:r>
      <w:bookmarkEnd w:id="262"/>
    </w:p>
    <w:p w14:paraId="17C398B9">
      <w:pPr>
        <w:spacing w:line="360" w:lineRule="auto"/>
        <w:jc w:val="center"/>
        <w:rPr>
          <w:rFonts w:ascii="宋体" w:hAnsi="宋体"/>
          <w:b/>
          <w:szCs w:val="21"/>
        </w:rPr>
      </w:pPr>
    </w:p>
    <w:p w14:paraId="13CBDADE">
      <w:pPr>
        <w:spacing w:line="360" w:lineRule="auto"/>
        <w:jc w:val="center"/>
        <w:rPr>
          <w:rFonts w:ascii="宋体" w:hAnsi="宋体"/>
          <w:b/>
          <w:szCs w:val="21"/>
        </w:rPr>
      </w:pPr>
    </w:p>
    <w:p w14:paraId="218D82BF">
      <w:pPr>
        <w:spacing w:line="360" w:lineRule="auto"/>
        <w:jc w:val="center"/>
        <w:rPr>
          <w:rFonts w:ascii="宋体" w:hAnsi="宋体"/>
          <w:b/>
          <w:szCs w:val="21"/>
        </w:rPr>
      </w:pPr>
      <w:bookmarkStart w:id="263" w:name="_Toc50012911"/>
      <w:r>
        <w:rPr>
          <w:rFonts w:hint="eastAsia" w:ascii="宋体" w:hAnsi="宋体"/>
          <w:b/>
          <w:szCs w:val="21"/>
        </w:rPr>
        <w:t>投</w:t>
      </w:r>
      <w:bookmarkEnd w:id="263"/>
    </w:p>
    <w:p w14:paraId="4B5068EF">
      <w:pPr>
        <w:spacing w:line="360" w:lineRule="auto"/>
        <w:jc w:val="center"/>
        <w:rPr>
          <w:rFonts w:ascii="宋体" w:hAnsi="宋体"/>
          <w:b/>
          <w:szCs w:val="21"/>
        </w:rPr>
      </w:pPr>
      <w:bookmarkStart w:id="264" w:name="_Toc50012912"/>
      <w:r>
        <w:rPr>
          <w:rFonts w:hint="eastAsia" w:ascii="宋体" w:hAnsi="宋体"/>
          <w:b/>
          <w:szCs w:val="21"/>
        </w:rPr>
        <w:t>标</w:t>
      </w:r>
      <w:bookmarkEnd w:id="264"/>
    </w:p>
    <w:p w14:paraId="574131E4">
      <w:pPr>
        <w:spacing w:line="360" w:lineRule="auto"/>
        <w:jc w:val="center"/>
        <w:rPr>
          <w:rFonts w:ascii="宋体" w:hAnsi="宋体"/>
          <w:b/>
          <w:szCs w:val="21"/>
        </w:rPr>
      </w:pPr>
      <w:bookmarkStart w:id="265" w:name="_Toc50012913"/>
      <w:r>
        <w:rPr>
          <w:rFonts w:hint="eastAsia" w:ascii="宋体" w:hAnsi="宋体"/>
          <w:b/>
          <w:szCs w:val="21"/>
        </w:rPr>
        <w:t>文</w:t>
      </w:r>
      <w:bookmarkEnd w:id="265"/>
    </w:p>
    <w:p w14:paraId="0A6393D2">
      <w:pPr>
        <w:spacing w:line="360" w:lineRule="auto"/>
        <w:jc w:val="center"/>
        <w:rPr>
          <w:rFonts w:ascii="宋体" w:hAnsi="宋体"/>
          <w:b/>
          <w:szCs w:val="21"/>
        </w:rPr>
      </w:pPr>
      <w:bookmarkStart w:id="266" w:name="_Toc50012914"/>
      <w:r>
        <w:rPr>
          <w:rFonts w:hint="eastAsia" w:ascii="宋体" w:hAnsi="宋体"/>
          <w:b/>
          <w:szCs w:val="21"/>
        </w:rPr>
        <w:t>件</w:t>
      </w:r>
      <w:bookmarkEnd w:id="266"/>
    </w:p>
    <w:p w14:paraId="2F450657">
      <w:pPr>
        <w:spacing w:line="360" w:lineRule="auto"/>
        <w:rPr>
          <w:rFonts w:ascii="宋体" w:hAnsi="宋体"/>
          <w:b/>
          <w:szCs w:val="21"/>
        </w:rPr>
      </w:pPr>
    </w:p>
    <w:p w14:paraId="6C9AB6FC">
      <w:pPr>
        <w:spacing w:line="360" w:lineRule="auto"/>
        <w:rPr>
          <w:rFonts w:ascii="宋体" w:hAnsi="宋体"/>
          <w:b/>
          <w:szCs w:val="21"/>
        </w:rPr>
      </w:pPr>
    </w:p>
    <w:p w14:paraId="520313EA">
      <w:pPr>
        <w:spacing w:line="360" w:lineRule="auto"/>
        <w:rPr>
          <w:rFonts w:ascii="宋体" w:hAnsi="宋体"/>
          <w:b/>
          <w:szCs w:val="21"/>
        </w:rPr>
      </w:pPr>
    </w:p>
    <w:p w14:paraId="124CBF63">
      <w:pPr>
        <w:spacing w:line="360" w:lineRule="auto"/>
        <w:ind w:firstLine="2319" w:firstLineChars="1100"/>
        <w:rPr>
          <w:rFonts w:ascii="宋体" w:hAnsi="宋体"/>
          <w:b/>
          <w:szCs w:val="21"/>
        </w:rPr>
      </w:pPr>
      <w:bookmarkStart w:id="267" w:name="_Toc50012915"/>
      <w:r>
        <w:rPr>
          <w:rFonts w:hint="eastAsia" w:ascii="宋体" w:hAnsi="宋体"/>
          <w:b/>
          <w:szCs w:val="21"/>
        </w:rPr>
        <w:t>投标人全称：（加盖单位公章）</w:t>
      </w:r>
      <w:bookmarkEnd w:id="267"/>
    </w:p>
    <w:p w14:paraId="6A410474">
      <w:pPr>
        <w:spacing w:line="360" w:lineRule="auto"/>
        <w:rPr>
          <w:rFonts w:ascii="宋体" w:hAnsi="宋体"/>
          <w:b/>
          <w:szCs w:val="21"/>
        </w:rPr>
      </w:pPr>
    </w:p>
    <w:p w14:paraId="4ECC8FD4">
      <w:pPr>
        <w:spacing w:line="360" w:lineRule="auto"/>
        <w:ind w:right="560"/>
        <w:jc w:val="center"/>
        <w:rPr>
          <w:rFonts w:ascii="宋体" w:hAnsi="宋体"/>
          <w:b/>
          <w:szCs w:val="21"/>
        </w:rPr>
      </w:pPr>
      <w:bookmarkStart w:id="268" w:name="_Toc50012916"/>
      <w:r>
        <w:rPr>
          <w:rFonts w:hint="eastAsia" w:ascii="宋体" w:hAnsi="宋体"/>
          <w:b/>
          <w:szCs w:val="21"/>
        </w:rPr>
        <w:t>年   月   日</w:t>
      </w:r>
      <w:bookmarkEnd w:id="268"/>
    </w:p>
    <w:bookmarkEnd w:id="261"/>
    <w:p w14:paraId="0B7A8F74">
      <w:pPr>
        <w:snapToGrid w:val="0"/>
        <w:spacing w:line="360" w:lineRule="auto"/>
        <w:ind w:right="420" w:firstLine="422" w:firstLineChars="200"/>
        <w:jc w:val="center"/>
        <w:rPr>
          <w:rFonts w:ascii="宋体" w:hAnsi="宋体"/>
          <w:b/>
          <w:szCs w:val="21"/>
        </w:rPr>
      </w:pPr>
      <w:r>
        <w:rPr>
          <w:rFonts w:hint="eastAsia" w:ascii="宋体" w:hAnsi="宋体"/>
          <w:b/>
          <w:szCs w:val="21"/>
        </w:rPr>
        <w:br w:type="page"/>
      </w:r>
    </w:p>
    <w:p w14:paraId="1CDE31AE">
      <w:pPr>
        <w:snapToGrid w:val="0"/>
        <w:spacing w:line="360" w:lineRule="auto"/>
        <w:ind w:firstLine="422" w:firstLineChars="200"/>
        <w:jc w:val="left"/>
        <w:rPr>
          <w:rFonts w:ascii="宋体" w:hAnsi="宋体"/>
          <w:b/>
          <w:szCs w:val="21"/>
        </w:rPr>
      </w:pPr>
      <w:r>
        <w:rPr>
          <w:rFonts w:hint="eastAsia" w:ascii="宋体" w:hAnsi="宋体"/>
          <w:b/>
          <w:szCs w:val="21"/>
        </w:rPr>
        <w:t>投标声明书格式：</w:t>
      </w:r>
    </w:p>
    <w:p w14:paraId="57FEBD44">
      <w:pPr>
        <w:snapToGrid w:val="0"/>
        <w:spacing w:line="360" w:lineRule="auto"/>
        <w:ind w:firstLine="422" w:firstLineChars="200"/>
        <w:jc w:val="center"/>
        <w:rPr>
          <w:rFonts w:ascii="宋体" w:hAnsi="宋体"/>
          <w:b/>
          <w:szCs w:val="21"/>
        </w:rPr>
      </w:pPr>
      <w:r>
        <w:rPr>
          <w:rFonts w:hint="eastAsia" w:ascii="宋体" w:hAnsi="宋体"/>
          <w:b/>
          <w:szCs w:val="21"/>
        </w:rPr>
        <w:t>投标声明书</w:t>
      </w:r>
    </w:p>
    <w:p w14:paraId="5AD5D640">
      <w:pPr>
        <w:snapToGrid w:val="0"/>
        <w:spacing w:line="360" w:lineRule="auto"/>
        <w:ind w:firstLine="420" w:firstLineChars="200"/>
        <w:jc w:val="left"/>
        <w:rPr>
          <w:rFonts w:ascii="宋体" w:hAnsi="宋体"/>
          <w:szCs w:val="21"/>
        </w:rPr>
      </w:pPr>
      <w:r>
        <w:rPr>
          <w:rFonts w:hint="eastAsia" w:ascii="宋体" w:hAnsi="宋体"/>
          <w:szCs w:val="21"/>
        </w:rPr>
        <w:t>致：</w:t>
      </w:r>
      <w:r>
        <w:rPr>
          <w:rFonts w:hint="eastAsia" w:ascii="宋体" w:hAnsi="宋体" w:cs="宋体"/>
          <w:kern w:val="0"/>
          <w:szCs w:val="21"/>
          <w:u w:val="single"/>
        </w:rPr>
        <w:t>嘉兴经济技术开发区消防救援大队</w:t>
      </w:r>
      <w:r>
        <w:rPr>
          <w:rFonts w:hint="eastAsia" w:ascii="宋体" w:hAnsi="宋体" w:cs="Arial"/>
          <w:kern w:val="0"/>
          <w:szCs w:val="21"/>
          <w:u w:val="single"/>
        </w:rPr>
        <w:t xml:space="preserve"> </w:t>
      </w:r>
      <w:r>
        <w:rPr>
          <w:rFonts w:hint="eastAsia" w:ascii="宋体" w:hAnsi="宋体"/>
          <w:szCs w:val="21"/>
        </w:rPr>
        <w:t>（招标采购单位名称）：</w:t>
      </w:r>
    </w:p>
    <w:p w14:paraId="3DBA5CB7">
      <w:pPr>
        <w:snapToGrid w:val="0"/>
        <w:spacing w:line="360" w:lineRule="auto"/>
        <w:ind w:firstLine="420" w:firstLineChars="200"/>
        <w:jc w:val="left"/>
        <w:rPr>
          <w:rFonts w:ascii="宋体" w:hAnsi="宋体"/>
          <w:szCs w:val="21"/>
        </w:rPr>
      </w:pPr>
      <w:r>
        <w:rPr>
          <w:rFonts w:hint="eastAsia" w:ascii="宋体" w:hAnsi="宋体"/>
          <w:szCs w:val="21"/>
          <w:u w:val="single"/>
        </w:rPr>
        <w:t>（投标人名称）</w:t>
      </w:r>
      <w:r>
        <w:rPr>
          <w:rFonts w:hint="eastAsia" w:ascii="宋体" w:hAnsi="宋体"/>
          <w:szCs w:val="21"/>
        </w:rPr>
        <w:t>系中华人民共和国合法企业，经营地址</w:t>
      </w:r>
      <w:r>
        <w:rPr>
          <w:rFonts w:hint="eastAsia" w:ascii="宋体" w:hAnsi="宋体"/>
          <w:szCs w:val="21"/>
          <w:u w:val="single"/>
        </w:rPr>
        <w:t xml:space="preserve">           </w:t>
      </w:r>
      <w:r>
        <w:rPr>
          <w:rFonts w:hint="eastAsia" w:ascii="宋体" w:hAnsi="宋体"/>
          <w:szCs w:val="21"/>
        </w:rPr>
        <w:t xml:space="preserve"> 。 </w:t>
      </w:r>
    </w:p>
    <w:p w14:paraId="144E9B10">
      <w:pPr>
        <w:snapToGrid w:val="0"/>
        <w:spacing w:line="360" w:lineRule="auto"/>
        <w:ind w:firstLine="420" w:firstLineChars="200"/>
        <w:jc w:val="left"/>
        <w:rPr>
          <w:rFonts w:ascii="宋体" w:hAnsi="宋体"/>
          <w:szCs w:val="21"/>
        </w:rPr>
      </w:pPr>
      <w:r>
        <w:rPr>
          <w:rFonts w:hint="eastAsia" w:ascii="宋体" w:hAnsi="宋体"/>
          <w:szCs w:val="21"/>
        </w:rPr>
        <w:t>我</w:t>
      </w:r>
      <w:r>
        <w:rPr>
          <w:rFonts w:hint="eastAsia" w:ascii="宋体" w:hAnsi="宋体"/>
          <w:szCs w:val="21"/>
          <w:u w:val="single"/>
        </w:rPr>
        <w:t>（姓名）</w:t>
      </w:r>
      <w:r>
        <w:rPr>
          <w:rFonts w:hint="eastAsia" w:ascii="宋体" w:hAnsi="宋体"/>
          <w:szCs w:val="21"/>
        </w:rPr>
        <w:t>系</w:t>
      </w:r>
      <w:r>
        <w:rPr>
          <w:rFonts w:hint="eastAsia" w:ascii="宋体" w:hAnsi="宋体"/>
          <w:szCs w:val="21"/>
          <w:u w:val="single"/>
        </w:rPr>
        <w:t>（投标人名称）</w:t>
      </w:r>
      <w:r>
        <w:rPr>
          <w:rFonts w:hint="eastAsia" w:ascii="宋体" w:hAnsi="宋体"/>
          <w:szCs w:val="21"/>
        </w:rPr>
        <w:t>的法定代表人，我方愿意参加贵方组织的项目的投标，为便于贵方公正、择优地确定中标人及其投标产品和服务，我方就本次投标有关事项郑重声明如下：</w:t>
      </w:r>
    </w:p>
    <w:p w14:paraId="3D2F7F31">
      <w:pPr>
        <w:snapToGrid w:val="0"/>
        <w:spacing w:line="360" w:lineRule="auto"/>
        <w:ind w:firstLine="420" w:firstLineChars="200"/>
        <w:jc w:val="left"/>
        <w:rPr>
          <w:rFonts w:ascii="宋体" w:hAnsi="宋体"/>
          <w:szCs w:val="21"/>
        </w:rPr>
      </w:pPr>
      <w:r>
        <w:rPr>
          <w:rFonts w:ascii="宋体" w:hAnsi="宋体"/>
          <w:szCs w:val="21"/>
        </w:rPr>
        <w:t>1</w:t>
      </w:r>
      <w:r>
        <w:rPr>
          <w:rFonts w:hint="eastAsia" w:ascii="宋体" w:hAnsi="宋体"/>
          <w:szCs w:val="21"/>
        </w:rPr>
        <w:t>、</w:t>
      </w:r>
      <w:r>
        <w:rPr>
          <w:rFonts w:ascii="宋体" w:hAnsi="宋体"/>
          <w:szCs w:val="21"/>
        </w:rPr>
        <w:t>我方向贵方提交的所有投标文件、资料都是准确的和真实的</w:t>
      </w:r>
      <w:r>
        <w:rPr>
          <w:rFonts w:hint="eastAsia" w:ascii="宋体" w:hAnsi="宋体"/>
          <w:szCs w:val="21"/>
        </w:rPr>
        <w:t>。</w:t>
      </w:r>
    </w:p>
    <w:p w14:paraId="31BD2AFD">
      <w:pPr>
        <w:snapToGrid w:val="0"/>
        <w:spacing w:line="360" w:lineRule="auto"/>
        <w:ind w:firstLine="420" w:firstLineChars="200"/>
        <w:jc w:val="left"/>
        <w:rPr>
          <w:rFonts w:ascii="宋体" w:hAnsi="宋体"/>
          <w:szCs w:val="21"/>
        </w:rPr>
      </w:pPr>
      <w:r>
        <w:rPr>
          <w:rFonts w:ascii="宋体" w:hAnsi="宋体"/>
          <w:szCs w:val="21"/>
        </w:rPr>
        <w:t>2</w:t>
      </w:r>
      <w:r>
        <w:rPr>
          <w:rFonts w:hint="eastAsia" w:ascii="宋体" w:hAnsi="宋体"/>
          <w:szCs w:val="21"/>
        </w:rPr>
        <w:t>、</w:t>
      </w:r>
      <w:r>
        <w:rPr>
          <w:rFonts w:ascii="宋体" w:hAnsi="宋体"/>
          <w:szCs w:val="21"/>
        </w:rPr>
        <w:t>我方不是采购人的附属机构；在获知本项目采购信息后，与采购人聘请的为此项目提供咨询服务的公司及其附属机构没有任何联系。</w:t>
      </w:r>
    </w:p>
    <w:p w14:paraId="4E0AF7C9">
      <w:pPr>
        <w:snapToGrid w:val="0"/>
        <w:spacing w:line="360" w:lineRule="auto"/>
        <w:ind w:firstLine="480" w:firstLineChars="200"/>
        <w:jc w:val="left"/>
        <w:rPr>
          <w:rFonts w:ascii="宋体" w:hAnsi="宋体"/>
          <w:szCs w:val="21"/>
        </w:rPr>
      </w:pPr>
      <w:r>
        <w:rPr>
          <w:rFonts w:ascii="宋体" w:hAnsi="宋体"/>
          <w:spacing w:val="15"/>
          <w:kern w:val="0"/>
          <w:szCs w:val="21"/>
        </w:rPr>
        <w:t>3</w:t>
      </w:r>
      <w:r>
        <w:rPr>
          <w:rFonts w:hint="eastAsia" w:ascii="宋体" w:hAnsi="宋体"/>
          <w:spacing w:val="15"/>
          <w:kern w:val="0"/>
          <w:szCs w:val="21"/>
        </w:rPr>
        <w:t>、</w:t>
      </w:r>
      <w:r>
        <w:rPr>
          <w:rFonts w:ascii="宋体" w:hAnsi="宋体"/>
          <w:spacing w:val="15"/>
          <w:kern w:val="0"/>
          <w:szCs w:val="21"/>
        </w:rPr>
        <w:t>我方此次向贵方提供的</w:t>
      </w:r>
      <w:r>
        <w:rPr>
          <w:rFonts w:hint="eastAsia" w:ascii="宋体" w:hAnsi="宋体"/>
          <w:spacing w:val="15"/>
          <w:kern w:val="0"/>
          <w:szCs w:val="21"/>
        </w:rPr>
        <w:t>服务内容为</w:t>
      </w:r>
      <w:r>
        <w:rPr>
          <w:rFonts w:hint="eastAsia" w:ascii="宋体" w:hAnsi="宋体"/>
          <w:szCs w:val="21"/>
        </w:rPr>
        <w:t>。</w:t>
      </w:r>
    </w:p>
    <w:p w14:paraId="7BF009C0">
      <w:pPr>
        <w:snapToGrid w:val="0"/>
        <w:spacing w:line="360" w:lineRule="auto"/>
        <w:ind w:firstLine="420" w:firstLineChars="200"/>
        <w:jc w:val="left"/>
        <w:rPr>
          <w:rFonts w:ascii="宋体" w:hAnsi="宋体"/>
          <w:szCs w:val="21"/>
        </w:rPr>
      </w:pPr>
      <w:r>
        <w:rPr>
          <w:rFonts w:ascii="宋体" w:hAnsi="宋体"/>
          <w:szCs w:val="21"/>
        </w:rPr>
        <w:t>4</w:t>
      </w:r>
      <w:r>
        <w:rPr>
          <w:rFonts w:hint="eastAsia" w:ascii="宋体" w:hAnsi="宋体"/>
          <w:szCs w:val="21"/>
        </w:rPr>
        <w:t>、</w:t>
      </w:r>
      <w:r>
        <w:rPr>
          <w:rFonts w:ascii="宋体" w:hAnsi="宋体"/>
          <w:szCs w:val="21"/>
        </w:rPr>
        <w:t>我方诚意提请贵方关注：</w:t>
      </w:r>
      <w:r>
        <w:rPr>
          <w:rFonts w:hint="eastAsia" w:ascii="宋体" w:hAnsi="宋体"/>
          <w:szCs w:val="21"/>
        </w:rPr>
        <w:t>近期</w:t>
      </w:r>
      <w:r>
        <w:rPr>
          <w:rFonts w:ascii="宋体" w:hAnsi="宋体"/>
          <w:szCs w:val="21"/>
        </w:rPr>
        <w:t>有关</w:t>
      </w:r>
      <w:r>
        <w:rPr>
          <w:rFonts w:hint="eastAsia" w:ascii="宋体" w:hAnsi="宋体"/>
          <w:szCs w:val="21"/>
        </w:rPr>
        <w:t>项目的售后服务等方面的重大决策和事项有：</w:t>
      </w:r>
    </w:p>
    <w:p w14:paraId="71488F4C">
      <w:pPr>
        <w:snapToGrid w:val="0"/>
        <w:spacing w:line="360" w:lineRule="auto"/>
        <w:ind w:firstLine="420" w:firstLineChars="200"/>
        <w:jc w:val="left"/>
        <w:rPr>
          <w:rFonts w:ascii="宋体" w:hAnsi="宋体"/>
          <w:szCs w:val="21"/>
        </w:rPr>
      </w:pPr>
      <w:r>
        <w:rPr>
          <w:rFonts w:hint="eastAsia" w:ascii="宋体" w:hAnsi="宋体"/>
          <w:szCs w:val="21"/>
          <w:u w:val="single"/>
        </w:rPr>
        <w:t>　　　　　　　　　　　　　　　　　　　　　　　　　　</w:t>
      </w:r>
    </w:p>
    <w:p w14:paraId="56EAD2F7">
      <w:pPr>
        <w:snapToGrid w:val="0"/>
        <w:spacing w:line="360" w:lineRule="auto"/>
        <w:ind w:firstLine="420" w:firstLineChars="200"/>
        <w:jc w:val="left"/>
        <w:rPr>
          <w:rFonts w:ascii="宋体" w:hAnsi="宋体"/>
          <w:szCs w:val="21"/>
        </w:rPr>
      </w:pPr>
      <w:r>
        <w:rPr>
          <w:rFonts w:ascii="宋体" w:hAnsi="宋体"/>
          <w:szCs w:val="21"/>
        </w:rPr>
        <w:t>5</w:t>
      </w:r>
      <w:r>
        <w:rPr>
          <w:rFonts w:hint="eastAsia" w:ascii="宋体" w:hAnsi="宋体"/>
          <w:szCs w:val="21"/>
        </w:rPr>
        <w:t>、我方及由本人担任法定代表人的其他机构</w:t>
      </w:r>
      <w:r>
        <w:rPr>
          <w:rFonts w:ascii="宋体" w:hAnsi="宋体"/>
          <w:szCs w:val="21"/>
        </w:rPr>
        <w:t>最近三年内被</w:t>
      </w:r>
      <w:r>
        <w:rPr>
          <w:rFonts w:hint="eastAsia" w:ascii="宋体" w:hAnsi="宋体"/>
          <w:szCs w:val="21"/>
        </w:rPr>
        <w:t>通报或者被处罚的</w:t>
      </w:r>
      <w:r>
        <w:rPr>
          <w:rFonts w:ascii="宋体" w:hAnsi="宋体"/>
          <w:szCs w:val="21"/>
        </w:rPr>
        <w:t>违法行为有：</w:t>
      </w:r>
    </w:p>
    <w:p w14:paraId="58F841D2">
      <w:pPr>
        <w:snapToGrid w:val="0"/>
        <w:spacing w:line="360" w:lineRule="auto"/>
        <w:ind w:firstLine="420" w:firstLineChars="200"/>
        <w:jc w:val="left"/>
        <w:rPr>
          <w:rFonts w:ascii="宋体" w:hAnsi="宋体"/>
          <w:szCs w:val="21"/>
          <w:u w:val="single"/>
        </w:rPr>
      </w:pPr>
      <w:r>
        <w:rPr>
          <w:rFonts w:hint="eastAsia" w:ascii="宋体" w:hAnsi="宋体"/>
          <w:szCs w:val="21"/>
          <w:u w:val="single"/>
        </w:rPr>
        <w:t>　　　　　　　　　　　　　　　　　　　　　　　　　　　</w:t>
      </w:r>
    </w:p>
    <w:p w14:paraId="3D405435">
      <w:pPr>
        <w:snapToGrid w:val="0"/>
        <w:spacing w:line="360" w:lineRule="auto"/>
        <w:ind w:firstLine="420" w:firstLineChars="200"/>
        <w:jc w:val="left"/>
        <w:rPr>
          <w:rFonts w:ascii="宋体" w:hAnsi="宋体"/>
          <w:szCs w:val="21"/>
        </w:rPr>
      </w:pPr>
      <w:r>
        <w:rPr>
          <w:rFonts w:hint="eastAsia" w:ascii="宋体" w:hAnsi="宋体"/>
          <w:szCs w:val="21"/>
        </w:rPr>
        <w:t>6、以上事项如有虚假或隐瞒，我方愿意承担一切后果，并不再寻求任何旨在减轻或免除法律责任的辩解。</w:t>
      </w:r>
    </w:p>
    <w:p w14:paraId="25511D00">
      <w:pPr>
        <w:snapToGrid w:val="0"/>
        <w:spacing w:line="360" w:lineRule="auto"/>
        <w:ind w:firstLine="420" w:firstLineChars="200"/>
        <w:jc w:val="left"/>
        <w:rPr>
          <w:rFonts w:ascii="宋体" w:hAnsi="宋体"/>
          <w:szCs w:val="21"/>
        </w:rPr>
      </w:pPr>
    </w:p>
    <w:p w14:paraId="78E40AED">
      <w:pPr>
        <w:snapToGrid w:val="0"/>
        <w:spacing w:line="360" w:lineRule="auto"/>
        <w:ind w:firstLine="420" w:firstLineChars="200"/>
        <w:jc w:val="left"/>
        <w:rPr>
          <w:rFonts w:ascii="宋体" w:hAnsi="宋体"/>
          <w:szCs w:val="21"/>
          <w:u w:val="single"/>
        </w:rPr>
      </w:pPr>
      <w:r>
        <w:rPr>
          <w:rFonts w:hint="eastAsia" w:ascii="宋体" w:hAnsi="宋体"/>
          <w:szCs w:val="21"/>
        </w:rPr>
        <w:t>法定代表人或其授权代表签字（或盖章）：</w:t>
      </w:r>
    </w:p>
    <w:p w14:paraId="3B4798DA">
      <w:pPr>
        <w:snapToGrid w:val="0"/>
        <w:spacing w:line="360" w:lineRule="auto"/>
        <w:ind w:firstLine="420" w:firstLineChars="200"/>
        <w:jc w:val="left"/>
        <w:rPr>
          <w:rFonts w:ascii="宋体" w:hAnsi="宋体"/>
          <w:szCs w:val="21"/>
        </w:rPr>
      </w:pPr>
      <w:r>
        <w:rPr>
          <w:rFonts w:hint="eastAsia" w:ascii="宋体" w:hAnsi="宋体"/>
          <w:szCs w:val="21"/>
          <w:shd w:val="clear" w:color="auto" w:fill="FFFFFF"/>
        </w:rPr>
        <w:t>投标人名称：（盖章）</w:t>
      </w:r>
      <w:r>
        <w:rPr>
          <w:rFonts w:hint="eastAsia" w:ascii="宋体" w:hAnsi="宋体"/>
          <w:szCs w:val="21"/>
        </w:rPr>
        <w:t>：</w:t>
      </w:r>
      <w:r>
        <w:rPr>
          <w:rFonts w:ascii="宋体" w:hAnsi="宋体"/>
          <w:szCs w:val="21"/>
        </w:rPr>
        <w:t xml:space="preserve">                      年    月    日</w:t>
      </w:r>
    </w:p>
    <w:p w14:paraId="4B4D06BA">
      <w:pPr>
        <w:snapToGrid w:val="0"/>
        <w:spacing w:line="360" w:lineRule="auto"/>
        <w:ind w:firstLine="422" w:firstLineChars="200"/>
        <w:jc w:val="left"/>
        <w:rPr>
          <w:rFonts w:ascii="宋体" w:hAnsi="宋体"/>
          <w:b/>
          <w:szCs w:val="21"/>
        </w:rPr>
      </w:pPr>
      <w:r>
        <w:rPr>
          <w:rFonts w:hint="eastAsia" w:ascii="宋体" w:hAnsi="宋体"/>
          <w:b/>
          <w:szCs w:val="21"/>
        </w:rPr>
        <w:br w:type="page"/>
      </w:r>
      <w:r>
        <w:rPr>
          <w:rFonts w:hint="eastAsia" w:ascii="宋体" w:hAnsi="宋体"/>
          <w:b/>
          <w:szCs w:val="21"/>
        </w:rPr>
        <w:t>法定代表人授权委托书格式：</w:t>
      </w:r>
    </w:p>
    <w:p w14:paraId="2FA45A8B">
      <w:pPr>
        <w:snapToGrid w:val="0"/>
        <w:spacing w:line="360" w:lineRule="auto"/>
        <w:ind w:firstLine="422" w:firstLineChars="200"/>
        <w:jc w:val="center"/>
        <w:rPr>
          <w:rFonts w:ascii="宋体" w:hAnsi="宋体"/>
          <w:b/>
          <w:szCs w:val="21"/>
        </w:rPr>
      </w:pPr>
      <w:r>
        <w:rPr>
          <w:rFonts w:hint="eastAsia" w:ascii="宋体" w:hAnsi="宋体"/>
          <w:b/>
          <w:szCs w:val="21"/>
        </w:rPr>
        <w:t>法定代表人授权委托书</w:t>
      </w:r>
    </w:p>
    <w:p w14:paraId="636077C5">
      <w:pPr>
        <w:snapToGrid w:val="0"/>
        <w:spacing w:line="360" w:lineRule="auto"/>
        <w:ind w:firstLine="420" w:firstLineChars="200"/>
        <w:jc w:val="left"/>
        <w:rPr>
          <w:rFonts w:ascii="宋体" w:hAnsi="宋体"/>
          <w:bCs/>
          <w:szCs w:val="21"/>
        </w:rPr>
      </w:pPr>
    </w:p>
    <w:p w14:paraId="7268E1FE">
      <w:pPr>
        <w:snapToGrid w:val="0"/>
        <w:spacing w:line="360" w:lineRule="auto"/>
        <w:ind w:firstLine="420" w:firstLineChars="200"/>
        <w:jc w:val="left"/>
        <w:rPr>
          <w:rFonts w:ascii="宋体" w:hAnsi="宋体"/>
          <w:b/>
          <w:bCs/>
          <w:szCs w:val="21"/>
        </w:rPr>
      </w:pPr>
      <w:r>
        <w:rPr>
          <w:rFonts w:hint="eastAsia" w:ascii="宋体" w:hAnsi="宋体"/>
          <w:bCs/>
          <w:szCs w:val="21"/>
        </w:rPr>
        <w:t>致：</w:t>
      </w:r>
      <w:r>
        <w:rPr>
          <w:rFonts w:hint="eastAsia" w:ascii="宋体" w:hAnsi="宋体" w:cs="宋体"/>
          <w:kern w:val="0"/>
          <w:szCs w:val="21"/>
          <w:u w:val="single"/>
        </w:rPr>
        <w:t>嘉兴经济技术开发区消防救援大队</w:t>
      </w:r>
      <w:r>
        <w:rPr>
          <w:rFonts w:hint="eastAsia" w:ascii="宋体" w:hAnsi="宋体" w:cs="Arial"/>
          <w:kern w:val="0"/>
          <w:szCs w:val="21"/>
          <w:u w:val="single"/>
        </w:rPr>
        <w:t xml:space="preserve"> </w:t>
      </w:r>
      <w:r>
        <w:rPr>
          <w:rFonts w:hint="eastAsia" w:ascii="宋体" w:hAnsi="宋体"/>
          <w:szCs w:val="21"/>
        </w:rPr>
        <w:t>（招标采购单位名称）：</w:t>
      </w:r>
    </w:p>
    <w:p w14:paraId="0FBD9445">
      <w:pPr>
        <w:shd w:val="clear" w:color="auto" w:fill="FFFFFF"/>
        <w:snapToGrid w:val="0"/>
        <w:spacing w:line="360" w:lineRule="auto"/>
        <w:ind w:firstLine="420" w:firstLineChars="200"/>
        <w:jc w:val="left"/>
        <w:rPr>
          <w:rFonts w:ascii="宋体" w:hAnsi="宋体" w:cs="宋体"/>
          <w:szCs w:val="21"/>
        </w:rPr>
      </w:pPr>
      <w:r>
        <w:rPr>
          <w:rFonts w:hint="eastAsia" w:ascii="宋体" w:hAnsi="宋体" w:cs="宋体"/>
          <w:kern w:val="0"/>
          <w:szCs w:val="21"/>
          <w:lang w:val="zh-CN"/>
        </w:rPr>
        <w:t xml:space="preserve"> 兹委派我公司</w:t>
      </w:r>
      <w:r>
        <w:rPr>
          <w:rFonts w:hint="eastAsia" w:ascii="宋体" w:hAnsi="宋体" w:cs="宋体"/>
          <w:kern w:val="0"/>
          <w:szCs w:val="21"/>
          <w:u w:val="single"/>
          <w:lang w:val="zh-CN"/>
        </w:rPr>
        <w:t>先生/女士</w:t>
      </w:r>
      <w:r>
        <w:rPr>
          <w:rFonts w:hint="eastAsia" w:ascii="宋体" w:hAnsi="宋体" w:cs="宋体"/>
          <w:kern w:val="0"/>
          <w:szCs w:val="21"/>
          <w:lang w:val="zh-CN"/>
        </w:rPr>
        <w:t>(其在本公司的职务是：</w:t>
      </w:r>
      <w:r>
        <w:rPr>
          <w:rFonts w:hint="eastAsia" w:ascii="宋体" w:hAnsi="宋体"/>
          <w:szCs w:val="21"/>
          <w:u w:val="single"/>
        </w:rPr>
        <w:t xml:space="preserve">           </w:t>
      </w:r>
      <w:r>
        <w:rPr>
          <w:rFonts w:hint="eastAsia" w:ascii="宋体" w:hAnsi="宋体" w:cs="宋体"/>
          <w:kern w:val="0"/>
          <w:szCs w:val="21"/>
          <w:lang w:val="zh-CN"/>
        </w:rPr>
        <w:t>，联系电话：</w:t>
      </w:r>
      <w:r>
        <w:rPr>
          <w:rFonts w:hint="eastAsia" w:ascii="宋体" w:hAnsi="宋体"/>
          <w:szCs w:val="21"/>
          <w:u w:val="single"/>
        </w:rPr>
        <w:t xml:space="preserve">           </w:t>
      </w:r>
      <w:r>
        <w:rPr>
          <w:rFonts w:hint="eastAsia" w:ascii="宋体" w:hAnsi="宋体" w:cs="宋体"/>
          <w:kern w:val="0"/>
          <w:szCs w:val="21"/>
          <w:lang w:val="zh-CN"/>
        </w:rPr>
        <w:t>手机：</w:t>
      </w:r>
      <w:r>
        <w:rPr>
          <w:rFonts w:hint="eastAsia" w:ascii="宋体" w:hAnsi="宋体"/>
          <w:szCs w:val="21"/>
          <w:u w:val="single"/>
        </w:rPr>
        <w:t xml:space="preserve">           </w:t>
      </w:r>
      <w:r>
        <w:rPr>
          <w:rFonts w:hint="eastAsia" w:ascii="宋体" w:hAnsi="宋体" w:cs="宋体"/>
          <w:kern w:val="0"/>
          <w:szCs w:val="21"/>
          <w:lang w:val="zh-CN"/>
        </w:rPr>
        <w:t>传真：</w:t>
      </w:r>
      <w:r>
        <w:rPr>
          <w:rFonts w:hint="eastAsia" w:ascii="宋体" w:hAnsi="宋体"/>
          <w:szCs w:val="21"/>
          <w:u w:val="single"/>
        </w:rPr>
        <w:t xml:space="preserve">           </w:t>
      </w:r>
      <w:r>
        <w:rPr>
          <w:rFonts w:hint="eastAsia" w:ascii="宋体" w:hAnsi="宋体" w:cs="宋体"/>
          <w:kern w:val="0"/>
          <w:szCs w:val="21"/>
          <w:lang w:val="zh-CN"/>
        </w:rPr>
        <w:t>)，代表我公司全权处理</w:t>
      </w:r>
      <w:r>
        <w:rPr>
          <w:rFonts w:hint="eastAsia" w:ascii="宋体" w:hAnsi="宋体" w:cs="宋体"/>
          <w:b/>
          <w:bCs/>
          <w:kern w:val="0"/>
          <w:szCs w:val="21"/>
          <w:u w:val="single"/>
          <w:lang w:val="zh-CN"/>
        </w:rPr>
        <w:t>浙江省嘉兴支队经济技术开发区消防救援大队2024-2025年度食堂大宗物品配送采购项目</w:t>
      </w:r>
      <w:r>
        <w:rPr>
          <w:rFonts w:hint="eastAsia" w:ascii="宋体" w:hAnsi="宋体"/>
          <w:b/>
          <w:bCs/>
          <w:szCs w:val="21"/>
          <w:u w:val="single"/>
        </w:rPr>
        <w:t xml:space="preserve"> </w:t>
      </w:r>
      <w:r>
        <w:rPr>
          <w:rFonts w:hint="eastAsia" w:ascii="宋体" w:hAnsi="宋体" w:cs="宋体"/>
          <w:szCs w:val="21"/>
        </w:rPr>
        <w:t>(编号：              )政府采购投标的一切事项</w:t>
      </w:r>
      <w:r>
        <w:rPr>
          <w:rFonts w:hint="eastAsia" w:ascii="宋体" w:hAnsi="宋体" w:cs="宋体"/>
          <w:kern w:val="0"/>
          <w:szCs w:val="21"/>
          <w:lang w:val="zh-CN"/>
        </w:rPr>
        <w:t>。</w:t>
      </w:r>
    </w:p>
    <w:p w14:paraId="158AE802">
      <w:pPr>
        <w:shd w:val="clear" w:color="auto" w:fill="FFFFFF"/>
        <w:snapToGrid w:val="0"/>
        <w:spacing w:line="360" w:lineRule="auto"/>
        <w:ind w:firstLine="420" w:firstLineChars="200"/>
        <w:jc w:val="left"/>
        <w:rPr>
          <w:rFonts w:ascii="宋体" w:hAnsi="宋体" w:cs="宋体"/>
          <w:kern w:val="0"/>
          <w:szCs w:val="21"/>
        </w:rPr>
      </w:pPr>
      <w:r>
        <w:rPr>
          <w:rFonts w:hint="eastAsia" w:ascii="宋体" w:hAnsi="宋体" w:cs="宋体"/>
          <w:kern w:val="0"/>
          <w:szCs w:val="21"/>
          <w:lang w:val="zh-CN"/>
        </w:rPr>
        <w:t xml:space="preserve">    特此告知。</w:t>
      </w:r>
    </w:p>
    <w:p w14:paraId="1F439831">
      <w:pPr>
        <w:shd w:val="clear" w:color="auto" w:fill="FFFFFF"/>
        <w:snapToGrid w:val="0"/>
        <w:spacing w:line="360" w:lineRule="auto"/>
        <w:ind w:firstLine="420" w:firstLineChars="200"/>
        <w:jc w:val="left"/>
        <w:rPr>
          <w:rFonts w:ascii="宋体" w:hAnsi="宋体" w:cs="宋体"/>
          <w:kern w:val="0"/>
          <w:szCs w:val="21"/>
        </w:rPr>
      </w:pPr>
    </w:p>
    <w:p w14:paraId="4F7FF2E8">
      <w:pPr>
        <w:shd w:val="clear" w:color="auto" w:fill="FFFFFF"/>
        <w:snapToGrid w:val="0"/>
        <w:spacing w:line="360" w:lineRule="auto"/>
        <w:ind w:firstLine="420" w:firstLineChars="200"/>
        <w:jc w:val="left"/>
        <w:rPr>
          <w:rFonts w:ascii="宋体" w:hAnsi="宋体" w:cs="宋体"/>
          <w:kern w:val="0"/>
          <w:szCs w:val="21"/>
          <w:lang w:val="zh-CN"/>
        </w:rPr>
      </w:pPr>
    </w:p>
    <w:p w14:paraId="1DA00A7D">
      <w:pPr>
        <w:snapToGrid w:val="0"/>
        <w:spacing w:line="360" w:lineRule="auto"/>
        <w:ind w:firstLine="420" w:firstLineChars="200"/>
        <w:jc w:val="left"/>
        <w:rPr>
          <w:rFonts w:ascii="宋体" w:hAnsi="宋体"/>
          <w:szCs w:val="21"/>
        </w:rPr>
      </w:pPr>
    </w:p>
    <w:p w14:paraId="3C605EC2">
      <w:pPr>
        <w:snapToGrid w:val="0"/>
        <w:spacing w:line="360" w:lineRule="auto"/>
        <w:ind w:firstLine="420" w:firstLineChars="200"/>
        <w:jc w:val="left"/>
        <w:rPr>
          <w:rFonts w:ascii="宋体" w:hAnsi="宋体"/>
          <w:szCs w:val="21"/>
          <w:u w:val="single"/>
        </w:rPr>
      </w:pPr>
      <w:r>
        <w:rPr>
          <w:rFonts w:hint="eastAsia" w:ascii="宋体" w:hAnsi="宋体"/>
          <w:szCs w:val="21"/>
        </w:rPr>
        <w:t>被授权人签字（或盖章）：法定代表人签字（或盖章）：</w:t>
      </w:r>
    </w:p>
    <w:p w14:paraId="1FE7C8C9">
      <w:pPr>
        <w:snapToGrid w:val="0"/>
        <w:spacing w:line="360" w:lineRule="auto"/>
        <w:ind w:firstLine="420" w:firstLineChars="200"/>
        <w:jc w:val="left"/>
        <w:rPr>
          <w:rFonts w:ascii="宋体" w:hAnsi="宋体"/>
          <w:szCs w:val="21"/>
        </w:rPr>
      </w:pPr>
      <w:r>
        <w:rPr>
          <w:rFonts w:hint="eastAsia" w:ascii="宋体" w:hAnsi="宋体"/>
          <w:szCs w:val="21"/>
        </w:rPr>
        <w:t>职务：职务：</w:t>
      </w:r>
    </w:p>
    <w:p w14:paraId="68DC54D6">
      <w:pPr>
        <w:snapToGrid w:val="0"/>
        <w:spacing w:line="360" w:lineRule="auto"/>
        <w:ind w:firstLine="420" w:firstLineChars="200"/>
        <w:jc w:val="left"/>
        <w:rPr>
          <w:rFonts w:ascii="宋体" w:hAnsi="宋体"/>
          <w:szCs w:val="21"/>
        </w:rPr>
      </w:pPr>
      <w:r>
        <w:rPr>
          <w:rFonts w:hint="eastAsia" w:ascii="宋体" w:hAnsi="宋体"/>
          <w:szCs w:val="21"/>
        </w:rPr>
        <w:t>被授权人身份证号码：</w:t>
      </w:r>
    </w:p>
    <w:p w14:paraId="2BF0AA4A">
      <w:pPr>
        <w:snapToGrid w:val="0"/>
        <w:spacing w:line="360" w:lineRule="auto"/>
        <w:ind w:firstLine="420" w:firstLineChars="200"/>
        <w:jc w:val="left"/>
        <w:rPr>
          <w:rFonts w:ascii="宋体" w:hAnsi="宋体"/>
          <w:szCs w:val="21"/>
        </w:rPr>
      </w:pPr>
    </w:p>
    <w:p w14:paraId="142E1E49">
      <w:pPr>
        <w:snapToGrid w:val="0"/>
        <w:spacing w:line="360" w:lineRule="auto"/>
        <w:ind w:firstLine="420" w:firstLineChars="200"/>
        <w:jc w:val="left"/>
        <w:rPr>
          <w:rFonts w:ascii="宋体" w:hAnsi="宋体"/>
          <w:szCs w:val="21"/>
        </w:rPr>
      </w:pPr>
      <w:r>
        <w:rPr>
          <w:rFonts w:hint="eastAsia" w:ascii="宋体" w:hAnsi="宋体"/>
          <w:szCs w:val="21"/>
          <w:shd w:val="clear" w:color="auto" w:fill="FFFFFF"/>
        </w:rPr>
        <w:t>投标人名称：（盖章）</w:t>
      </w:r>
    </w:p>
    <w:p w14:paraId="0D2E1FEF">
      <w:pPr>
        <w:snapToGrid w:val="0"/>
        <w:spacing w:line="360" w:lineRule="auto"/>
        <w:ind w:firstLine="420" w:firstLineChars="200"/>
        <w:jc w:val="left"/>
        <w:rPr>
          <w:rFonts w:ascii="宋体" w:hAnsi="宋体"/>
          <w:szCs w:val="21"/>
        </w:rPr>
      </w:pPr>
      <w:r>
        <w:rPr>
          <w:rFonts w:hint="eastAsia" w:ascii="宋体" w:hAnsi="宋体"/>
          <w:szCs w:val="21"/>
        </w:rPr>
        <w:t>年月日</w:t>
      </w:r>
    </w:p>
    <w:p w14:paraId="550B5858">
      <w:pPr>
        <w:snapToGrid w:val="0"/>
        <w:spacing w:line="360" w:lineRule="auto"/>
        <w:ind w:firstLine="420" w:firstLineChars="200"/>
        <w:jc w:val="left"/>
        <w:rPr>
          <w:rFonts w:ascii="宋体" w:hAnsi="宋体"/>
          <w:szCs w:val="21"/>
        </w:rPr>
      </w:pPr>
    </w:p>
    <w:p w14:paraId="705A20F6">
      <w:pPr>
        <w:pStyle w:val="26"/>
        <w:snapToGrid w:val="0"/>
        <w:spacing w:line="360" w:lineRule="auto"/>
        <w:ind w:firstLine="420" w:firstLineChars="200"/>
        <w:jc w:val="left"/>
        <w:rPr>
          <w:rFonts w:hAnsi="宋体"/>
          <w:szCs w:val="21"/>
        </w:rPr>
      </w:pPr>
    </w:p>
    <w:p w14:paraId="24C054B2">
      <w:pPr>
        <w:snapToGrid w:val="0"/>
        <w:spacing w:line="360" w:lineRule="auto"/>
        <w:ind w:firstLine="420" w:firstLineChars="200"/>
        <w:jc w:val="left"/>
        <w:rPr>
          <w:rFonts w:ascii="宋体" w:hAnsi="宋体"/>
          <w:b/>
          <w:szCs w:val="21"/>
        </w:rPr>
      </w:pPr>
      <w:r>
        <w:rPr>
          <w:rFonts w:ascii="宋体" w:hAnsi="宋体"/>
          <w:szCs w:val="21"/>
        </w:rPr>
        <w:br w:type="page"/>
      </w:r>
    </w:p>
    <w:p w14:paraId="6C0A7935">
      <w:pPr>
        <w:spacing w:line="360" w:lineRule="auto"/>
        <w:ind w:firstLine="422" w:firstLineChars="200"/>
        <w:jc w:val="left"/>
        <w:rPr>
          <w:rFonts w:ascii="宋体" w:hAnsi="宋体"/>
          <w:b/>
          <w:szCs w:val="21"/>
        </w:rPr>
      </w:pPr>
    </w:p>
    <w:p w14:paraId="6951A3C3">
      <w:pPr>
        <w:spacing w:line="360" w:lineRule="auto"/>
        <w:ind w:firstLine="422" w:firstLineChars="200"/>
        <w:jc w:val="center"/>
        <w:rPr>
          <w:rFonts w:ascii="宋体" w:hAnsi="宋体"/>
          <w:b/>
          <w:szCs w:val="21"/>
        </w:rPr>
      </w:pPr>
      <w:r>
        <w:rPr>
          <w:rFonts w:hint="eastAsia" w:ascii="宋体" w:hAnsi="宋体"/>
          <w:b/>
          <w:szCs w:val="21"/>
        </w:rPr>
        <w:t>承诺函</w:t>
      </w:r>
    </w:p>
    <w:p w14:paraId="44FBCBB6">
      <w:pPr>
        <w:spacing w:line="360" w:lineRule="auto"/>
        <w:ind w:firstLine="422" w:firstLineChars="200"/>
        <w:jc w:val="left"/>
        <w:rPr>
          <w:rFonts w:ascii="宋体" w:hAnsi="宋体"/>
          <w:szCs w:val="21"/>
        </w:rPr>
      </w:pPr>
      <w:r>
        <w:rPr>
          <w:rFonts w:hint="eastAsia" w:ascii="宋体" w:hAnsi="宋体" w:cs="宋体"/>
          <w:b/>
          <w:bCs/>
          <w:kern w:val="0"/>
          <w:szCs w:val="21"/>
          <w:u w:val="single"/>
          <w:lang w:val="zh-CN"/>
        </w:rPr>
        <w:t xml:space="preserve">嘉兴经济技术开发区消防救援大队 </w:t>
      </w:r>
      <w:r>
        <w:rPr>
          <w:rFonts w:hint="eastAsia" w:ascii="宋体" w:hAnsi="宋体"/>
          <w:szCs w:val="21"/>
        </w:rPr>
        <w:t>：</w:t>
      </w:r>
    </w:p>
    <w:p w14:paraId="136D1145">
      <w:pPr>
        <w:snapToGrid w:val="0"/>
        <w:spacing w:line="360" w:lineRule="auto"/>
        <w:ind w:firstLine="420" w:firstLineChars="200"/>
        <w:jc w:val="left"/>
        <w:rPr>
          <w:rFonts w:ascii="宋体" w:hAnsi="宋体"/>
          <w:szCs w:val="21"/>
          <w:shd w:val="clear" w:color="auto" w:fill="FFFFFF"/>
        </w:rPr>
      </w:pPr>
    </w:p>
    <w:p w14:paraId="2308D685">
      <w:pPr>
        <w:snapToGrid w:val="0"/>
        <w:spacing w:line="360" w:lineRule="auto"/>
        <w:ind w:right="42" w:rightChars="20" w:firstLine="420" w:firstLineChars="200"/>
        <w:rPr>
          <w:rFonts w:ascii="宋体" w:hAnsi="宋体"/>
          <w:szCs w:val="21"/>
          <w:shd w:val="clear" w:color="auto" w:fill="FFFFFF"/>
        </w:rPr>
      </w:pPr>
      <w:r>
        <w:rPr>
          <w:rFonts w:hint="eastAsia" w:ascii="宋体" w:hAnsi="宋体"/>
          <w:szCs w:val="21"/>
          <w:shd w:val="clear" w:color="auto" w:fill="FFFFFF"/>
        </w:rPr>
        <w:t>本公司（公司名称）参加</w:t>
      </w:r>
      <w:r>
        <w:rPr>
          <w:rFonts w:hint="eastAsia" w:ascii="宋体" w:hAnsi="宋体" w:cs="宋体"/>
          <w:b/>
          <w:bCs/>
          <w:kern w:val="0"/>
          <w:szCs w:val="21"/>
          <w:u w:val="single"/>
          <w:lang w:val="zh-CN"/>
        </w:rPr>
        <w:t>浙江省嘉兴支队经济技术开发区消防救援大队2024-2025年度食堂大宗物品配送采购项目</w:t>
      </w:r>
      <w:r>
        <w:rPr>
          <w:rFonts w:hint="eastAsia" w:ascii="宋体" w:hAnsi="宋体"/>
          <w:b/>
        </w:rPr>
        <w:t xml:space="preserve"> </w:t>
      </w:r>
      <w:r>
        <w:rPr>
          <w:rFonts w:hint="eastAsia" w:ascii="宋体" w:hAnsi="宋体"/>
          <w:szCs w:val="21"/>
          <w:shd w:val="clear" w:color="auto" w:fill="FFFFFF"/>
        </w:rPr>
        <w:t>投标活动，现承诺如下：</w:t>
      </w:r>
    </w:p>
    <w:p w14:paraId="2C5A83DA">
      <w:pPr>
        <w:pStyle w:val="3"/>
      </w:pPr>
    </w:p>
    <w:p w14:paraId="4CF56800">
      <w:pPr>
        <w:snapToGrid w:val="0"/>
        <w:spacing w:line="360" w:lineRule="auto"/>
        <w:ind w:right="42" w:rightChars="20" w:firstLine="420" w:firstLineChars="200"/>
        <w:rPr>
          <w:rFonts w:asciiTheme="minorEastAsia" w:hAnsiTheme="minorEastAsia" w:eastAsiaTheme="minorEastAsia"/>
          <w:szCs w:val="21"/>
        </w:rPr>
      </w:pPr>
      <w:r>
        <w:rPr>
          <w:rFonts w:hint="eastAsia" w:asciiTheme="minorEastAsia" w:hAnsiTheme="minorEastAsia" w:eastAsiaTheme="minorEastAsia"/>
          <w:szCs w:val="21"/>
        </w:rPr>
        <w:t>（1）提供具有独立承担民事责任的能力；</w:t>
      </w:r>
    </w:p>
    <w:p w14:paraId="636A7F2E">
      <w:pPr>
        <w:snapToGrid w:val="0"/>
        <w:spacing w:line="360" w:lineRule="auto"/>
        <w:ind w:right="42" w:rightChars="20"/>
        <w:rPr>
          <w:rFonts w:asciiTheme="minorEastAsia" w:hAnsiTheme="minorEastAsia" w:eastAsiaTheme="minorEastAsia"/>
          <w:szCs w:val="21"/>
        </w:rPr>
      </w:pPr>
      <w:r>
        <w:rPr>
          <w:rFonts w:hint="eastAsia" w:asciiTheme="minorEastAsia" w:hAnsiTheme="minorEastAsia" w:eastAsiaTheme="minorEastAsia"/>
          <w:szCs w:val="21"/>
        </w:rPr>
        <w:t>（2）具有良好的商业信誉和健全的财务会计制度；</w:t>
      </w:r>
    </w:p>
    <w:p w14:paraId="25A32283">
      <w:pPr>
        <w:snapToGrid w:val="0"/>
        <w:spacing w:line="360" w:lineRule="auto"/>
        <w:ind w:right="42" w:rightChars="20"/>
        <w:rPr>
          <w:rFonts w:asciiTheme="minorEastAsia" w:hAnsiTheme="minorEastAsia" w:eastAsiaTheme="minorEastAsia"/>
          <w:szCs w:val="21"/>
        </w:rPr>
      </w:pPr>
      <w:r>
        <w:rPr>
          <w:rFonts w:hint="eastAsia" w:asciiTheme="minorEastAsia" w:hAnsiTheme="minorEastAsia" w:eastAsiaTheme="minorEastAsia"/>
          <w:szCs w:val="21"/>
        </w:rPr>
        <w:t>（3）具有履行合同所必需的设备和专业技术能力；</w:t>
      </w:r>
    </w:p>
    <w:p w14:paraId="37F99FCF">
      <w:pPr>
        <w:snapToGrid w:val="0"/>
        <w:spacing w:line="360" w:lineRule="auto"/>
        <w:ind w:right="42" w:rightChars="20"/>
        <w:rPr>
          <w:rFonts w:asciiTheme="minorEastAsia" w:hAnsiTheme="minorEastAsia" w:eastAsiaTheme="minorEastAsia"/>
          <w:szCs w:val="21"/>
        </w:rPr>
      </w:pPr>
      <w:r>
        <w:rPr>
          <w:rFonts w:hint="eastAsia" w:asciiTheme="minorEastAsia" w:hAnsiTheme="minorEastAsia" w:eastAsiaTheme="minorEastAsia"/>
          <w:szCs w:val="21"/>
        </w:rPr>
        <w:t>（4）有依法缴纳税收和社会保障资金的良好记录；</w:t>
      </w:r>
    </w:p>
    <w:p w14:paraId="64296AE5">
      <w:pPr>
        <w:snapToGrid w:val="0"/>
        <w:spacing w:line="360" w:lineRule="auto"/>
        <w:ind w:right="42" w:rightChars="20"/>
        <w:rPr>
          <w:rFonts w:asciiTheme="minorEastAsia" w:hAnsiTheme="minorEastAsia" w:eastAsiaTheme="minorEastAsia"/>
          <w:szCs w:val="21"/>
        </w:rPr>
      </w:pPr>
      <w:r>
        <w:rPr>
          <w:rFonts w:hint="eastAsia" w:asciiTheme="minorEastAsia" w:hAnsiTheme="minorEastAsia" w:eastAsiaTheme="minorEastAsia"/>
          <w:szCs w:val="21"/>
        </w:rPr>
        <w:t>（5）参加政府采购活动前三年，在经营活动中没有重大违法记录、自招标公告发布之日起至投标截止日内任意时间的“信用中国”网站（www.creditchina.gov.cn）（未被信用中国网站</w:t>
      </w:r>
      <w:r>
        <w:fldChar w:fldCharType="begin"/>
      </w:r>
      <w:r>
        <w:instrText xml:space="preserve"> HYPERLINK \t "_blank" </w:instrText>
      </w:r>
      <w:r>
        <w:fldChar w:fldCharType="separate"/>
      </w:r>
      <w:r>
        <w:rPr>
          <w:rFonts w:hint="eastAsia" w:asciiTheme="minorEastAsia" w:hAnsiTheme="minorEastAsia" w:eastAsiaTheme="minorEastAsia"/>
        </w:rPr>
        <w:t>列入失信被执行人、重大税收违法案件当事人名单</w:t>
      </w:r>
      <w:r>
        <w:rPr>
          <w:rFonts w:hint="eastAsia" w:asciiTheme="minorEastAsia" w:hAnsiTheme="minorEastAsia" w:eastAsiaTheme="minorEastAsia"/>
        </w:rPr>
        <w:fldChar w:fldCharType="end"/>
      </w:r>
      <w:r>
        <w:rPr>
          <w:rFonts w:asciiTheme="minorEastAsia" w:hAnsiTheme="minorEastAsia" w:eastAsiaTheme="minorEastAsia"/>
          <w:szCs w:val="21"/>
        </w:rPr>
        <w:t>的）</w:t>
      </w:r>
      <w:r>
        <w:rPr>
          <w:rFonts w:hint="eastAsia" w:asciiTheme="minorEastAsia" w:hAnsiTheme="minorEastAsia" w:eastAsiaTheme="minorEastAsia"/>
          <w:szCs w:val="21"/>
        </w:rPr>
        <w:t>、中国政府采购网（www.ccgp.gov.cn）（未被中国政府采购网</w:t>
      </w:r>
      <w:r>
        <w:fldChar w:fldCharType="begin"/>
      </w:r>
      <w:r>
        <w:instrText xml:space="preserve"> HYPERLINK \t "_blank" </w:instrText>
      </w:r>
      <w:r>
        <w:fldChar w:fldCharType="separate"/>
      </w:r>
      <w:r>
        <w:rPr>
          <w:rFonts w:hint="eastAsia" w:asciiTheme="minorEastAsia" w:hAnsiTheme="minorEastAsia" w:eastAsiaTheme="minorEastAsia"/>
        </w:rPr>
        <w:t>列入政府采购严重违法失信行为记录名单</w:t>
      </w:r>
      <w:r>
        <w:rPr>
          <w:rFonts w:hint="eastAsia" w:asciiTheme="minorEastAsia" w:hAnsiTheme="minorEastAsia" w:eastAsiaTheme="minorEastAsia"/>
        </w:rPr>
        <w:fldChar w:fldCharType="end"/>
      </w:r>
      <w:r>
        <w:rPr>
          <w:rFonts w:asciiTheme="minorEastAsia" w:hAnsiTheme="minorEastAsia" w:eastAsiaTheme="minorEastAsia"/>
          <w:szCs w:val="21"/>
        </w:rPr>
        <w:t>的</w:t>
      </w:r>
      <w:r>
        <w:rPr>
          <w:rFonts w:hint="eastAsia" w:asciiTheme="minorEastAsia" w:hAnsiTheme="minorEastAsia" w:eastAsiaTheme="minorEastAsia"/>
          <w:szCs w:val="21"/>
        </w:rPr>
        <w:t>）也没有因违反《浙江省政府采购投标人注册及诚信管理暂行办法》被列入“黑名单”，正在处罚有效期；</w:t>
      </w:r>
    </w:p>
    <w:p w14:paraId="069B7978">
      <w:pPr>
        <w:snapToGrid w:val="0"/>
        <w:spacing w:line="360" w:lineRule="auto"/>
        <w:ind w:right="42" w:rightChars="20" w:firstLine="420" w:firstLineChars="200"/>
        <w:jc w:val="left"/>
        <w:rPr>
          <w:rFonts w:asciiTheme="minorEastAsia" w:hAnsiTheme="minorEastAsia" w:eastAsiaTheme="minorEastAsia"/>
          <w:szCs w:val="21"/>
        </w:rPr>
      </w:pPr>
    </w:p>
    <w:p w14:paraId="4F5DEE64">
      <w:pPr>
        <w:pStyle w:val="3"/>
      </w:pPr>
    </w:p>
    <w:p w14:paraId="368798E1">
      <w:pPr>
        <w:snapToGrid w:val="0"/>
        <w:spacing w:line="360" w:lineRule="auto"/>
        <w:ind w:right="42" w:rightChars="20" w:firstLine="420" w:firstLineChars="200"/>
        <w:jc w:val="left"/>
        <w:rPr>
          <w:rFonts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如违反以上承诺，本公司愿承担一切法律责任。</w:t>
      </w:r>
    </w:p>
    <w:p w14:paraId="07FC1FA4">
      <w:pPr>
        <w:pStyle w:val="3"/>
      </w:pPr>
    </w:p>
    <w:p w14:paraId="3B0AF61D">
      <w:pPr>
        <w:pStyle w:val="3"/>
      </w:pPr>
    </w:p>
    <w:p w14:paraId="03D5663F">
      <w:pPr>
        <w:pStyle w:val="3"/>
      </w:pPr>
    </w:p>
    <w:p w14:paraId="1B6B154F">
      <w:pPr>
        <w:snapToGrid w:val="0"/>
        <w:spacing w:line="360" w:lineRule="auto"/>
        <w:ind w:right="42" w:rightChars="20" w:firstLine="420" w:firstLineChars="200"/>
        <w:jc w:val="left"/>
        <w:rPr>
          <w:rFonts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投标人名称：（投标人公章）</w:t>
      </w:r>
    </w:p>
    <w:p w14:paraId="2BA8C0C1">
      <w:pPr>
        <w:pStyle w:val="3"/>
      </w:pPr>
    </w:p>
    <w:p w14:paraId="0804303D">
      <w:pPr>
        <w:snapToGrid w:val="0"/>
        <w:spacing w:line="360" w:lineRule="auto"/>
        <w:ind w:right="42" w:rightChars="20" w:firstLine="420" w:firstLineChars="200"/>
        <w:jc w:val="left"/>
        <w:rPr>
          <w:rFonts w:asciiTheme="minorEastAsia" w:hAnsiTheme="minorEastAsia" w:eastAsiaTheme="minorEastAsia"/>
          <w:szCs w:val="21"/>
          <w:shd w:val="clear" w:color="auto" w:fill="FFFFFF"/>
        </w:rPr>
      </w:pPr>
      <w:r>
        <w:rPr>
          <w:rFonts w:hint="eastAsia" w:asciiTheme="minorEastAsia" w:hAnsiTheme="minorEastAsia" w:eastAsiaTheme="minorEastAsia"/>
          <w:szCs w:val="21"/>
        </w:rPr>
        <w:t>法定代表人或其授权代表签字（或盖章）</w:t>
      </w:r>
      <w:r>
        <w:rPr>
          <w:rFonts w:hint="eastAsia" w:asciiTheme="minorEastAsia" w:hAnsiTheme="minorEastAsia" w:eastAsiaTheme="minorEastAsia"/>
          <w:szCs w:val="21"/>
          <w:shd w:val="clear" w:color="auto" w:fill="FFFFFF"/>
        </w:rPr>
        <w:t>：</w:t>
      </w:r>
    </w:p>
    <w:p w14:paraId="1A1699A5">
      <w:pPr>
        <w:pStyle w:val="3"/>
      </w:pPr>
    </w:p>
    <w:p w14:paraId="5C5A8222">
      <w:pPr>
        <w:snapToGrid w:val="0"/>
        <w:spacing w:line="360" w:lineRule="auto"/>
        <w:ind w:right="42" w:rightChars="20" w:firstLine="420" w:firstLineChars="200"/>
        <w:jc w:val="left"/>
        <w:rPr>
          <w:rFonts w:asciiTheme="minorEastAsia" w:hAnsiTheme="minorEastAsia" w:eastAsiaTheme="minorEastAsia"/>
          <w:szCs w:val="21"/>
          <w:u w:val="single"/>
        </w:rPr>
      </w:pPr>
      <w:r>
        <w:rPr>
          <w:rFonts w:hint="eastAsia" w:asciiTheme="minorEastAsia" w:hAnsiTheme="minorEastAsia" w:eastAsiaTheme="minorEastAsia"/>
          <w:szCs w:val="21"/>
          <w:shd w:val="clear" w:color="auto" w:fill="FFFFFF"/>
        </w:rPr>
        <w:t>投标日期： 年 月 日</w:t>
      </w:r>
    </w:p>
    <w:p w14:paraId="5CF31B41">
      <w:pPr>
        <w:snapToGrid w:val="0"/>
        <w:spacing w:line="360" w:lineRule="auto"/>
        <w:ind w:firstLine="420" w:firstLineChars="200"/>
        <w:jc w:val="left"/>
        <w:rPr>
          <w:rFonts w:ascii="宋体" w:hAnsi="宋体"/>
          <w:szCs w:val="21"/>
        </w:rPr>
      </w:pPr>
    </w:p>
    <w:p w14:paraId="42E4ABC8">
      <w:pPr>
        <w:pStyle w:val="6"/>
        <w:rPr>
          <w:rFonts w:ascii="宋体" w:hAnsi="宋体"/>
          <w:szCs w:val="21"/>
        </w:rPr>
      </w:pPr>
    </w:p>
    <w:p w14:paraId="087E6E25">
      <w:pPr>
        <w:rPr>
          <w:rFonts w:ascii="宋体" w:hAnsi="宋体"/>
          <w:szCs w:val="21"/>
        </w:rPr>
      </w:pPr>
    </w:p>
    <w:p w14:paraId="5DB2313B">
      <w:pPr>
        <w:pStyle w:val="9"/>
        <w:rPr>
          <w:rFonts w:hAnsi="宋体"/>
          <w:szCs w:val="21"/>
        </w:rPr>
      </w:pPr>
    </w:p>
    <w:p w14:paraId="2574A956">
      <w:pPr>
        <w:pStyle w:val="3"/>
      </w:pPr>
    </w:p>
    <w:p w14:paraId="484A1A9A">
      <w:pPr>
        <w:rPr>
          <w:rFonts w:ascii="宋体" w:hAnsi="宋体"/>
          <w:szCs w:val="21"/>
        </w:rPr>
      </w:pPr>
    </w:p>
    <w:p w14:paraId="63E46975">
      <w:pPr>
        <w:widowControl/>
        <w:ind w:firstLine="420"/>
        <w:jc w:val="center"/>
        <w:rPr>
          <w:rFonts w:ascii="微软雅黑" w:hAnsi="微软雅黑"/>
          <w:b/>
          <w:szCs w:val="21"/>
        </w:rPr>
      </w:pPr>
      <w:r>
        <w:rPr>
          <w:rFonts w:hint="eastAsia" w:ascii="微软雅黑" w:hAnsi="微软雅黑"/>
          <w:b/>
          <w:szCs w:val="21"/>
        </w:rPr>
        <w:t>中小企业声明函（工程、服务）</w:t>
      </w:r>
    </w:p>
    <w:p w14:paraId="35352409">
      <w:pPr>
        <w:widowControl/>
        <w:spacing w:line="400" w:lineRule="exact"/>
        <w:jc w:val="center"/>
        <w:rPr>
          <w:rFonts w:ascii="楷体_GB2312" w:eastAsia="楷体_GB2312"/>
          <w:b/>
          <w:sz w:val="36"/>
          <w:szCs w:val="36"/>
        </w:rPr>
      </w:pPr>
    </w:p>
    <w:p w14:paraId="14E84B2C">
      <w:pPr>
        <w:widowControl/>
        <w:spacing w:line="360" w:lineRule="auto"/>
        <w:ind w:firstLine="420" w:firstLineChars="200"/>
        <w:jc w:val="left"/>
        <w:rPr>
          <w:szCs w:val="21"/>
        </w:rPr>
      </w:pPr>
      <w:r>
        <w:rPr>
          <w:rFonts w:hint="eastAsia" w:ascii="宋体" w:hAnsi="宋体" w:cs="宋体"/>
          <w:kern w:val="0"/>
          <w:szCs w:val="21"/>
        </w:rPr>
        <w:t xml:space="preserve">本公司（联合体）郑重声明，根据《政府采购促进中小企业发展管理办法》（财库﹝2020﹞ </w:t>
      </w:r>
    </w:p>
    <w:p w14:paraId="3F716069">
      <w:pPr>
        <w:widowControl/>
        <w:spacing w:line="360" w:lineRule="auto"/>
        <w:jc w:val="left"/>
        <w:rPr>
          <w:szCs w:val="21"/>
        </w:rPr>
      </w:pPr>
      <w:r>
        <w:rPr>
          <w:rFonts w:hint="eastAsia" w:ascii="宋体" w:hAnsi="宋体" w:cs="宋体"/>
          <w:kern w:val="0"/>
          <w:szCs w:val="21"/>
        </w:rPr>
        <w:t xml:space="preserve">46 号）的规定，本公司 （联合体）参加 </w:t>
      </w:r>
      <w:r>
        <w:rPr>
          <w:rFonts w:hint="eastAsia" w:ascii="宋体" w:hAnsi="宋体" w:cs="宋体"/>
          <w:kern w:val="0"/>
          <w:szCs w:val="21"/>
          <w:u w:val="single"/>
        </w:rPr>
        <w:t xml:space="preserve">  （单位名称）  </w:t>
      </w:r>
      <w:r>
        <w:rPr>
          <w:rFonts w:hint="eastAsia" w:ascii="宋体" w:hAnsi="宋体" w:cs="宋体"/>
          <w:kern w:val="0"/>
          <w:szCs w:val="21"/>
        </w:rPr>
        <w:t xml:space="preserve">的 </w:t>
      </w:r>
      <w:r>
        <w:rPr>
          <w:rFonts w:hint="eastAsia" w:ascii="宋体" w:hAnsi="宋体" w:cs="宋体"/>
          <w:kern w:val="0"/>
          <w:szCs w:val="21"/>
          <w:u w:val="single"/>
        </w:rPr>
        <w:t xml:space="preserve">  （项目名称）  </w:t>
      </w:r>
      <w:r>
        <w:rPr>
          <w:rFonts w:hint="eastAsia" w:ascii="宋体" w:hAnsi="宋体" w:cs="宋体"/>
          <w:kern w:val="0"/>
          <w:szCs w:val="21"/>
        </w:rPr>
        <w:t xml:space="preserve">采购活动，工程的施工单位全部为符合政策要求的中小企业（或者：服务全部由符合政策要求的 </w:t>
      </w:r>
    </w:p>
    <w:p w14:paraId="6F0F68E9">
      <w:pPr>
        <w:widowControl/>
        <w:spacing w:line="360" w:lineRule="auto"/>
        <w:jc w:val="left"/>
        <w:rPr>
          <w:szCs w:val="21"/>
        </w:rPr>
      </w:pPr>
      <w:r>
        <w:rPr>
          <w:rFonts w:hint="eastAsia" w:ascii="宋体" w:hAnsi="宋体" w:cs="宋体"/>
          <w:kern w:val="0"/>
          <w:szCs w:val="21"/>
        </w:rPr>
        <w:t xml:space="preserve">中小企业承接）。相关企业 （含联合体中的中小企业、签订分包意向协议的中小企业） 的 </w:t>
      </w:r>
    </w:p>
    <w:p w14:paraId="741DD741">
      <w:pPr>
        <w:widowControl/>
        <w:spacing w:line="360" w:lineRule="auto"/>
        <w:jc w:val="left"/>
        <w:rPr>
          <w:szCs w:val="21"/>
        </w:rPr>
      </w:pPr>
      <w:r>
        <w:rPr>
          <w:rFonts w:hint="eastAsia" w:ascii="宋体" w:hAnsi="宋体" w:cs="宋体"/>
          <w:kern w:val="0"/>
          <w:szCs w:val="21"/>
        </w:rPr>
        <w:t xml:space="preserve">具体情况如下： </w:t>
      </w:r>
    </w:p>
    <w:p w14:paraId="09170F4A">
      <w:pPr>
        <w:widowControl/>
        <w:spacing w:line="360" w:lineRule="auto"/>
        <w:ind w:firstLine="420" w:firstLineChars="200"/>
        <w:jc w:val="left"/>
        <w:rPr>
          <w:szCs w:val="21"/>
          <w:u w:val="single"/>
        </w:rPr>
      </w:pPr>
      <w:r>
        <w:rPr>
          <w:rFonts w:hint="eastAsia" w:ascii="宋体" w:hAnsi="宋体" w:cs="宋体"/>
          <w:kern w:val="0"/>
          <w:szCs w:val="21"/>
        </w:rPr>
        <w:t xml:space="preserve">1. </w:t>
      </w:r>
      <w:r>
        <w:rPr>
          <w:rFonts w:hint="eastAsia" w:ascii="宋体" w:hAnsi="宋体" w:cs="宋体"/>
          <w:kern w:val="0"/>
          <w:szCs w:val="21"/>
          <w:u w:val="single"/>
        </w:rPr>
        <w:t xml:space="preserve">（标的名称） </w:t>
      </w:r>
      <w:r>
        <w:rPr>
          <w:rFonts w:hint="eastAsia" w:ascii="宋体" w:hAnsi="宋体" w:cs="宋体"/>
          <w:kern w:val="0"/>
          <w:szCs w:val="21"/>
        </w:rPr>
        <w:t>，属于</w:t>
      </w:r>
      <w:r>
        <w:rPr>
          <w:rFonts w:hint="eastAsia" w:ascii="宋体" w:hAnsi="宋体" w:cs="宋体"/>
          <w:kern w:val="0"/>
          <w:szCs w:val="21"/>
          <w:u w:val="single"/>
        </w:rPr>
        <w:t>（采购文件中明确的所属行业）行业</w:t>
      </w:r>
      <w:r>
        <w:rPr>
          <w:rFonts w:hint="eastAsia" w:ascii="宋体" w:hAnsi="宋体" w:cs="宋体"/>
          <w:kern w:val="0"/>
          <w:szCs w:val="21"/>
        </w:rPr>
        <w:t>；承建（承接）企业为</w:t>
      </w:r>
      <w:r>
        <w:rPr>
          <w:rFonts w:hint="eastAsia" w:ascii="宋体" w:hAnsi="宋体" w:cs="宋体"/>
          <w:kern w:val="0"/>
          <w:szCs w:val="21"/>
          <w:u w:val="single"/>
        </w:rPr>
        <w:t xml:space="preserve">（企 </w:t>
      </w:r>
    </w:p>
    <w:p w14:paraId="2983924A">
      <w:pPr>
        <w:widowControl/>
        <w:spacing w:line="360" w:lineRule="auto"/>
        <w:jc w:val="left"/>
        <w:rPr>
          <w:szCs w:val="21"/>
        </w:rPr>
      </w:pPr>
      <w:r>
        <w:rPr>
          <w:rFonts w:hint="eastAsia" w:ascii="宋体" w:hAnsi="宋体" w:cs="宋体"/>
          <w:kern w:val="0"/>
          <w:szCs w:val="21"/>
          <w:u w:val="single"/>
        </w:rPr>
        <w:t>业名称）</w:t>
      </w:r>
      <w:r>
        <w:rPr>
          <w:rFonts w:hint="eastAsia" w:ascii="宋体" w:hAnsi="宋体" w:cs="宋体"/>
          <w:kern w:val="0"/>
          <w:szCs w:val="21"/>
        </w:rPr>
        <w:t>，从业人员</w:t>
      </w:r>
      <w:r>
        <w:rPr>
          <w:rFonts w:hint="eastAsia" w:ascii="宋体" w:hAnsi="宋体" w:cs="宋体"/>
          <w:kern w:val="0"/>
          <w:szCs w:val="21"/>
          <w:u w:val="single"/>
        </w:rPr>
        <w:t xml:space="preserve">    </w:t>
      </w:r>
      <w:r>
        <w:rPr>
          <w:rFonts w:hint="eastAsia" w:ascii="宋体" w:hAnsi="宋体" w:cs="宋体"/>
          <w:kern w:val="0"/>
          <w:szCs w:val="21"/>
        </w:rPr>
        <w:t>人，营业收入为</w:t>
      </w:r>
      <w:r>
        <w:rPr>
          <w:rFonts w:hint="eastAsia" w:ascii="宋体" w:hAnsi="宋体" w:cs="宋体"/>
          <w:kern w:val="0"/>
          <w:szCs w:val="21"/>
          <w:u w:val="single"/>
        </w:rPr>
        <w:t xml:space="preserve">    </w:t>
      </w:r>
      <w:r>
        <w:rPr>
          <w:rFonts w:hint="eastAsia" w:ascii="宋体" w:hAnsi="宋体" w:cs="宋体"/>
          <w:kern w:val="0"/>
          <w:szCs w:val="21"/>
        </w:rPr>
        <w:t>万元，资产总额为</w:t>
      </w:r>
      <w:r>
        <w:rPr>
          <w:rFonts w:hint="eastAsia" w:ascii="宋体" w:hAnsi="宋体" w:cs="宋体"/>
          <w:kern w:val="0"/>
          <w:szCs w:val="21"/>
          <w:u w:val="single"/>
        </w:rPr>
        <w:t xml:space="preserve">   </w:t>
      </w:r>
      <w:r>
        <w:rPr>
          <w:rFonts w:hint="eastAsia" w:ascii="宋体" w:hAnsi="宋体" w:cs="宋体"/>
          <w:kern w:val="0"/>
          <w:szCs w:val="21"/>
        </w:rPr>
        <w:t>万元，属于</w:t>
      </w:r>
      <w:r>
        <w:rPr>
          <w:rFonts w:hint="eastAsia" w:ascii="宋体" w:hAnsi="宋体" w:cs="宋体"/>
          <w:kern w:val="0"/>
          <w:szCs w:val="21"/>
          <w:u w:val="single"/>
        </w:rPr>
        <w:t>（中型企业、小型企业、微型企业）</w:t>
      </w:r>
      <w:r>
        <w:rPr>
          <w:rFonts w:hint="eastAsia" w:ascii="宋体" w:hAnsi="宋体" w:cs="宋体"/>
          <w:kern w:val="0"/>
          <w:szCs w:val="21"/>
        </w:rPr>
        <w:t xml:space="preserve">； </w:t>
      </w:r>
    </w:p>
    <w:p w14:paraId="7A23F207">
      <w:pPr>
        <w:widowControl/>
        <w:spacing w:line="360" w:lineRule="auto"/>
        <w:ind w:firstLine="420" w:firstLineChars="200"/>
        <w:jc w:val="left"/>
        <w:rPr>
          <w:szCs w:val="21"/>
          <w:u w:val="single"/>
        </w:rPr>
      </w:pPr>
      <w:r>
        <w:rPr>
          <w:rFonts w:hint="eastAsia" w:ascii="宋体" w:hAnsi="宋体" w:cs="宋体"/>
          <w:kern w:val="0"/>
          <w:szCs w:val="21"/>
        </w:rPr>
        <w:t xml:space="preserve">2. </w:t>
      </w:r>
      <w:r>
        <w:rPr>
          <w:rFonts w:hint="eastAsia" w:ascii="宋体" w:hAnsi="宋体" w:cs="宋体"/>
          <w:kern w:val="0"/>
          <w:szCs w:val="21"/>
          <w:u w:val="single"/>
        </w:rPr>
        <w:t xml:space="preserve">（标的名称） </w:t>
      </w:r>
      <w:r>
        <w:rPr>
          <w:rFonts w:hint="eastAsia" w:ascii="宋体" w:hAnsi="宋体" w:cs="宋体"/>
          <w:kern w:val="0"/>
          <w:szCs w:val="21"/>
        </w:rPr>
        <w:t>，属于（采购文件中明确的所属行业）行业；承建（承接）企业为</w:t>
      </w:r>
      <w:r>
        <w:rPr>
          <w:rFonts w:hint="eastAsia" w:ascii="宋体" w:hAnsi="宋体" w:cs="宋体"/>
          <w:kern w:val="0"/>
          <w:szCs w:val="21"/>
          <w:u w:val="single"/>
        </w:rPr>
        <w:t xml:space="preserve">（企 </w:t>
      </w:r>
    </w:p>
    <w:p w14:paraId="61E3DF4F">
      <w:pPr>
        <w:widowControl/>
        <w:spacing w:line="360" w:lineRule="auto"/>
        <w:jc w:val="left"/>
        <w:rPr>
          <w:szCs w:val="21"/>
        </w:rPr>
      </w:pPr>
      <w:r>
        <w:rPr>
          <w:rFonts w:hint="eastAsia" w:ascii="宋体" w:hAnsi="宋体" w:cs="宋体"/>
          <w:kern w:val="0"/>
          <w:szCs w:val="21"/>
          <w:u w:val="single"/>
        </w:rPr>
        <w:t xml:space="preserve">业名称） </w:t>
      </w:r>
      <w:r>
        <w:rPr>
          <w:rFonts w:hint="eastAsia" w:ascii="宋体" w:hAnsi="宋体" w:cs="宋体"/>
          <w:kern w:val="0"/>
          <w:szCs w:val="21"/>
        </w:rPr>
        <w:t>，从业人员</w:t>
      </w:r>
      <w:r>
        <w:rPr>
          <w:rFonts w:hint="eastAsia" w:ascii="宋体" w:hAnsi="宋体" w:cs="宋体"/>
          <w:kern w:val="0"/>
          <w:szCs w:val="21"/>
          <w:u w:val="single"/>
        </w:rPr>
        <w:t xml:space="preserve">    </w:t>
      </w:r>
      <w:r>
        <w:rPr>
          <w:rFonts w:hint="eastAsia" w:ascii="宋体" w:hAnsi="宋体" w:cs="宋体"/>
          <w:kern w:val="0"/>
          <w:szCs w:val="21"/>
        </w:rPr>
        <w:t>人，营业收入为</w:t>
      </w:r>
      <w:r>
        <w:rPr>
          <w:rFonts w:hint="eastAsia" w:ascii="宋体" w:hAnsi="宋体" w:cs="宋体"/>
          <w:kern w:val="0"/>
          <w:szCs w:val="21"/>
          <w:u w:val="single"/>
        </w:rPr>
        <w:t xml:space="preserve">    </w:t>
      </w:r>
      <w:r>
        <w:rPr>
          <w:rFonts w:hint="eastAsia" w:ascii="宋体" w:hAnsi="宋体" w:cs="宋体"/>
          <w:kern w:val="0"/>
          <w:szCs w:val="21"/>
        </w:rPr>
        <w:t>万元，资产总额为</w:t>
      </w:r>
      <w:r>
        <w:rPr>
          <w:rFonts w:hint="eastAsia" w:ascii="宋体" w:hAnsi="宋体" w:cs="宋体"/>
          <w:kern w:val="0"/>
          <w:szCs w:val="21"/>
          <w:u w:val="single"/>
        </w:rPr>
        <w:t xml:space="preserve">    </w:t>
      </w:r>
      <w:r>
        <w:rPr>
          <w:rFonts w:hint="eastAsia" w:ascii="宋体" w:hAnsi="宋体" w:cs="宋体"/>
          <w:kern w:val="0"/>
          <w:szCs w:val="21"/>
        </w:rPr>
        <w:t>万元，属于</w:t>
      </w:r>
      <w:r>
        <w:rPr>
          <w:rFonts w:hint="eastAsia" w:ascii="宋体" w:hAnsi="宋体" w:cs="宋体"/>
          <w:kern w:val="0"/>
          <w:szCs w:val="21"/>
          <w:u w:val="single"/>
        </w:rPr>
        <w:t>（中型企业、小型企业、微型企业）</w:t>
      </w:r>
      <w:r>
        <w:rPr>
          <w:rFonts w:hint="eastAsia" w:ascii="宋体" w:hAnsi="宋体" w:cs="宋体"/>
          <w:kern w:val="0"/>
          <w:szCs w:val="21"/>
        </w:rPr>
        <w:t xml:space="preserve">； </w:t>
      </w:r>
    </w:p>
    <w:p w14:paraId="5E6EC45F">
      <w:pPr>
        <w:widowControl/>
        <w:spacing w:line="360" w:lineRule="auto"/>
        <w:ind w:firstLine="420" w:firstLineChars="200"/>
        <w:jc w:val="left"/>
        <w:rPr>
          <w:szCs w:val="21"/>
        </w:rPr>
      </w:pPr>
      <w:r>
        <w:rPr>
          <w:rFonts w:hint="eastAsia" w:ascii="宋体" w:hAnsi="宋体" w:cs="宋体"/>
          <w:kern w:val="0"/>
          <w:szCs w:val="21"/>
        </w:rPr>
        <w:t xml:space="preserve">....... </w:t>
      </w:r>
    </w:p>
    <w:p w14:paraId="2CEFE9FC">
      <w:pPr>
        <w:widowControl/>
        <w:spacing w:line="360" w:lineRule="auto"/>
        <w:ind w:firstLine="420" w:firstLineChars="200"/>
        <w:jc w:val="left"/>
        <w:rPr>
          <w:szCs w:val="21"/>
        </w:rPr>
      </w:pPr>
      <w:r>
        <w:rPr>
          <w:rFonts w:hint="eastAsia" w:ascii="宋体" w:hAnsi="宋体" w:cs="宋体"/>
          <w:kern w:val="0"/>
          <w:szCs w:val="21"/>
        </w:rPr>
        <w:t xml:space="preserve">以上企业，不属于大企业的分支机构，不存在控股股东为大企业的情形，也不存在与大 </w:t>
      </w:r>
    </w:p>
    <w:p w14:paraId="397BA33D">
      <w:pPr>
        <w:widowControl/>
        <w:spacing w:line="360" w:lineRule="auto"/>
        <w:jc w:val="left"/>
        <w:rPr>
          <w:szCs w:val="21"/>
        </w:rPr>
      </w:pPr>
      <w:r>
        <w:rPr>
          <w:rFonts w:hint="eastAsia" w:ascii="宋体" w:hAnsi="宋体" w:cs="宋体"/>
          <w:kern w:val="0"/>
          <w:szCs w:val="21"/>
        </w:rPr>
        <w:t xml:space="preserve">企业的负责人为同一人的情形。 </w:t>
      </w:r>
    </w:p>
    <w:p w14:paraId="5AC7746C">
      <w:pPr>
        <w:spacing w:line="360" w:lineRule="auto"/>
        <w:rPr>
          <w:rFonts w:ascii="宋体" w:hAnsi="宋体"/>
          <w:b/>
          <w:szCs w:val="21"/>
        </w:rPr>
      </w:pPr>
      <w:r>
        <w:rPr>
          <w:rFonts w:hint="eastAsia" w:ascii="宋体" w:hAnsi="宋体" w:cs="宋体"/>
          <w:kern w:val="0"/>
          <w:szCs w:val="21"/>
        </w:rPr>
        <w:t>本企业对上述声明内容的真实性负责。如有虚假，将依法承担相应责任。</w:t>
      </w:r>
    </w:p>
    <w:p w14:paraId="15349745">
      <w:pPr>
        <w:spacing w:line="360" w:lineRule="auto"/>
        <w:rPr>
          <w:szCs w:val="21"/>
        </w:rPr>
      </w:pPr>
    </w:p>
    <w:p w14:paraId="6AEA9B7E">
      <w:pPr>
        <w:spacing w:line="360" w:lineRule="auto"/>
        <w:rPr>
          <w:szCs w:val="21"/>
        </w:rPr>
      </w:pPr>
    </w:p>
    <w:p w14:paraId="033AE6FE">
      <w:pPr>
        <w:pStyle w:val="9"/>
        <w:spacing w:line="360" w:lineRule="auto"/>
        <w:rPr>
          <w:sz w:val="21"/>
          <w:szCs w:val="21"/>
        </w:rPr>
      </w:pPr>
    </w:p>
    <w:p w14:paraId="7362BDBB">
      <w:pPr>
        <w:pStyle w:val="3"/>
        <w:spacing w:line="360" w:lineRule="auto"/>
        <w:rPr>
          <w:szCs w:val="21"/>
        </w:rPr>
      </w:pPr>
    </w:p>
    <w:p w14:paraId="406FB9B1">
      <w:pPr>
        <w:pStyle w:val="3"/>
        <w:spacing w:line="360" w:lineRule="auto"/>
        <w:rPr>
          <w:szCs w:val="21"/>
        </w:rPr>
      </w:pPr>
    </w:p>
    <w:p w14:paraId="7B5D29DD">
      <w:pPr>
        <w:pStyle w:val="3"/>
        <w:spacing w:line="360" w:lineRule="auto"/>
        <w:rPr>
          <w:szCs w:val="21"/>
        </w:rPr>
      </w:pPr>
    </w:p>
    <w:p w14:paraId="65505711">
      <w:pPr>
        <w:spacing w:line="360" w:lineRule="auto"/>
        <w:ind w:firstLine="211" w:firstLineChars="100"/>
        <w:rPr>
          <w:rFonts w:ascii="宋体" w:hAnsi="宋体"/>
          <w:b/>
          <w:szCs w:val="21"/>
        </w:rPr>
      </w:pPr>
      <w:r>
        <w:rPr>
          <w:rFonts w:hint="eastAsia" w:ascii="宋体" w:hAnsi="宋体"/>
          <w:b/>
          <w:szCs w:val="21"/>
        </w:rPr>
        <w:t>投标人（公章）:</w:t>
      </w:r>
    </w:p>
    <w:p w14:paraId="6ED978F2">
      <w:pPr>
        <w:spacing w:line="360" w:lineRule="auto"/>
        <w:ind w:firstLine="211" w:firstLineChars="100"/>
        <w:rPr>
          <w:rFonts w:ascii="宋体" w:hAnsi="宋体"/>
          <w:b/>
          <w:szCs w:val="21"/>
        </w:rPr>
      </w:pPr>
      <w:r>
        <w:rPr>
          <w:rFonts w:hint="eastAsia" w:ascii="宋体" w:hAnsi="宋体"/>
          <w:b/>
          <w:szCs w:val="21"/>
        </w:rPr>
        <w:t>日 期：    年  月  日</w:t>
      </w:r>
    </w:p>
    <w:p w14:paraId="2C47155B">
      <w:pPr>
        <w:pStyle w:val="26"/>
        <w:snapToGrid w:val="0"/>
        <w:spacing w:line="360" w:lineRule="auto"/>
        <w:ind w:right="42" w:rightChars="20" w:firstLine="422" w:firstLineChars="200"/>
        <w:jc w:val="left"/>
        <w:rPr>
          <w:rFonts w:asciiTheme="minorEastAsia" w:hAnsiTheme="minorEastAsia" w:eastAsiaTheme="minorEastAsia"/>
          <w:b/>
          <w:szCs w:val="21"/>
        </w:rPr>
      </w:pPr>
    </w:p>
    <w:p w14:paraId="6174ACAF">
      <w:pPr>
        <w:pStyle w:val="26"/>
        <w:snapToGrid w:val="0"/>
        <w:spacing w:line="360" w:lineRule="auto"/>
        <w:ind w:right="42" w:rightChars="20" w:firstLine="422" w:firstLineChars="200"/>
        <w:jc w:val="left"/>
        <w:rPr>
          <w:rFonts w:asciiTheme="minorEastAsia" w:hAnsiTheme="minorEastAsia" w:eastAsiaTheme="minorEastAsia"/>
          <w:b/>
          <w:szCs w:val="21"/>
        </w:rPr>
      </w:pPr>
    </w:p>
    <w:p w14:paraId="7B763905">
      <w:pPr>
        <w:pStyle w:val="26"/>
        <w:snapToGrid w:val="0"/>
        <w:spacing w:line="360" w:lineRule="auto"/>
        <w:ind w:right="42" w:rightChars="20" w:firstLine="422" w:firstLineChars="200"/>
        <w:jc w:val="left"/>
        <w:rPr>
          <w:rFonts w:asciiTheme="minorEastAsia" w:hAnsiTheme="minorEastAsia" w:eastAsiaTheme="minorEastAsia"/>
          <w:b/>
          <w:szCs w:val="21"/>
        </w:rPr>
      </w:pPr>
    </w:p>
    <w:p w14:paraId="27A9FCB5">
      <w:pPr>
        <w:pStyle w:val="26"/>
        <w:snapToGrid w:val="0"/>
        <w:spacing w:line="360" w:lineRule="auto"/>
        <w:ind w:right="42" w:rightChars="20" w:firstLine="422" w:firstLineChars="200"/>
        <w:jc w:val="left"/>
        <w:rPr>
          <w:rFonts w:asciiTheme="minorEastAsia" w:hAnsiTheme="minorEastAsia" w:eastAsiaTheme="minorEastAsia"/>
          <w:b/>
          <w:szCs w:val="21"/>
        </w:rPr>
      </w:pPr>
    </w:p>
    <w:p w14:paraId="55438618">
      <w:pPr>
        <w:pStyle w:val="26"/>
        <w:snapToGrid w:val="0"/>
        <w:spacing w:line="360" w:lineRule="auto"/>
        <w:ind w:right="42" w:rightChars="20" w:firstLine="422" w:firstLineChars="200"/>
        <w:jc w:val="left"/>
        <w:rPr>
          <w:rFonts w:asciiTheme="minorEastAsia" w:hAnsiTheme="minorEastAsia" w:eastAsiaTheme="minorEastAsia"/>
          <w:b/>
          <w:szCs w:val="21"/>
        </w:rPr>
      </w:pPr>
    </w:p>
    <w:p w14:paraId="3CC36BC4">
      <w:pPr>
        <w:pStyle w:val="3"/>
        <w:rPr>
          <w:rFonts w:ascii="宋体" w:hAnsi="宋体"/>
          <w:b/>
          <w:szCs w:val="21"/>
        </w:rPr>
      </w:pPr>
    </w:p>
    <w:p w14:paraId="687456B2">
      <w:pPr>
        <w:pStyle w:val="26"/>
        <w:snapToGrid w:val="0"/>
        <w:ind w:firstLine="420"/>
        <w:rPr>
          <w:rFonts w:ascii="微软雅黑" w:hAnsi="微软雅黑"/>
          <w:b/>
          <w:szCs w:val="21"/>
        </w:rPr>
      </w:pPr>
      <w:r>
        <w:rPr>
          <w:rFonts w:hint="eastAsia" w:ascii="微软雅黑" w:hAnsi="微软雅黑"/>
          <w:b/>
          <w:szCs w:val="21"/>
        </w:rPr>
        <w:t>残疾人福利性单位声明函</w:t>
      </w:r>
    </w:p>
    <w:p w14:paraId="47FE8EC0">
      <w:pPr>
        <w:widowControl/>
        <w:ind w:firstLine="420"/>
        <w:rPr>
          <w:rFonts w:ascii="微软雅黑" w:hAnsi="微软雅黑"/>
          <w:b/>
          <w:szCs w:val="21"/>
        </w:rPr>
      </w:pPr>
    </w:p>
    <w:p w14:paraId="3AE0983E">
      <w:pPr>
        <w:widowControl/>
        <w:ind w:firstLine="420"/>
        <w:jc w:val="center"/>
        <w:rPr>
          <w:rFonts w:ascii="微软雅黑" w:hAnsi="微软雅黑"/>
          <w:b/>
          <w:szCs w:val="21"/>
        </w:rPr>
      </w:pPr>
      <w:r>
        <w:rPr>
          <w:rFonts w:hint="eastAsia" w:ascii="微软雅黑" w:hAnsi="微软雅黑"/>
          <w:b/>
          <w:szCs w:val="21"/>
        </w:rPr>
        <w:t>残疾人福利性单位声明函</w:t>
      </w:r>
    </w:p>
    <w:p w14:paraId="3779040A">
      <w:pPr>
        <w:widowControl/>
        <w:spacing w:line="360" w:lineRule="auto"/>
        <w:ind w:firstLine="420"/>
        <w:rPr>
          <w:rFonts w:ascii="微软雅黑" w:hAnsi="微软雅黑"/>
          <w:szCs w:val="21"/>
        </w:rPr>
      </w:pPr>
      <w:r>
        <w:rPr>
          <w:rFonts w:hint="eastAsia" w:ascii="微软雅黑" w:hAnsi="微软雅黑"/>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459E712">
      <w:pPr>
        <w:widowControl/>
        <w:spacing w:line="360" w:lineRule="auto"/>
        <w:ind w:firstLine="420"/>
        <w:rPr>
          <w:rFonts w:ascii="微软雅黑" w:hAnsi="微软雅黑"/>
          <w:szCs w:val="21"/>
        </w:rPr>
      </w:pPr>
      <w:r>
        <w:rPr>
          <w:rFonts w:hint="eastAsia" w:ascii="微软雅黑" w:hAnsi="微软雅黑"/>
          <w:szCs w:val="21"/>
        </w:rPr>
        <w:t xml:space="preserve">  本单位对上述声明的真实性负责。如有虚假，将依法承担相应责任。</w:t>
      </w:r>
    </w:p>
    <w:p w14:paraId="05422120">
      <w:pPr>
        <w:pStyle w:val="6"/>
        <w:rPr>
          <w:rFonts w:ascii="微软雅黑" w:hAnsi="微软雅黑"/>
          <w:szCs w:val="21"/>
        </w:rPr>
      </w:pPr>
    </w:p>
    <w:p w14:paraId="6B9B3F11"/>
    <w:p w14:paraId="067A3CED">
      <w:pPr>
        <w:widowControl/>
        <w:spacing w:line="360" w:lineRule="auto"/>
        <w:ind w:firstLine="420"/>
        <w:rPr>
          <w:rFonts w:ascii="微软雅黑" w:hAnsi="微软雅黑"/>
          <w:szCs w:val="21"/>
        </w:rPr>
      </w:pPr>
      <w:r>
        <w:rPr>
          <w:rFonts w:hint="eastAsia" w:ascii="微软雅黑" w:hAnsi="微软雅黑"/>
          <w:szCs w:val="21"/>
        </w:rPr>
        <w:t xml:space="preserve">          投标人（公章）:                  日 期：</w:t>
      </w:r>
    </w:p>
    <w:p w14:paraId="5CE2497D">
      <w:pPr>
        <w:ind w:firstLine="420"/>
        <w:sectPr>
          <w:headerReference r:id="rId5" w:type="default"/>
          <w:footerReference r:id="rId6" w:type="default"/>
          <w:pgSz w:w="11906" w:h="16838"/>
          <w:pgMar w:top="1440" w:right="1800" w:bottom="1440" w:left="1800" w:header="851" w:footer="992" w:gutter="0"/>
          <w:cols w:space="720" w:num="1"/>
          <w:docGrid w:type="lines" w:linePitch="312" w:charSpace="0"/>
        </w:sectPr>
      </w:pPr>
    </w:p>
    <w:p w14:paraId="0A62C1F5">
      <w:pPr>
        <w:ind w:firstLine="420"/>
      </w:pPr>
      <w:r>
        <w:rPr>
          <w:rFonts w:hint="eastAsia"/>
        </w:rPr>
        <w:t>监狱企业证明文件</w:t>
      </w:r>
    </w:p>
    <w:p w14:paraId="74147EE9">
      <w:pPr>
        <w:ind w:firstLine="420"/>
        <w:jc w:val="center"/>
        <w:rPr>
          <w:rFonts w:ascii="微软雅黑" w:hAnsi="微软雅黑"/>
          <w:b/>
          <w:szCs w:val="21"/>
        </w:rPr>
      </w:pPr>
      <w:r>
        <w:rPr>
          <w:rFonts w:hint="eastAsia" w:ascii="微软雅黑" w:hAnsi="微软雅黑"/>
          <w:b/>
          <w:szCs w:val="21"/>
        </w:rPr>
        <w:t>监狱企业证明文件</w:t>
      </w:r>
    </w:p>
    <w:tbl>
      <w:tblPr>
        <w:tblStyle w:val="47"/>
        <w:tblW w:w="8820" w:type="dxa"/>
        <w:tblInd w:w="108" w:type="dxa"/>
        <w:tblBorders>
          <w:top w:val="dotDash" w:color="000000" w:sz="4" w:space="0"/>
          <w:left w:val="dotDash" w:color="000000" w:sz="4" w:space="0"/>
          <w:bottom w:val="dotDash" w:color="000000" w:sz="4" w:space="0"/>
          <w:right w:val="dotDash" w:color="000000" w:sz="4" w:space="0"/>
          <w:insideH w:val="dotDash" w:color="000000" w:sz="4" w:space="0"/>
          <w:insideV w:val="dotDash" w:color="000000" w:sz="4" w:space="0"/>
        </w:tblBorders>
        <w:tblLayout w:type="fixed"/>
        <w:tblCellMar>
          <w:top w:w="0" w:type="dxa"/>
          <w:left w:w="108" w:type="dxa"/>
          <w:bottom w:w="0" w:type="dxa"/>
          <w:right w:w="108" w:type="dxa"/>
        </w:tblCellMar>
      </w:tblPr>
      <w:tblGrid>
        <w:gridCol w:w="8820"/>
      </w:tblGrid>
      <w:tr w14:paraId="7D74E6F5">
        <w:tblPrEx>
          <w:tblBorders>
            <w:top w:val="dotDash" w:color="000000" w:sz="4" w:space="0"/>
            <w:left w:val="dotDash" w:color="000000" w:sz="4" w:space="0"/>
            <w:bottom w:val="dotDash" w:color="000000" w:sz="4" w:space="0"/>
            <w:right w:val="dotDash" w:color="000000" w:sz="4" w:space="0"/>
            <w:insideH w:val="dotDash" w:color="000000" w:sz="4" w:space="0"/>
            <w:insideV w:val="dotDash" w:color="000000" w:sz="4" w:space="0"/>
          </w:tblBorders>
          <w:tblCellMar>
            <w:top w:w="0" w:type="dxa"/>
            <w:left w:w="108" w:type="dxa"/>
            <w:bottom w:w="0" w:type="dxa"/>
            <w:right w:w="108" w:type="dxa"/>
          </w:tblCellMar>
        </w:tblPrEx>
        <w:trPr>
          <w:trHeight w:val="6516" w:hRule="atLeast"/>
        </w:trPr>
        <w:tc>
          <w:tcPr>
            <w:tcW w:w="8820" w:type="dxa"/>
            <w:vAlign w:val="center"/>
          </w:tcPr>
          <w:p w14:paraId="522D7C50">
            <w:pPr>
              <w:ind w:firstLine="420"/>
              <w:jc w:val="center"/>
              <w:rPr>
                <w:rFonts w:ascii="微软雅黑" w:hAnsi="微软雅黑"/>
                <w:b/>
                <w:szCs w:val="21"/>
              </w:rPr>
            </w:pPr>
            <w:r>
              <w:rPr>
                <w:rFonts w:hint="eastAsia" w:ascii="微软雅黑" w:hAnsi="微软雅黑"/>
                <w:b/>
                <w:szCs w:val="21"/>
              </w:rPr>
              <w:t>相关部门出具的监狱企业证明文件</w:t>
            </w:r>
          </w:p>
          <w:p w14:paraId="01F59F08">
            <w:pPr>
              <w:ind w:firstLine="420"/>
              <w:jc w:val="center"/>
              <w:rPr>
                <w:rFonts w:ascii="微软雅黑" w:hAnsi="微软雅黑" w:cs="Arial"/>
                <w:b/>
                <w:i/>
                <w:kern w:val="0"/>
                <w:szCs w:val="21"/>
              </w:rPr>
            </w:pPr>
            <w:r>
              <w:rPr>
                <w:rFonts w:hint="eastAsia" w:ascii="微软雅黑" w:hAnsi="微软雅黑"/>
                <w:szCs w:val="21"/>
              </w:rPr>
              <w:t>（如是，提供</w:t>
            </w:r>
            <w:r>
              <w:rPr>
                <w:rFonts w:hint="eastAsia" w:ascii="微软雅黑" w:hAnsi="微软雅黑" w:cs="Arial"/>
                <w:kern w:val="0"/>
                <w:szCs w:val="21"/>
              </w:rPr>
              <w:t>复印件加盖投标供应商公章）</w:t>
            </w:r>
          </w:p>
        </w:tc>
      </w:tr>
    </w:tbl>
    <w:p w14:paraId="5AB5A761">
      <w:pPr>
        <w:ind w:firstLine="420"/>
        <w:rPr>
          <w:rFonts w:ascii="微软雅黑" w:hAnsi="微软雅黑" w:cs="Arial"/>
          <w:i/>
          <w:szCs w:val="21"/>
        </w:rPr>
      </w:pPr>
    </w:p>
    <w:p w14:paraId="52D20E11">
      <w:pPr>
        <w:widowControl/>
        <w:spacing w:line="360" w:lineRule="auto"/>
        <w:ind w:firstLine="420"/>
        <w:rPr>
          <w:rFonts w:ascii="微软雅黑" w:hAnsi="微软雅黑"/>
          <w:szCs w:val="21"/>
        </w:rPr>
      </w:pPr>
      <w:r>
        <w:rPr>
          <w:rFonts w:hint="eastAsia" w:ascii="微软雅黑" w:hAnsi="微软雅黑"/>
          <w:szCs w:val="21"/>
        </w:rPr>
        <w:t xml:space="preserve"> 投标人（公章）:                  日 期：</w:t>
      </w:r>
    </w:p>
    <w:p w14:paraId="074F0052">
      <w:pPr>
        <w:ind w:firstLine="420"/>
        <w:sectPr>
          <w:headerReference r:id="rId7" w:type="default"/>
          <w:footerReference r:id="rId8" w:type="default"/>
          <w:pgSz w:w="11906" w:h="16838"/>
          <w:pgMar w:top="1440" w:right="1800" w:bottom="1440" w:left="1800" w:header="851" w:footer="992" w:gutter="0"/>
          <w:cols w:space="720" w:num="1"/>
          <w:docGrid w:type="lines" w:linePitch="312" w:charSpace="0"/>
        </w:sectPr>
      </w:pPr>
    </w:p>
    <w:p w14:paraId="72080F4B">
      <w:pPr>
        <w:pStyle w:val="26"/>
        <w:snapToGrid w:val="0"/>
        <w:spacing w:line="360" w:lineRule="auto"/>
        <w:ind w:right="42" w:rightChars="20" w:firstLine="422" w:firstLineChars="200"/>
        <w:jc w:val="left"/>
        <w:rPr>
          <w:rFonts w:asciiTheme="minorEastAsia" w:hAnsiTheme="minorEastAsia" w:eastAsiaTheme="minorEastAsia"/>
          <w:b/>
          <w:szCs w:val="21"/>
        </w:rPr>
      </w:pPr>
    </w:p>
    <w:p w14:paraId="4D1071BD">
      <w:pPr>
        <w:autoSpaceDE w:val="0"/>
        <w:autoSpaceDN w:val="0"/>
        <w:spacing w:line="360" w:lineRule="auto"/>
        <w:jc w:val="center"/>
        <w:rPr>
          <w:rFonts w:asciiTheme="minorEastAsia" w:hAnsiTheme="minorEastAsia" w:eastAsiaTheme="minorEastAsia" w:cstheme="minorEastAsia"/>
          <w:b/>
          <w:kern w:val="0"/>
          <w:szCs w:val="21"/>
          <w:lang w:val="zh-CN"/>
        </w:rPr>
      </w:pPr>
      <w:r>
        <w:rPr>
          <w:rFonts w:hint="eastAsia" w:asciiTheme="minorEastAsia" w:hAnsiTheme="minorEastAsia" w:eastAsiaTheme="minorEastAsia" w:cstheme="minorEastAsia"/>
          <w:b/>
          <w:kern w:val="0"/>
          <w:szCs w:val="21"/>
          <w:lang w:val="zh-CN"/>
        </w:rPr>
        <w:t>联合协议</w:t>
      </w:r>
    </w:p>
    <w:p w14:paraId="6563B559">
      <w:pPr>
        <w:pStyle w:val="6"/>
        <w:keepLines w:val="0"/>
        <w:spacing w:line="240" w:lineRule="auto"/>
        <w:rPr>
          <w:lang w:val="zh-CN"/>
        </w:rPr>
      </w:pPr>
    </w:p>
    <w:p w14:paraId="35EA3DF5">
      <w:pPr>
        <w:widowControl/>
        <w:spacing w:line="360" w:lineRule="auto"/>
        <w:ind w:firstLine="422" w:firstLineChars="200"/>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（以联合体形式投标的，提供联合协议；本项目不接受联合体投标或者投标人不以联合体形式投标的，则不需要提供）</w:t>
      </w:r>
    </w:p>
    <w:p w14:paraId="10A19143">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u w:val="single"/>
        </w:rPr>
        <w:t>（联合体所有成员名称）</w:t>
      </w:r>
      <w:r>
        <w:rPr>
          <w:rFonts w:hint="eastAsia" w:asciiTheme="minorEastAsia" w:hAnsiTheme="minorEastAsia" w:eastAsiaTheme="minorEastAsia" w:cstheme="minorEastAsia"/>
          <w:kern w:val="0"/>
          <w:szCs w:val="21"/>
        </w:rPr>
        <w:t>自愿</w:t>
      </w:r>
      <w:r>
        <w:rPr>
          <w:rFonts w:hint="eastAsia" w:asciiTheme="minorEastAsia" w:hAnsiTheme="minorEastAsia" w:eastAsiaTheme="minorEastAsia" w:cstheme="minorEastAsia"/>
          <w:kern w:val="0"/>
          <w:szCs w:val="21"/>
          <w:lang w:val="zh-CN"/>
        </w:rPr>
        <w:t>组成一个联合体，以一个投标人的身份</w:t>
      </w:r>
      <w:r>
        <w:rPr>
          <w:rFonts w:hint="eastAsia" w:asciiTheme="minorEastAsia" w:hAnsiTheme="minorEastAsia" w:eastAsiaTheme="minorEastAsia" w:cstheme="minorEastAsia"/>
          <w:kern w:val="0"/>
          <w:szCs w:val="21"/>
        </w:rPr>
        <w:t>参加</w:t>
      </w:r>
      <w:r>
        <w:rPr>
          <w:rFonts w:hint="eastAsia" w:asciiTheme="minorEastAsia" w:hAnsiTheme="minorEastAsia" w:eastAsiaTheme="minorEastAsia" w:cstheme="minorEastAsia"/>
          <w:color w:val="0000FF"/>
          <w:szCs w:val="21"/>
        </w:rPr>
        <w:t>（项目名称）</w:t>
      </w:r>
      <w:r>
        <w:rPr>
          <w:rFonts w:hint="eastAsia" w:asciiTheme="minorEastAsia" w:hAnsiTheme="minorEastAsia" w:eastAsiaTheme="minorEastAsia" w:cstheme="minorEastAsia"/>
          <w:szCs w:val="21"/>
        </w:rPr>
        <w:t>【招标编号：</w:t>
      </w:r>
      <w:r>
        <w:rPr>
          <w:rFonts w:hint="eastAsia" w:asciiTheme="minorEastAsia" w:hAnsiTheme="minorEastAsia" w:eastAsiaTheme="minorEastAsia" w:cstheme="minorEastAsia"/>
          <w:color w:val="FF0000"/>
          <w:szCs w:val="21"/>
        </w:rPr>
        <w:t>（采购编号）</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kern w:val="0"/>
          <w:szCs w:val="21"/>
          <w:lang w:val="zh-CN"/>
        </w:rPr>
        <w:t xml:space="preserve">投标。 </w:t>
      </w:r>
    </w:p>
    <w:p w14:paraId="56BFF1AB">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一、各方一致决定，</w:t>
      </w:r>
      <w:r>
        <w:rPr>
          <w:rFonts w:hint="eastAsia" w:asciiTheme="minorEastAsia" w:hAnsiTheme="minorEastAsia" w:eastAsiaTheme="minorEastAsia" w:cstheme="minorEastAsia"/>
          <w:kern w:val="0"/>
          <w:szCs w:val="21"/>
          <w:u w:val="single"/>
        </w:rPr>
        <w:t>（某联合体成员名称）</w:t>
      </w:r>
      <w:r>
        <w:rPr>
          <w:rFonts w:hint="eastAsia" w:asciiTheme="minorEastAsia" w:hAnsiTheme="minorEastAsia" w:eastAsiaTheme="minorEastAsia" w:cstheme="minorEastAsia"/>
          <w:kern w:val="0"/>
          <w:szCs w:val="21"/>
        </w:rPr>
        <w:t>为联合体</w:t>
      </w:r>
      <w:r>
        <w:rPr>
          <w:rFonts w:hint="eastAsia" w:asciiTheme="minorEastAsia" w:hAnsiTheme="minorEastAsia" w:eastAsiaTheme="minorEastAsia" w:cstheme="minorEastAsia"/>
          <w:kern w:val="0"/>
          <w:szCs w:val="21"/>
          <w:lang w:val="zh-CN"/>
        </w:rPr>
        <w:t>牵头人</w:t>
      </w:r>
      <w:r>
        <w:rPr>
          <w:rFonts w:hint="eastAsia" w:asciiTheme="minorEastAsia" w:hAnsiTheme="minorEastAsia" w:eastAsiaTheme="minorEastAsia" w:cstheme="minorEastAsia"/>
          <w:szCs w:val="21"/>
        </w:rPr>
        <w:t>，代表所有联合体成员负责投标和合同实施阶段的主办、协调工作</w:t>
      </w:r>
      <w:r>
        <w:rPr>
          <w:rFonts w:hint="eastAsia" w:asciiTheme="minorEastAsia" w:hAnsiTheme="minorEastAsia" w:eastAsiaTheme="minorEastAsia" w:cstheme="minorEastAsia"/>
          <w:kern w:val="0"/>
          <w:szCs w:val="21"/>
          <w:lang w:val="zh-CN"/>
        </w:rPr>
        <w:t>。</w:t>
      </w:r>
    </w:p>
    <w:p w14:paraId="01C1741B">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二、</w:t>
      </w:r>
      <w:r>
        <w:rPr>
          <w:rFonts w:hint="eastAsia" w:asciiTheme="minorEastAsia" w:hAnsiTheme="minorEastAsia" w:eastAsiaTheme="minorEastAsia" w:cstheme="minorEastAsia"/>
          <w:szCs w:val="21"/>
        </w:rPr>
        <w:t>所有联合体成员各方签署授权书，授权书载明的</w:t>
      </w:r>
      <w:r>
        <w:rPr>
          <w:rFonts w:hint="eastAsia" w:asciiTheme="minorEastAsia" w:hAnsiTheme="minorEastAsia" w:eastAsiaTheme="minorEastAsia" w:cstheme="minorEastAsia"/>
          <w:kern w:val="0"/>
          <w:szCs w:val="21"/>
          <w:lang w:val="zh-CN"/>
        </w:rPr>
        <w:t>授权代表根据招标文件规定及投标内容而对采购人、采购代理机构所作的任何合法承诺，包括书面澄清及相应等均对联合投标各方产生约束力。</w:t>
      </w:r>
    </w:p>
    <w:p w14:paraId="0D389047">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三、本次联合投标中，分工如下：</w:t>
      </w:r>
    </w:p>
    <w:p w14:paraId="6314DE04">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u w:val="single"/>
        </w:rPr>
        <w:t>（联合体成员1）</w:t>
      </w:r>
      <w:r>
        <w:rPr>
          <w:rFonts w:hint="eastAsia" w:asciiTheme="minorEastAsia" w:hAnsiTheme="minorEastAsia" w:eastAsiaTheme="minorEastAsia" w:cstheme="minorEastAsia"/>
          <w:kern w:val="0"/>
          <w:szCs w:val="21"/>
          <w:lang w:val="zh-CN"/>
        </w:rPr>
        <w:t>承担的工作和义务为：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kern w:val="0"/>
          <w:szCs w:val="21"/>
          <w:lang w:val="zh-CN"/>
        </w:rPr>
        <w:t>；</w:t>
      </w:r>
    </w:p>
    <w:p w14:paraId="25E9DD25">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u w:val="single"/>
        </w:rPr>
        <w:t>（联合体成员2）</w:t>
      </w:r>
      <w:r>
        <w:rPr>
          <w:rFonts w:hint="eastAsia" w:asciiTheme="minorEastAsia" w:hAnsiTheme="minorEastAsia" w:eastAsiaTheme="minorEastAsia" w:cstheme="minorEastAsia"/>
          <w:kern w:val="0"/>
          <w:szCs w:val="21"/>
          <w:lang w:val="zh-CN"/>
        </w:rPr>
        <w:t>承担的工作和义务为：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kern w:val="0"/>
          <w:szCs w:val="21"/>
          <w:lang w:val="zh-CN"/>
        </w:rPr>
        <w:t>；</w:t>
      </w:r>
    </w:p>
    <w:p w14:paraId="3ADE7A51">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w:t>
      </w:r>
    </w:p>
    <w:p w14:paraId="40B3C1D5">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四、联合体成员中小企业合同份额。</w:t>
      </w:r>
    </w:p>
    <w:p w14:paraId="55C3A877">
      <w:pPr>
        <w:snapToGrid w:val="0"/>
        <w:spacing w:line="360" w:lineRule="auto"/>
        <w:ind w:firstLine="576"/>
        <w:rPr>
          <w:rFonts w:asciiTheme="minorEastAsia" w:hAnsiTheme="minorEastAsia" w:eastAsiaTheme="minorEastAsia" w:cstheme="minorEastAsia"/>
          <w:b/>
          <w:kern w:val="0"/>
          <w:szCs w:val="21"/>
          <w:lang w:val="zh-CN"/>
        </w:rPr>
      </w:pPr>
      <w:r>
        <w:rPr>
          <w:rFonts w:hint="eastAsia" w:asciiTheme="minorEastAsia" w:hAnsiTheme="minorEastAsia" w:eastAsiaTheme="minorEastAsia" w:cstheme="minorEastAsia"/>
          <w:kern w:val="0"/>
          <w:szCs w:val="21"/>
          <w:lang w:val="zh-CN"/>
        </w:rPr>
        <w:t>1、</w:t>
      </w:r>
      <w:r>
        <w:rPr>
          <w:rFonts w:hint="eastAsia" w:asciiTheme="minorEastAsia" w:hAnsiTheme="minorEastAsia" w:eastAsiaTheme="minorEastAsia" w:cstheme="minorEastAsia"/>
          <w:kern w:val="0"/>
          <w:szCs w:val="21"/>
          <w:u w:val="single"/>
        </w:rPr>
        <w:t>（</w:t>
      </w:r>
      <w:bookmarkStart w:id="269" w:name="_Hlk101131882"/>
      <w:r>
        <w:rPr>
          <w:rFonts w:hint="eastAsia" w:asciiTheme="minorEastAsia" w:hAnsiTheme="minorEastAsia" w:eastAsiaTheme="minorEastAsia" w:cstheme="minorEastAsia"/>
          <w:kern w:val="0"/>
          <w:szCs w:val="21"/>
          <w:u w:val="single"/>
        </w:rPr>
        <w:t>联合体成员X,……</w:t>
      </w:r>
      <w:bookmarkEnd w:id="269"/>
      <w:r>
        <w:rPr>
          <w:rFonts w:hint="eastAsia" w:asciiTheme="minorEastAsia" w:hAnsiTheme="minorEastAsia" w:eastAsiaTheme="minorEastAsia" w:cstheme="minorEastAsia"/>
          <w:kern w:val="0"/>
          <w:szCs w:val="21"/>
          <w:u w:val="single"/>
        </w:rPr>
        <w:t>）</w:t>
      </w:r>
      <w:r>
        <w:rPr>
          <w:rFonts w:hint="eastAsia" w:asciiTheme="minorEastAsia" w:hAnsiTheme="minorEastAsia" w:eastAsiaTheme="minorEastAsia" w:cstheme="minorEastAsia"/>
          <w:kern w:val="0"/>
          <w:szCs w:val="21"/>
        </w:rPr>
        <w:t>提供的服务由小微企业承接，其合同份额占到合同总金额</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%以上</w:t>
      </w:r>
      <w:r>
        <w:rPr>
          <w:rFonts w:hint="eastAsia" w:asciiTheme="minorEastAsia" w:hAnsiTheme="minorEastAsia" w:eastAsiaTheme="minorEastAsia" w:cstheme="minorEastAsia"/>
          <w:kern w:val="0"/>
          <w:szCs w:val="21"/>
          <w:lang w:val="zh-CN"/>
        </w:rPr>
        <w:t>。</w:t>
      </w:r>
      <w:r>
        <w:rPr>
          <w:rFonts w:hint="eastAsia" w:asciiTheme="minorEastAsia" w:hAnsiTheme="minorEastAsia" w:eastAsiaTheme="minorEastAsia" w:cstheme="minorEastAsia"/>
          <w:b/>
          <w:kern w:val="0"/>
          <w:szCs w:val="21"/>
          <w:lang w:val="zh-CN"/>
        </w:rPr>
        <w:t>（</w:t>
      </w:r>
      <w:bookmarkStart w:id="270" w:name="_Hlk101133598"/>
      <w:r>
        <w:rPr>
          <w:rFonts w:hint="eastAsia" w:asciiTheme="minorEastAsia" w:hAnsiTheme="minorEastAsia" w:eastAsiaTheme="minorEastAsia" w:cstheme="minorEastAsia"/>
          <w:b/>
          <w:kern w:val="0"/>
          <w:szCs w:val="21"/>
          <w:lang w:val="zh-CN"/>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Theme="minorEastAsia" w:hAnsiTheme="minorEastAsia" w:eastAsiaTheme="minorEastAsia" w:cstheme="minorEastAsia"/>
          <w:b/>
          <w:szCs w:val="21"/>
        </w:rPr>
        <w:t>拟享受以上价格扣除政策的，填写有关内容。</w:t>
      </w:r>
      <w:bookmarkEnd w:id="270"/>
      <w:r>
        <w:rPr>
          <w:rFonts w:hint="eastAsia" w:asciiTheme="minorEastAsia" w:hAnsiTheme="minorEastAsia" w:eastAsiaTheme="minorEastAsia" w:cstheme="minorEastAsia"/>
          <w:b/>
          <w:kern w:val="0"/>
          <w:szCs w:val="21"/>
          <w:lang w:val="zh-CN"/>
        </w:rPr>
        <w:t>）</w:t>
      </w:r>
    </w:p>
    <w:p w14:paraId="5771E3B6">
      <w:pPr>
        <w:spacing w:line="360" w:lineRule="auto"/>
        <w:ind w:firstLine="420" w:firstLineChars="200"/>
        <w:rPr>
          <w:rFonts w:asciiTheme="minorEastAsia" w:hAnsiTheme="minorEastAsia" w:eastAsiaTheme="minorEastAsia" w:cstheme="minorEastAsia"/>
          <w:b/>
          <w:bCs/>
          <w:kern w:val="0"/>
          <w:szCs w:val="21"/>
          <w:lang w:val="zh-CN"/>
        </w:rPr>
      </w:pPr>
      <w:r>
        <w:rPr>
          <w:rFonts w:hint="eastAsia" w:asciiTheme="minorEastAsia" w:hAnsiTheme="minorEastAsia" w:eastAsiaTheme="minorEastAsia" w:cstheme="minorEastAsia"/>
          <w:szCs w:val="21"/>
        </w:rPr>
        <w:t>2、</w:t>
      </w:r>
      <w:bookmarkStart w:id="271" w:name="_Hlk101133173"/>
      <w:r>
        <w:rPr>
          <w:rFonts w:hint="eastAsia" w:asciiTheme="minorEastAsia" w:hAnsiTheme="minorEastAsia" w:eastAsiaTheme="minorEastAsia" w:cstheme="minorEastAsia"/>
          <w:szCs w:val="21"/>
        </w:rPr>
        <w:t>中小企业合同金额达到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%，小微企业合同金额达到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kern w:val="0"/>
          <w:szCs w:val="21"/>
          <w:lang w:val="zh-CN"/>
        </w:rPr>
        <w:t>。</w:t>
      </w:r>
      <w:r>
        <w:rPr>
          <w:rFonts w:hint="eastAsia" w:asciiTheme="minorEastAsia" w:hAnsiTheme="minorEastAsia" w:eastAsiaTheme="minorEastAsia" w:cstheme="minorEastAsia"/>
          <w:b/>
          <w:bCs/>
          <w:kern w:val="0"/>
          <w:szCs w:val="21"/>
          <w:lang w:val="zh-CN"/>
        </w:rPr>
        <w:t>（</w:t>
      </w:r>
      <w:r>
        <w:rPr>
          <w:rFonts w:hint="eastAsia" w:asciiTheme="minorEastAsia" w:hAnsiTheme="minorEastAsia" w:eastAsiaTheme="minorEastAsia" w:cstheme="minorEastAsia"/>
          <w:b/>
          <w:bCs/>
          <w:szCs w:val="21"/>
        </w:rPr>
        <w:t>要求以联合体形式参加的项目或采购包，供应商按招标文件第一部分招标公告申请人的资格要求中规定的联合协议中中小企业、小微企业合同金额应当达到的比例要求填写。</w:t>
      </w:r>
      <w:r>
        <w:rPr>
          <w:rFonts w:hint="eastAsia" w:asciiTheme="minorEastAsia" w:hAnsiTheme="minorEastAsia" w:eastAsiaTheme="minorEastAsia" w:cstheme="minorEastAsia"/>
          <w:b/>
          <w:bCs/>
          <w:kern w:val="0"/>
          <w:szCs w:val="21"/>
          <w:lang w:val="zh-CN"/>
        </w:rPr>
        <w:t>）</w:t>
      </w:r>
      <w:bookmarkEnd w:id="271"/>
    </w:p>
    <w:p w14:paraId="65694590">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五、如果中标，</w:t>
      </w:r>
      <w:r>
        <w:rPr>
          <w:rFonts w:hint="eastAsia" w:asciiTheme="minorEastAsia" w:hAnsiTheme="minorEastAsia" w:eastAsiaTheme="minorEastAsia" w:cstheme="minorEastAsia"/>
          <w:szCs w:val="21"/>
        </w:rPr>
        <w:t>联合体各成员方共同与采购人签订合同，并就采购合同约定的事项对采购人承担连带责任。</w:t>
      </w:r>
    </w:p>
    <w:p w14:paraId="3497076F">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六、有关本次联合投标的其他事宜：</w:t>
      </w:r>
    </w:p>
    <w:p w14:paraId="61E70B9A">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1、联合体各方不再单独参加或者与其他供应商另外组成联合体参加同一合同项下的政府采购活动。</w:t>
      </w:r>
    </w:p>
    <w:p w14:paraId="407A038B">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2、联合体中有同类资质的各方按照联合体分工承担相同工作的，按照资质等级较低的供应商确定资质等级。</w:t>
      </w:r>
    </w:p>
    <w:p w14:paraId="50FE6C11">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3、本协议提交采购人、采购代理机构后，联合体各方不得以任何形式对上述内容进行修改或撤销。</w:t>
      </w:r>
    </w:p>
    <w:p w14:paraId="42880310">
      <w:pPr>
        <w:snapToGrid w:val="0"/>
        <w:spacing w:line="360" w:lineRule="auto"/>
        <w:ind w:firstLine="4410" w:firstLineChars="2100"/>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联合体成员名称(公章)：</w:t>
      </w:r>
    </w:p>
    <w:p w14:paraId="484FF303">
      <w:pPr>
        <w:snapToGrid w:val="0"/>
        <w:spacing w:line="360" w:lineRule="auto"/>
        <w:ind w:firstLine="4410" w:firstLineChars="2100"/>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联合体成员名称(公章)：</w:t>
      </w:r>
    </w:p>
    <w:p w14:paraId="004461BA">
      <w:pPr>
        <w:snapToGrid w:val="0"/>
        <w:spacing w:line="360" w:lineRule="auto"/>
        <w:ind w:right="960"/>
        <w:jc w:val="center"/>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 xml:space="preserve">                   ……</w:t>
      </w:r>
    </w:p>
    <w:p w14:paraId="47999117">
      <w:pPr>
        <w:snapToGrid w:val="0"/>
        <w:spacing w:line="360" w:lineRule="auto"/>
        <w:jc w:val="righ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日期：  年  月   日</w:t>
      </w:r>
    </w:p>
    <w:p w14:paraId="77333AFF">
      <w:pPr>
        <w:spacing w:line="360" w:lineRule="auto"/>
        <w:ind w:right="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注：按本格式和要求提供。</w:t>
      </w:r>
    </w:p>
    <w:p w14:paraId="2625EBCF">
      <w:pPr>
        <w:pStyle w:val="26"/>
        <w:snapToGrid w:val="0"/>
        <w:spacing w:line="360" w:lineRule="auto"/>
        <w:ind w:right="42" w:rightChars="20" w:firstLine="422" w:firstLineChars="200"/>
        <w:jc w:val="left"/>
        <w:rPr>
          <w:rFonts w:asciiTheme="minorEastAsia" w:hAnsiTheme="minorEastAsia" w:eastAsiaTheme="minorEastAsia" w:cstheme="minorEastAsia"/>
          <w:b/>
          <w:szCs w:val="21"/>
        </w:rPr>
      </w:pPr>
    </w:p>
    <w:p w14:paraId="0B5409FA">
      <w:pPr>
        <w:pStyle w:val="26"/>
        <w:snapToGrid w:val="0"/>
        <w:spacing w:line="360" w:lineRule="auto"/>
        <w:ind w:right="42" w:rightChars="20" w:firstLine="422" w:firstLineChars="200"/>
        <w:jc w:val="left"/>
        <w:rPr>
          <w:rFonts w:asciiTheme="minorEastAsia" w:hAnsiTheme="minorEastAsia" w:eastAsiaTheme="minorEastAsia" w:cstheme="minorEastAsia"/>
          <w:b/>
          <w:szCs w:val="21"/>
        </w:rPr>
      </w:pPr>
    </w:p>
    <w:p w14:paraId="463731A0">
      <w:pPr>
        <w:pStyle w:val="26"/>
        <w:snapToGrid w:val="0"/>
        <w:spacing w:line="360" w:lineRule="auto"/>
        <w:ind w:right="42" w:rightChars="20" w:firstLine="422" w:firstLineChars="200"/>
        <w:jc w:val="left"/>
        <w:rPr>
          <w:rFonts w:asciiTheme="minorEastAsia" w:hAnsiTheme="minorEastAsia" w:eastAsiaTheme="minorEastAsia" w:cstheme="minorEastAsia"/>
          <w:b/>
          <w:szCs w:val="21"/>
        </w:rPr>
      </w:pPr>
    </w:p>
    <w:p w14:paraId="223B7D0A">
      <w:pPr>
        <w:pStyle w:val="3"/>
        <w:spacing w:line="360" w:lineRule="auto"/>
        <w:rPr>
          <w:rFonts w:asciiTheme="minorEastAsia" w:hAnsiTheme="minorEastAsia" w:eastAsiaTheme="minorEastAsia" w:cstheme="minorEastAsia"/>
          <w:b/>
          <w:szCs w:val="21"/>
        </w:rPr>
      </w:pPr>
    </w:p>
    <w:p w14:paraId="328615ED">
      <w:pPr>
        <w:snapToGrid w:val="0"/>
        <w:spacing w:line="360" w:lineRule="auto"/>
        <w:jc w:val="left"/>
        <w:rPr>
          <w:rFonts w:asciiTheme="minorEastAsia" w:hAnsiTheme="minorEastAsia" w:eastAsiaTheme="minorEastAsia" w:cstheme="minorEastAsia"/>
          <w:szCs w:val="21"/>
          <w:u w:val="single"/>
        </w:rPr>
      </w:pPr>
    </w:p>
    <w:p w14:paraId="667AE263">
      <w:pPr>
        <w:snapToGrid w:val="0"/>
        <w:spacing w:line="360" w:lineRule="auto"/>
        <w:ind w:firstLine="420" w:firstLineChars="200"/>
        <w:jc w:val="left"/>
        <w:rPr>
          <w:rFonts w:asciiTheme="minorEastAsia" w:hAnsiTheme="minorEastAsia" w:eastAsiaTheme="minorEastAsia" w:cstheme="minorEastAsia"/>
          <w:szCs w:val="21"/>
        </w:rPr>
      </w:pPr>
    </w:p>
    <w:p w14:paraId="003B3336">
      <w:pPr>
        <w:pStyle w:val="6"/>
        <w:keepLines w:val="0"/>
        <w:rPr>
          <w:rFonts w:asciiTheme="minorEastAsia" w:hAnsiTheme="minorEastAsia" w:eastAsiaTheme="minorEastAsia" w:cstheme="minorEastAsia"/>
          <w:sz w:val="21"/>
          <w:szCs w:val="21"/>
        </w:rPr>
      </w:pPr>
    </w:p>
    <w:p w14:paraId="37F23E5D">
      <w:pPr>
        <w:spacing w:line="360" w:lineRule="auto"/>
        <w:rPr>
          <w:rFonts w:asciiTheme="minorEastAsia" w:hAnsiTheme="minorEastAsia" w:eastAsiaTheme="minorEastAsia" w:cstheme="minorEastAsia"/>
          <w:szCs w:val="21"/>
        </w:rPr>
      </w:pPr>
    </w:p>
    <w:p w14:paraId="3D42AB0F">
      <w:pPr>
        <w:pStyle w:val="6"/>
        <w:keepLines w:val="0"/>
        <w:rPr>
          <w:rFonts w:asciiTheme="minorEastAsia" w:hAnsiTheme="minorEastAsia" w:eastAsiaTheme="minorEastAsia" w:cstheme="minorEastAsia"/>
          <w:sz w:val="21"/>
          <w:szCs w:val="21"/>
        </w:rPr>
      </w:pPr>
    </w:p>
    <w:p w14:paraId="691A6D3E">
      <w:pPr>
        <w:spacing w:line="360" w:lineRule="auto"/>
        <w:rPr>
          <w:rFonts w:asciiTheme="minorEastAsia" w:hAnsiTheme="minorEastAsia" w:eastAsiaTheme="minorEastAsia" w:cstheme="minorEastAsia"/>
          <w:szCs w:val="21"/>
        </w:rPr>
      </w:pPr>
    </w:p>
    <w:p w14:paraId="4E448ADC">
      <w:pPr>
        <w:pStyle w:val="6"/>
        <w:keepLines w:val="0"/>
        <w:rPr>
          <w:rFonts w:asciiTheme="minorEastAsia" w:hAnsiTheme="minorEastAsia" w:eastAsiaTheme="minorEastAsia" w:cstheme="minorEastAsia"/>
          <w:sz w:val="21"/>
          <w:szCs w:val="21"/>
        </w:rPr>
      </w:pPr>
    </w:p>
    <w:p w14:paraId="6104C033">
      <w:pPr>
        <w:spacing w:line="360" w:lineRule="auto"/>
        <w:rPr>
          <w:rFonts w:asciiTheme="minorEastAsia" w:hAnsiTheme="minorEastAsia" w:eastAsiaTheme="minorEastAsia" w:cstheme="minorEastAsia"/>
          <w:szCs w:val="21"/>
        </w:rPr>
      </w:pPr>
    </w:p>
    <w:p w14:paraId="0FE5FDD8">
      <w:pPr>
        <w:pStyle w:val="6"/>
        <w:keepLines w:val="0"/>
        <w:rPr>
          <w:rFonts w:asciiTheme="minorEastAsia" w:hAnsiTheme="minorEastAsia" w:eastAsiaTheme="minorEastAsia" w:cstheme="minorEastAsia"/>
          <w:sz w:val="21"/>
          <w:szCs w:val="21"/>
        </w:rPr>
      </w:pPr>
    </w:p>
    <w:p w14:paraId="2275D48E">
      <w:pPr>
        <w:spacing w:line="360" w:lineRule="auto"/>
        <w:rPr>
          <w:rFonts w:asciiTheme="minorEastAsia" w:hAnsiTheme="minorEastAsia" w:eastAsiaTheme="minorEastAsia" w:cstheme="minorEastAsia"/>
          <w:szCs w:val="21"/>
        </w:rPr>
      </w:pPr>
    </w:p>
    <w:p w14:paraId="7CFEC57D">
      <w:pPr>
        <w:pStyle w:val="6"/>
        <w:keepLines w:val="0"/>
        <w:rPr>
          <w:rFonts w:asciiTheme="minorEastAsia" w:hAnsiTheme="minorEastAsia" w:eastAsiaTheme="minorEastAsia" w:cstheme="minorEastAsia"/>
          <w:sz w:val="21"/>
          <w:szCs w:val="21"/>
        </w:rPr>
      </w:pPr>
    </w:p>
    <w:p w14:paraId="02C4F7F5">
      <w:pPr>
        <w:spacing w:line="360" w:lineRule="auto"/>
        <w:rPr>
          <w:rFonts w:asciiTheme="minorEastAsia" w:hAnsiTheme="minorEastAsia" w:eastAsiaTheme="minorEastAsia" w:cstheme="minorEastAsia"/>
          <w:szCs w:val="21"/>
        </w:rPr>
      </w:pPr>
    </w:p>
    <w:p w14:paraId="4198950D">
      <w:pPr>
        <w:pStyle w:val="6"/>
        <w:keepLines w:val="0"/>
        <w:rPr>
          <w:rFonts w:asciiTheme="minorEastAsia" w:hAnsiTheme="minorEastAsia" w:eastAsiaTheme="minorEastAsia" w:cstheme="minorEastAsia"/>
          <w:sz w:val="21"/>
          <w:szCs w:val="21"/>
        </w:rPr>
      </w:pPr>
    </w:p>
    <w:p w14:paraId="307FD35A">
      <w:pPr>
        <w:spacing w:line="360" w:lineRule="auto"/>
        <w:rPr>
          <w:rFonts w:asciiTheme="minorEastAsia" w:hAnsiTheme="minorEastAsia" w:eastAsiaTheme="minorEastAsia" w:cstheme="minorEastAsia"/>
          <w:szCs w:val="21"/>
        </w:rPr>
      </w:pPr>
    </w:p>
    <w:p w14:paraId="7A117AB6">
      <w:pPr>
        <w:pStyle w:val="6"/>
        <w:rPr>
          <w:rFonts w:asciiTheme="minorEastAsia" w:hAnsiTheme="minorEastAsia" w:eastAsiaTheme="minorEastAsia" w:cstheme="minorEastAsia"/>
          <w:sz w:val="21"/>
          <w:szCs w:val="21"/>
        </w:rPr>
      </w:pPr>
    </w:p>
    <w:p w14:paraId="50F36C61">
      <w:pPr>
        <w:rPr>
          <w:rFonts w:asciiTheme="minorEastAsia" w:hAnsiTheme="minorEastAsia" w:eastAsiaTheme="minorEastAsia" w:cstheme="minorEastAsia"/>
          <w:szCs w:val="21"/>
        </w:rPr>
      </w:pPr>
    </w:p>
    <w:p w14:paraId="001B172F">
      <w:pPr>
        <w:pStyle w:val="6"/>
        <w:rPr>
          <w:rFonts w:asciiTheme="minorEastAsia" w:hAnsiTheme="minorEastAsia" w:eastAsiaTheme="minorEastAsia" w:cstheme="minorEastAsia"/>
          <w:sz w:val="21"/>
          <w:szCs w:val="21"/>
        </w:rPr>
      </w:pPr>
    </w:p>
    <w:p w14:paraId="5B031AB6">
      <w:pPr>
        <w:rPr>
          <w:rFonts w:asciiTheme="minorEastAsia" w:hAnsiTheme="minorEastAsia" w:eastAsiaTheme="minorEastAsia" w:cstheme="minorEastAsia"/>
          <w:szCs w:val="21"/>
        </w:rPr>
      </w:pPr>
    </w:p>
    <w:p w14:paraId="09352E47">
      <w:pPr>
        <w:pStyle w:val="6"/>
        <w:rPr>
          <w:rFonts w:asciiTheme="minorEastAsia" w:hAnsiTheme="minorEastAsia" w:eastAsiaTheme="minorEastAsia" w:cstheme="minorEastAsia"/>
          <w:sz w:val="21"/>
          <w:szCs w:val="21"/>
        </w:rPr>
      </w:pPr>
    </w:p>
    <w:p w14:paraId="3F4166F6">
      <w:pPr>
        <w:rPr>
          <w:rFonts w:eastAsiaTheme="minorEastAsia"/>
        </w:rPr>
      </w:pPr>
    </w:p>
    <w:p w14:paraId="5ECA42AA">
      <w:pPr>
        <w:spacing w:line="360" w:lineRule="auto"/>
        <w:rPr>
          <w:rFonts w:asciiTheme="minorEastAsia" w:hAnsiTheme="minorEastAsia" w:eastAsiaTheme="minorEastAsia" w:cstheme="minorEastAsia"/>
          <w:szCs w:val="21"/>
        </w:rPr>
      </w:pPr>
    </w:p>
    <w:p w14:paraId="19C30DE6">
      <w:pPr>
        <w:pStyle w:val="6"/>
        <w:keepLines w:val="0"/>
        <w:spacing w:line="240" w:lineRule="auto"/>
        <w:rPr>
          <w:lang w:val="zh-CN"/>
        </w:rPr>
      </w:pPr>
      <w:r>
        <w:rPr>
          <w:rFonts w:hint="eastAsia" w:asciiTheme="minorEastAsia" w:hAnsiTheme="minorEastAsia" w:eastAsiaTheme="minorEastAsia" w:cstheme="minorEastAsia"/>
          <w:sz w:val="21"/>
          <w:szCs w:val="21"/>
        </w:rPr>
        <w:t>分包意向协议</w:t>
      </w:r>
    </w:p>
    <w:p w14:paraId="3FC49DF2">
      <w:pPr>
        <w:snapToGrid w:val="0"/>
        <w:spacing w:line="360" w:lineRule="auto"/>
        <w:ind w:firstLine="2319" w:firstLineChars="1100"/>
        <w:rPr>
          <w:rFonts w:asciiTheme="minorEastAsia" w:hAnsiTheme="minorEastAsia" w:eastAsiaTheme="minorEastAsia" w:cstheme="minorEastAsia"/>
          <w:b/>
          <w:kern w:val="0"/>
          <w:szCs w:val="21"/>
        </w:rPr>
      </w:pPr>
    </w:p>
    <w:p w14:paraId="4DA11EC3">
      <w:pPr>
        <w:widowControl/>
        <w:spacing w:line="360" w:lineRule="auto"/>
        <w:ind w:firstLine="105" w:firstLineChars="5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szCs w:val="21"/>
        </w:rPr>
        <w:t>中标后以分包方式履行合同的，提供分包意向协议；采购人不同意分包或者投标人中标后不以分包方式履行合同的，则不需要提供。</w:t>
      </w:r>
      <w:r>
        <w:rPr>
          <w:rFonts w:hint="eastAsia" w:asciiTheme="minorEastAsia" w:hAnsiTheme="minorEastAsia" w:eastAsiaTheme="minorEastAsia" w:cstheme="minorEastAsia"/>
          <w:szCs w:val="21"/>
        </w:rPr>
        <w:t>）</w:t>
      </w:r>
    </w:p>
    <w:p w14:paraId="27E3115D">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u w:val="single"/>
        </w:rPr>
        <w:t>（投标人名称）</w:t>
      </w:r>
      <w:r>
        <w:rPr>
          <w:rFonts w:hint="eastAsia" w:asciiTheme="minorEastAsia" w:hAnsiTheme="minorEastAsia" w:eastAsiaTheme="minorEastAsia" w:cstheme="minorEastAsia"/>
          <w:kern w:val="0"/>
          <w:szCs w:val="21"/>
          <w:lang w:val="zh-CN"/>
        </w:rPr>
        <w:t>若成为</w:t>
      </w:r>
      <w:r>
        <w:rPr>
          <w:rFonts w:hint="eastAsia" w:asciiTheme="minorEastAsia" w:hAnsiTheme="minorEastAsia" w:eastAsiaTheme="minorEastAsia" w:cstheme="minorEastAsia"/>
          <w:color w:val="0000FF"/>
          <w:szCs w:val="21"/>
        </w:rPr>
        <w:t>（项目名称）</w:t>
      </w:r>
      <w:r>
        <w:rPr>
          <w:rFonts w:hint="eastAsia" w:asciiTheme="minorEastAsia" w:hAnsiTheme="minorEastAsia" w:eastAsiaTheme="minorEastAsia" w:cstheme="minorEastAsia"/>
          <w:szCs w:val="21"/>
        </w:rPr>
        <w:t>【招标编号：</w:t>
      </w:r>
      <w:r>
        <w:rPr>
          <w:rFonts w:hint="eastAsia" w:asciiTheme="minorEastAsia" w:hAnsiTheme="minorEastAsia" w:eastAsiaTheme="minorEastAsia" w:cstheme="minorEastAsia"/>
          <w:color w:val="FF0000"/>
          <w:szCs w:val="21"/>
        </w:rPr>
        <w:t>（采购编号）</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kern w:val="0"/>
          <w:szCs w:val="21"/>
          <w:lang w:val="zh-CN"/>
        </w:rPr>
        <w:t>的中标供应商，将依法采取分包方式履行合同。</w:t>
      </w:r>
      <w:r>
        <w:rPr>
          <w:rFonts w:hint="eastAsia" w:asciiTheme="minorEastAsia" w:hAnsiTheme="minorEastAsia" w:eastAsiaTheme="minorEastAsia" w:cstheme="minorEastAsia"/>
          <w:kern w:val="0"/>
          <w:szCs w:val="21"/>
          <w:u w:val="single"/>
        </w:rPr>
        <w:t>（投标人名称）</w:t>
      </w:r>
      <w:r>
        <w:rPr>
          <w:rFonts w:hint="eastAsia" w:asciiTheme="minorEastAsia" w:hAnsiTheme="minorEastAsia" w:eastAsiaTheme="minorEastAsia" w:cstheme="minorEastAsia"/>
          <w:kern w:val="0"/>
          <w:szCs w:val="21"/>
        </w:rPr>
        <w:t>与</w:t>
      </w:r>
      <w:r>
        <w:rPr>
          <w:rFonts w:hint="eastAsia" w:asciiTheme="minorEastAsia" w:hAnsiTheme="minorEastAsia" w:eastAsiaTheme="minorEastAsia" w:cstheme="minorEastAsia"/>
          <w:kern w:val="0"/>
          <w:szCs w:val="21"/>
          <w:u w:val="single"/>
        </w:rPr>
        <w:t>（所有分包供应商名称）</w:t>
      </w:r>
      <w:r>
        <w:rPr>
          <w:rFonts w:hint="eastAsia" w:asciiTheme="minorEastAsia" w:hAnsiTheme="minorEastAsia" w:eastAsiaTheme="minorEastAsia" w:cstheme="minorEastAsia"/>
          <w:kern w:val="0"/>
          <w:szCs w:val="21"/>
        </w:rPr>
        <w:t>达成分包意向协议</w:t>
      </w:r>
      <w:r>
        <w:rPr>
          <w:rFonts w:hint="eastAsia" w:asciiTheme="minorEastAsia" w:hAnsiTheme="minorEastAsia" w:eastAsiaTheme="minorEastAsia" w:cstheme="minorEastAsia"/>
          <w:kern w:val="0"/>
          <w:szCs w:val="21"/>
          <w:lang w:val="zh-CN"/>
        </w:rPr>
        <w:t xml:space="preserve">。 </w:t>
      </w:r>
    </w:p>
    <w:p w14:paraId="2A02846A">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一、分包标的及数量</w:t>
      </w:r>
    </w:p>
    <w:p w14:paraId="380B71C6">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u w:val="single"/>
        </w:rPr>
        <w:t>（投标人名称）</w:t>
      </w:r>
      <w:r>
        <w:rPr>
          <w:rFonts w:hint="eastAsia" w:asciiTheme="minorEastAsia" w:hAnsiTheme="minorEastAsia" w:eastAsiaTheme="minorEastAsia" w:cstheme="minorEastAsia"/>
          <w:kern w:val="0"/>
          <w:szCs w:val="21"/>
          <w:lang w:val="zh-CN"/>
        </w:rPr>
        <w:t>将</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kern w:val="0"/>
          <w:szCs w:val="21"/>
          <w:u w:val="single"/>
        </w:rPr>
        <w:t xml:space="preserve"> XX工作内容   </w:t>
      </w:r>
      <w:r>
        <w:rPr>
          <w:rFonts w:hint="eastAsia" w:asciiTheme="minorEastAsia" w:hAnsiTheme="minorEastAsia" w:eastAsiaTheme="minorEastAsia" w:cstheme="minorEastAsia"/>
          <w:szCs w:val="21"/>
        </w:rPr>
        <w:t>分包给</w:t>
      </w:r>
      <w:r>
        <w:rPr>
          <w:rFonts w:hint="eastAsia" w:asciiTheme="minorEastAsia" w:hAnsiTheme="minorEastAsia" w:eastAsiaTheme="minorEastAsia" w:cstheme="minorEastAsia"/>
          <w:kern w:val="0"/>
          <w:szCs w:val="21"/>
          <w:u w:val="single"/>
        </w:rPr>
        <w:t>（分包供应商1名称）</w:t>
      </w:r>
      <w:r>
        <w:rPr>
          <w:rFonts w:hint="eastAsia" w:asciiTheme="minorEastAsia" w:hAnsiTheme="minorEastAsia" w:eastAsiaTheme="minorEastAsia" w:cstheme="minorEastAsia"/>
          <w:kern w:val="0"/>
          <w:szCs w:val="21"/>
          <w:lang w:val="zh-CN"/>
        </w:rPr>
        <w:t>，</w:t>
      </w:r>
      <w:r>
        <w:rPr>
          <w:rFonts w:hint="eastAsia" w:asciiTheme="minorEastAsia" w:hAnsiTheme="minorEastAsia" w:eastAsiaTheme="minorEastAsia" w:cstheme="minorEastAsia"/>
          <w:kern w:val="0"/>
          <w:szCs w:val="21"/>
          <w:u w:val="single"/>
        </w:rPr>
        <w:t>（分包供应商2名称），</w:t>
      </w:r>
      <w:r>
        <w:rPr>
          <w:rFonts w:hint="eastAsia" w:asciiTheme="minorEastAsia" w:hAnsiTheme="minorEastAsia" w:eastAsiaTheme="minorEastAsia" w:cstheme="minorEastAsia"/>
          <w:kern w:val="0"/>
          <w:szCs w:val="21"/>
          <w:lang w:val="zh-CN"/>
        </w:rPr>
        <w:t>具备承</w:t>
      </w:r>
      <w:r>
        <w:rPr>
          <w:rFonts w:hint="eastAsia" w:asciiTheme="minorEastAsia" w:hAnsiTheme="minorEastAsia" w:eastAsiaTheme="minorEastAsia" w:cstheme="minorEastAsia"/>
          <w:kern w:val="0"/>
          <w:szCs w:val="21"/>
        </w:rPr>
        <w:t>担</w:t>
      </w:r>
      <w:r>
        <w:rPr>
          <w:rFonts w:hint="eastAsia" w:asciiTheme="minorEastAsia" w:hAnsiTheme="minorEastAsia" w:eastAsiaTheme="minorEastAsia" w:cstheme="minorEastAsia"/>
          <w:kern w:val="0"/>
          <w:szCs w:val="21"/>
          <w:u w:val="single"/>
          <w:lang w:val="zh-CN"/>
        </w:rPr>
        <w:t>XX工作内容</w:t>
      </w:r>
      <w:r>
        <w:rPr>
          <w:rFonts w:hint="eastAsia" w:asciiTheme="minorEastAsia" w:hAnsiTheme="minorEastAsia" w:eastAsiaTheme="minorEastAsia" w:cstheme="minorEastAsia"/>
          <w:kern w:val="0"/>
          <w:szCs w:val="21"/>
          <w:lang w:val="zh-CN"/>
        </w:rPr>
        <w:t>相应资质条件且不得再次分包；</w:t>
      </w:r>
    </w:p>
    <w:p w14:paraId="14589510">
      <w:pPr>
        <w:pStyle w:val="6"/>
        <w:keepLines w:val="0"/>
        <w:tabs>
          <w:tab w:val="left" w:pos="432"/>
        </w:tabs>
        <w:ind w:left="664" w:leftChars="316" w:firstLine="200" w:firstLineChars="95"/>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14:paraId="5AB3E1C8">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 </w:t>
      </w:r>
    </w:p>
    <w:p w14:paraId="599B5656">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二、分包供应商中小企业合同份额</w:t>
      </w:r>
    </w:p>
    <w:p w14:paraId="7E693B06">
      <w:pPr>
        <w:snapToGrid w:val="0"/>
        <w:spacing w:line="360" w:lineRule="auto"/>
        <w:ind w:firstLine="576"/>
        <w:rPr>
          <w:rFonts w:asciiTheme="minorEastAsia" w:hAnsiTheme="minorEastAsia" w:eastAsiaTheme="minorEastAsia" w:cstheme="minorEastAsia"/>
          <w:b/>
          <w:kern w:val="0"/>
          <w:szCs w:val="21"/>
          <w:lang w:val="zh-CN"/>
        </w:rPr>
      </w:pPr>
      <w:r>
        <w:rPr>
          <w:rFonts w:hint="eastAsia" w:asciiTheme="minorEastAsia" w:hAnsiTheme="minorEastAsia" w:eastAsiaTheme="minorEastAsia" w:cstheme="minorEastAsia"/>
          <w:kern w:val="0"/>
          <w:szCs w:val="21"/>
        </w:rPr>
        <w:t>1、</w:t>
      </w:r>
      <w:r>
        <w:rPr>
          <w:rFonts w:hint="eastAsia" w:asciiTheme="minorEastAsia" w:hAnsiTheme="minorEastAsia" w:eastAsiaTheme="minorEastAsia" w:cstheme="minorEastAsia"/>
          <w:kern w:val="0"/>
          <w:szCs w:val="21"/>
          <w:u w:val="single"/>
        </w:rPr>
        <w:t>（分包供应商X,……）提供的服务全部由小微企业承接，</w:t>
      </w:r>
      <w:r>
        <w:rPr>
          <w:rFonts w:hint="eastAsia" w:asciiTheme="minorEastAsia" w:hAnsiTheme="minorEastAsia" w:eastAsiaTheme="minorEastAsia" w:cstheme="minorEastAsia"/>
          <w:kern w:val="0"/>
          <w:szCs w:val="21"/>
        </w:rPr>
        <w:t>其合同份额占到合同总金额</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%以上</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b/>
          <w:kern w:val="0"/>
          <w:szCs w:val="21"/>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Theme="minorEastAsia" w:hAnsiTheme="minorEastAsia" w:eastAsiaTheme="minorEastAsia" w:cstheme="minorEastAsia"/>
          <w:b/>
          <w:szCs w:val="21"/>
        </w:rPr>
        <w:t>拟享受以上价格扣除政策的，填写有关内容。</w:t>
      </w:r>
      <w:r>
        <w:rPr>
          <w:rFonts w:hint="eastAsia" w:asciiTheme="minorEastAsia" w:hAnsiTheme="minorEastAsia" w:eastAsiaTheme="minorEastAsia" w:cstheme="minorEastAsia"/>
          <w:b/>
          <w:kern w:val="0"/>
          <w:szCs w:val="21"/>
          <w:lang w:val="zh-CN"/>
        </w:rPr>
        <w:t>）</w:t>
      </w:r>
    </w:p>
    <w:p w14:paraId="611FA812">
      <w:pPr>
        <w:spacing w:line="360" w:lineRule="auto"/>
        <w:ind w:firstLine="420" w:firstLineChars="200"/>
        <w:rPr>
          <w:rFonts w:asciiTheme="minorEastAsia" w:hAnsiTheme="minorEastAsia" w:eastAsiaTheme="minorEastAsia" w:cstheme="minorEastAsia"/>
          <w:b/>
          <w:bCs/>
          <w:kern w:val="0"/>
          <w:szCs w:val="21"/>
          <w:lang w:val="zh-CN"/>
        </w:rPr>
      </w:pPr>
      <w:r>
        <w:rPr>
          <w:rFonts w:hint="eastAsia" w:asciiTheme="minorEastAsia" w:hAnsiTheme="minorEastAsia" w:eastAsiaTheme="minorEastAsia" w:cstheme="minorEastAsia"/>
          <w:szCs w:val="21"/>
        </w:rPr>
        <w:t>2、中小企业合同金额达到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%，小微企业合同金额达到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kern w:val="0"/>
          <w:szCs w:val="21"/>
          <w:lang w:val="zh-CN"/>
        </w:rPr>
        <w:t>。</w:t>
      </w:r>
      <w:r>
        <w:rPr>
          <w:rFonts w:hint="eastAsia" w:asciiTheme="minorEastAsia" w:hAnsiTheme="minorEastAsia" w:eastAsiaTheme="minorEastAsia" w:cstheme="minorEastAsia"/>
          <w:b/>
          <w:bCs/>
          <w:kern w:val="0"/>
          <w:szCs w:val="21"/>
          <w:lang w:val="zh-CN"/>
        </w:rPr>
        <w:t>（</w:t>
      </w:r>
      <w:r>
        <w:rPr>
          <w:rFonts w:hint="eastAsia" w:asciiTheme="minorEastAsia" w:hAnsiTheme="minorEastAsia" w:eastAsiaTheme="minorEastAsia" w:cstheme="minorEastAsia"/>
          <w:b/>
          <w:bCs/>
          <w:szCs w:val="21"/>
        </w:rPr>
        <w:t>要求合同分包形式参加的项目或采购包，供应商按招标文件第一部分招标公告申请人的资格要求中规定的</w:t>
      </w:r>
      <w:r>
        <w:rPr>
          <w:rFonts w:hint="eastAsia" w:asciiTheme="minorEastAsia" w:hAnsiTheme="minorEastAsia" w:eastAsiaTheme="minorEastAsia" w:cstheme="minorEastAsia"/>
          <w:b/>
          <w:kern w:val="0"/>
          <w:szCs w:val="21"/>
          <w:lang w:val="zh-CN"/>
        </w:rPr>
        <w:t>分包意向协议</w:t>
      </w:r>
      <w:r>
        <w:rPr>
          <w:rFonts w:hint="eastAsia" w:asciiTheme="minorEastAsia" w:hAnsiTheme="minorEastAsia" w:eastAsiaTheme="minorEastAsia" w:cstheme="minorEastAsia"/>
          <w:b/>
          <w:bCs/>
          <w:szCs w:val="21"/>
        </w:rPr>
        <w:t>中中小企业、小微企业合同金额应当达到的比例要求填写。</w:t>
      </w:r>
      <w:r>
        <w:rPr>
          <w:rFonts w:hint="eastAsia" w:asciiTheme="minorEastAsia" w:hAnsiTheme="minorEastAsia" w:eastAsiaTheme="minorEastAsia" w:cstheme="minorEastAsia"/>
          <w:b/>
          <w:bCs/>
          <w:kern w:val="0"/>
          <w:szCs w:val="21"/>
          <w:lang w:val="zh-CN"/>
        </w:rPr>
        <w:t>）</w:t>
      </w:r>
    </w:p>
    <w:p w14:paraId="2CC7255D">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三、分包工作履行期限、地点、方式</w:t>
      </w:r>
    </w:p>
    <w:p w14:paraId="572E0906">
      <w:pPr>
        <w:snapToGrid w:val="0"/>
        <w:spacing w:line="360" w:lineRule="auto"/>
        <w:ind w:firstLine="576"/>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u w:val="single"/>
        </w:rPr>
        <w:t xml:space="preserve">                                                                                  </w:t>
      </w:r>
    </w:p>
    <w:p w14:paraId="74076B3E">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四、质量</w:t>
      </w:r>
    </w:p>
    <w:p w14:paraId="00916847">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szCs w:val="21"/>
          <w:u w:val="single"/>
        </w:rPr>
        <w:t xml:space="preserve">                                                                                       </w:t>
      </w:r>
    </w:p>
    <w:p w14:paraId="551B5BF5">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五、价款或者报酬</w:t>
      </w:r>
    </w:p>
    <w:p w14:paraId="1A97A732">
      <w:pPr>
        <w:snapToGrid w:val="0"/>
        <w:spacing w:line="360" w:lineRule="auto"/>
        <w:ind w:left="573" w:leftChars="273"/>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szCs w:val="21"/>
          <w:u w:val="single"/>
        </w:rPr>
        <w:t xml:space="preserve">                                                                                     </w:t>
      </w:r>
    </w:p>
    <w:p w14:paraId="18EC9155">
      <w:pPr>
        <w:snapToGrid w:val="0"/>
        <w:spacing w:line="360" w:lineRule="auto"/>
        <w:ind w:left="573" w:leftChars="273"/>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六、违约责任</w:t>
      </w:r>
    </w:p>
    <w:p w14:paraId="747CCB30">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szCs w:val="21"/>
          <w:u w:val="single"/>
        </w:rPr>
        <w:t xml:space="preserve">                                                                                     </w:t>
      </w:r>
    </w:p>
    <w:p w14:paraId="0A1A0F97">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七、争议解决的办法</w:t>
      </w:r>
    </w:p>
    <w:p w14:paraId="1C1F9851">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szCs w:val="21"/>
          <w:u w:val="single"/>
        </w:rPr>
        <w:t xml:space="preserve">                                                                                  </w:t>
      </w:r>
    </w:p>
    <w:p w14:paraId="62E20F4C">
      <w:pPr>
        <w:snapToGrid w:val="0"/>
        <w:spacing w:line="360" w:lineRule="auto"/>
        <w:ind w:firstLine="576"/>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八、其他</w:t>
      </w:r>
    </w:p>
    <w:p w14:paraId="2212D2DB">
      <w:pPr>
        <w:snapToGrid w:val="0"/>
        <w:spacing w:line="360" w:lineRule="auto"/>
        <w:ind w:left="5128" w:leftChars="342" w:hanging="4410" w:hangingChars="2100"/>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szCs w:val="21"/>
        </w:rPr>
        <w:t>中小企业合同金额达到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%，小微企业合同金额达到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kern w:val="0"/>
          <w:szCs w:val="21"/>
          <w:lang w:val="zh-CN"/>
        </w:rPr>
        <w:t xml:space="preserve">  。                                           投标人名称(</w:t>
      </w:r>
      <w:r>
        <w:rPr>
          <w:rFonts w:hint="eastAsia" w:asciiTheme="minorEastAsia" w:hAnsiTheme="minorEastAsia" w:eastAsiaTheme="minorEastAsia" w:cstheme="minorEastAsia"/>
          <w:kern w:val="0"/>
          <w:szCs w:val="21"/>
        </w:rPr>
        <w:t>公章</w:t>
      </w:r>
      <w:r>
        <w:rPr>
          <w:rFonts w:hint="eastAsia" w:asciiTheme="minorEastAsia" w:hAnsiTheme="minorEastAsia" w:eastAsiaTheme="minorEastAsia" w:cstheme="minorEastAsia"/>
          <w:kern w:val="0"/>
          <w:szCs w:val="21"/>
          <w:lang w:val="zh-CN"/>
        </w:rPr>
        <w:t>)：</w:t>
      </w:r>
    </w:p>
    <w:p w14:paraId="059EB097">
      <w:pPr>
        <w:snapToGrid w:val="0"/>
        <w:spacing w:line="360" w:lineRule="auto"/>
        <w:jc w:val="righ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分包供应商名称(公章)：</w:t>
      </w:r>
    </w:p>
    <w:p w14:paraId="4AC5E342">
      <w:pPr>
        <w:snapToGrid w:val="0"/>
        <w:spacing w:line="360" w:lineRule="auto"/>
        <w:ind w:firstLine="5040" w:firstLineChars="24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lang w:val="zh-CN"/>
        </w:rPr>
        <w:t>……</w:t>
      </w:r>
    </w:p>
    <w:p w14:paraId="1D458B89">
      <w:pPr>
        <w:snapToGrid w:val="0"/>
        <w:spacing w:line="360" w:lineRule="auto"/>
        <w:ind w:left="5128" w:leftChars="342" w:hanging="4410" w:hangingChars="2100"/>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 xml:space="preserve">                                        日期：  年  月   日</w:t>
      </w:r>
    </w:p>
    <w:p w14:paraId="7D732ABD">
      <w:pPr>
        <w:spacing w:line="360" w:lineRule="auto"/>
        <w:ind w:right="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注：按本格式和要求提供。</w:t>
      </w:r>
    </w:p>
    <w:p w14:paraId="305E668D">
      <w:pPr>
        <w:autoSpaceDE w:val="0"/>
        <w:autoSpaceDN w:val="0"/>
        <w:spacing w:line="360" w:lineRule="auto"/>
        <w:jc w:val="center"/>
        <w:rPr>
          <w:rFonts w:ascii="宋体" w:hAnsi="宋体" w:cs="宋体"/>
          <w:b/>
          <w:spacing w:val="6"/>
          <w:sz w:val="32"/>
          <w:szCs w:val="32"/>
        </w:rPr>
      </w:pPr>
    </w:p>
    <w:p w14:paraId="70A24507">
      <w:pPr>
        <w:autoSpaceDE w:val="0"/>
        <w:autoSpaceDN w:val="0"/>
        <w:jc w:val="center"/>
        <w:rPr>
          <w:rFonts w:ascii="宋体" w:hAnsi="宋体" w:cs="宋体"/>
          <w:b/>
          <w:spacing w:val="6"/>
          <w:sz w:val="32"/>
          <w:szCs w:val="32"/>
        </w:rPr>
      </w:pPr>
    </w:p>
    <w:p w14:paraId="5ABFEC7F">
      <w:pPr>
        <w:autoSpaceDE w:val="0"/>
        <w:autoSpaceDN w:val="0"/>
        <w:jc w:val="center"/>
        <w:rPr>
          <w:rFonts w:ascii="宋体" w:hAnsi="宋体" w:cs="宋体"/>
          <w:b/>
          <w:spacing w:val="6"/>
          <w:sz w:val="32"/>
          <w:szCs w:val="32"/>
        </w:rPr>
      </w:pPr>
    </w:p>
    <w:p w14:paraId="2B5B6D42">
      <w:pPr>
        <w:autoSpaceDE w:val="0"/>
        <w:autoSpaceDN w:val="0"/>
        <w:jc w:val="center"/>
        <w:rPr>
          <w:rFonts w:ascii="宋体" w:hAnsi="宋体" w:cs="宋体"/>
          <w:b/>
          <w:spacing w:val="6"/>
          <w:sz w:val="32"/>
          <w:szCs w:val="32"/>
        </w:rPr>
      </w:pPr>
    </w:p>
    <w:p w14:paraId="33DF922E">
      <w:pPr>
        <w:pStyle w:val="6"/>
        <w:sectPr>
          <w:pgSz w:w="11906" w:h="16838"/>
          <w:pgMar w:top="1474" w:right="1797" w:bottom="1247" w:left="1797" w:header="851" w:footer="851" w:gutter="0"/>
          <w:cols w:space="720" w:num="1"/>
          <w:docGrid w:linePitch="312" w:charSpace="0"/>
        </w:sectPr>
      </w:pPr>
    </w:p>
    <w:p w14:paraId="1600D786">
      <w:pPr>
        <w:snapToGrid w:val="0"/>
        <w:spacing w:line="360" w:lineRule="auto"/>
        <w:ind w:firstLine="420" w:firstLineChars="200"/>
        <w:jc w:val="left"/>
        <w:rPr>
          <w:rFonts w:ascii="宋体" w:hAnsi="宋体"/>
          <w:szCs w:val="21"/>
        </w:rPr>
      </w:pPr>
      <w:r>
        <w:rPr>
          <w:rFonts w:hint="eastAsia" w:ascii="宋体" w:hAnsi="宋体"/>
          <w:szCs w:val="21"/>
        </w:rPr>
        <w:t>投标人的类似成功案例的业绩证明文件：</w:t>
      </w:r>
      <w:r>
        <w:rPr>
          <w:rFonts w:ascii="宋体" w:hAnsi="宋体"/>
          <w:szCs w:val="21"/>
        </w:rPr>
        <w:t>（投标人同类项目合同复印件）</w:t>
      </w:r>
    </w:p>
    <w:tbl>
      <w:tblPr>
        <w:tblStyle w:val="47"/>
        <w:tblW w:w="1428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8"/>
        <w:gridCol w:w="3420"/>
        <w:gridCol w:w="1080"/>
        <w:gridCol w:w="1080"/>
        <w:gridCol w:w="1440"/>
        <w:gridCol w:w="1517"/>
        <w:gridCol w:w="3118"/>
      </w:tblGrid>
      <w:tr w14:paraId="44BC5C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171" w:hRule="atLeast"/>
        </w:trPr>
        <w:tc>
          <w:tcPr>
            <w:tcW w:w="2628" w:type="dxa"/>
            <w:tcBorders>
              <w:top w:val="single" w:color="auto" w:sz="4" w:space="0"/>
              <w:left w:val="single" w:color="auto" w:sz="4" w:space="0"/>
              <w:bottom w:val="single" w:color="auto" w:sz="4" w:space="0"/>
              <w:right w:val="single" w:color="auto" w:sz="4" w:space="0"/>
            </w:tcBorders>
            <w:vAlign w:val="center"/>
          </w:tcPr>
          <w:p w14:paraId="61E5B43C">
            <w:pPr>
              <w:snapToGrid w:val="0"/>
              <w:spacing w:line="360" w:lineRule="auto"/>
              <w:ind w:firstLine="420" w:firstLineChars="200"/>
              <w:jc w:val="left"/>
              <w:rPr>
                <w:rFonts w:ascii="宋体" w:hAnsi="宋体"/>
                <w:szCs w:val="21"/>
              </w:rPr>
            </w:pPr>
            <w:r>
              <w:rPr>
                <w:rFonts w:hint="eastAsia" w:ascii="宋体" w:hAnsi="宋体"/>
                <w:szCs w:val="21"/>
              </w:rPr>
              <w:t>采购单位名称</w:t>
            </w:r>
          </w:p>
        </w:tc>
        <w:tc>
          <w:tcPr>
            <w:tcW w:w="3420" w:type="dxa"/>
            <w:tcBorders>
              <w:top w:val="single" w:color="auto" w:sz="4" w:space="0"/>
              <w:left w:val="single" w:color="auto" w:sz="4" w:space="0"/>
              <w:bottom w:val="single" w:color="auto" w:sz="4" w:space="0"/>
              <w:right w:val="single" w:color="auto" w:sz="4" w:space="0"/>
            </w:tcBorders>
            <w:vAlign w:val="center"/>
          </w:tcPr>
          <w:p w14:paraId="31B1D267">
            <w:pPr>
              <w:snapToGrid w:val="0"/>
              <w:spacing w:line="360" w:lineRule="auto"/>
              <w:ind w:firstLine="420" w:firstLineChars="200"/>
              <w:jc w:val="left"/>
              <w:rPr>
                <w:rFonts w:ascii="宋体" w:hAnsi="宋体"/>
                <w:szCs w:val="21"/>
              </w:rPr>
            </w:pPr>
            <w:r>
              <w:rPr>
                <w:rFonts w:hint="eastAsia" w:ascii="宋体" w:hAnsi="宋体"/>
                <w:szCs w:val="21"/>
              </w:rPr>
              <w:t>设备或服务项目名称</w:t>
            </w:r>
          </w:p>
        </w:tc>
        <w:tc>
          <w:tcPr>
            <w:tcW w:w="1080" w:type="dxa"/>
            <w:tcBorders>
              <w:top w:val="single" w:color="auto" w:sz="4" w:space="0"/>
              <w:left w:val="single" w:color="auto" w:sz="4" w:space="0"/>
              <w:bottom w:val="single" w:color="auto" w:sz="4" w:space="0"/>
              <w:right w:val="single" w:color="auto" w:sz="4" w:space="0"/>
            </w:tcBorders>
            <w:vAlign w:val="center"/>
          </w:tcPr>
          <w:p w14:paraId="1FD4108D">
            <w:pPr>
              <w:snapToGrid w:val="0"/>
              <w:spacing w:line="360" w:lineRule="auto"/>
              <w:ind w:firstLine="420" w:firstLineChars="200"/>
              <w:jc w:val="left"/>
              <w:rPr>
                <w:rFonts w:ascii="宋体" w:hAnsi="宋体"/>
                <w:szCs w:val="21"/>
              </w:rPr>
            </w:pPr>
          </w:p>
          <w:p w14:paraId="0F9D2B09">
            <w:pPr>
              <w:snapToGrid w:val="0"/>
              <w:spacing w:line="360" w:lineRule="auto"/>
              <w:jc w:val="left"/>
              <w:rPr>
                <w:rFonts w:ascii="宋体" w:hAnsi="宋体"/>
                <w:szCs w:val="21"/>
              </w:rPr>
            </w:pPr>
            <w:r>
              <w:rPr>
                <w:rFonts w:hint="eastAsia" w:ascii="宋体" w:hAnsi="宋体"/>
                <w:szCs w:val="21"/>
              </w:rPr>
              <w:t>数量</w:t>
            </w:r>
          </w:p>
        </w:tc>
        <w:tc>
          <w:tcPr>
            <w:tcW w:w="1080" w:type="dxa"/>
            <w:tcBorders>
              <w:top w:val="single" w:color="auto" w:sz="4" w:space="0"/>
              <w:left w:val="single" w:color="auto" w:sz="4" w:space="0"/>
              <w:bottom w:val="single" w:color="auto" w:sz="4" w:space="0"/>
              <w:right w:val="single" w:color="auto" w:sz="4" w:space="0"/>
            </w:tcBorders>
            <w:vAlign w:val="center"/>
          </w:tcPr>
          <w:p w14:paraId="22FA873A">
            <w:pPr>
              <w:snapToGrid w:val="0"/>
              <w:spacing w:line="360" w:lineRule="auto"/>
              <w:ind w:firstLine="420" w:firstLineChars="200"/>
              <w:jc w:val="left"/>
              <w:rPr>
                <w:rFonts w:ascii="宋体" w:hAnsi="宋体"/>
                <w:szCs w:val="21"/>
              </w:rPr>
            </w:pPr>
            <w:r>
              <w:rPr>
                <w:rFonts w:hint="eastAsia" w:ascii="宋体" w:hAnsi="宋体"/>
                <w:szCs w:val="21"/>
              </w:rPr>
              <w:t>单价</w:t>
            </w:r>
          </w:p>
        </w:tc>
        <w:tc>
          <w:tcPr>
            <w:tcW w:w="1440" w:type="dxa"/>
            <w:tcBorders>
              <w:top w:val="single" w:color="auto" w:sz="4" w:space="0"/>
              <w:left w:val="single" w:color="auto" w:sz="4" w:space="0"/>
              <w:bottom w:val="single" w:color="auto" w:sz="4" w:space="0"/>
              <w:right w:val="single" w:color="auto" w:sz="4" w:space="0"/>
            </w:tcBorders>
            <w:vAlign w:val="center"/>
          </w:tcPr>
          <w:p w14:paraId="338D56A8">
            <w:pPr>
              <w:snapToGrid w:val="0"/>
              <w:spacing w:line="360" w:lineRule="auto"/>
              <w:ind w:firstLine="420" w:firstLineChars="200"/>
              <w:jc w:val="left"/>
              <w:rPr>
                <w:rFonts w:ascii="宋体" w:hAnsi="宋体"/>
                <w:szCs w:val="21"/>
              </w:rPr>
            </w:pPr>
            <w:r>
              <w:rPr>
                <w:rFonts w:hint="eastAsia" w:ascii="宋体" w:hAnsi="宋体"/>
                <w:szCs w:val="21"/>
              </w:rPr>
              <w:t>合同</w:t>
            </w:r>
          </w:p>
          <w:p w14:paraId="258BF008">
            <w:pPr>
              <w:snapToGrid w:val="0"/>
              <w:spacing w:line="360" w:lineRule="auto"/>
              <w:ind w:firstLine="420" w:firstLineChars="200"/>
              <w:jc w:val="left"/>
              <w:rPr>
                <w:rFonts w:ascii="宋体" w:hAnsi="宋体"/>
                <w:szCs w:val="21"/>
              </w:rPr>
            </w:pPr>
            <w:r>
              <w:rPr>
                <w:rFonts w:hint="eastAsia" w:ascii="宋体" w:hAnsi="宋体"/>
                <w:szCs w:val="21"/>
              </w:rPr>
              <w:t>金额</w:t>
            </w:r>
          </w:p>
          <w:p w14:paraId="1052ACE6">
            <w:pPr>
              <w:snapToGrid w:val="0"/>
              <w:spacing w:line="360" w:lineRule="auto"/>
              <w:ind w:firstLine="420" w:firstLineChars="200"/>
              <w:jc w:val="left"/>
              <w:rPr>
                <w:rFonts w:ascii="宋体" w:hAnsi="宋体"/>
                <w:szCs w:val="21"/>
              </w:rPr>
            </w:pPr>
            <w:r>
              <w:rPr>
                <w:rFonts w:hint="eastAsia" w:ascii="宋体" w:hAnsi="宋体"/>
                <w:szCs w:val="21"/>
              </w:rPr>
              <w:t>（万元）</w:t>
            </w:r>
          </w:p>
        </w:tc>
        <w:tc>
          <w:tcPr>
            <w:tcW w:w="1517" w:type="dxa"/>
            <w:tcBorders>
              <w:top w:val="single" w:color="auto" w:sz="4" w:space="0"/>
              <w:left w:val="single" w:color="auto" w:sz="4" w:space="0"/>
              <w:right w:val="single" w:color="auto" w:sz="4" w:space="0"/>
            </w:tcBorders>
            <w:vAlign w:val="center"/>
          </w:tcPr>
          <w:p w14:paraId="1689B05B">
            <w:pPr>
              <w:snapToGrid w:val="0"/>
              <w:spacing w:line="360" w:lineRule="auto"/>
              <w:ind w:firstLine="420" w:firstLineChars="200"/>
              <w:jc w:val="left"/>
              <w:rPr>
                <w:rFonts w:ascii="宋体" w:hAnsi="宋体"/>
                <w:szCs w:val="21"/>
              </w:rPr>
            </w:pPr>
            <w:r>
              <w:rPr>
                <w:rFonts w:hint="eastAsia" w:ascii="宋体" w:hAnsi="宋体"/>
                <w:szCs w:val="21"/>
              </w:rPr>
              <w:t>附件页码</w:t>
            </w:r>
          </w:p>
          <w:p w14:paraId="0CE511BE">
            <w:pPr>
              <w:snapToGrid w:val="0"/>
              <w:spacing w:line="360" w:lineRule="auto"/>
              <w:ind w:firstLine="420" w:firstLineChars="200"/>
              <w:jc w:val="left"/>
              <w:rPr>
                <w:rFonts w:ascii="宋体" w:hAnsi="宋体"/>
                <w:szCs w:val="21"/>
              </w:rPr>
            </w:pPr>
          </w:p>
        </w:tc>
        <w:tc>
          <w:tcPr>
            <w:tcW w:w="3118" w:type="dxa"/>
            <w:tcBorders>
              <w:top w:val="single" w:color="auto" w:sz="4" w:space="0"/>
              <w:left w:val="single" w:color="auto" w:sz="4" w:space="0"/>
              <w:bottom w:val="single" w:color="auto" w:sz="4" w:space="0"/>
              <w:right w:val="single" w:color="auto" w:sz="4" w:space="0"/>
            </w:tcBorders>
            <w:vAlign w:val="center"/>
          </w:tcPr>
          <w:p w14:paraId="3DC3E759">
            <w:pPr>
              <w:snapToGrid w:val="0"/>
              <w:spacing w:line="360" w:lineRule="auto"/>
              <w:ind w:firstLine="420" w:firstLineChars="200"/>
              <w:jc w:val="left"/>
              <w:rPr>
                <w:rFonts w:ascii="宋体" w:hAnsi="宋体"/>
                <w:szCs w:val="21"/>
              </w:rPr>
            </w:pPr>
            <w:r>
              <w:rPr>
                <w:rFonts w:hint="eastAsia" w:ascii="宋体" w:hAnsi="宋体"/>
                <w:szCs w:val="21"/>
              </w:rPr>
              <w:t>采购单位联系人及</w:t>
            </w:r>
          </w:p>
          <w:p w14:paraId="4BE9B7B2">
            <w:pPr>
              <w:snapToGrid w:val="0"/>
              <w:spacing w:line="360" w:lineRule="auto"/>
              <w:ind w:firstLine="420" w:firstLineChars="200"/>
              <w:jc w:val="left"/>
              <w:rPr>
                <w:rFonts w:ascii="宋体" w:hAnsi="宋体"/>
                <w:szCs w:val="21"/>
              </w:rPr>
            </w:pPr>
            <w:r>
              <w:rPr>
                <w:rFonts w:hint="eastAsia" w:ascii="宋体" w:hAnsi="宋体"/>
                <w:szCs w:val="21"/>
              </w:rPr>
              <w:t>联系电话</w:t>
            </w:r>
          </w:p>
        </w:tc>
      </w:tr>
      <w:tr w14:paraId="706596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2628" w:type="dxa"/>
            <w:tcBorders>
              <w:top w:val="single" w:color="auto" w:sz="4" w:space="0"/>
              <w:left w:val="single" w:color="auto" w:sz="4" w:space="0"/>
              <w:bottom w:val="single" w:color="auto" w:sz="4" w:space="0"/>
              <w:right w:val="single" w:color="auto" w:sz="4" w:space="0"/>
            </w:tcBorders>
          </w:tcPr>
          <w:p w14:paraId="3B85933F">
            <w:pPr>
              <w:snapToGrid w:val="0"/>
              <w:spacing w:line="360" w:lineRule="auto"/>
              <w:ind w:firstLine="420" w:firstLineChars="200"/>
              <w:jc w:val="left"/>
              <w:rPr>
                <w:rFonts w:ascii="宋体" w:hAnsi="宋体"/>
                <w:szCs w:val="21"/>
              </w:rPr>
            </w:pPr>
          </w:p>
        </w:tc>
        <w:tc>
          <w:tcPr>
            <w:tcW w:w="3420" w:type="dxa"/>
            <w:tcBorders>
              <w:top w:val="single" w:color="auto" w:sz="4" w:space="0"/>
              <w:left w:val="single" w:color="auto" w:sz="4" w:space="0"/>
              <w:bottom w:val="single" w:color="auto" w:sz="4" w:space="0"/>
              <w:right w:val="single" w:color="auto" w:sz="4" w:space="0"/>
            </w:tcBorders>
          </w:tcPr>
          <w:p w14:paraId="577C588B">
            <w:pPr>
              <w:snapToGrid w:val="0"/>
              <w:spacing w:line="360" w:lineRule="auto"/>
              <w:ind w:firstLine="420" w:firstLineChars="200"/>
              <w:jc w:val="left"/>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tcPr>
          <w:p w14:paraId="547F1EC8">
            <w:pPr>
              <w:snapToGrid w:val="0"/>
              <w:spacing w:line="360" w:lineRule="auto"/>
              <w:ind w:firstLine="420" w:firstLineChars="200"/>
              <w:jc w:val="left"/>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tcPr>
          <w:p w14:paraId="033FDFA7">
            <w:pPr>
              <w:snapToGrid w:val="0"/>
              <w:spacing w:line="360" w:lineRule="auto"/>
              <w:ind w:firstLine="420" w:firstLineChars="200"/>
              <w:jc w:val="left"/>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tcPr>
          <w:p w14:paraId="21B9C0C5">
            <w:pPr>
              <w:snapToGrid w:val="0"/>
              <w:spacing w:line="360" w:lineRule="auto"/>
              <w:ind w:firstLine="420" w:firstLineChars="200"/>
              <w:jc w:val="left"/>
              <w:rPr>
                <w:rFonts w:ascii="宋体" w:hAnsi="宋体"/>
                <w:szCs w:val="21"/>
              </w:rPr>
            </w:pPr>
          </w:p>
        </w:tc>
        <w:tc>
          <w:tcPr>
            <w:tcW w:w="1517" w:type="dxa"/>
            <w:tcBorders>
              <w:top w:val="single" w:color="auto" w:sz="4" w:space="0"/>
              <w:left w:val="single" w:color="auto" w:sz="4" w:space="0"/>
              <w:bottom w:val="single" w:color="auto" w:sz="4" w:space="0"/>
              <w:right w:val="single" w:color="auto" w:sz="4" w:space="0"/>
            </w:tcBorders>
          </w:tcPr>
          <w:p w14:paraId="31E93316">
            <w:pPr>
              <w:snapToGrid w:val="0"/>
              <w:spacing w:line="360" w:lineRule="auto"/>
              <w:ind w:firstLine="420" w:firstLineChars="200"/>
              <w:jc w:val="left"/>
              <w:rPr>
                <w:rFonts w:ascii="宋体" w:hAnsi="宋体"/>
                <w:szCs w:val="21"/>
              </w:rPr>
            </w:pPr>
          </w:p>
        </w:tc>
        <w:tc>
          <w:tcPr>
            <w:tcW w:w="3118" w:type="dxa"/>
            <w:tcBorders>
              <w:top w:val="single" w:color="auto" w:sz="4" w:space="0"/>
              <w:left w:val="single" w:color="auto" w:sz="4" w:space="0"/>
              <w:bottom w:val="single" w:color="auto" w:sz="4" w:space="0"/>
              <w:right w:val="single" w:color="auto" w:sz="4" w:space="0"/>
            </w:tcBorders>
          </w:tcPr>
          <w:p w14:paraId="3E98E10C">
            <w:pPr>
              <w:snapToGrid w:val="0"/>
              <w:spacing w:line="360" w:lineRule="auto"/>
              <w:ind w:firstLine="420" w:firstLineChars="200"/>
              <w:jc w:val="left"/>
              <w:rPr>
                <w:rFonts w:ascii="宋体" w:hAnsi="宋体"/>
                <w:szCs w:val="21"/>
              </w:rPr>
            </w:pPr>
          </w:p>
        </w:tc>
      </w:tr>
      <w:tr w14:paraId="19ECC2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5E9C88DE">
            <w:pPr>
              <w:snapToGrid w:val="0"/>
              <w:spacing w:line="360" w:lineRule="auto"/>
              <w:ind w:firstLine="420" w:firstLineChars="200"/>
              <w:jc w:val="left"/>
              <w:rPr>
                <w:rFonts w:ascii="宋体" w:hAnsi="宋体"/>
                <w:szCs w:val="21"/>
              </w:rPr>
            </w:pPr>
          </w:p>
        </w:tc>
        <w:tc>
          <w:tcPr>
            <w:tcW w:w="3420" w:type="dxa"/>
            <w:tcBorders>
              <w:top w:val="single" w:color="auto" w:sz="4" w:space="0"/>
              <w:left w:val="single" w:color="auto" w:sz="4" w:space="0"/>
              <w:bottom w:val="single" w:color="auto" w:sz="4" w:space="0"/>
              <w:right w:val="single" w:color="auto" w:sz="4" w:space="0"/>
            </w:tcBorders>
          </w:tcPr>
          <w:p w14:paraId="5AA7E56D">
            <w:pPr>
              <w:snapToGrid w:val="0"/>
              <w:spacing w:line="360" w:lineRule="auto"/>
              <w:ind w:firstLine="420" w:firstLineChars="200"/>
              <w:jc w:val="left"/>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tcPr>
          <w:p w14:paraId="16973776">
            <w:pPr>
              <w:snapToGrid w:val="0"/>
              <w:spacing w:line="360" w:lineRule="auto"/>
              <w:ind w:firstLine="420" w:firstLineChars="200"/>
              <w:jc w:val="left"/>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tcPr>
          <w:p w14:paraId="4D7F8F7F">
            <w:pPr>
              <w:snapToGrid w:val="0"/>
              <w:spacing w:line="360" w:lineRule="auto"/>
              <w:ind w:firstLine="420" w:firstLineChars="200"/>
              <w:jc w:val="left"/>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tcPr>
          <w:p w14:paraId="71CE4ABA">
            <w:pPr>
              <w:snapToGrid w:val="0"/>
              <w:spacing w:line="360" w:lineRule="auto"/>
              <w:ind w:firstLine="420" w:firstLineChars="200"/>
              <w:jc w:val="left"/>
              <w:rPr>
                <w:rFonts w:ascii="宋体" w:hAnsi="宋体"/>
                <w:szCs w:val="21"/>
              </w:rPr>
            </w:pPr>
          </w:p>
        </w:tc>
        <w:tc>
          <w:tcPr>
            <w:tcW w:w="1517" w:type="dxa"/>
            <w:tcBorders>
              <w:top w:val="single" w:color="auto" w:sz="4" w:space="0"/>
              <w:left w:val="single" w:color="auto" w:sz="4" w:space="0"/>
              <w:bottom w:val="single" w:color="auto" w:sz="4" w:space="0"/>
              <w:right w:val="single" w:color="auto" w:sz="4" w:space="0"/>
            </w:tcBorders>
          </w:tcPr>
          <w:p w14:paraId="1DFE02CD">
            <w:pPr>
              <w:snapToGrid w:val="0"/>
              <w:spacing w:line="360" w:lineRule="auto"/>
              <w:ind w:firstLine="420" w:firstLineChars="200"/>
              <w:jc w:val="left"/>
              <w:rPr>
                <w:rFonts w:ascii="宋体" w:hAnsi="宋体"/>
                <w:szCs w:val="21"/>
              </w:rPr>
            </w:pPr>
          </w:p>
        </w:tc>
        <w:tc>
          <w:tcPr>
            <w:tcW w:w="3118" w:type="dxa"/>
            <w:tcBorders>
              <w:top w:val="single" w:color="auto" w:sz="4" w:space="0"/>
              <w:left w:val="single" w:color="auto" w:sz="4" w:space="0"/>
              <w:bottom w:val="single" w:color="auto" w:sz="4" w:space="0"/>
              <w:right w:val="single" w:color="auto" w:sz="4" w:space="0"/>
            </w:tcBorders>
          </w:tcPr>
          <w:p w14:paraId="6FE7F810">
            <w:pPr>
              <w:snapToGrid w:val="0"/>
              <w:spacing w:line="360" w:lineRule="auto"/>
              <w:ind w:firstLine="420" w:firstLineChars="200"/>
              <w:jc w:val="left"/>
              <w:rPr>
                <w:rFonts w:ascii="宋体" w:hAnsi="宋体"/>
                <w:szCs w:val="21"/>
              </w:rPr>
            </w:pPr>
          </w:p>
        </w:tc>
      </w:tr>
      <w:tr w14:paraId="6B7242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tcPr>
          <w:p w14:paraId="08CDE89D">
            <w:pPr>
              <w:snapToGrid w:val="0"/>
              <w:spacing w:line="360" w:lineRule="auto"/>
              <w:ind w:firstLine="420" w:firstLineChars="200"/>
              <w:jc w:val="left"/>
              <w:rPr>
                <w:rFonts w:ascii="宋体" w:hAnsi="宋体"/>
                <w:szCs w:val="21"/>
              </w:rPr>
            </w:pPr>
          </w:p>
        </w:tc>
        <w:tc>
          <w:tcPr>
            <w:tcW w:w="3420" w:type="dxa"/>
            <w:tcBorders>
              <w:top w:val="single" w:color="auto" w:sz="4" w:space="0"/>
              <w:left w:val="single" w:color="auto" w:sz="4" w:space="0"/>
              <w:bottom w:val="single" w:color="auto" w:sz="4" w:space="0"/>
              <w:right w:val="single" w:color="auto" w:sz="4" w:space="0"/>
            </w:tcBorders>
          </w:tcPr>
          <w:p w14:paraId="6DBBB595">
            <w:pPr>
              <w:snapToGrid w:val="0"/>
              <w:spacing w:line="360" w:lineRule="auto"/>
              <w:ind w:firstLine="420" w:firstLineChars="200"/>
              <w:jc w:val="left"/>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tcPr>
          <w:p w14:paraId="75E1BA0D">
            <w:pPr>
              <w:snapToGrid w:val="0"/>
              <w:spacing w:line="360" w:lineRule="auto"/>
              <w:ind w:firstLine="420" w:firstLineChars="200"/>
              <w:jc w:val="left"/>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tcPr>
          <w:p w14:paraId="0E1812B3">
            <w:pPr>
              <w:snapToGrid w:val="0"/>
              <w:spacing w:line="360" w:lineRule="auto"/>
              <w:ind w:firstLine="420" w:firstLineChars="200"/>
              <w:jc w:val="left"/>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tcPr>
          <w:p w14:paraId="62682341">
            <w:pPr>
              <w:snapToGrid w:val="0"/>
              <w:spacing w:line="360" w:lineRule="auto"/>
              <w:ind w:firstLine="420" w:firstLineChars="200"/>
              <w:jc w:val="left"/>
              <w:rPr>
                <w:rFonts w:ascii="宋体" w:hAnsi="宋体"/>
                <w:szCs w:val="21"/>
              </w:rPr>
            </w:pPr>
          </w:p>
        </w:tc>
        <w:tc>
          <w:tcPr>
            <w:tcW w:w="1517" w:type="dxa"/>
            <w:tcBorders>
              <w:top w:val="single" w:color="auto" w:sz="4" w:space="0"/>
              <w:left w:val="single" w:color="auto" w:sz="4" w:space="0"/>
              <w:bottom w:val="single" w:color="auto" w:sz="4" w:space="0"/>
              <w:right w:val="single" w:color="auto" w:sz="4" w:space="0"/>
            </w:tcBorders>
          </w:tcPr>
          <w:p w14:paraId="2BA30B4C">
            <w:pPr>
              <w:snapToGrid w:val="0"/>
              <w:spacing w:line="360" w:lineRule="auto"/>
              <w:ind w:firstLine="420" w:firstLineChars="200"/>
              <w:jc w:val="left"/>
              <w:rPr>
                <w:rFonts w:ascii="宋体" w:hAnsi="宋体"/>
                <w:szCs w:val="21"/>
              </w:rPr>
            </w:pPr>
          </w:p>
        </w:tc>
        <w:tc>
          <w:tcPr>
            <w:tcW w:w="3118" w:type="dxa"/>
            <w:tcBorders>
              <w:top w:val="single" w:color="auto" w:sz="4" w:space="0"/>
              <w:left w:val="single" w:color="auto" w:sz="4" w:space="0"/>
              <w:bottom w:val="single" w:color="auto" w:sz="4" w:space="0"/>
              <w:right w:val="single" w:color="auto" w:sz="4" w:space="0"/>
            </w:tcBorders>
          </w:tcPr>
          <w:p w14:paraId="38D1E20D">
            <w:pPr>
              <w:snapToGrid w:val="0"/>
              <w:spacing w:line="360" w:lineRule="auto"/>
              <w:ind w:firstLine="420" w:firstLineChars="200"/>
              <w:jc w:val="left"/>
              <w:rPr>
                <w:rFonts w:ascii="宋体" w:hAnsi="宋体"/>
                <w:szCs w:val="21"/>
              </w:rPr>
            </w:pPr>
          </w:p>
        </w:tc>
      </w:tr>
      <w:tr w14:paraId="16A0DE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379E85BC">
            <w:pPr>
              <w:snapToGrid w:val="0"/>
              <w:spacing w:line="360" w:lineRule="auto"/>
              <w:ind w:firstLine="420" w:firstLineChars="200"/>
              <w:jc w:val="left"/>
              <w:rPr>
                <w:rFonts w:ascii="宋体" w:hAnsi="宋体"/>
                <w:szCs w:val="21"/>
              </w:rPr>
            </w:pPr>
          </w:p>
        </w:tc>
        <w:tc>
          <w:tcPr>
            <w:tcW w:w="3420" w:type="dxa"/>
            <w:tcBorders>
              <w:top w:val="single" w:color="auto" w:sz="4" w:space="0"/>
              <w:left w:val="single" w:color="auto" w:sz="4" w:space="0"/>
              <w:bottom w:val="single" w:color="auto" w:sz="4" w:space="0"/>
              <w:right w:val="single" w:color="auto" w:sz="4" w:space="0"/>
            </w:tcBorders>
          </w:tcPr>
          <w:p w14:paraId="5EF2B50E">
            <w:pPr>
              <w:snapToGrid w:val="0"/>
              <w:spacing w:line="360" w:lineRule="auto"/>
              <w:ind w:firstLine="420" w:firstLineChars="200"/>
              <w:jc w:val="left"/>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tcPr>
          <w:p w14:paraId="6A27690D">
            <w:pPr>
              <w:snapToGrid w:val="0"/>
              <w:spacing w:line="360" w:lineRule="auto"/>
              <w:ind w:firstLine="420" w:firstLineChars="200"/>
              <w:jc w:val="left"/>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tcPr>
          <w:p w14:paraId="481504FE">
            <w:pPr>
              <w:snapToGrid w:val="0"/>
              <w:spacing w:line="360" w:lineRule="auto"/>
              <w:ind w:firstLine="420" w:firstLineChars="200"/>
              <w:jc w:val="left"/>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tcPr>
          <w:p w14:paraId="0F55E462">
            <w:pPr>
              <w:snapToGrid w:val="0"/>
              <w:spacing w:line="360" w:lineRule="auto"/>
              <w:ind w:firstLine="420" w:firstLineChars="200"/>
              <w:jc w:val="left"/>
              <w:rPr>
                <w:rFonts w:ascii="宋体" w:hAnsi="宋体"/>
                <w:szCs w:val="21"/>
              </w:rPr>
            </w:pPr>
          </w:p>
        </w:tc>
        <w:tc>
          <w:tcPr>
            <w:tcW w:w="1517" w:type="dxa"/>
            <w:tcBorders>
              <w:top w:val="single" w:color="auto" w:sz="4" w:space="0"/>
              <w:left w:val="single" w:color="auto" w:sz="4" w:space="0"/>
              <w:bottom w:val="single" w:color="auto" w:sz="4" w:space="0"/>
              <w:right w:val="single" w:color="auto" w:sz="4" w:space="0"/>
            </w:tcBorders>
          </w:tcPr>
          <w:p w14:paraId="19B70E44">
            <w:pPr>
              <w:snapToGrid w:val="0"/>
              <w:spacing w:line="360" w:lineRule="auto"/>
              <w:ind w:firstLine="420" w:firstLineChars="200"/>
              <w:jc w:val="left"/>
              <w:rPr>
                <w:rFonts w:ascii="宋体" w:hAnsi="宋体"/>
                <w:szCs w:val="21"/>
              </w:rPr>
            </w:pPr>
          </w:p>
        </w:tc>
        <w:tc>
          <w:tcPr>
            <w:tcW w:w="3118" w:type="dxa"/>
            <w:tcBorders>
              <w:top w:val="single" w:color="auto" w:sz="4" w:space="0"/>
              <w:left w:val="single" w:color="auto" w:sz="4" w:space="0"/>
              <w:bottom w:val="single" w:color="auto" w:sz="4" w:space="0"/>
              <w:right w:val="single" w:color="auto" w:sz="4" w:space="0"/>
            </w:tcBorders>
          </w:tcPr>
          <w:p w14:paraId="463837A4">
            <w:pPr>
              <w:snapToGrid w:val="0"/>
              <w:spacing w:line="360" w:lineRule="auto"/>
              <w:ind w:firstLine="420" w:firstLineChars="200"/>
              <w:jc w:val="left"/>
              <w:rPr>
                <w:rFonts w:ascii="宋体" w:hAnsi="宋体"/>
                <w:szCs w:val="21"/>
              </w:rPr>
            </w:pPr>
          </w:p>
        </w:tc>
      </w:tr>
      <w:tr w14:paraId="04CF9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273191C7">
            <w:pPr>
              <w:snapToGrid w:val="0"/>
              <w:spacing w:line="360" w:lineRule="auto"/>
              <w:ind w:firstLine="420" w:firstLineChars="200"/>
              <w:jc w:val="left"/>
              <w:rPr>
                <w:rFonts w:ascii="宋体" w:hAnsi="宋体"/>
                <w:szCs w:val="21"/>
              </w:rPr>
            </w:pPr>
          </w:p>
        </w:tc>
        <w:tc>
          <w:tcPr>
            <w:tcW w:w="3420" w:type="dxa"/>
            <w:tcBorders>
              <w:top w:val="single" w:color="auto" w:sz="4" w:space="0"/>
              <w:left w:val="single" w:color="auto" w:sz="4" w:space="0"/>
              <w:bottom w:val="single" w:color="auto" w:sz="4" w:space="0"/>
              <w:right w:val="single" w:color="auto" w:sz="4" w:space="0"/>
            </w:tcBorders>
          </w:tcPr>
          <w:p w14:paraId="17C0285E">
            <w:pPr>
              <w:snapToGrid w:val="0"/>
              <w:spacing w:line="360" w:lineRule="auto"/>
              <w:ind w:firstLine="420" w:firstLineChars="200"/>
              <w:jc w:val="left"/>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tcPr>
          <w:p w14:paraId="147D9EE9">
            <w:pPr>
              <w:snapToGrid w:val="0"/>
              <w:spacing w:line="360" w:lineRule="auto"/>
              <w:ind w:firstLine="420" w:firstLineChars="200"/>
              <w:jc w:val="left"/>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tcPr>
          <w:p w14:paraId="06521449">
            <w:pPr>
              <w:snapToGrid w:val="0"/>
              <w:spacing w:line="360" w:lineRule="auto"/>
              <w:ind w:firstLine="420" w:firstLineChars="200"/>
              <w:jc w:val="left"/>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tcPr>
          <w:p w14:paraId="5FADFCB7">
            <w:pPr>
              <w:snapToGrid w:val="0"/>
              <w:spacing w:line="360" w:lineRule="auto"/>
              <w:ind w:firstLine="420" w:firstLineChars="200"/>
              <w:jc w:val="left"/>
              <w:rPr>
                <w:rFonts w:ascii="宋体" w:hAnsi="宋体"/>
                <w:szCs w:val="21"/>
              </w:rPr>
            </w:pPr>
          </w:p>
        </w:tc>
        <w:tc>
          <w:tcPr>
            <w:tcW w:w="1517" w:type="dxa"/>
            <w:tcBorders>
              <w:top w:val="single" w:color="auto" w:sz="4" w:space="0"/>
              <w:left w:val="single" w:color="auto" w:sz="4" w:space="0"/>
              <w:bottom w:val="single" w:color="auto" w:sz="4" w:space="0"/>
              <w:right w:val="single" w:color="auto" w:sz="4" w:space="0"/>
            </w:tcBorders>
          </w:tcPr>
          <w:p w14:paraId="2059530F">
            <w:pPr>
              <w:snapToGrid w:val="0"/>
              <w:spacing w:line="360" w:lineRule="auto"/>
              <w:ind w:firstLine="420" w:firstLineChars="200"/>
              <w:jc w:val="left"/>
              <w:rPr>
                <w:rFonts w:ascii="宋体" w:hAnsi="宋体"/>
                <w:szCs w:val="21"/>
              </w:rPr>
            </w:pPr>
          </w:p>
        </w:tc>
        <w:tc>
          <w:tcPr>
            <w:tcW w:w="3118" w:type="dxa"/>
            <w:tcBorders>
              <w:top w:val="single" w:color="auto" w:sz="4" w:space="0"/>
              <w:left w:val="single" w:color="auto" w:sz="4" w:space="0"/>
              <w:bottom w:val="single" w:color="auto" w:sz="4" w:space="0"/>
              <w:right w:val="single" w:color="auto" w:sz="4" w:space="0"/>
            </w:tcBorders>
          </w:tcPr>
          <w:p w14:paraId="7B208BFC">
            <w:pPr>
              <w:snapToGrid w:val="0"/>
              <w:spacing w:line="360" w:lineRule="auto"/>
              <w:ind w:firstLine="420" w:firstLineChars="200"/>
              <w:jc w:val="left"/>
              <w:rPr>
                <w:rFonts w:ascii="宋体" w:hAnsi="宋体"/>
                <w:szCs w:val="21"/>
              </w:rPr>
            </w:pPr>
          </w:p>
        </w:tc>
      </w:tr>
    </w:tbl>
    <w:p w14:paraId="738B13FB">
      <w:pPr>
        <w:pStyle w:val="18"/>
        <w:snapToGrid w:val="0"/>
        <w:spacing w:before="0" w:after="0" w:line="360" w:lineRule="auto"/>
        <w:ind w:firstLine="420" w:firstLineChars="200"/>
        <w:jc w:val="left"/>
        <w:rPr>
          <w:rFonts w:ascii="宋体" w:hAnsi="宋体" w:eastAsia="宋体"/>
          <w:sz w:val="21"/>
          <w:szCs w:val="21"/>
        </w:rPr>
      </w:pPr>
    </w:p>
    <w:p w14:paraId="4277EEFC">
      <w:pPr>
        <w:pStyle w:val="18"/>
        <w:snapToGrid w:val="0"/>
        <w:spacing w:before="0" w:after="0" w:line="360" w:lineRule="auto"/>
        <w:ind w:firstLine="420" w:firstLineChars="200"/>
        <w:jc w:val="left"/>
        <w:rPr>
          <w:rFonts w:ascii="宋体" w:hAnsi="宋体" w:eastAsia="宋体"/>
          <w:sz w:val="21"/>
          <w:szCs w:val="21"/>
          <w:u w:val="single"/>
        </w:rPr>
      </w:pPr>
      <w:r>
        <w:rPr>
          <w:rFonts w:hint="eastAsia" w:ascii="宋体" w:hAnsi="宋体" w:eastAsia="宋体"/>
          <w:sz w:val="21"/>
          <w:szCs w:val="21"/>
        </w:rPr>
        <w:t>法定代表人或其委托代理人签名（或盖章）：</w:t>
      </w:r>
      <w:r>
        <w:rPr>
          <w:rFonts w:hint="eastAsia" w:ascii="宋体" w:hAnsi="宋体" w:eastAsia="宋体"/>
          <w:sz w:val="21"/>
          <w:szCs w:val="21"/>
          <w:u w:val="single"/>
        </w:rPr>
        <w:t>　　　　　</w:t>
      </w:r>
    </w:p>
    <w:p w14:paraId="594869A0">
      <w:pPr>
        <w:snapToGrid w:val="0"/>
        <w:spacing w:line="360" w:lineRule="auto"/>
        <w:ind w:firstLine="420" w:firstLineChars="200"/>
        <w:jc w:val="left"/>
        <w:rPr>
          <w:rFonts w:ascii="宋体" w:hAnsi="宋体"/>
          <w:szCs w:val="21"/>
        </w:rPr>
      </w:pPr>
      <w:r>
        <w:rPr>
          <w:rFonts w:hint="eastAsia" w:ascii="宋体" w:hAnsi="宋体"/>
          <w:szCs w:val="21"/>
        </w:rPr>
        <w:t>投标人公章：年月日</w:t>
      </w:r>
    </w:p>
    <w:p w14:paraId="21ADA078">
      <w:pPr>
        <w:snapToGrid w:val="0"/>
        <w:spacing w:line="360" w:lineRule="auto"/>
        <w:ind w:firstLine="420" w:firstLineChars="200"/>
        <w:jc w:val="left"/>
        <w:rPr>
          <w:rFonts w:ascii="宋体" w:hAnsi="宋体"/>
          <w:szCs w:val="21"/>
        </w:rPr>
      </w:pPr>
    </w:p>
    <w:p w14:paraId="4CC8D3D1">
      <w:pPr>
        <w:snapToGrid w:val="0"/>
        <w:spacing w:line="360" w:lineRule="auto"/>
        <w:ind w:firstLine="420" w:firstLineChars="200"/>
        <w:jc w:val="left"/>
        <w:rPr>
          <w:rFonts w:ascii="宋体" w:hAnsi="宋体"/>
          <w:szCs w:val="21"/>
        </w:rPr>
        <w:sectPr>
          <w:pgSz w:w="16838" w:h="11906" w:orient="landscape"/>
          <w:pgMar w:top="1797" w:right="1474" w:bottom="1797" w:left="1247" w:header="851" w:footer="851" w:gutter="0"/>
          <w:cols w:space="720" w:num="1"/>
          <w:docGrid w:linePitch="312" w:charSpace="0"/>
        </w:sectPr>
      </w:pPr>
    </w:p>
    <w:p w14:paraId="549EB514">
      <w:pPr>
        <w:snapToGrid w:val="0"/>
        <w:spacing w:line="360" w:lineRule="auto"/>
        <w:ind w:firstLine="420" w:firstLineChars="200"/>
        <w:jc w:val="left"/>
        <w:rPr>
          <w:rFonts w:ascii="宋体" w:hAnsi="宋体"/>
          <w:szCs w:val="21"/>
        </w:rPr>
      </w:pPr>
      <w:r>
        <w:rPr>
          <w:rFonts w:hint="eastAsia" w:ascii="宋体" w:hAnsi="宋体"/>
          <w:szCs w:val="21"/>
        </w:rPr>
        <w:t>商务响应表格式：</w:t>
      </w:r>
    </w:p>
    <w:tbl>
      <w:tblPr>
        <w:tblStyle w:val="47"/>
        <w:tblW w:w="856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76"/>
        <w:gridCol w:w="1891"/>
        <w:gridCol w:w="1653"/>
        <w:gridCol w:w="2645"/>
      </w:tblGrid>
      <w:tr w14:paraId="654D3C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2376" w:type="dxa"/>
            <w:tcBorders>
              <w:top w:val="single" w:color="auto" w:sz="4" w:space="0"/>
              <w:left w:val="single" w:color="auto" w:sz="4" w:space="0"/>
              <w:bottom w:val="single" w:color="auto" w:sz="4" w:space="0"/>
              <w:right w:val="single" w:color="auto" w:sz="4" w:space="0"/>
            </w:tcBorders>
          </w:tcPr>
          <w:p w14:paraId="3D065FEB">
            <w:pPr>
              <w:snapToGrid w:val="0"/>
              <w:spacing w:line="360" w:lineRule="auto"/>
              <w:jc w:val="left"/>
              <w:rPr>
                <w:rFonts w:ascii="宋体" w:hAnsi="宋体"/>
                <w:szCs w:val="21"/>
              </w:rPr>
            </w:pPr>
            <w:r>
              <w:rPr>
                <w:rFonts w:hint="eastAsia" w:ascii="宋体" w:hAnsi="宋体"/>
                <w:szCs w:val="21"/>
              </w:rPr>
              <w:t>项目</w:t>
            </w:r>
          </w:p>
        </w:tc>
        <w:tc>
          <w:tcPr>
            <w:tcW w:w="1891" w:type="dxa"/>
            <w:tcBorders>
              <w:top w:val="single" w:color="auto" w:sz="4" w:space="0"/>
              <w:left w:val="single" w:color="auto" w:sz="4" w:space="0"/>
              <w:bottom w:val="single" w:color="auto" w:sz="4" w:space="0"/>
              <w:right w:val="single" w:color="auto" w:sz="4" w:space="0"/>
            </w:tcBorders>
          </w:tcPr>
          <w:p w14:paraId="5781BF06">
            <w:pPr>
              <w:snapToGrid w:val="0"/>
              <w:spacing w:line="360" w:lineRule="auto"/>
              <w:jc w:val="left"/>
              <w:rPr>
                <w:rFonts w:ascii="宋体" w:hAnsi="宋体"/>
                <w:szCs w:val="21"/>
              </w:rPr>
            </w:pPr>
            <w:r>
              <w:rPr>
                <w:rFonts w:hint="eastAsia" w:ascii="宋体" w:hAnsi="宋体"/>
                <w:szCs w:val="21"/>
              </w:rPr>
              <w:t>招标文件要求</w:t>
            </w:r>
          </w:p>
        </w:tc>
        <w:tc>
          <w:tcPr>
            <w:tcW w:w="1653" w:type="dxa"/>
            <w:tcBorders>
              <w:top w:val="single" w:color="auto" w:sz="4" w:space="0"/>
              <w:left w:val="single" w:color="auto" w:sz="4" w:space="0"/>
              <w:bottom w:val="single" w:color="auto" w:sz="4" w:space="0"/>
              <w:right w:val="single" w:color="auto" w:sz="4" w:space="0"/>
            </w:tcBorders>
          </w:tcPr>
          <w:p w14:paraId="16E02513">
            <w:pPr>
              <w:snapToGrid w:val="0"/>
              <w:spacing w:line="360" w:lineRule="auto"/>
              <w:jc w:val="left"/>
              <w:rPr>
                <w:rFonts w:ascii="宋体" w:hAnsi="宋体"/>
                <w:szCs w:val="21"/>
              </w:rPr>
            </w:pPr>
            <w:r>
              <w:rPr>
                <w:rFonts w:hint="eastAsia" w:ascii="宋体" w:hAnsi="宋体"/>
                <w:szCs w:val="21"/>
              </w:rPr>
              <w:t>是否响应</w:t>
            </w:r>
          </w:p>
        </w:tc>
        <w:tc>
          <w:tcPr>
            <w:tcW w:w="2645" w:type="dxa"/>
            <w:tcBorders>
              <w:top w:val="single" w:color="auto" w:sz="4" w:space="0"/>
              <w:left w:val="single" w:color="auto" w:sz="4" w:space="0"/>
              <w:bottom w:val="single" w:color="auto" w:sz="4" w:space="0"/>
              <w:right w:val="single" w:color="auto" w:sz="4" w:space="0"/>
            </w:tcBorders>
          </w:tcPr>
          <w:p w14:paraId="3CAC7F10">
            <w:pPr>
              <w:snapToGrid w:val="0"/>
              <w:spacing w:line="360" w:lineRule="auto"/>
              <w:jc w:val="left"/>
              <w:rPr>
                <w:rFonts w:ascii="宋体" w:hAnsi="宋体"/>
                <w:szCs w:val="21"/>
              </w:rPr>
            </w:pPr>
            <w:r>
              <w:rPr>
                <w:rFonts w:hint="eastAsia" w:ascii="宋体" w:hAnsi="宋体"/>
                <w:szCs w:val="21"/>
              </w:rPr>
              <w:t>投标人的承诺或说明</w:t>
            </w:r>
          </w:p>
        </w:tc>
      </w:tr>
      <w:tr w14:paraId="199F0D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2376" w:type="dxa"/>
            <w:tcBorders>
              <w:top w:val="single" w:color="auto" w:sz="4" w:space="0"/>
              <w:left w:val="single" w:color="auto" w:sz="4" w:space="0"/>
              <w:bottom w:val="single" w:color="auto" w:sz="4" w:space="0"/>
              <w:right w:val="single" w:color="auto" w:sz="4" w:space="0"/>
            </w:tcBorders>
            <w:vAlign w:val="center"/>
          </w:tcPr>
          <w:p w14:paraId="4C11D6C9">
            <w:pPr>
              <w:widowControl/>
              <w:overflowPunct w:val="0"/>
              <w:autoSpaceDE w:val="0"/>
              <w:autoSpaceDN w:val="0"/>
              <w:adjustRightInd w:val="0"/>
              <w:spacing w:line="360" w:lineRule="auto"/>
              <w:jc w:val="center"/>
              <w:textAlignment w:val="baseline"/>
              <w:rPr>
                <w:rFonts w:ascii="宋体" w:hAnsi="宋体"/>
                <w:szCs w:val="21"/>
              </w:rPr>
            </w:pPr>
          </w:p>
        </w:tc>
        <w:tc>
          <w:tcPr>
            <w:tcW w:w="1891" w:type="dxa"/>
            <w:tcBorders>
              <w:top w:val="single" w:color="auto" w:sz="4" w:space="0"/>
              <w:left w:val="single" w:color="auto" w:sz="4" w:space="0"/>
              <w:bottom w:val="single" w:color="auto" w:sz="4" w:space="0"/>
              <w:right w:val="single" w:color="auto" w:sz="4" w:space="0"/>
            </w:tcBorders>
          </w:tcPr>
          <w:p w14:paraId="1D4F3585">
            <w:pPr>
              <w:snapToGrid w:val="0"/>
              <w:spacing w:line="360" w:lineRule="auto"/>
              <w:ind w:firstLine="420" w:firstLineChars="200"/>
              <w:jc w:val="left"/>
              <w:rPr>
                <w:rFonts w:ascii="宋体" w:hAnsi="宋体"/>
                <w:szCs w:val="21"/>
              </w:rPr>
            </w:pPr>
          </w:p>
        </w:tc>
        <w:tc>
          <w:tcPr>
            <w:tcW w:w="1653" w:type="dxa"/>
            <w:tcBorders>
              <w:top w:val="single" w:color="auto" w:sz="4" w:space="0"/>
              <w:left w:val="single" w:color="auto" w:sz="4" w:space="0"/>
              <w:bottom w:val="single" w:color="auto" w:sz="4" w:space="0"/>
              <w:right w:val="single" w:color="auto" w:sz="4" w:space="0"/>
            </w:tcBorders>
          </w:tcPr>
          <w:p w14:paraId="76C2005A">
            <w:pPr>
              <w:snapToGrid w:val="0"/>
              <w:spacing w:line="360" w:lineRule="auto"/>
              <w:ind w:firstLine="420" w:firstLineChars="200"/>
              <w:jc w:val="left"/>
              <w:rPr>
                <w:rFonts w:ascii="宋体" w:hAnsi="宋体"/>
                <w:szCs w:val="21"/>
              </w:rPr>
            </w:pPr>
          </w:p>
        </w:tc>
        <w:tc>
          <w:tcPr>
            <w:tcW w:w="2645" w:type="dxa"/>
            <w:tcBorders>
              <w:top w:val="single" w:color="auto" w:sz="4" w:space="0"/>
              <w:left w:val="single" w:color="auto" w:sz="4" w:space="0"/>
              <w:bottom w:val="single" w:color="auto" w:sz="4" w:space="0"/>
              <w:right w:val="single" w:color="auto" w:sz="4" w:space="0"/>
            </w:tcBorders>
          </w:tcPr>
          <w:p w14:paraId="3559D72B">
            <w:pPr>
              <w:snapToGrid w:val="0"/>
              <w:spacing w:line="360" w:lineRule="auto"/>
              <w:ind w:firstLine="420" w:firstLineChars="200"/>
              <w:jc w:val="left"/>
              <w:rPr>
                <w:rFonts w:ascii="宋体" w:hAnsi="宋体"/>
                <w:szCs w:val="21"/>
              </w:rPr>
            </w:pPr>
          </w:p>
        </w:tc>
      </w:tr>
      <w:tr w14:paraId="729017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2376" w:type="dxa"/>
            <w:tcBorders>
              <w:top w:val="single" w:color="auto" w:sz="4" w:space="0"/>
              <w:left w:val="single" w:color="auto" w:sz="4" w:space="0"/>
              <w:bottom w:val="single" w:color="auto" w:sz="4" w:space="0"/>
              <w:right w:val="single" w:color="auto" w:sz="4" w:space="0"/>
            </w:tcBorders>
            <w:vAlign w:val="center"/>
          </w:tcPr>
          <w:p w14:paraId="156EF092">
            <w:pPr>
              <w:widowControl/>
              <w:overflowPunct w:val="0"/>
              <w:autoSpaceDE w:val="0"/>
              <w:autoSpaceDN w:val="0"/>
              <w:adjustRightInd w:val="0"/>
              <w:spacing w:line="360" w:lineRule="auto"/>
              <w:jc w:val="center"/>
              <w:textAlignment w:val="baseline"/>
              <w:rPr>
                <w:rFonts w:ascii="宋体" w:hAnsi="宋体"/>
                <w:szCs w:val="21"/>
              </w:rPr>
            </w:pPr>
          </w:p>
        </w:tc>
        <w:tc>
          <w:tcPr>
            <w:tcW w:w="1891" w:type="dxa"/>
            <w:tcBorders>
              <w:top w:val="single" w:color="auto" w:sz="4" w:space="0"/>
              <w:left w:val="single" w:color="auto" w:sz="4" w:space="0"/>
              <w:bottom w:val="single" w:color="auto" w:sz="4" w:space="0"/>
              <w:right w:val="single" w:color="auto" w:sz="4" w:space="0"/>
            </w:tcBorders>
          </w:tcPr>
          <w:p w14:paraId="13D706C8">
            <w:pPr>
              <w:snapToGrid w:val="0"/>
              <w:spacing w:line="360" w:lineRule="auto"/>
              <w:ind w:firstLine="420" w:firstLineChars="200"/>
              <w:jc w:val="left"/>
              <w:rPr>
                <w:rFonts w:ascii="宋体" w:hAnsi="宋体"/>
                <w:szCs w:val="21"/>
              </w:rPr>
            </w:pPr>
          </w:p>
        </w:tc>
        <w:tc>
          <w:tcPr>
            <w:tcW w:w="1653" w:type="dxa"/>
            <w:tcBorders>
              <w:top w:val="single" w:color="auto" w:sz="4" w:space="0"/>
              <w:left w:val="single" w:color="auto" w:sz="4" w:space="0"/>
              <w:bottom w:val="single" w:color="auto" w:sz="4" w:space="0"/>
              <w:right w:val="single" w:color="auto" w:sz="4" w:space="0"/>
            </w:tcBorders>
          </w:tcPr>
          <w:p w14:paraId="2DD6B909">
            <w:pPr>
              <w:snapToGrid w:val="0"/>
              <w:spacing w:line="360" w:lineRule="auto"/>
              <w:ind w:firstLine="420" w:firstLineChars="200"/>
              <w:jc w:val="left"/>
              <w:rPr>
                <w:rFonts w:ascii="宋体" w:hAnsi="宋体"/>
                <w:szCs w:val="21"/>
              </w:rPr>
            </w:pPr>
          </w:p>
        </w:tc>
        <w:tc>
          <w:tcPr>
            <w:tcW w:w="2645" w:type="dxa"/>
            <w:tcBorders>
              <w:top w:val="single" w:color="auto" w:sz="4" w:space="0"/>
              <w:left w:val="single" w:color="auto" w:sz="4" w:space="0"/>
              <w:bottom w:val="single" w:color="auto" w:sz="4" w:space="0"/>
              <w:right w:val="single" w:color="auto" w:sz="4" w:space="0"/>
            </w:tcBorders>
          </w:tcPr>
          <w:p w14:paraId="3FC4490F">
            <w:pPr>
              <w:snapToGrid w:val="0"/>
              <w:spacing w:line="360" w:lineRule="auto"/>
              <w:ind w:firstLine="420" w:firstLineChars="200"/>
              <w:jc w:val="left"/>
              <w:rPr>
                <w:rFonts w:ascii="宋体" w:hAnsi="宋体"/>
                <w:szCs w:val="21"/>
              </w:rPr>
            </w:pPr>
          </w:p>
        </w:tc>
      </w:tr>
      <w:tr w14:paraId="5ABE9D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2376" w:type="dxa"/>
            <w:tcBorders>
              <w:top w:val="single" w:color="auto" w:sz="4" w:space="0"/>
              <w:left w:val="single" w:color="auto" w:sz="4" w:space="0"/>
              <w:bottom w:val="single" w:color="auto" w:sz="4" w:space="0"/>
              <w:right w:val="single" w:color="auto" w:sz="4" w:space="0"/>
            </w:tcBorders>
            <w:vAlign w:val="center"/>
          </w:tcPr>
          <w:p w14:paraId="2B18482D">
            <w:pPr>
              <w:widowControl/>
              <w:overflowPunct w:val="0"/>
              <w:autoSpaceDE w:val="0"/>
              <w:autoSpaceDN w:val="0"/>
              <w:adjustRightInd w:val="0"/>
              <w:spacing w:line="360" w:lineRule="auto"/>
              <w:jc w:val="center"/>
              <w:textAlignment w:val="baseline"/>
              <w:rPr>
                <w:rFonts w:ascii="宋体" w:hAnsi="宋体"/>
                <w:szCs w:val="21"/>
              </w:rPr>
            </w:pPr>
          </w:p>
        </w:tc>
        <w:tc>
          <w:tcPr>
            <w:tcW w:w="1891" w:type="dxa"/>
            <w:tcBorders>
              <w:top w:val="single" w:color="auto" w:sz="4" w:space="0"/>
              <w:left w:val="single" w:color="auto" w:sz="4" w:space="0"/>
              <w:bottom w:val="single" w:color="auto" w:sz="4" w:space="0"/>
              <w:right w:val="single" w:color="auto" w:sz="4" w:space="0"/>
            </w:tcBorders>
          </w:tcPr>
          <w:p w14:paraId="025CA968">
            <w:pPr>
              <w:snapToGrid w:val="0"/>
              <w:spacing w:line="360" w:lineRule="auto"/>
              <w:ind w:firstLine="420" w:firstLineChars="200"/>
              <w:jc w:val="left"/>
              <w:rPr>
                <w:rFonts w:ascii="宋体" w:hAnsi="宋体"/>
                <w:szCs w:val="21"/>
              </w:rPr>
            </w:pPr>
          </w:p>
        </w:tc>
        <w:tc>
          <w:tcPr>
            <w:tcW w:w="1653" w:type="dxa"/>
            <w:tcBorders>
              <w:top w:val="single" w:color="auto" w:sz="4" w:space="0"/>
              <w:left w:val="single" w:color="auto" w:sz="4" w:space="0"/>
              <w:bottom w:val="single" w:color="auto" w:sz="4" w:space="0"/>
              <w:right w:val="single" w:color="auto" w:sz="4" w:space="0"/>
            </w:tcBorders>
          </w:tcPr>
          <w:p w14:paraId="082A425C">
            <w:pPr>
              <w:snapToGrid w:val="0"/>
              <w:spacing w:line="360" w:lineRule="auto"/>
              <w:ind w:firstLine="420" w:firstLineChars="200"/>
              <w:jc w:val="left"/>
              <w:rPr>
                <w:rFonts w:ascii="宋体" w:hAnsi="宋体"/>
                <w:szCs w:val="21"/>
              </w:rPr>
            </w:pPr>
          </w:p>
        </w:tc>
        <w:tc>
          <w:tcPr>
            <w:tcW w:w="2645" w:type="dxa"/>
            <w:tcBorders>
              <w:top w:val="single" w:color="auto" w:sz="4" w:space="0"/>
              <w:left w:val="single" w:color="auto" w:sz="4" w:space="0"/>
              <w:bottom w:val="single" w:color="auto" w:sz="4" w:space="0"/>
              <w:right w:val="single" w:color="auto" w:sz="4" w:space="0"/>
            </w:tcBorders>
          </w:tcPr>
          <w:p w14:paraId="666935C9">
            <w:pPr>
              <w:snapToGrid w:val="0"/>
              <w:spacing w:line="360" w:lineRule="auto"/>
              <w:ind w:firstLine="420" w:firstLineChars="200"/>
              <w:jc w:val="left"/>
              <w:rPr>
                <w:rFonts w:ascii="宋体" w:hAnsi="宋体"/>
                <w:szCs w:val="21"/>
              </w:rPr>
            </w:pPr>
          </w:p>
        </w:tc>
      </w:tr>
      <w:tr w14:paraId="472343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376" w:type="dxa"/>
            <w:tcBorders>
              <w:top w:val="single" w:color="auto" w:sz="4" w:space="0"/>
              <w:left w:val="single" w:color="auto" w:sz="4" w:space="0"/>
              <w:bottom w:val="single" w:color="auto" w:sz="4" w:space="0"/>
              <w:right w:val="single" w:color="auto" w:sz="4" w:space="0"/>
            </w:tcBorders>
            <w:vAlign w:val="center"/>
          </w:tcPr>
          <w:p w14:paraId="14585260">
            <w:pPr>
              <w:snapToGrid w:val="0"/>
              <w:spacing w:line="360" w:lineRule="auto"/>
              <w:jc w:val="center"/>
              <w:rPr>
                <w:rFonts w:ascii="宋体" w:hAnsi="宋体"/>
                <w:szCs w:val="21"/>
              </w:rPr>
            </w:pPr>
          </w:p>
        </w:tc>
        <w:tc>
          <w:tcPr>
            <w:tcW w:w="1891" w:type="dxa"/>
            <w:tcBorders>
              <w:top w:val="single" w:color="auto" w:sz="4" w:space="0"/>
              <w:left w:val="single" w:color="auto" w:sz="4" w:space="0"/>
              <w:bottom w:val="single" w:color="auto" w:sz="4" w:space="0"/>
              <w:right w:val="single" w:color="auto" w:sz="4" w:space="0"/>
            </w:tcBorders>
          </w:tcPr>
          <w:p w14:paraId="5E9E002C">
            <w:pPr>
              <w:snapToGrid w:val="0"/>
              <w:spacing w:line="360" w:lineRule="auto"/>
              <w:ind w:firstLine="420" w:firstLineChars="200"/>
              <w:jc w:val="left"/>
              <w:rPr>
                <w:rFonts w:ascii="宋体" w:hAnsi="宋体"/>
                <w:szCs w:val="21"/>
              </w:rPr>
            </w:pPr>
          </w:p>
        </w:tc>
        <w:tc>
          <w:tcPr>
            <w:tcW w:w="1653" w:type="dxa"/>
            <w:tcBorders>
              <w:top w:val="single" w:color="auto" w:sz="4" w:space="0"/>
              <w:left w:val="single" w:color="auto" w:sz="4" w:space="0"/>
              <w:bottom w:val="single" w:color="auto" w:sz="4" w:space="0"/>
              <w:right w:val="single" w:color="auto" w:sz="4" w:space="0"/>
            </w:tcBorders>
          </w:tcPr>
          <w:p w14:paraId="37E02324">
            <w:pPr>
              <w:snapToGrid w:val="0"/>
              <w:spacing w:line="360" w:lineRule="auto"/>
              <w:ind w:firstLine="420" w:firstLineChars="200"/>
              <w:jc w:val="left"/>
              <w:rPr>
                <w:rFonts w:ascii="宋体" w:hAnsi="宋体"/>
                <w:szCs w:val="21"/>
              </w:rPr>
            </w:pPr>
          </w:p>
        </w:tc>
        <w:tc>
          <w:tcPr>
            <w:tcW w:w="2645" w:type="dxa"/>
            <w:tcBorders>
              <w:top w:val="single" w:color="auto" w:sz="4" w:space="0"/>
              <w:left w:val="single" w:color="auto" w:sz="4" w:space="0"/>
              <w:bottom w:val="single" w:color="auto" w:sz="4" w:space="0"/>
              <w:right w:val="single" w:color="auto" w:sz="4" w:space="0"/>
            </w:tcBorders>
          </w:tcPr>
          <w:p w14:paraId="6536D500">
            <w:pPr>
              <w:snapToGrid w:val="0"/>
              <w:spacing w:line="360" w:lineRule="auto"/>
              <w:ind w:firstLine="420" w:firstLineChars="200"/>
              <w:jc w:val="left"/>
              <w:rPr>
                <w:rFonts w:ascii="宋体" w:hAnsi="宋体"/>
                <w:szCs w:val="21"/>
              </w:rPr>
            </w:pPr>
          </w:p>
        </w:tc>
      </w:tr>
    </w:tbl>
    <w:p w14:paraId="19C39ADC">
      <w:pPr>
        <w:pStyle w:val="26"/>
        <w:spacing w:line="360" w:lineRule="auto"/>
        <w:ind w:firstLine="420" w:firstLineChars="200"/>
        <w:jc w:val="left"/>
        <w:rPr>
          <w:rFonts w:hAnsi="宋体"/>
          <w:szCs w:val="21"/>
        </w:rPr>
      </w:pPr>
    </w:p>
    <w:p w14:paraId="61196ABA">
      <w:pPr>
        <w:pStyle w:val="26"/>
        <w:spacing w:line="360" w:lineRule="auto"/>
        <w:ind w:firstLine="420" w:firstLineChars="200"/>
        <w:jc w:val="left"/>
        <w:rPr>
          <w:rFonts w:hAnsi="宋体"/>
          <w:szCs w:val="21"/>
        </w:rPr>
      </w:pPr>
      <w:r>
        <w:rPr>
          <w:rFonts w:hint="eastAsia" w:hAnsi="宋体"/>
          <w:szCs w:val="21"/>
        </w:rPr>
        <w:t>注：本表不允许负偏离；</w:t>
      </w:r>
    </w:p>
    <w:p w14:paraId="47BAC961">
      <w:pPr>
        <w:pStyle w:val="26"/>
        <w:spacing w:line="360" w:lineRule="auto"/>
        <w:ind w:firstLine="420" w:firstLineChars="200"/>
        <w:jc w:val="left"/>
        <w:rPr>
          <w:rFonts w:hAnsi="宋体"/>
          <w:szCs w:val="21"/>
        </w:rPr>
      </w:pPr>
      <w:r>
        <w:rPr>
          <w:rFonts w:hint="eastAsia" w:hAnsi="宋体"/>
          <w:szCs w:val="21"/>
        </w:rPr>
        <w:t>▲不提供本表视为完全响应招标文件要求。</w:t>
      </w:r>
    </w:p>
    <w:p w14:paraId="1E247E5C">
      <w:pPr>
        <w:pStyle w:val="26"/>
        <w:spacing w:line="360" w:lineRule="auto"/>
        <w:ind w:firstLine="420" w:firstLineChars="200"/>
        <w:jc w:val="left"/>
        <w:rPr>
          <w:rFonts w:hAnsi="宋体"/>
          <w:szCs w:val="21"/>
        </w:rPr>
      </w:pPr>
      <w:r>
        <w:rPr>
          <w:rFonts w:hint="eastAsia" w:hAnsi="宋体"/>
          <w:szCs w:val="21"/>
        </w:rPr>
        <w:t xml:space="preserve">法定代表人或其委托代理人签名（或盖章）：                </w:t>
      </w:r>
    </w:p>
    <w:p w14:paraId="300C9A49">
      <w:pPr>
        <w:pStyle w:val="26"/>
        <w:spacing w:line="360" w:lineRule="auto"/>
        <w:ind w:firstLine="420" w:firstLineChars="200"/>
        <w:jc w:val="left"/>
        <w:rPr>
          <w:rFonts w:hAnsi="宋体"/>
          <w:szCs w:val="21"/>
        </w:rPr>
      </w:pPr>
      <w:r>
        <w:rPr>
          <w:rFonts w:hint="eastAsia" w:hAnsi="宋体"/>
          <w:szCs w:val="21"/>
        </w:rPr>
        <w:t>投标人：（单位公章）</w:t>
      </w:r>
    </w:p>
    <w:p w14:paraId="7A3D6E09">
      <w:pPr>
        <w:pStyle w:val="26"/>
        <w:spacing w:line="360" w:lineRule="auto"/>
        <w:ind w:firstLine="420" w:firstLineChars="200"/>
        <w:jc w:val="left"/>
        <w:rPr>
          <w:rFonts w:hAnsi="宋体"/>
          <w:szCs w:val="21"/>
        </w:rPr>
      </w:pPr>
      <w:r>
        <w:rPr>
          <w:rFonts w:hint="eastAsia" w:hAnsi="宋体"/>
          <w:szCs w:val="21"/>
        </w:rPr>
        <w:t>日期：年月  日</w:t>
      </w:r>
    </w:p>
    <w:p w14:paraId="45658E48">
      <w:pPr>
        <w:snapToGrid w:val="0"/>
        <w:spacing w:line="360" w:lineRule="auto"/>
        <w:ind w:firstLine="422" w:firstLineChars="200"/>
        <w:jc w:val="left"/>
        <w:rPr>
          <w:rFonts w:ascii="宋体" w:hAnsi="宋体"/>
          <w:b/>
          <w:bCs/>
          <w:szCs w:val="21"/>
        </w:rPr>
      </w:pPr>
    </w:p>
    <w:p w14:paraId="152F123A">
      <w:pPr>
        <w:pStyle w:val="58"/>
      </w:pPr>
    </w:p>
    <w:p w14:paraId="65642DBD">
      <w:pPr>
        <w:snapToGrid w:val="0"/>
        <w:spacing w:before="50" w:afterLines="50" w:line="360" w:lineRule="auto"/>
        <w:jc w:val="left"/>
        <w:rPr>
          <w:rFonts w:ascii="宋体" w:hAnsi="宋体"/>
          <w:szCs w:val="21"/>
        </w:rPr>
      </w:pPr>
      <w:r>
        <w:rPr>
          <w:rFonts w:hint="eastAsia" w:ascii="宋体" w:hAnsi="宋体"/>
          <w:szCs w:val="21"/>
        </w:rPr>
        <w:t>技术响应表格式</w:t>
      </w:r>
    </w:p>
    <w:tbl>
      <w:tblPr>
        <w:tblStyle w:val="47"/>
        <w:tblW w:w="89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77"/>
        <w:gridCol w:w="2475"/>
        <w:gridCol w:w="1583"/>
        <w:gridCol w:w="1849"/>
        <w:gridCol w:w="1456"/>
      </w:tblGrid>
      <w:tr w14:paraId="35AE60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6" w:hRule="atLeast"/>
          <w:jc w:val="center"/>
        </w:trPr>
        <w:tc>
          <w:tcPr>
            <w:tcW w:w="4052" w:type="dxa"/>
            <w:gridSpan w:val="2"/>
            <w:tcBorders>
              <w:top w:val="single" w:color="auto" w:sz="4" w:space="0"/>
              <w:left w:val="single" w:color="auto" w:sz="4" w:space="0"/>
              <w:bottom w:val="single" w:color="auto" w:sz="4" w:space="0"/>
              <w:right w:val="single" w:color="auto" w:sz="4" w:space="0"/>
            </w:tcBorders>
          </w:tcPr>
          <w:p w14:paraId="24D6AAFF">
            <w:pPr>
              <w:snapToGrid w:val="0"/>
              <w:spacing w:line="360" w:lineRule="auto"/>
              <w:jc w:val="center"/>
              <w:outlineLvl w:val="0"/>
              <w:rPr>
                <w:rFonts w:ascii="宋体" w:hAnsi="宋体"/>
                <w:szCs w:val="21"/>
              </w:rPr>
            </w:pPr>
            <w:bookmarkStart w:id="272" w:name="_Toc381081903"/>
            <w:bookmarkStart w:id="273" w:name="_Toc385854156"/>
            <w:bookmarkStart w:id="274" w:name="_Toc377653976"/>
            <w:bookmarkStart w:id="275" w:name="_Toc401570314"/>
            <w:bookmarkStart w:id="276" w:name="_Toc377028119"/>
            <w:bookmarkStart w:id="277" w:name="_Toc406403001"/>
            <w:bookmarkStart w:id="278" w:name="_Toc402963128"/>
            <w:bookmarkStart w:id="279" w:name="_Toc401570290"/>
            <w:bookmarkStart w:id="280" w:name="_Toc406402957"/>
            <w:bookmarkStart w:id="281" w:name="_Toc62745298"/>
            <w:bookmarkStart w:id="282" w:name="_Toc385854110"/>
            <w:bookmarkStart w:id="283" w:name="_Toc377028057"/>
            <w:bookmarkStart w:id="284" w:name="_Toc382928118"/>
            <w:bookmarkStart w:id="285" w:name="_Toc382928236"/>
            <w:bookmarkStart w:id="286" w:name="_Toc402963095"/>
            <w:r>
              <w:rPr>
                <w:rFonts w:hint="eastAsia" w:ascii="宋体" w:hAnsi="宋体"/>
                <w:szCs w:val="21"/>
              </w:rPr>
              <w:t>招标文件要求</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tc>
        <w:tc>
          <w:tcPr>
            <w:tcW w:w="3432" w:type="dxa"/>
            <w:gridSpan w:val="2"/>
            <w:tcBorders>
              <w:top w:val="single" w:color="auto" w:sz="4" w:space="0"/>
              <w:left w:val="single" w:color="auto" w:sz="4" w:space="0"/>
              <w:bottom w:val="single" w:color="auto" w:sz="4" w:space="0"/>
              <w:right w:val="single" w:color="auto" w:sz="4" w:space="0"/>
            </w:tcBorders>
          </w:tcPr>
          <w:p w14:paraId="72B70E73">
            <w:pPr>
              <w:snapToGrid w:val="0"/>
              <w:spacing w:line="360" w:lineRule="auto"/>
              <w:jc w:val="center"/>
              <w:outlineLvl w:val="0"/>
              <w:rPr>
                <w:rFonts w:ascii="宋体" w:hAnsi="宋体"/>
                <w:szCs w:val="21"/>
              </w:rPr>
            </w:pPr>
            <w:bookmarkStart w:id="287" w:name="_Toc402963129"/>
            <w:bookmarkStart w:id="288" w:name="_Toc377028058"/>
            <w:bookmarkStart w:id="289" w:name="_Toc402963096"/>
            <w:bookmarkStart w:id="290" w:name="_Toc381081904"/>
            <w:bookmarkStart w:id="291" w:name="_Toc406403002"/>
            <w:bookmarkStart w:id="292" w:name="_Toc385854111"/>
            <w:bookmarkStart w:id="293" w:name="_Toc406402958"/>
            <w:bookmarkStart w:id="294" w:name="_Toc382928237"/>
            <w:bookmarkStart w:id="295" w:name="_Toc377028120"/>
            <w:bookmarkStart w:id="296" w:name="_Toc62745299"/>
            <w:bookmarkStart w:id="297" w:name="_Toc377653977"/>
            <w:bookmarkStart w:id="298" w:name="_Toc401570315"/>
            <w:bookmarkStart w:id="299" w:name="_Toc385854157"/>
            <w:bookmarkStart w:id="300" w:name="_Toc382928119"/>
            <w:bookmarkStart w:id="301" w:name="_Toc401570291"/>
            <w:r>
              <w:rPr>
                <w:rFonts w:hint="eastAsia" w:ascii="宋体" w:hAnsi="宋体"/>
                <w:szCs w:val="21"/>
              </w:rPr>
              <w:t>投标文件响应</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tc>
        <w:tc>
          <w:tcPr>
            <w:tcW w:w="1456" w:type="dxa"/>
            <w:vMerge w:val="restart"/>
            <w:tcBorders>
              <w:top w:val="single" w:color="auto" w:sz="4" w:space="0"/>
              <w:left w:val="single" w:color="auto" w:sz="4" w:space="0"/>
              <w:bottom w:val="single" w:color="auto" w:sz="4" w:space="0"/>
              <w:right w:val="single" w:color="auto" w:sz="4" w:space="0"/>
            </w:tcBorders>
            <w:vAlign w:val="center"/>
          </w:tcPr>
          <w:p w14:paraId="1CEC2B49">
            <w:pPr>
              <w:snapToGrid w:val="0"/>
              <w:spacing w:line="360" w:lineRule="auto"/>
              <w:jc w:val="center"/>
              <w:outlineLvl w:val="0"/>
              <w:rPr>
                <w:rFonts w:ascii="宋体" w:hAnsi="宋体"/>
                <w:szCs w:val="21"/>
              </w:rPr>
            </w:pPr>
            <w:bookmarkStart w:id="302" w:name="_Toc385854112"/>
            <w:bookmarkStart w:id="303" w:name="_Toc377028059"/>
            <w:bookmarkStart w:id="304" w:name="_Toc62745300"/>
            <w:bookmarkStart w:id="305" w:name="_Toc406403003"/>
            <w:bookmarkStart w:id="306" w:name="_Toc377028121"/>
            <w:bookmarkStart w:id="307" w:name="_Toc406402959"/>
            <w:bookmarkStart w:id="308" w:name="_Toc382928238"/>
            <w:bookmarkStart w:id="309" w:name="_Toc402963130"/>
            <w:bookmarkStart w:id="310" w:name="_Toc385854158"/>
            <w:bookmarkStart w:id="311" w:name="_Toc401570292"/>
            <w:bookmarkStart w:id="312" w:name="_Toc377653978"/>
            <w:bookmarkStart w:id="313" w:name="_Toc381081905"/>
            <w:bookmarkStart w:id="314" w:name="_Toc402963097"/>
            <w:bookmarkStart w:id="315" w:name="_Toc401570316"/>
            <w:bookmarkStart w:id="316" w:name="_Toc382928120"/>
            <w:r>
              <w:rPr>
                <w:rFonts w:hint="eastAsia" w:ascii="宋体" w:hAnsi="宋体"/>
                <w:szCs w:val="21"/>
              </w:rPr>
              <w:t>偏离情况</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tc>
      </w:tr>
      <w:tr w14:paraId="04DA51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0" w:hRule="atLeast"/>
          <w:jc w:val="center"/>
        </w:trPr>
        <w:tc>
          <w:tcPr>
            <w:tcW w:w="1577" w:type="dxa"/>
            <w:tcBorders>
              <w:top w:val="single" w:color="auto" w:sz="4" w:space="0"/>
              <w:left w:val="single" w:color="auto" w:sz="4" w:space="0"/>
              <w:bottom w:val="single" w:color="auto" w:sz="4" w:space="0"/>
              <w:right w:val="single" w:color="auto" w:sz="4" w:space="0"/>
            </w:tcBorders>
          </w:tcPr>
          <w:p w14:paraId="4BD0AD39">
            <w:pPr>
              <w:snapToGrid w:val="0"/>
              <w:spacing w:line="360" w:lineRule="auto"/>
              <w:jc w:val="center"/>
              <w:outlineLvl w:val="0"/>
              <w:rPr>
                <w:rFonts w:ascii="宋体" w:hAnsi="宋体"/>
                <w:szCs w:val="21"/>
              </w:rPr>
            </w:pPr>
            <w:bookmarkStart w:id="317" w:name="_Toc406403004"/>
            <w:bookmarkStart w:id="318" w:name="_Toc62745301"/>
            <w:bookmarkStart w:id="319" w:name="_Toc382928121"/>
            <w:bookmarkStart w:id="320" w:name="_Toc377028122"/>
            <w:bookmarkStart w:id="321" w:name="_Toc385854113"/>
            <w:bookmarkStart w:id="322" w:name="_Toc406402960"/>
            <w:bookmarkStart w:id="323" w:name="_Toc385854159"/>
            <w:bookmarkStart w:id="324" w:name="_Toc401570293"/>
            <w:bookmarkStart w:id="325" w:name="_Toc382928239"/>
            <w:bookmarkStart w:id="326" w:name="_Toc401570317"/>
            <w:bookmarkStart w:id="327" w:name="_Toc402963131"/>
            <w:bookmarkStart w:id="328" w:name="_Toc402963098"/>
            <w:bookmarkStart w:id="329" w:name="_Toc377028060"/>
            <w:bookmarkStart w:id="330" w:name="_Toc377653979"/>
            <w:bookmarkStart w:id="331" w:name="_Toc381081906"/>
            <w:r>
              <w:rPr>
                <w:rFonts w:hint="eastAsia" w:ascii="宋体" w:hAnsi="宋体"/>
                <w:szCs w:val="21"/>
              </w:rPr>
              <w:t>项目</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tc>
        <w:tc>
          <w:tcPr>
            <w:tcW w:w="2475" w:type="dxa"/>
            <w:tcBorders>
              <w:top w:val="single" w:color="auto" w:sz="4" w:space="0"/>
              <w:left w:val="single" w:color="auto" w:sz="4" w:space="0"/>
              <w:bottom w:val="single" w:color="auto" w:sz="4" w:space="0"/>
              <w:right w:val="single" w:color="auto" w:sz="4" w:space="0"/>
            </w:tcBorders>
          </w:tcPr>
          <w:p w14:paraId="0C9B6BC7">
            <w:pPr>
              <w:snapToGrid w:val="0"/>
              <w:spacing w:line="360" w:lineRule="auto"/>
              <w:jc w:val="center"/>
              <w:outlineLvl w:val="0"/>
              <w:rPr>
                <w:rFonts w:ascii="宋体" w:hAnsi="宋体"/>
                <w:szCs w:val="21"/>
              </w:rPr>
            </w:pPr>
            <w:bookmarkStart w:id="332" w:name="_Toc406402961"/>
            <w:bookmarkStart w:id="333" w:name="_Toc401570294"/>
            <w:bookmarkStart w:id="334" w:name="_Toc382928240"/>
            <w:bookmarkStart w:id="335" w:name="_Toc377653980"/>
            <w:bookmarkStart w:id="336" w:name="_Toc62745302"/>
            <w:bookmarkStart w:id="337" w:name="_Toc402963132"/>
            <w:bookmarkStart w:id="338" w:name="_Toc377028061"/>
            <w:bookmarkStart w:id="339" w:name="_Toc385854114"/>
            <w:bookmarkStart w:id="340" w:name="_Toc382928122"/>
            <w:bookmarkStart w:id="341" w:name="_Toc377028123"/>
            <w:bookmarkStart w:id="342" w:name="_Toc406403005"/>
            <w:bookmarkStart w:id="343" w:name="_Toc402963099"/>
            <w:bookmarkStart w:id="344" w:name="_Toc385854160"/>
            <w:bookmarkStart w:id="345" w:name="_Toc401570318"/>
            <w:bookmarkStart w:id="346" w:name="_Toc381081907"/>
            <w:r>
              <w:rPr>
                <w:rFonts w:hint="eastAsia" w:ascii="宋体" w:hAnsi="宋体"/>
                <w:szCs w:val="21"/>
              </w:rPr>
              <w:t>要求</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tc>
        <w:tc>
          <w:tcPr>
            <w:tcW w:w="1583" w:type="dxa"/>
            <w:tcBorders>
              <w:top w:val="single" w:color="auto" w:sz="4" w:space="0"/>
              <w:left w:val="single" w:color="auto" w:sz="4" w:space="0"/>
              <w:bottom w:val="single" w:color="auto" w:sz="4" w:space="0"/>
              <w:right w:val="single" w:color="auto" w:sz="4" w:space="0"/>
            </w:tcBorders>
          </w:tcPr>
          <w:p w14:paraId="78F500DB">
            <w:pPr>
              <w:snapToGrid w:val="0"/>
              <w:spacing w:line="360" w:lineRule="auto"/>
              <w:jc w:val="center"/>
              <w:outlineLvl w:val="0"/>
              <w:rPr>
                <w:rFonts w:ascii="宋体" w:hAnsi="宋体"/>
                <w:szCs w:val="21"/>
              </w:rPr>
            </w:pPr>
            <w:bookmarkStart w:id="347" w:name="_Toc377028062"/>
            <w:bookmarkStart w:id="348" w:name="_Toc401570319"/>
            <w:bookmarkStart w:id="349" w:name="_Toc62745303"/>
            <w:bookmarkStart w:id="350" w:name="_Toc381081908"/>
            <w:bookmarkStart w:id="351" w:name="_Toc377653981"/>
            <w:bookmarkStart w:id="352" w:name="_Toc385854161"/>
            <w:bookmarkStart w:id="353" w:name="_Toc382928241"/>
            <w:bookmarkStart w:id="354" w:name="_Toc402963133"/>
            <w:bookmarkStart w:id="355" w:name="_Toc382928123"/>
            <w:bookmarkStart w:id="356" w:name="_Toc406402962"/>
            <w:bookmarkStart w:id="357" w:name="_Toc377028124"/>
            <w:bookmarkStart w:id="358" w:name="_Toc406403006"/>
            <w:bookmarkStart w:id="359" w:name="_Toc402963100"/>
            <w:bookmarkStart w:id="360" w:name="_Toc401570295"/>
            <w:bookmarkStart w:id="361" w:name="_Toc385854115"/>
            <w:r>
              <w:rPr>
                <w:rFonts w:hint="eastAsia" w:ascii="宋体" w:hAnsi="宋体"/>
                <w:szCs w:val="21"/>
              </w:rPr>
              <w:t>设备名称</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tc>
        <w:tc>
          <w:tcPr>
            <w:tcW w:w="1849" w:type="dxa"/>
            <w:tcBorders>
              <w:top w:val="single" w:color="auto" w:sz="4" w:space="0"/>
              <w:left w:val="single" w:color="auto" w:sz="4" w:space="0"/>
              <w:bottom w:val="single" w:color="auto" w:sz="4" w:space="0"/>
              <w:right w:val="single" w:color="auto" w:sz="4" w:space="0"/>
            </w:tcBorders>
          </w:tcPr>
          <w:p w14:paraId="2B82BA17">
            <w:pPr>
              <w:snapToGrid w:val="0"/>
              <w:spacing w:line="360" w:lineRule="auto"/>
              <w:jc w:val="center"/>
              <w:outlineLvl w:val="0"/>
              <w:rPr>
                <w:rFonts w:ascii="宋体" w:hAnsi="宋体"/>
                <w:szCs w:val="21"/>
              </w:rPr>
            </w:pPr>
            <w:bookmarkStart w:id="362" w:name="_Toc401570296"/>
            <w:bookmarkStart w:id="363" w:name="_Toc385854162"/>
            <w:bookmarkStart w:id="364" w:name="_Toc382928242"/>
            <w:bookmarkStart w:id="365" w:name="_Toc381081909"/>
            <w:bookmarkStart w:id="366" w:name="_Toc406403007"/>
            <w:bookmarkStart w:id="367" w:name="_Toc402963101"/>
            <w:bookmarkStart w:id="368" w:name="_Toc377028063"/>
            <w:bookmarkStart w:id="369" w:name="_Toc62745304"/>
            <w:bookmarkStart w:id="370" w:name="_Toc402963134"/>
            <w:bookmarkStart w:id="371" w:name="_Toc401570320"/>
            <w:bookmarkStart w:id="372" w:name="_Toc385854116"/>
            <w:bookmarkStart w:id="373" w:name="_Toc377028125"/>
            <w:bookmarkStart w:id="374" w:name="_Toc382928124"/>
            <w:bookmarkStart w:id="375" w:name="_Toc406402963"/>
            <w:bookmarkStart w:id="376" w:name="_Toc377653982"/>
            <w:r>
              <w:rPr>
                <w:rFonts w:hint="eastAsia" w:ascii="宋体" w:hAnsi="宋体"/>
                <w:szCs w:val="21"/>
              </w:rPr>
              <w:t>性能及指标</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Pr>
                <w:rFonts w:hint="eastAsia" w:ascii="宋体" w:hAnsi="宋体"/>
                <w:szCs w:val="21"/>
              </w:rPr>
              <w:t>（具体指标附表后）</w:t>
            </w:r>
          </w:p>
        </w:tc>
        <w:tc>
          <w:tcPr>
            <w:tcW w:w="1456" w:type="dxa"/>
            <w:vMerge w:val="continue"/>
            <w:tcBorders>
              <w:top w:val="single" w:color="auto" w:sz="4" w:space="0"/>
              <w:left w:val="single" w:color="auto" w:sz="4" w:space="0"/>
              <w:bottom w:val="single" w:color="auto" w:sz="4" w:space="0"/>
              <w:right w:val="single" w:color="auto" w:sz="4" w:space="0"/>
            </w:tcBorders>
            <w:vAlign w:val="center"/>
          </w:tcPr>
          <w:p w14:paraId="4C57CEE0">
            <w:pPr>
              <w:widowControl/>
              <w:spacing w:line="360" w:lineRule="auto"/>
              <w:jc w:val="left"/>
              <w:rPr>
                <w:rFonts w:ascii="宋体" w:hAnsi="宋体"/>
                <w:szCs w:val="21"/>
              </w:rPr>
            </w:pPr>
          </w:p>
        </w:tc>
      </w:tr>
      <w:tr w14:paraId="33CFF2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41" w:hRule="atLeast"/>
          <w:jc w:val="center"/>
        </w:trPr>
        <w:tc>
          <w:tcPr>
            <w:tcW w:w="1577" w:type="dxa"/>
            <w:tcBorders>
              <w:top w:val="single" w:color="auto" w:sz="4" w:space="0"/>
              <w:left w:val="single" w:color="auto" w:sz="4" w:space="0"/>
              <w:bottom w:val="single" w:color="auto" w:sz="4" w:space="0"/>
              <w:right w:val="single" w:color="auto" w:sz="4" w:space="0"/>
            </w:tcBorders>
            <w:vAlign w:val="center"/>
          </w:tcPr>
          <w:p w14:paraId="35642CC2">
            <w:pPr>
              <w:snapToGrid w:val="0"/>
              <w:spacing w:beforeLines="50" w:afterLines="50" w:line="360" w:lineRule="auto"/>
              <w:outlineLvl w:val="0"/>
              <w:rPr>
                <w:rFonts w:ascii="宋体" w:hAnsi="宋体"/>
                <w:szCs w:val="21"/>
              </w:rPr>
            </w:pPr>
          </w:p>
        </w:tc>
        <w:tc>
          <w:tcPr>
            <w:tcW w:w="2475" w:type="dxa"/>
            <w:tcBorders>
              <w:top w:val="single" w:color="auto" w:sz="4" w:space="0"/>
              <w:left w:val="single" w:color="auto" w:sz="4" w:space="0"/>
              <w:bottom w:val="single" w:color="auto" w:sz="4" w:space="0"/>
              <w:right w:val="single" w:color="auto" w:sz="4" w:space="0"/>
            </w:tcBorders>
            <w:vAlign w:val="center"/>
          </w:tcPr>
          <w:p w14:paraId="41DE049C">
            <w:pPr>
              <w:snapToGrid w:val="0"/>
              <w:spacing w:line="360" w:lineRule="auto"/>
              <w:outlineLvl w:val="0"/>
              <w:rPr>
                <w:rFonts w:ascii="宋体" w:hAnsi="宋体"/>
                <w:szCs w:val="21"/>
              </w:rPr>
            </w:pPr>
          </w:p>
        </w:tc>
        <w:tc>
          <w:tcPr>
            <w:tcW w:w="1583" w:type="dxa"/>
            <w:tcBorders>
              <w:top w:val="single" w:color="auto" w:sz="4" w:space="0"/>
              <w:left w:val="single" w:color="auto" w:sz="4" w:space="0"/>
              <w:bottom w:val="single" w:color="auto" w:sz="4" w:space="0"/>
              <w:right w:val="single" w:color="auto" w:sz="4" w:space="0"/>
            </w:tcBorders>
          </w:tcPr>
          <w:p w14:paraId="6778E074">
            <w:pPr>
              <w:snapToGrid w:val="0"/>
              <w:spacing w:line="360" w:lineRule="auto"/>
              <w:outlineLvl w:val="0"/>
              <w:rPr>
                <w:rFonts w:ascii="宋体" w:hAnsi="宋体"/>
                <w:szCs w:val="21"/>
              </w:rPr>
            </w:pPr>
          </w:p>
        </w:tc>
        <w:tc>
          <w:tcPr>
            <w:tcW w:w="1849" w:type="dxa"/>
            <w:tcBorders>
              <w:top w:val="single" w:color="auto" w:sz="4" w:space="0"/>
              <w:left w:val="single" w:color="auto" w:sz="4" w:space="0"/>
              <w:bottom w:val="single" w:color="auto" w:sz="4" w:space="0"/>
              <w:right w:val="single" w:color="auto" w:sz="4" w:space="0"/>
            </w:tcBorders>
          </w:tcPr>
          <w:p w14:paraId="1F911115">
            <w:pPr>
              <w:snapToGrid w:val="0"/>
              <w:spacing w:line="360" w:lineRule="auto"/>
              <w:outlineLvl w:val="0"/>
              <w:rPr>
                <w:rFonts w:ascii="宋体" w:hAnsi="宋体"/>
                <w:szCs w:val="21"/>
              </w:rPr>
            </w:pPr>
          </w:p>
        </w:tc>
        <w:tc>
          <w:tcPr>
            <w:tcW w:w="1456" w:type="dxa"/>
            <w:tcBorders>
              <w:top w:val="single" w:color="auto" w:sz="4" w:space="0"/>
              <w:left w:val="single" w:color="auto" w:sz="4" w:space="0"/>
              <w:bottom w:val="single" w:color="auto" w:sz="4" w:space="0"/>
              <w:right w:val="single" w:color="auto" w:sz="4" w:space="0"/>
            </w:tcBorders>
          </w:tcPr>
          <w:p w14:paraId="7D748A1D">
            <w:pPr>
              <w:snapToGrid w:val="0"/>
              <w:spacing w:line="360" w:lineRule="auto"/>
              <w:outlineLvl w:val="0"/>
              <w:rPr>
                <w:rFonts w:ascii="宋体" w:hAnsi="宋体"/>
                <w:szCs w:val="21"/>
              </w:rPr>
            </w:pPr>
          </w:p>
        </w:tc>
      </w:tr>
      <w:tr w14:paraId="66E455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41" w:hRule="atLeast"/>
          <w:jc w:val="center"/>
        </w:trPr>
        <w:tc>
          <w:tcPr>
            <w:tcW w:w="1577" w:type="dxa"/>
            <w:tcBorders>
              <w:top w:val="single" w:color="auto" w:sz="4" w:space="0"/>
              <w:left w:val="single" w:color="auto" w:sz="4" w:space="0"/>
              <w:bottom w:val="single" w:color="auto" w:sz="4" w:space="0"/>
              <w:right w:val="single" w:color="auto" w:sz="4" w:space="0"/>
            </w:tcBorders>
            <w:vAlign w:val="center"/>
          </w:tcPr>
          <w:p w14:paraId="2694B07F">
            <w:pPr>
              <w:widowControl/>
              <w:spacing w:line="360" w:lineRule="auto"/>
              <w:rPr>
                <w:rFonts w:ascii="宋体" w:hAnsi="宋体"/>
                <w:szCs w:val="21"/>
              </w:rPr>
            </w:pPr>
          </w:p>
        </w:tc>
        <w:tc>
          <w:tcPr>
            <w:tcW w:w="2475" w:type="dxa"/>
            <w:tcBorders>
              <w:top w:val="single" w:color="auto" w:sz="4" w:space="0"/>
              <w:left w:val="single" w:color="auto" w:sz="4" w:space="0"/>
              <w:bottom w:val="single" w:color="auto" w:sz="4" w:space="0"/>
              <w:right w:val="single" w:color="auto" w:sz="4" w:space="0"/>
            </w:tcBorders>
            <w:vAlign w:val="center"/>
          </w:tcPr>
          <w:p w14:paraId="69A6A102">
            <w:pPr>
              <w:snapToGrid w:val="0"/>
              <w:spacing w:line="360" w:lineRule="auto"/>
              <w:outlineLvl w:val="0"/>
              <w:rPr>
                <w:rFonts w:ascii="宋体" w:hAnsi="宋体"/>
                <w:szCs w:val="21"/>
              </w:rPr>
            </w:pPr>
          </w:p>
        </w:tc>
        <w:tc>
          <w:tcPr>
            <w:tcW w:w="1583" w:type="dxa"/>
            <w:tcBorders>
              <w:top w:val="single" w:color="auto" w:sz="4" w:space="0"/>
              <w:left w:val="single" w:color="auto" w:sz="4" w:space="0"/>
              <w:bottom w:val="single" w:color="auto" w:sz="4" w:space="0"/>
              <w:right w:val="single" w:color="auto" w:sz="4" w:space="0"/>
            </w:tcBorders>
          </w:tcPr>
          <w:p w14:paraId="709F1CBD">
            <w:pPr>
              <w:snapToGrid w:val="0"/>
              <w:spacing w:line="360" w:lineRule="auto"/>
              <w:outlineLvl w:val="0"/>
              <w:rPr>
                <w:rFonts w:ascii="宋体" w:hAnsi="宋体"/>
                <w:szCs w:val="21"/>
              </w:rPr>
            </w:pPr>
          </w:p>
        </w:tc>
        <w:tc>
          <w:tcPr>
            <w:tcW w:w="1849" w:type="dxa"/>
            <w:tcBorders>
              <w:top w:val="single" w:color="auto" w:sz="4" w:space="0"/>
              <w:left w:val="single" w:color="auto" w:sz="4" w:space="0"/>
              <w:bottom w:val="single" w:color="auto" w:sz="4" w:space="0"/>
              <w:right w:val="single" w:color="auto" w:sz="4" w:space="0"/>
            </w:tcBorders>
          </w:tcPr>
          <w:p w14:paraId="20DC6DD3">
            <w:pPr>
              <w:snapToGrid w:val="0"/>
              <w:spacing w:line="360" w:lineRule="auto"/>
              <w:outlineLvl w:val="0"/>
              <w:rPr>
                <w:rFonts w:ascii="宋体" w:hAnsi="宋体"/>
                <w:szCs w:val="21"/>
              </w:rPr>
            </w:pPr>
          </w:p>
        </w:tc>
        <w:tc>
          <w:tcPr>
            <w:tcW w:w="1456" w:type="dxa"/>
            <w:tcBorders>
              <w:top w:val="single" w:color="auto" w:sz="4" w:space="0"/>
              <w:left w:val="single" w:color="auto" w:sz="4" w:space="0"/>
              <w:bottom w:val="single" w:color="auto" w:sz="4" w:space="0"/>
              <w:right w:val="single" w:color="auto" w:sz="4" w:space="0"/>
            </w:tcBorders>
          </w:tcPr>
          <w:p w14:paraId="7C8FAE80">
            <w:pPr>
              <w:snapToGrid w:val="0"/>
              <w:spacing w:line="360" w:lineRule="auto"/>
              <w:outlineLvl w:val="0"/>
              <w:rPr>
                <w:rFonts w:ascii="宋体" w:hAnsi="宋体"/>
                <w:szCs w:val="21"/>
              </w:rPr>
            </w:pPr>
          </w:p>
        </w:tc>
      </w:tr>
      <w:tr w14:paraId="39DF31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41" w:hRule="atLeast"/>
          <w:jc w:val="center"/>
        </w:trPr>
        <w:tc>
          <w:tcPr>
            <w:tcW w:w="1577" w:type="dxa"/>
            <w:tcBorders>
              <w:top w:val="single" w:color="auto" w:sz="4" w:space="0"/>
              <w:left w:val="single" w:color="auto" w:sz="4" w:space="0"/>
              <w:bottom w:val="single" w:color="auto" w:sz="4" w:space="0"/>
              <w:right w:val="single" w:color="auto" w:sz="4" w:space="0"/>
            </w:tcBorders>
            <w:vAlign w:val="center"/>
          </w:tcPr>
          <w:p w14:paraId="382FA028">
            <w:pPr>
              <w:snapToGrid w:val="0"/>
              <w:spacing w:beforeLines="50" w:afterLines="50" w:line="360" w:lineRule="auto"/>
              <w:outlineLvl w:val="0"/>
              <w:rPr>
                <w:rFonts w:ascii="宋体" w:hAnsi="宋体"/>
                <w:szCs w:val="21"/>
              </w:rPr>
            </w:pPr>
          </w:p>
        </w:tc>
        <w:tc>
          <w:tcPr>
            <w:tcW w:w="2475" w:type="dxa"/>
            <w:tcBorders>
              <w:top w:val="single" w:color="auto" w:sz="4" w:space="0"/>
              <w:left w:val="single" w:color="auto" w:sz="4" w:space="0"/>
              <w:bottom w:val="single" w:color="auto" w:sz="4" w:space="0"/>
              <w:right w:val="single" w:color="auto" w:sz="4" w:space="0"/>
            </w:tcBorders>
            <w:vAlign w:val="center"/>
          </w:tcPr>
          <w:p w14:paraId="3E414318">
            <w:pPr>
              <w:snapToGrid w:val="0"/>
              <w:spacing w:line="360" w:lineRule="auto"/>
              <w:outlineLvl w:val="0"/>
              <w:rPr>
                <w:rFonts w:ascii="宋体" w:hAnsi="宋体"/>
                <w:szCs w:val="21"/>
              </w:rPr>
            </w:pPr>
          </w:p>
        </w:tc>
        <w:tc>
          <w:tcPr>
            <w:tcW w:w="1583" w:type="dxa"/>
            <w:tcBorders>
              <w:top w:val="single" w:color="auto" w:sz="4" w:space="0"/>
              <w:left w:val="single" w:color="auto" w:sz="4" w:space="0"/>
              <w:bottom w:val="single" w:color="auto" w:sz="4" w:space="0"/>
              <w:right w:val="single" w:color="auto" w:sz="4" w:space="0"/>
            </w:tcBorders>
          </w:tcPr>
          <w:p w14:paraId="05B0A5DC">
            <w:pPr>
              <w:snapToGrid w:val="0"/>
              <w:spacing w:line="360" w:lineRule="auto"/>
              <w:outlineLvl w:val="0"/>
              <w:rPr>
                <w:rFonts w:ascii="宋体" w:hAnsi="宋体"/>
                <w:szCs w:val="21"/>
              </w:rPr>
            </w:pPr>
          </w:p>
        </w:tc>
        <w:tc>
          <w:tcPr>
            <w:tcW w:w="1849" w:type="dxa"/>
            <w:tcBorders>
              <w:top w:val="single" w:color="auto" w:sz="4" w:space="0"/>
              <w:left w:val="single" w:color="auto" w:sz="4" w:space="0"/>
              <w:bottom w:val="single" w:color="auto" w:sz="4" w:space="0"/>
              <w:right w:val="single" w:color="auto" w:sz="4" w:space="0"/>
            </w:tcBorders>
          </w:tcPr>
          <w:p w14:paraId="1549D8C0">
            <w:pPr>
              <w:snapToGrid w:val="0"/>
              <w:spacing w:line="360" w:lineRule="auto"/>
              <w:outlineLvl w:val="0"/>
              <w:rPr>
                <w:rFonts w:ascii="宋体" w:hAnsi="宋体"/>
                <w:szCs w:val="21"/>
              </w:rPr>
            </w:pPr>
          </w:p>
        </w:tc>
        <w:tc>
          <w:tcPr>
            <w:tcW w:w="1456" w:type="dxa"/>
            <w:tcBorders>
              <w:top w:val="single" w:color="auto" w:sz="4" w:space="0"/>
              <w:left w:val="single" w:color="auto" w:sz="4" w:space="0"/>
              <w:bottom w:val="single" w:color="auto" w:sz="4" w:space="0"/>
              <w:right w:val="single" w:color="auto" w:sz="4" w:space="0"/>
            </w:tcBorders>
          </w:tcPr>
          <w:p w14:paraId="4C64E47D">
            <w:pPr>
              <w:snapToGrid w:val="0"/>
              <w:spacing w:line="360" w:lineRule="auto"/>
              <w:outlineLvl w:val="0"/>
              <w:rPr>
                <w:rFonts w:ascii="宋体" w:hAnsi="宋体"/>
                <w:szCs w:val="21"/>
              </w:rPr>
            </w:pPr>
          </w:p>
        </w:tc>
      </w:tr>
      <w:tr w14:paraId="698D6E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41" w:hRule="atLeast"/>
          <w:jc w:val="center"/>
        </w:trPr>
        <w:tc>
          <w:tcPr>
            <w:tcW w:w="1577" w:type="dxa"/>
            <w:tcBorders>
              <w:top w:val="single" w:color="auto" w:sz="4" w:space="0"/>
              <w:left w:val="single" w:color="auto" w:sz="4" w:space="0"/>
              <w:bottom w:val="single" w:color="auto" w:sz="4" w:space="0"/>
              <w:right w:val="single" w:color="auto" w:sz="4" w:space="0"/>
            </w:tcBorders>
            <w:vAlign w:val="center"/>
          </w:tcPr>
          <w:p w14:paraId="6D5C2246">
            <w:pPr>
              <w:snapToGrid w:val="0"/>
              <w:spacing w:beforeLines="50" w:afterLines="50" w:line="360" w:lineRule="auto"/>
              <w:outlineLvl w:val="0"/>
              <w:rPr>
                <w:rFonts w:ascii="宋体" w:hAnsi="宋体"/>
                <w:szCs w:val="21"/>
              </w:rPr>
            </w:pPr>
          </w:p>
        </w:tc>
        <w:tc>
          <w:tcPr>
            <w:tcW w:w="2475" w:type="dxa"/>
            <w:tcBorders>
              <w:top w:val="single" w:color="auto" w:sz="4" w:space="0"/>
              <w:left w:val="single" w:color="auto" w:sz="4" w:space="0"/>
              <w:bottom w:val="single" w:color="auto" w:sz="4" w:space="0"/>
              <w:right w:val="single" w:color="auto" w:sz="4" w:space="0"/>
            </w:tcBorders>
            <w:vAlign w:val="center"/>
          </w:tcPr>
          <w:p w14:paraId="24BAD29F">
            <w:pPr>
              <w:snapToGrid w:val="0"/>
              <w:spacing w:line="360" w:lineRule="auto"/>
              <w:outlineLvl w:val="0"/>
              <w:rPr>
                <w:rFonts w:ascii="宋体" w:hAnsi="宋体"/>
                <w:szCs w:val="21"/>
              </w:rPr>
            </w:pPr>
          </w:p>
        </w:tc>
        <w:tc>
          <w:tcPr>
            <w:tcW w:w="1583" w:type="dxa"/>
            <w:tcBorders>
              <w:top w:val="single" w:color="auto" w:sz="4" w:space="0"/>
              <w:left w:val="single" w:color="auto" w:sz="4" w:space="0"/>
              <w:bottom w:val="single" w:color="auto" w:sz="4" w:space="0"/>
              <w:right w:val="single" w:color="auto" w:sz="4" w:space="0"/>
            </w:tcBorders>
          </w:tcPr>
          <w:p w14:paraId="77654948">
            <w:pPr>
              <w:snapToGrid w:val="0"/>
              <w:spacing w:line="360" w:lineRule="auto"/>
              <w:outlineLvl w:val="0"/>
              <w:rPr>
                <w:rFonts w:ascii="宋体" w:hAnsi="宋体"/>
                <w:szCs w:val="21"/>
              </w:rPr>
            </w:pPr>
          </w:p>
        </w:tc>
        <w:tc>
          <w:tcPr>
            <w:tcW w:w="1849" w:type="dxa"/>
            <w:tcBorders>
              <w:top w:val="single" w:color="auto" w:sz="4" w:space="0"/>
              <w:left w:val="single" w:color="auto" w:sz="4" w:space="0"/>
              <w:bottom w:val="single" w:color="auto" w:sz="4" w:space="0"/>
              <w:right w:val="single" w:color="auto" w:sz="4" w:space="0"/>
            </w:tcBorders>
          </w:tcPr>
          <w:p w14:paraId="26CC4F07">
            <w:pPr>
              <w:snapToGrid w:val="0"/>
              <w:spacing w:line="360" w:lineRule="auto"/>
              <w:outlineLvl w:val="0"/>
              <w:rPr>
                <w:rFonts w:ascii="宋体" w:hAnsi="宋体"/>
                <w:szCs w:val="21"/>
              </w:rPr>
            </w:pPr>
          </w:p>
        </w:tc>
        <w:tc>
          <w:tcPr>
            <w:tcW w:w="1456" w:type="dxa"/>
            <w:tcBorders>
              <w:top w:val="single" w:color="auto" w:sz="4" w:space="0"/>
              <w:left w:val="single" w:color="auto" w:sz="4" w:space="0"/>
              <w:bottom w:val="single" w:color="auto" w:sz="4" w:space="0"/>
              <w:right w:val="single" w:color="auto" w:sz="4" w:space="0"/>
            </w:tcBorders>
          </w:tcPr>
          <w:p w14:paraId="66B63683">
            <w:pPr>
              <w:snapToGrid w:val="0"/>
              <w:spacing w:line="360" w:lineRule="auto"/>
              <w:outlineLvl w:val="0"/>
              <w:rPr>
                <w:rFonts w:ascii="宋体" w:hAnsi="宋体"/>
                <w:szCs w:val="21"/>
              </w:rPr>
            </w:pPr>
          </w:p>
        </w:tc>
      </w:tr>
    </w:tbl>
    <w:p w14:paraId="1E850154">
      <w:pPr>
        <w:pStyle w:val="21"/>
        <w:spacing w:line="360" w:lineRule="auto"/>
        <w:rPr>
          <w:rFonts w:ascii="宋体" w:hAnsi="宋体"/>
          <w:sz w:val="21"/>
          <w:szCs w:val="21"/>
        </w:rPr>
      </w:pPr>
      <w:r>
        <w:rPr>
          <w:rFonts w:ascii="宋体" w:hAnsi="宋体"/>
          <w:sz w:val="21"/>
          <w:szCs w:val="21"/>
        </w:rPr>
        <w:t>注：</w:t>
      </w:r>
      <w:r>
        <w:rPr>
          <w:rFonts w:hint="eastAsia" w:ascii="宋体" w:hAnsi="宋体"/>
          <w:sz w:val="21"/>
          <w:szCs w:val="21"/>
        </w:rPr>
        <w:t>1.</w:t>
      </w:r>
      <w:r>
        <w:rPr>
          <w:rFonts w:ascii="宋体" w:hAnsi="宋体"/>
          <w:sz w:val="21"/>
          <w:szCs w:val="21"/>
        </w:rPr>
        <w:t>投标人应根据</w:t>
      </w:r>
      <w:r>
        <w:rPr>
          <w:rFonts w:hint="eastAsia" w:ascii="宋体" w:hAnsi="宋体"/>
          <w:sz w:val="21"/>
          <w:szCs w:val="21"/>
        </w:rPr>
        <w:t>投标产品</w:t>
      </w:r>
      <w:r>
        <w:rPr>
          <w:rFonts w:ascii="宋体" w:hAnsi="宋体"/>
          <w:sz w:val="21"/>
          <w:szCs w:val="21"/>
        </w:rPr>
        <w:t>的性能指标、对照招标文件要求在“偏离情况”栏注明“正偏离”、“负偏离”或“无偏离”。</w:t>
      </w:r>
    </w:p>
    <w:p w14:paraId="1DFDCD6D">
      <w:pPr>
        <w:pStyle w:val="21"/>
        <w:spacing w:line="360" w:lineRule="auto"/>
        <w:rPr>
          <w:rFonts w:ascii="宋体" w:hAnsi="宋体"/>
          <w:sz w:val="21"/>
          <w:szCs w:val="21"/>
        </w:rPr>
      </w:pPr>
      <w:r>
        <w:rPr>
          <w:rFonts w:hint="eastAsia" w:ascii="宋体" w:hAnsi="宋体"/>
          <w:sz w:val="21"/>
          <w:szCs w:val="21"/>
        </w:rPr>
        <w:t>2.投标人需对上述偏离情况负责，不得虚假应标。</w:t>
      </w:r>
    </w:p>
    <w:p w14:paraId="4267E3EB">
      <w:pPr>
        <w:snapToGrid w:val="0"/>
        <w:spacing w:before="50" w:after="50" w:line="360" w:lineRule="auto"/>
        <w:rPr>
          <w:rFonts w:ascii="宋体" w:hAnsi="宋体"/>
          <w:szCs w:val="21"/>
        </w:rPr>
      </w:pPr>
      <w:r>
        <w:rPr>
          <w:rFonts w:hint="eastAsia" w:ascii="宋体" w:hAnsi="宋体"/>
          <w:szCs w:val="21"/>
        </w:rPr>
        <w:t>被授权人签字（或盖章）：</w:t>
      </w:r>
    </w:p>
    <w:p w14:paraId="4008BD82">
      <w:pPr>
        <w:adjustRightInd w:val="0"/>
        <w:spacing w:line="360" w:lineRule="auto"/>
        <w:ind w:right="480"/>
        <w:textAlignment w:val="baseline"/>
        <w:rPr>
          <w:rFonts w:ascii="宋体" w:hAnsi="宋体"/>
          <w:szCs w:val="21"/>
        </w:rPr>
      </w:pPr>
      <w:r>
        <w:rPr>
          <w:rFonts w:hint="eastAsia" w:ascii="宋体" w:hAnsi="宋体"/>
          <w:szCs w:val="21"/>
        </w:rPr>
        <w:t>投标人公章： 年  月  日</w:t>
      </w:r>
    </w:p>
    <w:p w14:paraId="5DEB416E">
      <w:pPr>
        <w:pStyle w:val="58"/>
        <w:sectPr>
          <w:pgSz w:w="11906" w:h="16838"/>
          <w:pgMar w:top="1474" w:right="1797" w:bottom="1247" w:left="1797" w:header="851" w:footer="851" w:gutter="0"/>
          <w:cols w:space="720" w:num="1"/>
          <w:docGrid w:linePitch="312" w:charSpace="0"/>
        </w:sectPr>
      </w:pPr>
    </w:p>
    <w:p w14:paraId="296C91ED">
      <w:pPr>
        <w:snapToGrid w:val="0"/>
        <w:spacing w:line="360" w:lineRule="auto"/>
        <w:ind w:firstLine="420" w:firstLineChars="200"/>
        <w:jc w:val="left"/>
        <w:rPr>
          <w:rFonts w:ascii="宋体" w:hAnsi="宋体"/>
          <w:szCs w:val="21"/>
        </w:rPr>
      </w:pPr>
      <w:r>
        <w:rPr>
          <w:rFonts w:ascii="宋体" w:hAnsi="宋体"/>
          <w:szCs w:val="21"/>
        </w:rPr>
        <w:t>项目实施人员一览表</w:t>
      </w:r>
    </w:p>
    <w:p w14:paraId="7C72347E">
      <w:pPr>
        <w:snapToGrid w:val="0"/>
        <w:spacing w:line="360" w:lineRule="auto"/>
        <w:ind w:firstLine="422" w:firstLineChars="200"/>
        <w:jc w:val="center"/>
        <w:rPr>
          <w:rFonts w:ascii="宋体" w:hAnsi="宋体"/>
          <w:b/>
          <w:szCs w:val="21"/>
        </w:rPr>
      </w:pPr>
      <w:r>
        <w:rPr>
          <w:rFonts w:hint="eastAsia" w:ascii="宋体" w:hAnsi="宋体"/>
          <w:b/>
          <w:szCs w:val="21"/>
        </w:rPr>
        <w:t>项目实施人员（主要从业人员及其技术资格）一览表</w:t>
      </w:r>
    </w:p>
    <w:tbl>
      <w:tblPr>
        <w:tblStyle w:val="47"/>
        <w:tblW w:w="8898"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4"/>
        <w:gridCol w:w="1004"/>
        <w:gridCol w:w="1663"/>
        <w:gridCol w:w="1260"/>
        <w:gridCol w:w="1274"/>
        <w:gridCol w:w="1559"/>
        <w:gridCol w:w="1134"/>
      </w:tblGrid>
      <w:tr w14:paraId="3019F5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14:paraId="2F51B67C">
            <w:pPr>
              <w:snapToGrid w:val="0"/>
              <w:spacing w:line="360" w:lineRule="auto"/>
              <w:jc w:val="center"/>
              <w:rPr>
                <w:rFonts w:ascii="宋体" w:hAnsi="宋体"/>
                <w:szCs w:val="21"/>
              </w:rPr>
            </w:pPr>
            <w:r>
              <w:rPr>
                <w:rFonts w:hint="eastAsia" w:ascii="宋体" w:hAnsi="宋体"/>
                <w:szCs w:val="21"/>
              </w:rPr>
              <w:t>姓名</w:t>
            </w:r>
          </w:p>
        </w:tc>
        <w:tc>
          <w:tcPr>
            <w:tcW w:w="1004" w:type="dxa"/>
            <w:tcBorders>
              <w:top w:val="single" w:color="auto" w:sz="4" w:space="0"/>
              <w:left w:val="single" w:color="auto" w:sz="4" w:space="0"/>
              <w:bottom w:val="single" w:color="auto" w:sz="4" w:space="0"/>
              <w:right w:val="single" w:color="auto" w:sz="4" w:space="0"/>
            </w:tcBorders>
            <w:vAlign w:val="center"/>
          </w:tcPr>
          <w:p w14:paraId="39271A2A">
            <w:pPr>
              <w:snapToGrid w:val="0"/>
              <w:spacing w:line="360" w:lineRule="auto"/>
              <w:jc w:val="center"/>
              <w:rPr>
                <w:rFonts w:ascii="宋体" w:hAnsi="宋体"/>
                <w:szCs w:val="21"/>
              </w:rPr>
            </w:pPr>
            <w:r>
              <w:rPr>
                <w:rFonts w:hint="eastAsia" w:ascii="宋体" w:hAnsi="宋体"/>
                <w:szCs w:val="21"/>
              </w:rPr>
              <w:t>职务</w:t>
            </w:r>
          </w:p>
        </w:tc>
        <w:tc>
          <w:tcPr>
            <w:tcW w:w="1663" w:type="dxa"/>
            <w:tcBorders>
              <w:top w:val="single" w:color="auto" w:sz="4" w:space="0"/>
              <w:left w:val="single" w:color="auto" w:sz="4" w:space="0"/>
              <w:bottom w:val="single" w:color="auto" w:sz="4" w:space="0"/>
              <w:right w:val="single" w:color="auto" w:sz="4" w:space="0"/>
            </w:tcBorders>
            <w:vAlign w:val="center"/>
          </w:tcPr>
          <w:p w14:paraId="00269ADA">
            <w:pPr>
              <w:snapToGrid w:val="0"/>
              <w:spacing w:line="360" w:lineRule="auto"/>
              <w:jc w:val="center"/>
              <w:rPr>
                <w:rFonts w:ascii="宋体" w:hAnsi="宋体"/>
                <w:szCs w:val="21"/>
              </w:rPr>
            </w:pPr>
            <w:r>
              <w:rPr>
                <w:rFonts w:hint="eastAsia" w:ascii="宋体" w:hAnsi="宋体"/>
                <w:szCs w:val="21"/>
              </w:rPr>
              <w:t>专业技术资格</w:t>
            </w:r>
          </w:p>
        </w:tc>
        <w:tc>
          <w:tcPr>
            <w:tcW w:w="1260" w:type="dxa"/>
            <w:tcBorders>
              <w:top w:val="single" w:color="auto" w:sz="4" w:space="0"/>
              <w:left w:val="single" w:color="auto" w:sz="4" w:space="0"/>
              <w:bottom w:val="single" w:color="auto" w:sz="4" w:space="0"/>
              <w:right w:val="single" w:color="auto" w:sz="4" w:space="0"/>
            </w:tcBorders>
            <w:vAlign w:val="center"/>
          </w:tcPr>
          <w:p w14:paraId="2E937DB8">
            <w:pPr>
              <w:snapToGrid w:val="0"/>
              <w:spacing w:line="360" w:lineRule="auto"/>
              <w:jc w:val="center"/>
              <w:rPr>
                <w:rFonts w:ascii="宋体" w:hAnsi="宋体"/>
                <w:szCs w:val="21"/>
              </w:rPr>
            </w:pPr>
            <w:r>
              <w:rPr>
                <w:rFonts w:hint="eastAsia" w:ascii="宋体" w:hAnsi="宋体"/>
                <w:szCs w:val="21"/>
              </w:rPr>
              <w:t>证书编号</w:t>
            </w:r>
          </w:p>
        </w:tc>
        <w:tc>
          <w:tcPr>
            <w:tcW w:w="1274" w:type="dxa"/>
            <w:tcBorders>
              <w:top w:val="single" w:color="auto" w:sz="4" w:space="0"/>
              <w:left w:val="single" w:color="auto" w:sz="4" w:space="0"/>
              <w:bottom w:val="single" w:color="auto" w:sz="4" w:space="0"/>
              <w:right w:val="single" w:color="auto" w:sz="4" w:space="0"/>
            </w:tcBorders>
            <w:vAlign w:val="center"/>
          </w:tcPr>
          <w:p w14:paraId="202EC67D">
            <w:pPr>
              <w:snapToGrid w:val="0"/>
              <w:spacing w:line="360" w:lineRule="auto"/>
              <w:jc w:val="center"/>
              <w:rPr>
                <w:rFonts w:ascii="宋体" w:hAnsi="宋体"/>
                <w:bCs/>
                <w:szCs w:val="21"/>
              </w:rPr>
            </w:pPr>
            <w:r>
              <w:rPr>
                <w:rFonts w:hint="eastAsia" w:ascii="宋体" w:hAnsi="宋体"/>
                <w:bCs/>
                <w:szCs w:val="21"/>
              </w:rPr>
              <w:t>参加本单位工作时间</w:t>
            </w:r>
          </w:p>
        </w:tc>
        <w:tc>
          <w:tcPr>
            <w:tcW w:w="1559" w:type="dxa"/>
            <w:tcBorders>
              <w:top w:val="single" w:color="auto" w:sz="4" w:space="0"/>
              <w:left w:val="single" w:color="auto" w:sz="4" w:space="0"/>
              <w:bottom w:val="single" w:color="auto" w:sz="4" w:space="0"/>
              <w:right w:val="single" w:color="auto" w:sz="4" w:space="0"/>
            </w:tcBorders>
            <w:vAlign w:val="center"/>
          </w:tcPr>
          <w:p w14:paraId="0B14BE1C">
            <w:pPr>
              <w:snapToGrid w:val="0"/>
              <w:spacing w:line="360" w:lineRule="auto"/>
              <w:jc w:val="center"/>
              <w:rPr>
                <w:rFonts w:ascii="宋体" w:hAnsi="宋体"/>
                <w:bCs/>
                <w:szCs w:val="21"/>
              </w:rPr>
            </w:pPr>
            <w:r>
              <w:rPr>
                <w:rFonts w:hint="eastAsia" w:ascii="宋体" w:hAnsi="宋体"/>
                <w:bCs/>
                <w:szCs w:val="21"/>
              </w:rPr>
              <w:t>劳动合同编号</w:t>
            </w:r>
          </w:p>
        </w:tc>
        <w:tc>
          <w:tcPr>
            <w:tcW w:w="1134" w:type="dxa"/>
            <w:tcBorders>
              <w:top w:val="single" w:color="auto" w:sz="4" w:space="0"/>
              <w:left w:val="single" w:color="auto" w:sz="4" w:space="0"/>
              <w:bottom w:val="single" w:color="auto" w:sz="4" w:space="0"/>
              <w:right w:val="single" w:color="auto" w:sz="4" w:space="0"/>
            </w:tcBorders>
          </w:tcPr>
          <w:p w14:paraId="2227FB65">
            <w:pPr>
              <w:snapToGrid w:val="0"/>
              <w:spacing w:line="360" w:lineRule="auto"/>
              <w:jc w:val="center"/>
              <w:rPr>
                <w:rFonts w:ascii="宋体" w:hAnsi="宋体"/>
                <w:bCs/>
                <w:szCs w:val="21"/>
              </w:rPr>
            </w:pPr>
            <w:r>
              <w:rPr>
                <w:rFonts w:hint="eastAsia" w:ascii="宋体" w:hAnsi="宋体"/>
                <w:bCs/>
                <w:szCs w:val="21"/>
              </w:rPr>
              <w:t>本项目中担任职务</w:t>
            </w:r>
          </w:p>
        </w:tc>
      </w:tr>
      <w:tr w14:paraId="042360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14:paraId="2801ADA1">
            <w:pPr>
              <w:snapToGrid w:val="0"/>
              <w:spacing w:line="360" w:lineRule="auto"/>
              <w:ind w:firstLine="420" w:firstLineChars="200"/>
              <w:jc w:val="center"/>
              <w:rPr>
                <w:rFonts w:ascii="宋体" w:hAnsi="宋体"/>
                <w:szCs w:val="21"/>
              </w:rPr>
            </w:pPr>
          </w:p>
        </w:tc>
        <w:tc>
          <w:tcPr>
            <w:tcW w:w="1004" w:type="dxa"/>
            <w:tcBorders>
              <w:top w:val="single" w:color="auto" w:sz="4" w:space="0"/>
              <w:left w:val="single" w:color="auto" w:sz="4" w:space="0"/>
              <w:bottom w:val="single" w:color="auto" w:sz="4" w:space="0"/>
              <w:right w:val="single" w:color="auto" w:sz="4" w:space="0"/>
            </w:tcBorders>
            <w:vAlign w:val="center"/>
          </w:tcPr>
          <w:p w14:paraId="035EDBDD">
            <w:pPr>
              <w:snapToGrid w:val="0"/>
              <w:spacing w:line="360" w:lineRule="auto"/>
              <w:ind w:firstLine="420" w:firstLineChars="200"/>
              <w:jc w:val="center"/>
              <w:rPr>
                <w:rFonts w:ascii="宋体" w:hAnsi="宋体"/>
                <w:szCs w:val="21"/>
              </w:rPr>
            </w:pPr>
          </w:p>
        </w:tc>
        <w:tc>
          <w:tcPr>
            <w:tcW w:w="1663" w:type="dxa"/>
            <w:tcBorders>
              <w:top w:val="single" w:color="auto" w:sz="4" w:space="0"/>
              <w:left w:val="single" w:color="auto" w:sz="4" w:space="0"/>
              <w:bottom w:val="single" w:color="auto" w:sz="4" w:space="0"/>
              <w:right w:val="single" w:color="auto" w:sz="4" w:space="0"/>
            </w:tcBorders>
            <w:vAlign w:val="center"/>
          </w:tcPr>
          <w:p w14:paraId="53807CE6">
            <w:pPr>
              <w:snapToGrid w:val="0"/>
              <w:spacing w:line="360" w:lineRule="auto"/>
              <w:ind w:firstLine="420" w:firstLineChars="200"/>
              <w:jc w:val="center"/>
              <w:rPr>
                <w:rFonts w:ascii="宋体" w:hAnsi="宋体"/>
                <w:szCs w:val="21"/>
              </w:rPr>
            </w:pPr>
          </w:p>
        </w:tc>
        <w:tc>
          <w:tcPr>
            <w:tcW w:w="1260" w:type="dxa"/>
            <w:tcBorders>
              <w:top w:val="single" w:color="auto" w:sz="4" w:space="0"/>
              <w:left w:val="single" w:color="auto" w:sz="4" w:space="0"/>
              <w:bottom w:val="single" w:color="auto" w:sz="4" w:space="0"/>
              <w:right w:val="single" w:color="auto" w:sz="4" w:space="0"/>
            </w:tcBorders>
            <w:vAlign w:val="center"/>
          </w:tcPr>
          <w:p w14:paraId="521A28F1">
            <w:pPr>
              <w:snapToGrid w:val="0"/>
              <w:spacing w:line="360" w:lineRule="auto"/>
              <w:ind w:firstLine="420" w:firstLineChars="200"/>
              <w:jc w:val="center"/>
              <w:rPr>
                <w:rFonts w:ascii="宋体" w:hAnsi="宋体"/>
                <w:szCs w:val="21"/>
              </w:rPr>
            </w:pPr>
          </w:p>
        </w:tc>
        <w:tc>
          <w:tcPr>
            <w:tcW w:w="1274" w:type="dxa"/>
            <w:tcBorders>
              <w:top w:val="single" w:color="auto" w:sz="4" w:space="0"/>
              <w:left w:val="single" w:color="auto" w:sz="4" w:space="0"/>
              <w:bottom w:val="single" w:color="auto" w:sz="4" w:space="0"/>
              <w:right w:val="single" w:color="auto" w:sz="4" w:space="0"/>
            </w:tcBorders>
            <w:vAlign w:val="center"/>
          </w:tcPr>
          <w:p w14:paraId="60B7CEE7">
            <w:pPr>
              <w:snapToGrid w:val="0"/>
              <w:spacing w:line="360" w:lineRule="auto"/>
              <w:ind w:firstLine="420" w:firstLineChars="200"/>
              <w:jc w:val="center"/>
              <w:rPr>
                <w:rFonts w:ascii="宋体" w:hAnsi="宋体"/>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49D064A2">
            <w:pPr>
              <w:snapToGrid w:val="0"/>
              <w:spacing w:line="360" w:lineRule="auto"/>
              <w:ind w:firstLine="420" w:firstLineChars="200"/>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14:paraId="09782796">
            <w:pPr>
              <w:snapToGrid w:val="0"/>
              <w:spacing w:line="360" w:lineRule="auto"/>
              <w:ind w:firstLine="420" w:firstLineChars="200"/>
              <w:jc w:val="center"/>
              <w:rPr>
                <w:rFonts w:ascii="宋体" w:hAnsi="宋体"/>
                <w:szCs w:val="21"/>
              </w:rPr>
            </w:pPr>
          </w:p>
        </w:tc>
      </w:tr>
      <w:tr w14:paraId="7DFA8D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14:paraId="2F51FFA0">
            <w:pPr>
              <w:snapToGrid w:val="0"/>
              <w:spacing w:line="360" w:lineRule="auto"/>
              <w:ind w:firstLine="420" w:firstLineChars="200"/>
              <w:jc w:val="center"/>
              <w:rPr>
                <w:rFonts w:ascii="宋体" w:hAnsi="宋体"/>
                <w:szCs w:val="21"/>
              </w:rPr>
            </w:pPr>
          </w:p>
        </w:tc>
        <w:tc>
          <w:tcPr>
            <w:tcW w:w="1004" w:type="dxa"/>
            <w:tcBorders>
              <w:top w:val="single" w:color="auto" w:sz="4" w:space="0"/>
              <w:left w:val="single" w:color="auto" w:sz="4" w:space="0"/>
              <w:bottom w:val="single" w:color="auto" w:sz="4" w:space="0"/>
              <w:right w:val="single" w:color="auto" w:sz="4" w:space="0"/>
            </w:tcBorders>
            <w:vAlign w:val="center"/>
          </w:tcPr>
          <w:p w14:paraId="1FFFB88D">
            <w:pPr>
              <w:snapToGrid w:val="0"/>
              <w:spacing w:line="360" w:lineRule="auto"/>
              <w:ind w:firstLine="420" w:firstLineChars="200"/>
              <w:jc w:val="center"/>
              <w:rPr>
                <w:rFonts w:ascii="宋体" w:hAnsi="宋体"/>
                <w:szCs w:val="21"/>
              </w:rPr>
            </w:pPr>
          </w:p>
        </w:tc>
        <w:tc>
          <w:tcPr>
            <w:tcW w:w="1663" w:type="dxa"/>
            <w:tcBorders>
              <w:top w:val="single" w:color="auto" w:sz="4" w:space="0"/>
              <w:left w:val="single" w:color="auto" w:sz="4" w:space="0"/>
              <w:bottom w:val="single" w:color="auto" w:sz="4" w:space="0"/>
              <w:right w:val="single" w:color="auto" w:sz="4" w:space="0"/>
            </w:tcBorders>
            <w:vAlign w:val="center"/>
          </w:tcPr>
          <w:p w14:paraId="41698E85">
            <w:pPr>
              <w:snapToGrid w:val="0"/>
              <w:spacing w:line="360" w:lineRule="auto"/>
              <w:ind w:firstLine="420" w:firstLineChars="200"/>
              <w:jc w:val="center"/>
              <w:rPr>
                <w:rFonts w:ascii="宋体" w:hAnsi="宋体"/>
                <w:szCs w:val="21"/>
              </w:rPr>
            </w:pPr>
          </w:p>
        </w:tc>
        <w:tc>
          <w:tcPr>
            <w:tcW w:w="1260" w:type="dxa"/>
            <w:tcBorders>
              <w:top w:val="single" w:color="auto" w:sz="4" w:space="0"/>
              <w:left w:val="single" w:color="auto" w:sz="4" w:space="0"/>
              <w:bottom w:val="single" w:color="auto" w:sz="4" w:space="0"/>
              <w:right w:val="single" w:color="auto" w:sz="4" w:space="0"/>
            </w:tcBorders>
            <w:vAlign w:val="center"/>
          </w:tcPr>
          <w:p w14:paraId="2A863CC1">
            <w:pPr>
              <w:snapToGrid w:val="0"/>
              <w:spacing w:line="360" w:lineRule="auto"/>
              <w:ind w:firstLine="420" w:firstLineChars="200"/>
              <w:jc w:val="center"/>
              <w:rPr>
                <w:rFonts w:ascii="宋体" w:hAnsi="宋体"/>
                <w:szCs w:val="21"/>
              </w:rPr>
            </w:pPr>
          </w:p>
        </w:tc>
        <w:tc>
          <w:tcPr>
            <w:tcW w:w="1274" w:type="dxa"/>
            <w:tcBorders>
              <w:top w:val="single" w:color="auto" w:sz="4" w:space="0"/>
              <w:left w:val="single" w:color="auto" w:sz="4" w:space="0"/>
              <w:bottom w:val="single" w:color="auto" w:sz="4" w:space="0"/>
              <w:right w:val="single" w:color="auto" w:sz="4" w:space="0"/>
            </w:tcBorders>
            <w:vAlign w:val="center"/>
          </w:tcPr>
          <w:p w14:paraId="0B23D838">
            <w:pPr>
              <w:snapToGrid w:val="0"/>
              <w:spacing w:line="360" w:lineRule="auto"/>
              <w:ind w:firstLine="420" w:firstLineChars="200"/>
              <w:jc w:val="center"/>
              <w:rPr>
                <w:rFonts w:ascii="宋体" w:hAnsi="宋体"/>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2570CD66">
            <w:pPr>
              <w:snapToGrid w:val="0"/>
              <w:spacing w:line="360" w:lineRule="auto"/>
              <w:ind w:firstLine="420" w:firstLineChars="200"/>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14:paraId="77AA1E85">
            <w:pPr>
              <w:snapToGrid w:val="0"/>
              <w:spacing w:line="360" w:lineRule="auto"/>
              <w:ind w:firstLine="420" w:firstLineChars="200"/>
              <w:jc w:val="center"/>
              <w:rPr>
                <w:rFonts w:ascii="宋体" w:hAnsi="宋体"/>
                <w:szCs w:val="21"/>
              </w:rPr>
            </w:pPr>
          </w:p>
        </w:tc>
      </w:tr>
      <w:tr w14:paraId="601939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14:paraId="72C25A18">
            <w:pPr>
              <w:snapToGrid w:val="0"/>
              <w:spacing w:line="360" w:lineRule="auto"/>
              <w:ind w:firstLine="420" w:firstLineChars="200"/>
              <w:jc w:val="center"/>
              <w:rPr>
                <w:rFonts w:ascii="宋体" w:hAnsi="宋体"/>
                <w:szCs w:val="21"/>
              </w:rPr>
            </w:pPr>
          </w:p>
        </w:tc>
        <w:tc>
          <w:tcPr>
            <w:tcW w:w="1004" w:type="dxa"/>
            <w:tcBorders>
              <w:top w:val="single" w:color="auto" w:sz="4" w:space="0"/>
              <w:left w:val="single" w:color="auto" w:sz="4" w:space="0"/>
              <w:bottom w:val="single" w:color="auto" w:sz="4" w:space="0"/>
              <w:right w:val="single" w:color="auto" w:sz="4" w:space="0"/>
            </w:tcBorders>
            <w:vAlign w:val="center"/>
          </w:tcPr>
          <w:p w14:paraId="7928A7F1">
            <w:pPr>
              <w:snapToGrid w:val="0"/>
              <w:spacing w:line="360" w:lineRule="auto"/>
              <w:ind w:firstLine="420" w:firstLineChars="200"/>
              <w:jc w:val="center"/>
              <w:rPr>
                <w:rFonts w:ascii="宋体" w:hAnsi="宋体"/>
                <w:szCs w:val="21"/>
              </w:rPr>
            </w:pPr>
          </w:p>
        </w:tc>
        <w:tc>
          <w:tcPr>
            <w:tcW w:w="1663" w:type="dxa"/>
            <w:tcBorders>
              <w:top w:val="single" w:color="auto" w:sz="4" w:space="0"/>
              <w:left w:val="single" w:color="auto" w:sz="4" w:space="0"/>
              <w:bottom w:val="single" w:color="auto" w:sz="4" w:space="0"/>
              <w:right w:val="single" w:color="auto" w:sz="4" w:space="0"/>
            </w:tcBorders>
            <w:vAlign w:val="center"/>
          </w:tcPr>
          <w:p w14:paraId="60843FEB">
            <w:pPr>
              <w:pStyle w:val="4"/>
              <w:snapToGrid w:val="0"/>
              <w:spacing w:line="360" w:lineRule="auto"/>
              <w:ind w:leftChars="0" w:firstLine="420" w:firstLineChars="200"/>
              <w:jc w:val="center"/>
              <w:rPr>
                <w:rFonts w:ascii="宋体" w:hAnsi="宋体" w:eastAsia="宋体"/>
                <w:sz w:val="21"/>
                <w:szCs w:val="21"/>
              </w:rPr>
            </w:pPr>
          </w:p>
        </w:tc>
        <w:tc>
          <w:tcPr>
            <w:tcW w:w="1260" w:type="dxa"/>
            <w:tcBorders>
              <w:top w:val="single" w:color="auto" w:sz="4" w:space="0"/>
              <w:left w:val="single" w:color="auto" w:sz="4" w:space="0"/>
              <w:bottom w:val="single" w:color="auto" w:sz="4" w:space="0"/>
              <w:right w:val="single" w:color="auto" w:sz="4" w:space="0"/>
            </w:tcBorders>
            <w:vAlign w:val="center"/>
          </w:tcPr>
          <w:p w14:paraId="4555BAB2">
            <w:pPr>
              <w:snapToGrid w:val="0"/>
              <w:spacing w:line="360" w:lineRule="auto"/>
              <w:ind w:firstLine="420" w:firstLineChars="200"/>
              <w:jc w:val="center"/>
              <w:rPr>
                <w:rFonts w:ascii="宋体" w:hAnsi="宋体"/>
                <w:szCs w:val="21"/>
              </w:rPr>
            </w:pPr>
          </w:p>
        </w:tc>
        <w:tc>
          <w:tcPr>
            <w:tcW w:w="1274" w:type="dxa"/>
            <w:tcBorders>
              <w:top w:val="single" w:color="auto" w:sz="4" w:space="0"/>
              <w:left w:val="single" w:color="auto" w:sz="4" w:space="0"/>
              <w:bottom w:val="single" w:color="auto" w:sz="4" w:space="0"/>
              <w:right w:val="single" w:color="auto" w:sz="4" w:space="0"/>
            </w:tcBorders>
            <w:vAlign w:val="center"/>
          </w:tcPr>
          <w:p w14:paraId="534DFD4C">
            <w:pPr>
              <w:snapToGrid w:val="0"/>
              <w:spacing w:line="360" w:lineRule="auto"/>
              <w:ind w:firstLine="420" w:firstLineChars="200"/>
              <w:jc w:val="center"/>
              <w:rPr>
                <w:rFonts w:ascii="宋体" w:hAnsi="宋体"/>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2CF00F7E">
            <w:pPr>
              <w:snapToGrid w:val="0"/>
              <w:spacing w:line="360" w:lineRule="auto"/>
              <w:ind w:firstLine="420" w:firstLineChars="200"/>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14:paraId="1F9C08B0">
            <w:pPr>
              <w:snapToGrid w:val="0"/>
              <w:spacing w:line="360" w:lineRule="auto"/>
              <w:ind w:firstLine="420" w:firstLineChars="200"/>
              <w:jc w:val="center"/>
              <w:rPr>
                <w:rFonts w:ascii="宋体" w:hAnsi="宋体"/>
                <w:szCs w:val="21"/>
              </w:rPr>
            </w:pPr>
          </w:p>
        </w:tc>
      </w:tr>
      <w:tr w14:paraId="41F018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14:paraId="31CCB62C">
            <w:pPr>
              <w:snapToGrid w:val="0"/>
              <w:spacing w:line="360" w:lineRule="auto"/>
              <w:ind w:firstLine="420" w:firstLineChars="200"/>
              <w:jc w:val="center"/>
              <w:rPr>
                <w:rFonts w:ascii="宋体" w:hAnsi="宋体"/>
                <w:szCs w:val="21"/>
              </w:rPr>
            </w:pPr>
          </w:p>
        </w:tc>
        <w:tc>
          <w:tcPr>
            <w:tcW w:w="1004" w:type="dxa"/>
            <w:tcBorders>
              <w:top w:val="single" w:color="auto" w:sz="4" w:space="0"/>
              <w:left w:val="single" w:color="auto" w:sz="4" w:space="0"/>
              <w:bottom w:val="single" w:color="auto" w:sz="4" w:space="0"/>
              <w:right w:val="single" w:color="auto" w:sz="4" w:space="0"/>
            </w:tcBorders>
            <w:vAlign w:val="center"/>
          </w:tcPr>
          <w:p w14:paraId="0A676B3D">
            <w:pPr>
              <w:snapToGrid w:val="0"/>
              <w:spacing w:line="360" w:lineRule="auto"/>
              <w:ind w:firstLine="420" w:firstLineChars="200"/>
              <w:jc w:val="center"/>
              <w:rPr>
                <w:rFonts w:ascii="宋体" w:hAnsi="宋体"/>
                <w:szCs w:val="21"/>
              </w:rPr>
            </w:pPr>
          </w:p>
        </w:tc>
        <w:tc>
          <w:tcPr>
            <w:tcW w:w="1663" w:type="dxa"/>
            <w:tcBorders>
              <w:top w:val="single" w:color="auto" w:sz="4" w:space="0"/>
              <w:left w:val="single" w:color="auto" w:sz="4" w:space="0"/>
              <w:bottom w:val="single" w:color="auto" w:sz="4" w:space="0"/>
              <w:right w:val="single" w:color="auto" w:sz="4" w:space="0"/>
            </w:tcBorders>
            <w:vAlign w:val="center"/>
          </w:tcPr>
          <w:p w14:paraId="74AB156B">
            <w:pPr>
              <w:snapToGrid w:val="0"/>
              <w:spacing w:line="360" w:lineRule="auto"/>
              <w:ind w:firstLine="420" w:firstLineChars="200"/>
              <w:jc w:val="center"/>
              <w:rPr>
                <w:rFonts w:ascii="宋体" w:hAnsi="宋体"/>
                <w:szCs w:val="21"/>
              </w:rPr>
            </w:pPr>
          </w:p>
        </w:tc>
        <w:tc>
          <w:tcPr>
            <w:tcW w:w="1260" w:type="dxa"/>
            <w:tcBorders>
              <w:top w:val="single" w:color="auto" w:sz="4" w:space="0"/>
              <w:left w:val="single" w:color="auto" w:sz="4" w:space="0"/>
              <w:bottom w:val="single" w:color="auto" w:sz="4" w:space="0"/>
              <w:right w:val="single" w:color="auto" w:sz="4" w:space="0"/>
            </w:tcBorders>
            <w:vAlign w:val="center"/>
          </w:tcPr>
          <w:p w14:paraId="31343304">
            <w:pPr>
              <w:snapToGrid w:val="0"/>
              <w:spacing w:line="360" w:lineRule="auto"/>
              <w:ind w:firstLine="420" w:firstLineChars="200"/>
              <w:jc w:val="center"/>
              <w:rPr>
                <w:rFonts w:ascii="宋体" w:hAnsi="宋体"/>
                <w:szCs w:val="21"/>
              </w:rPr>
            </w:pPr>
          </w:p>
        </w:tc>
        <w:tc>
          <w:tcPr>
            <w:tcW w:w="1274" w:type="dxa"/>
            <w:tcBorders>
              <w:top w:val="single" w:color="auto" w:sz="4" w:space="0"/>
              <w:left w:val="single" w:color="auto" w:sz="4" w:space="0"/>
              <w:bottom w:val="single" w:color="auto" w:sz="4" w:space="0"/>
              <w:right w:val="single" w:color="auto" w:sz="4" w:space="0"/>
            </w:tcBorders>
            <w:vAlign w:val="center"/>
          </w:tcPr>
          <w:p w14:paraId="5644D692">
            <w:pPr>
              <w:snapToGrid w:val="0"/>
              <w:spacing w:line="360" w:lineRule="auto"/>
              <w:ind w:firstLine="420" w:firstLineChars="200"/>
              <w:jc w:val="center"/>
              <w:rPr>
                <w:rFonts w:ascii="宋体" w:hAnsi="宋体"/>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0F9D0AD7">
            <w:pPr>
              <w:snapToGrid w:val="0"/>
              <w:spacing w:line="360" w:lineRule="auto"/>
              <w:ind w:firstLine="420" w:firstLineChars="200"/>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14:paraId="343BC518">
            <w:pPr>
              <w:snapToGrid w:val="0"/>
              <w:spacing w:line="360" w:lineRule="auto"/>
              <w:ind w:firstLine="420" w:firstLineChars="200"/>
              <w:jc w:val="center"/>
              <w:rPr>
                <w:rFonts w:ascii="宋体" w:hAnsi="宋体"/>
                <w:szCs w:val="21"/>
              </w:rPr>
            </w:pPr>
          </w:p>
        </w:tc>
      </w:tr>
      <w:tr w14:paraId="4F72D4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14:paraId="5193A66F">
            <w:pPr>
              <w:snapToGrid w:val="0"/>
              <w:spacing w:line="360" w:lineRule="auto"/>
              <w:ind w:firstLine="420" w:firstLineChars="200"/>
              <w:jc w:val="center"/>
              <w:rPr>
                <w:rFonts w:ascii="宋体" w:hAnsi="宋体"/>
                <w:szCs w:val="21"/>
              </w:rPr>
            </w:pPr>
          </w:p>
        </w:tc>
        <w:tc>
          <w:tcPr>
            <w:tcW w:w="1004" w:type="dxa"/>
            <w:tcBorders>
              <w:top w:val="single" w:color="auto" w:sz="4" w:space="0"/>
              <w:left w:val="single" w:color="auto" w:sz="4" w:space="0"/>
              <w:bottom w:val="single" w:color="auto" w:sz="4" w:space="0"/>
              <w:right w:val="single" w:color="auto" w:sz="4" w:space="0"/>
            </w:tcBorders>
            <w:vAlign w:val="center"/>
          </w:tcPr>
          <w:p w14:paraId="78E8E241">
            <w:pPr>
              <w:snapToGrid w:val="0"/>
              <w:spacing w:line="360" w:lineRule="auto"/>
              <w:ind w:firstLine="420" w:firstLineChars="200"/>
              <w:jc w:val="center"/>
              <w:rPr>
                <w:rFonts w:ascii="宋体" w:hAnsi="宋体"/>
                <w:szCs w:val="21"/>
              </w:rPr>
            </w:pPr>
          </w:p>
        </w:tc>
        <w:tc>
          <w:tcPr>
            <w:tcW w:w="1663" w:type="dxa"/>
            <w:tcBorders>
              <w:top w:val="single" w:color="auto" w:sz="4" w:space="0"/>
              <w:left w:val="single" w:color="auto" w:sz="4" w:space="0"/>
              <w:bottom w:val="single" w:color="auto" w:sz="4" w:space="0"/>
              <w:right w:val="single" w:color="auto" w:sz="4" w:space="0"/>
            </w:tcBorders>
            <w:vAlign w:val="center"/>
          </w:tcPr>
          <w:p w14:paraId="23CB700B">
            <w:pPr>
              <w:snapToGrid w:val="0"/>
              <w:spacing w:line="360" w:lineRule="auto"/>
              <w:ind w:firstLine="420" w:firstLineChars="200"/>
              <w:jc w:val="center"/>
              <w:rPr>
                <w:rFonts w:ascii="宋体" w:hAnsi="宋体"/>
                <w:szCs w:val="21"/>
              </w:rPr>
            </w:pPr>
          </w:p>
        </w:tc>
        <w:tc>
          <w:tcPr>
            <w:tcW w:w="1260" w:type="dxa"/>
            <w:tcBorders>
              <w:top w:val="single" w:color="auto" w:sz="4" w:space="0"/>
              <w:left w:val="single" w:color="auto" w:sz="4" w:space="0"/>
              <w:bottom w:val="single" w:color="auto" w:sz="4" w:space="0"/>
              <w:right w:val="single" w:color="auto" w:sz="4" w:space="0"/>
            </w:tcBorders>
            <w:vAlign w:val="center"/>
          </w:tcPr>
          <w:p w14:paraId="1B64876D">
            <w:pPr>
              <w:snapToGrid w:val="0"/>
              <w:spacing w:line="360" w:lineRule="auto"/>
              <w:ind w:firstLine="420" w:firstLineChars="200"/>
              <w:jc w:val="center"/>
              <w:rPr>
                <w:rFonts w:ascii="宋体" w:hAnsi="宋体"/>
                <w:szCs w:val="21"/>
              </w:rPr>
            </w:pPr>
          </w:p>
        </w:tc>
        <w:tc>
          <w:tcPr>
            <w:tcW w:w="1274" w:type="dxa"/>
            <w:tcBorders>
              <w:top w:val="single" w:color="auto" w:sz="4" w:space="0"/>
              <w:left w:val="single" w:color="auto" w:sz="4" w:space="0"/>
              <w:bottom w:val="single" w:color="auto" w:sz="4" w:space="0"/>
              <w:right w:val="single" w:color="auto" w:sz="4" w:space="0"/>
            </w:tcBorders>
            <w:vAlign w:val="center"/>
          </w:tcPr>
          <w:p w14:paraId="79F153EA">
            <w:pPr>
              <w:snapToGrid w:val="0"/>
              <w:spacing w:line="360" w:lineRule="auto"/>
              <w:ind w:firstLine="420" w:firstLineChars="200"/>
              <w:jc w:val="center"/>
              <w:rPr>
                <w:rFonts w:ascii="宋体" w:hAnsi="宋体"/>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44DDDCE2">
            <w:pPr>
              <w:snapToGrid w:val="0"/>
              <w:spacing w:line="360" w:lineRule="auto"/>
              <w:ind w:firstLine="420" w:firstLineChars="200"/>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14:paraId="4158B2E9">
            <w:pPr>
              <w:snapToGrid w:val="0"/>
              <w:spacing w:line="360" w:lineRule="auto"/>
              <w:ind w:firstLine="420" w:firstLineChars="200"/>
              <w:jc w:val="center"/>
              <w:rPr>
                <w:rFonts w:ascii="宋体" w:hAnsi="宋体"/>
                <w:szCs w:val="21"/>
              </w:rPr>
            </w:pPr>
          </w:p>
        </w:tc>
      </w:tr>
      <w:tr w14:paraId="5FCA19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14:paraId="43116E0C">
            <w:pPr>
              <w:snapToGrid w:val="0"/>
              <w:spacing w:line="360" w:lineRule="auto"/>
              <w:ind w:firstLine="420" w:firstLineChars="200"/>
              <w:jc w:val="center"/>
              <w:rPr>
                <w:rFonts w:ascii="宋体" w:hAnsi="宋体"/>
                <w:szCs w:val="21"/>
              </w:rPr>
            </w:pPr>
          </w:p>
        </w:tc>
        <w:tc>
          <w:tcPr>
            <w:tcW w:w="1004" w:type="dxa"/>
            <w:tcBorders>
              <w:top w:val="single" w:color="auto" w:sz="4" w:space="0"/>
              <w:left w:val="single" w:color="auto" w:sz="4" w:space="0"/>
              <w:bottom w:val="single" w:color="auto" w:sz="4" w:space="0"/>
              <w:right w:val="single" w:color="auto" w:sz="4" w:space="0"/>
            </w:tcBorders>
            <w:vAlign w:val="center"/>
          </w:tcPr>
          <w:p w14:paraId="41D28341">
            <w:pPr>
              <w:snapToGrid w:val="0"/>
              <w:spacing w:line="360" w:lineRule="auto"/>
              <w:ind w:firstLine="420" w:firstLineChars="200"/>
              <w:jc w:val="center"/>
              <w:rPr>
                <w:rFonts w:ascii="宋体" w:hAnsi="宋体"/>
                <w:szCs w:val="21"/>
              </w:rPr>
            </w:pPr>
          </w:p>
        </w:tc>
        <w:tc>
          <w:tcPr>
            <w:tcW w:w="1663" w:type="dxa"/>
            <w:tcBorders>
              <w:top w:val="single" w:color="auto" w:sz="4" w:space="0"/>
              <w:left w:val="single" w:color="auto" w:sz="4" w:space="0"/>
              <w:bottom w:val="single" w:color="auto" w:sz="4" w:space="0"/>
              <w:right w:val="single" w:color="auto" w:sz="4" w:space="0"/>
            </w:tcBorders>
            <w:vAlign w:val="center"/>
          </w:tcPr>
          <w:p w14:paraId="0D354E4D">
            <w:pPr>
              <w:snapToGrid w:val="0"/>
              <w:spacing w:line="360" w:lineRule="auto"/>
              <w:ind w:firstLine="420" w:firstLineChars="200"/>
              <w:jc w:val="center"/>
              <w:rPr>
                <w:rFonts w:ascii="宋体" w:hAnsi="宋体"/>
                <w:szCs w:val="21"/>
              </w:rPr>
            </w:pPr>
          </w:p>
        </w:tc>
        <w:tc>
          <w:tcPr>
            <w:tcW w:w="1260" w:type="dxa"/>
            <w:tcBorders>
              <w:top w:val="single" w:color="auto" w:sz="4" w:space="0"/>
              <w:left w:val="single" w:color="auto" w:sz="4" w:space="0"/>
              <w:bottom w:val="single" w:color="auto" w:sz="4" w:space="0"/>
              <w:right w:val="single" w:color="auto" w:sz="4" w:space="0"/>
            </w:tcBorders>
            <w:vAlign w:val="center"/>
          </w:tcPr>
          <w:p w14:paraId="44735AB7">
            <w:pPr>
              <w:snapToGrid w:val="0"/>
              <w:spacing w:line="360" w:lineRule="auto"/>
              <w:ind w:firstLine="420" w:firstLineChars="200"/>
              <w:jc w:val="center"/>
              <w:rPr>
                <w:rFonts w:ascii="宋体" w:hAnsi="宋体"/>
                <w:szCs w:val="21"/>
              </w:rPr>
            </w:pPr>
          </w:p>
        </w:tc>
        <w:tc>
          <w:tcPr>
            <w:tcW w:w="1274" w:type="dxa"/>
            <w:tcBorders>
              <w:top w:val="single" w:color="auto" w:sz="4" w:space="0"/>
              <w:left w:val="single" w:color="auto" w:sz="4" w:space="0"/>
              <w:bottom w:val="single" w:color="auto" w:sz="4" w:space="0"/>
              <w:right w:val="single" w:color="auto" w:sz="4" w:space="0"/>
            </w:tcBorders>
            <w:vAlign w:val="center"/>
          </w:tcPr>
          <w:p w14:paraId="2440A241">
            <w:pPr>
              <w:snapToGrid w:val="0"/>
              <w:spacing w:line="360" w:lineRule="auto"/>
              <w:ind w:firstLine="420" w:firstLineChars="200"/>
              <w:jc w:val="center"/>
              <w:rPr>
                <w:rFonts w:ascii="宋体" w:hAnsi="宋体"/>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7A1EAC8B">
            <w:pPr>
              <w:snapToGrid w:val="0"/>
              <w:spacing w:line="360" w:lineRule="auto"/>
              <w:ind w:firstLine="420" w:firstLineChars="200"/>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14:paraId="7742580E">
            <w:pPr>
              <w:snapToGrid w:val="0"/>
              <w:spacing w:line="360" w:lineRule="auto"/>
              <w:ind w:firstLine="420" w:firstLineChars="200"/>
              <w:jc w:val="center"/>
              <w:rPr>
                <w:rFonts w:ascii="宋体" w:hAnsi="宋体"/>
                <w:szCs w:val="21"/>
              </w:rPr>
            </w:pPr>
          </w:p>
        </w:tc>
      </w:tr>
      <w:tr w14:paraId="29020D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14:paraId="323BA00D">
            <w:pPr>
              <w:snapToGrid w:val="0"/>
              <w:spacing w:line="360" w:lineRule="auto"/>
              <w:ind w:firstLine="420" w:firstLineChars="200"/>
              <w:jc w:val="center"/>
              <w:rPr>
                <w:rFonts w:ascii="宋体" w:hAnsi="宋体"/>
                <w:szCs w:val="21"/>
              </w:rPr>
            </w:pPr>
          </w:p>
        </w:tc>
        <w:tc>
          <w:tcPr>
            <w:tcW w:w="1004" w:type="dxa"/>
            <w:tcBorders>
              <w:top w:val="single" w:color="auto" w:sz="4" w:space="0"/>
              <w:left w:val="single" w:color="auto" w:sz="4" w:space="0"/>
              <w:bottom w:val="single" w:color="auto" w:sz="4" w:space="0"/>
              <w:right w:val="single" w:color="auto" w:sz="4" w:space="0"/>
            </w:tcBorders>
            <w:vAlign w:val="center"/>
          </w:tcPr>
          <w:p w14:paraId="66C857C6">
            <w:pPr>
              <w:snapToGrid w:val="0"/>
              <w:spacing w:line="360" w:lineRule="auto"/>
              <w:ind w:firstLine="420" w:firstLineChars="200"/>
              <w:jc w:val="center"/>
              <w:rPr>
                <w:rFonts w:ascii="宋体" w:hAnsi="宋体"/>
                <w:szCs w:val="21"/>
              </w:rPr>
            </w:pPr>
          </w:p>
        </w:tc>
        <w:tc>
          <w:tcPr>
            <w:tcW w:w="1663" w:type="dxa"/>
            <w:tcBorders>
              <w:top w:val="single" w:color="auto" w:sz="4" w:space="0"/>
              <w:left w:val="single" w:color="auto" w:sz="4" w:space="0"/>
              <w:bottom w:val="single" w:color="auto" w:sz="4" w:space="0"/>
              <w:right w:val="single" w:color="auto" w:sz="4" w:space="0"/>
            </w:tcBorders>
            <w:vAlign w:val="center"/>
          </w:tcPr>
          <w:p w14:paraId="2833C29B">
            <w:pPr>
              <w:snapToGrid w:val="0"/>
              <w:spacing w:line="360" w:lineRule="auto"/>
              <w:ind w:firstLine="420" w:firstLineChars="200"/>
              <w:jc w:val="center"/>
              <w:rPr>
                <w:rFonts w:ascii="宋体" w:hAnsi="宋体"/>
                <w:szCs w:val="21"/>
              </w:rPr>
            </w:pPr>
          </w:p>
        </w:tc>
        <w:tc>
          <w:tcPr>
            <w:tcW w:w="1260" w:type="dxa"/>
            <w:tcBorders>
              <w:top w:val="single" w:color="auto" w:sz="4" w:space="0"/>
              <w:left w:val="single" w:color="auto" w:sz="4" w:space="0"/>
              <w:bottom w:val="single" w:color="auto" w:sz="4" w:space="0"/>
              <w:right w:val="single" w:color="auto" w:sz="4" w:space="0"/>
            </w:tcBorders>
            <w:vAlign w:val="center"/>
          </w:tcPr>
          <w:p w14:paraId="25273302">
            <w:pPr>
              <w:snapToGrid w:val="0"/>
              <w:spacing w:line="360" w:lineRule="auto"/>
              <w:ind w:firstLine="420" w:firstLineChars="200"/>
              <w:jc w:val="center"/>
              <w:rPr>
                <w:rFonts w:ascii="宋体" w:hAnsi="宋体"/>
                <w:szCs w:val="21"/>
              </w:rPr>
            </w:pPr>
          </w:p>
        </w:tc>
        <w:tc>
          <w:tcPr>
            <w:tcW w:w="1274" w:type="dxa"/>
            <w:tcBorders>
              <w:top w:val="single" w:color="auto" w:sz="4" w:space="0"/>
              <w:left w:val="single" w:color="auto" w:sz="4" w:space="0"/>
              <w:bottom w:val="single" w:color="auto" w:sz="4" w:space="0"/>
              <w:right w:val="single" w:color="auto" w:sz="4" w:space="0"/>
            </w:tcBorders>
            <w:vAlign w:val="center"/>
          </w:tcPr>
          <w:p w14:paraId="6E116049">
            <w:pPr>
              <w:snapToGrid w:val="0"/>
              <w:spacing w:line="360" w:lineRule="auto"/>
              <w:ind w:firstLine="420" w:firstLineChars="200"/>
              <w:jc w:val="center"/>
              <w:rPr>
                <w:rFonts w:ascii="宋体" w:hAnsi="宋体"/>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7AF10CBC">
            <w:pPr>
              <w:snapToGrid w:val="0"/>
              <w:spacing w:line="360" w:lineRule="auto"/>
              <w:ind w:firstLine="420" w:firstLineChars="200"/>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14:paraId="20420EBC">
            <w:pPr>
              <w:snapToGrid w:val="0"/>
              <w:spacing w:line="360" w:lineRule="auto"/>
              <w:ind w:firstLine="420" w:firstLineChars="200"/>
              <w:jc w:val="center"/>
              <w:rPr>
                <w:rFonts w:ascii="宋体" w:hAnsi="宋体"/>
                <w:szCs w:val="21"/>
              </w:rPr>
            </w:pPr>
          </w:p>
        </w:tc>
      </w:tr>
      <w:tr w14:paraId="12B5C1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14:paraId="6049BCA4">
            <w:pPr>
              <w:snapToGrid w:val="0"/>
              <w:spacing w:line="360" w:lineRule="auto"/>
              <w:ind w:firstLine="420" w:firstLineChars="200"/>
              <w:jc w:val="center"/>
              <w:rPr>
                <w:rFonts w:ascii="宋体" w:hAnsi="宋体"/>
                <w:szCs w:val="21"/>
              </w:rPr>
            </w:pPr>
          </w:p>
        </w:tc>
        <w:tc>
          <w:tcPr>
            <w:tcW w:w="1004" w:type="dxa"/>
            <w:tcBorders>
              <w:top w:val="single" w:color="auto" w:sz="4" w:space="0"/>
              <w:left w:val="single" w:color="auto" w:sz="4" w:space="0"/>
              <w:bottom w:val="single" w:color="auto" w:sz="4" w:space="0"/>
              <w:right w:val="single" w:color="auto" w:sz="4" w:space="0"/>
            </w:tcBorders>
            <w:vAlign w:val="center"/>
          </w:tcPr>
          <w:p w14:paraId="78E85B69">
            <w:pPr>
              <w:snapToGrid w:val="0"/>
              <w:spacing w:line="360" w:lineRule="auto"/>
              <w:ind w:firstLine="420" w:firstLineChars="200"/>
              <w:jc w:val="center"/>
              <w:rPr>
                <w:rFonts w:ascii="宋体" w:hAnsi="宋体"/>
                <w:szCs w:val="21"/>
              </w:rPr>
            </w:pPr>
          </w:p>
        </w:tc>
        <w:tc>
          <w:tcPr>
            <w:tcW w:w="1663" w:type="dxa"/>
            <w:tcBorders>
              <w:top w:val="single" w:color="auto" w:sz="4" w:space="0"/>
              <w:left w:val="single" w:color="auto" w:sz="4" w:space="0"/>
              <w:bottom w:val="single" w:color="auto" w:sz="4" w:space="0"/>
              <w:right w:val="single" w:color="auto" w:sz="4" w:space="0"/>
            </w:tcBorders>
            <w:vAlign w:val="center"/>
          </w:tcPr>
          <w:p w14:paraId="3199203F">
            <w:pPr>
              <w:snapToGrid w:val="0"/>
              <w:spacing w:line="360" w:lineRule="auto"/>
              <w:ind w:firstLine="420" w:firstLineChars="200"/>
              <w:jc w:val="center"/>
              <w:rPr>
                <w:rFonts w:ascii="宋体" w:hAnsi="宋体"/>
                <w:szCs w:val="21"/>
              </w:rPr>
            </w:pPr>
          </w:p>
        </w:tc>
        <w:tc>
          <w:tcPr>
            <w:tcW w:w="1260" w:type="dxa"/>
            <w:tcBorders>
              <w:top w:val="single" w:color="auto" w:sz="4" w:space="0"/>
              <w:left w:val="single" w:color="auto" w:sz="4" w:space="0"/>
              <w:bottom w:val="single" w:color="auto" w:sz="4" w:space="0"/>
              <w:right w:val="single" w:color="auto" w:sz="4" w:space="0"/>
            </w:tcBorders>
            <w:vAlign w:val="center"/>
          </w:tcPr>
          <w:p w14:paraId="4983D5F1">
            <w:pPr>
              <w:snapToGrid w:val="0"/>
              <w:spacing w:line="360" w:lineRule="auto"/>
              <w:ind w:firstLine="420" w:firstLineChars="200"/>
              <w:jc w:val="center"/>
              <w:rPr>
                <w:rFonts w:ascii="宋体" w:hAnsi="宋体"/>
                <w:szCs w:val="21"/>
              </w:rPr>
            </w:pPr>
          </w:p>
        </w:tc>
        <w:tc>
          <w:tcPr>
            <w:tcW w:w="1274" w:type="dxa"/>
            <w:tcBorders>
              <w:top w:val="single" w:color="auto" w:sz="4" w:space="0"/>
              <w:left w:val="single" w:color="auto" w:sz="4" w:space="0"/>
              <w:bottom w:val="single" w:color="auto" w:sz="4" w:space="0"/>
              <w:right w:val="single" w:color="auto" w:sz="4" w:space="0"/>
            </w:tcBorders>
            <w:vAlign w:val="center"/>
          </w:tcPr>
          <w:p w14:paraId="321FDC18">
            <w:pPr>
              <w:snapToGrid w:val="0"/>
              <w:spacing w:line="360" w:lineRule="auto"/>
              <w:ind w:firstLine="420" w:firstLineChars="200"/>
              <w:jc w:val="center"/>
              <w:rPr>
                <w:rFonts w:ascii="宋体" w:hAnsi="宋体"/>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6A9FCEB7">
            <w:pPr>
              <w:snapToGrid w:val="0"/>
              <w:spacing w:line="360" w:lineRule="auto"/>
              <w:ind w:firstLine="420" w:firstLineChars="200"/>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14:paraId="0C986B4B">
            <w:pPr>
              <w:snapToGrid w:val="0"/>
              <w:spacing w:line="360" w:lineRule="auto"/>
              <w:ind w:firstLine="420" w:firstLineChars="200"/>
              <w:jc w:val="center"/>
              <w:rPr>
                <w:rFonts w:ascii="宋体" w:hAnsi="宋体"/>
                <w:szCs w:val="21"/>
              </w:rPr>
            </w:pPr>
          </w:p>
        </w:tc>
      </w:tr>
      <w:tr w14:paraId="2F45A6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14:paraId="7FD13F99">
            <w:pPr>
              <w:snapToGrid w:val="0"/>
              <w:spacing w:line="360" w:lineRule="auto"/>
              <w:ind w:firstLine="420" w:firstLineChars="200"/>
              <w:jc w:val="center"/>
              <w:rPr>
                <w:rFonts w:ascii="宋体" w:hAnsi="宋体"/>
                <w:szCs w:val="21"/>
              </w:rPr>
            </w:pPr>
          </w:p>
        </w:tc>
        <w:tc>
          <w:tcPr>
            <w:tcW w:w="1004" w:type="dxa"/>
            <w:tcBorders>
              <w:top w:val="single" w:color="auto" w:sz="4" w:space="0"/>
              <w:left w:val="single" w:color="auto" w:sz="4" w:space="0"/>
              <w:bottom w:val="single" w:color="auto" w:sz="4" w:space="0"/>
              <w:right w:val="single" w:color="auto" w:sz="4" w:space="0"/>
            </w:tcBorders>
            <w:vAlign w:val="center"/>
          </w:tcPr>
          <w:p w14:paraId="42180D34">
            <w:pPr>
              <w:snapToGrid w:val="0"/>
              <w:spacing w:line="360" w:lineRule="auto"/>
              <w:ind w:firstLine="420" w:firstLineChars="200"/>
              <w:jc w:val="center"/>
              <w:rPr>
                <w:rFonts w:ascii="宋体" w:hAnsi="宋体"/>
                <w:szCs w:val="21"/>
              </w:rPr>
            </w:pPr>
          </w:p>
        </w:tc>
        <w:tc>
          <w:tcPr>
            <w:tcW w:w="1663" w:type="dxa"/>
            <w:tcBorders>
              <w:top w:val="single" w:color="auto" w:sz="4" w:space="0"/>
              <w:left w:val="single" w:color="auto" w:sz="4" w:space="0"/>
              <w:bottom w:val="single" w:color="auto" w:sz="4" w:space="0"/>
              <w:right w:val="single" w:color="auto" w:sz="4" w:space="0"/>
            </w:tcBorders>
            <w:vAlign w:val="center"/>
          </w:tcPr>
          <w:p w14:paraId="04B0A46C">
            <w:pPr>
              <w:snapToGrid w:val="0"/>
              <w:spacing w:line="360" w:lineRule="auto"/>
              <w:ind w:firstLine="420" w:firstLineChars="200"/>
              <w:jc w:val="center"/>
              <w:rPr>
                <w:rFonts w:ascii="宋体" w:hAnsi="宋体"/>
                <w:szCs w:val="21"/>
              </w:rPr>
            </w:pPr>
          </w:p>
        </w:tc>
        <w:tc>
          <w:tcPr>
            <w:tcW w:w="1260" w:type="dxa"/>
            <w:tcBorders>
              <w:top w:val="single" w:color="auto" w:sz="4" w:space="0"/>
              <w:left w:val="single" w:color="auto" w:sz="4" w:space="0"/>
              <w:bottom w:val="single" w:color="auto" w:sz="4" w:space="0"/>
              <w:right w:val="single" w:color="auto" w:sz="4" w:space="0"/>
            </w:tcBorders>
            <w:vAlign w:val="center"/>
          </w:tcPr>
          <w:p w14:paraId="28582D6D">
            <w:pPr>
              <w:snapToGrid w:val="0"/>
              <w:spacing w:line="360" w:lineRule="auto"/>
              <w:ind w:firstLine="420" w:firstLineChars="200"/>
              <w:jc w:val="center"/>
              <w:rPr>
                <w:rFonts w:ascii="宋体" w:hAnsi="宋体"/>
                <w:szCs w:val="21"/>
              </w:rPr>
            </w:pPr>
          </w:p>
        </w:tc>
        <w:tc>
          <w:tcPr>
            <w:tcW w:w="1274" w:type="dxa"/>
            <w:tcBorders>
              <w:top w:val="single" w:color="auto" w:sz="4" w:space="0"/>
              <w:left w:val="single" w:color="auto" w:sz="4" w:space="0"/>
              <w:bottom w:val="single" w:color="auto" w:sz="4" w:space="0"/>
              <w:right w:val="single" w:color="auto" w:sz="4" w:space="0"/>
            </w:tcBorders>
            <w:vAlign w:val="center"/>
          </w:tcPr>
          <w:p w14:paraId="38DBCBFA">
            <w:pPr>
              <w:snapToGrid w:val="0"/>
              <w:spacing w:line="360" w:lineRule="auto"/>
              <w:ind w:firstLine="420" w:firstLineChars="200"/>
              <w:jc w:val="center"/>
              <w:rPr>
                <w:rFonts w:ascii="宋体" w:hAnsi="宋体"/>
                <w:szCs w:val="21"/>
              </w:rPr>
            </w:pPr>
          </w:p>
        </w:tc>
        <w:tc>
          <w:tcPr>
            <w:tcW w:w="1559" w:type="dxa"/>
            <w:tcBorders>
              <w:top w:val="single" w:color="auto" w:sz="4" w:space="0"/>
              <w:left w:val="single" w:color="auto" w:sz="4" w:space="0"/>
              <w:bottom w:val="single" w:color="auto" w:sz="4" w:space="0"/>
              <w:right w:val="single" w:color="auto" w:sz="4" w:space="0"/>
            </w:tcBorders>
            <w:vAlign w:val="center"/>
          </w:tcPr>
          <w:p w14:paraId="398B1044">
            <w:pPr>
              <w:snapToGrid w:val="0"/>
              <w:spacing w:line="360" w:lineRule="auto"/>
              <w:ind w:firstLine="420" w:firstLineChars="200"/>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14:paraId="7CB0F772">
            <w:pPr>
              <w:snapToGrid w:val="0"/>
              <w:spacing w:line="360" w:lineRule="auto"/>
              <w:ind w:firstLine="420" w:firstLineChars="200"/>
              <w:jc w:val="center"/>
              <w:rPr>
                <w:rFonts w:ascii="宋体" w:hAnsi="宋体"/>
                <w:szCs w:val="21"/>
              </w:rPr>
            </w:pPr>
          </w:p>
        </w:tc>
      </w:tr>
    </w:tbl>
    <w:p w14:paraId="335149BF">
      <w:pPr>
        <w:snapToGrid w:val="0"/>
        <w:spacing w:line="360" w:lineRule="auto"/>
        <w:ind w:firstLine="420" w:firstLineChars="200"/>
        <w:jc w:val="left"/>
        <w:rPr>
          <w:rFonts w:ascii="宋体" w:hAnsi="宋体"/>
          <w:szCs w:val="21"/>
        </w:rPr>
      </w:pPr>
      <w:r>
        <w:rPr>
          <w:rFonts w:hint="eastAsia" w:ascii="宋体" w:hAnsi="宋体"/>
          <w:szCs w:val="21"/>
        </w:rPr>
        <w:t>注：在填写时，如本表格不适合投标单位的实际情况，可根据本表格式自行划表填写。</w:t>
      </w:r>
    </w:p>
    <w:p w14:paraId="0C65C3DF">
      <w:pPr>
        <w:snapToGrid w:val="0"/>
        <w:spacing w:line="360" w:lineRule="auto"/>
        <w:ind w:firstLine="500" w:firstLineChars="200"/>
        <w:jc w:val="left"/>
        <w:rPr>
          <w:rFonts w:ascii="宋体" w:hAnsi="宋体"/>
          <w:spacing w:val="20"/>
          <w:szCs w:val="21"/>
          <w:u w:val="single"/>
        </w:rPr>
      </w:pPr>
      <w:r>
        <w:rPr>
          <w:rFonts w:hint="eastAsia" w:ascii="宋体" w:hAnsi="宋体"/>
          <w:spacing w:val="20"/>
          <w:szCs w:val="21"/>
        </w:rPr>
        <w:t>授权代表签名：</w:t>
      </w:r>
    </w:p>
    <w:p w14:paraId="6377A52D">
      <w:pPr>
        <w:snapToGrid w:val="0"/>
        <w:spacing w:line="360" w:lineRule="auto"/>
        <w:ind w:firstLine="500" w:firstLineChars="200"/>
        <w:jc w:val="left"/>
        <w:rPr>
          <w:rFonts w:ascii="宋体" w:hAnsi="宋体"/>
          <w:spacing w:val="20"/>
          <w:szCs w:val="21"/>
        </w:rPr>
      </w:pPr>
      <w:r>
        <w:rPr>
          <w:rFonts w:hint="eastAsia" w:ascii="宋体" w:hAnsi="宋体"/>
          <w:spacing w:val="20"/>
          <w:szCs w:val="21"/>
        </w:rPr>
        <w:t>投标人盖章：</w:t>
      </w:r>
    </w:p>
    <w:p w14:paraId="2143C178">
      <w:pPr>
        <w:snapToGrid w:val="0"/>
        <w:spacing w:line="360" w:lineRule="auto"/>
        <w:ind w:firstLine="500" w:firstLineChars="200"/>
        <w:jc w:val="left"/>
        <w:rPr>
          <w:rFonts w:ascii="宋体" w:hAnsi="宋体"/>
          <w:spacing w:val="20"/>
          <w:szCs w:val="21"/>
          <w:u w:val="single"/>
        </w:rPr>
      </w:pPr>
      <w:r>
        <w:rPr>
          <w:rFonts w:hint="eastAsia" w:ascii="宋体" w:hAnsi="宋体"/>
          <w:spacing w:val="20"/>
          <w:szCs w:val="21"/>
        </w:rPr>
        <w:t>日期：</w:t>
      </w:r>
    </w:p>
    <w:p w14:paraId="75241A54">
      <w:pPr>
        <w:snapToGrid w:val="0"/>
        <w:spacing w:line="360" w:lineRule="auto"/>
        <w:ind w:firstLine="422" w:firstLineChars="200"/>
        <w:jc w:val="left"/>
        <w:rPr>
          <w:rFonts w:ascii="宋体" w:hAnsi="宋体" w:cs="微软雅黑"/>
          <w:b/>
          <w:szCs w:val="21"/>
        </w:rPr>
      </w:pPr>
    </w:p>
    <w:p w14:paraId="5AE1BB7F">
      <w:pPr>
        <w:snapToGrid w:val="0"/>
        <w:spacing w:line="360" w:lineRule="auto"/>
        <w:ind w:firstLine="422" w:firstLineChars="200"/>
        <w:jc w:val="left"/>
        <w:rPr>
          <w:rFonts w:ascii="宋体" w:hAnsi="宋体" w:cs="微软雅黑"/>
          <w:b/>
          <w:szCs w:val="21"/>
        </w:rPr>
      </w:pPr>
    </w:p>
    <w:p w14:paraId="20914B89">
      <w:pPr>
        <w:snapToGrid w:val="0"/>
        <w:spacing w:line="360" w:lineRule="auto"/>
        <w:ind w:firstLine="422" w:firstLineChars="200"/>
        <w:jc w:val="left"/>
        <w:rPr>
          <w:rFonts w:ascii="宋体" w:hAnsi="宋体" w:cs="微软雅黑"/>
          <w:b/>
          <w:szCs w:val="21"/>
        </w:rPr>
      </w:pPr>
    </w:p>
    <w:p w14:paraId="05DFB5B8">
      <w:pPr>
        <w:snapToGrid w:val="0"/>
        <w:spacing w:line="360" w:lineRule="auto"/>
        <w:ind w:firstLine="422" w:firstLineChars="200"/>
        <w:jc w:val="left"/>
        <w:rPr>
          <w:rFonts w:ascii="宋体" w:hAnsi="宋体" w:cs="微软雅黑"/>
          <w:b/>
          <w:szCs w:val="21"/>
        </w:rPr>
      </w:pPr>
    </w:p>
    <w:p w14:paraId="5CBACD2E">
      <w:pPr>
        <w:snapToGrid w:val="0"/>
        <w:spacing w:line="360" w:lineRule="auto"/>
        <w:ind w:firstLine="422" w:firstLineChars="200"/>
        <w:jc w:val="left"/>
        <w:rPr>
          <w:rFonts w:ascii="宋体" w:hAnsi="宋体" w:cs="微软雅黑"/>
          <w:b/>
          <w:szCs w:val="21"/>
        </w:rPr>
      </w:pPr>
    </w:p>
    <w:p w14:paraId="77B738C3">
      <w:pPr>
        <w:snapToGrid w:val="0"/>
        <w:spacing w:line="360" w:lineRule="auto"/>
        <w:ind w:firstLine="422" w:firstLineChars="200"/>
        <w:jc w:val="left"/>
        <w:rPr>
          <w:rFonts w:ascii="宋体" w:hAnsi="宋体" w:cs="微软雅黑"/>
          <w:b/>
          <w:szCs w:val="21"/>
        </w:rPr>
      </w:pPr>
    </w:p>
    <w:p w14:paraId="78369ADE">
      <w:pPr>
        <w:snapToGrid w:val="0"/>
        <w:spacing w:line="360" w:lineRule="auto"/>
        <w:ind w:firstLine="422" w:firstLineChars="200"/>
        <w:jc w:val="left"/>
        <w:rPr>
          <w:rFonts w:ascii="宋体" w:hAnsi="宋体" w:cs="微软雅黑"/>
          <w:b/>
          <w:szCs w:val="21"/>
        </w:rPr>
      </w:pPr>
    </w:p>
    <w:p w14:paraId="3FA4D2DF">
      <w:pPr>
        <w:snapToGrid w:val="0"/>
        <w:spacing w:line="360" w:lineRule="auto"/>
        <w:ind w:firstLine="422" w:firstLineChars="200"/>
        <w:jc w:val="left"/>
        <w:rPr>
          <w:rFonts w:ascii="宋体" w:hAnsi="宋体" w:cs="微软雅黑"/>
          <w:b/>
          <w:szCs w:val="21"/>
        </w:rPr>
        <w:sectPr>
          <w:headerReference r:id="rId9" w:type="first"/>
          <w:footerReference r:id="rId11" w:type="first"/>
          <w:footerReference r:id="rId10" w:type="even"/>
          <w:pgSz w:w="11907" w:h="16839"/>
          <w:pgMar w:top="1440" w:right="1800" w:bottom="1440" w:left="1800" w:header="851" w:footer="992" w:gutter="0"/>
          <w:cols w:space="720" w:num="1"/>
          <w:docGrid w:type="lines" w:linePitch="312" w:charSpace="0"/>
        </w:sectPr>
      </w:pPr>
    </w:p>
    <w:p w14:paraId="60ABD073">
      <w:pPr>
        <w:snapToGrid w:val="0"/>
        <w:spacing w:line="360" w:lineRule="auto"/>
        <w:ind w:firstLine="420" w:firstLineChars="200"/>
        <w:jc w:val="left"/>
        <w:rPr>
          <w:rFonts w:ascii="宋体" w:hAnsi="宋体"/>
          <w:szCs w:val="21"/>
        </w:rPr>
      </w:pPr>
      <w:r>
        <w:rPr>
          <w:rFonts w:hint="eastAsia" w:ascii="宋体" w:hAnsi="宋体"/>
          <w:szCs w:val="21"/>
        </w:rPr>
        <w:t>投标函格式：</w:t>
      </w:r>
    </w:p>
    <w:p w14:paraId="36D6F193">
      <w:pPr>
        <w:snapToGrid w:val="0"/>
        <w:spacing w:line="360" w:lineRule="auto"/>
        <w:ind w:firstLine="422" w:firstLineChars="200"/>
        <w:jc w:val="center"/>
        <w:rPr>
          <w:rFonts w:ascii="宋体" w:hAnsi="宋体"/>
          <w:b/>
          <w:szCs w:val="21"/>
        </w:rPr>
      </w:pPr>
      <w:r>
        <w:rPr>
          <w:rFonts w:hint="eastAsia" w:ascii="宋体" w:hAnsi="宋体"/>
          <w:b/>
          <w:szCs w:val="21"/>
        </w:rPr>
        <w:t>投标函</w:t>
      </w:r>
    </w:p>
    <w:p w14:paraId="2B3CC100">
      <w:pPr>
        <w:snapToGrid w:val="0"/>
        <w:spacing w:line="360" w:lineRule="auto"/>
        <w:ind w:firstLine="420" w:firstLineChars="200"/>
        <w:jc w:val="left"/>
        <w:rPr>
          <w:rFonts w:ascii="宋体" w:hAnsi="宋体"/>
          <w:szCs w:val="21"/>
        </w:rPr>
      </w:pPr>
      <w:r>
        <w:rPr>
          <w:rFonts w:hint="eastAsia" w:ascii="宋体" w:hAnsi="宋体"/>
          <w:szCs w:val="21"/>
        </w:rPr>
        <w:t>致：</w:t>
      </w:r>
      <w:r>
        <w:rPr>
          <w:rFonts w:hint="eastAsia" w:ascii="宋体" w:hAnsi="宋体"/>
          <w:szCs w:val="21"/>
          <w:u w:val="single"/>
        </w:rPr>
        <w:t>（招标采购单位名称）</w:t>
      </w:r>
      <w:r>
        <w:rPr>
          <w:rFonts w:hint="eastAsia" w:ascii="宋体" w:hAnsi="宋体"/>
          <w:szCs w:val="21"/>
        </w:rPr>
        <w:t>：</w:t>
      </w:r>
    </w:p>
    <w:p w14:paraId="2DBB42FD">
      <w:pPr>
        <w:snapToGrid w:val="0"/>
        <w:spacing w:line="360" w:lineRule="auto"/>
        <w:ind w:firstLine="420" w:firstLineChars="200"/>
        <w:jc w:val="left"/>
        <w:rPr>
          <w:rFonts w:ascii="宋体" w:hAnsi="宋体"/>
          <w:szCs w:val="21"/>
        </w:rPr>
      </w:pPr>
      <w:r>
        <w:rPr>
          <w:rFonts w:hint="eastAsia" w:ascii="宋体" w:hAnsi="宋体"/>
          <w:szCs w:val="21"/>
        </w:rPr>
        <w:t xml:space="preserve">根据贵方为 </w:t>
      </w:r>
      <w:r>
        <w:rPr>
          <w:rFonts w:hint="eastAsia" w:ascii="宋体" w:hAnsi="宋体"/>
          <w:szCs w:val="21"/>
          <w:u w:val="single"/>
        </w:rPr>
        <w:t xml:space="preserve">          </w:t>
      </w:r>
      <w:r>
        <w:rPr>
          <w:rFonts w:hint="eastAsia" w:ascii="宋体" w:hAnsi="宋体"/>
          <w:szCs w:val="21"/>
        </w:rPr>
        <w:t>项目的招标公告</w:t>
      </w:r>
      <w:r>
        <w:rPr>
          <w:rFonts w:ascii="宋体" w:hAnsi="宋体"/>
          <w:szCs w:val="21"/>
        </w:rPr>
        <w:t>/</w:t>
      </w:r>
      <w:r>
        <w:rPr>
          <w:rFonts w:hint="eastAsia" w:ascii="宋体" w:hAnsi="宋体"/>
          <w:szCs w:val="21"/>
        </w:rPr>
        <w:t>投标邀请书（项目编号：</w:t>
      </w:r>
      <w:r>
        <w:rPr>
          <w:rFonts w:hint="eastAsia" w:ascii="宋体" w:hAnsi="宋体"/>
          <w:szCs w:val="21"/>
          <w:u w:val="single"/>
        </w:rPr>
        <w:t xml:space="preserve">          </w:t>
      </w:r>
      <w:r>
        <w:rPr>
          <w:rFonts w:hint="eastAsia" w:ascii="宋体" w:hAnsi="宋体"/>
          <w:szCs w:val="21"/>
        </w:rPr>
        <w:t>），签字代表</w:t>
      </w:r>
      <w:r>
        <w:rPr>
          <w:rFonts w:hint="eastAsia" w:ascii="宋体" w:hAnsi="宋体"/>
          <w:szCs w:val="21"/>
          <w:u w:val="single"/>
        </w:rPr>
        <w:t>（全名）</w:t>
      </w:r>
      <w:r>
        <w:rPr>
          <w:rFonts w:hint="eastAsia" w:ascii="宋体" w:hAnsi="宋体"/>
          <w:szCs w:val="21"/>
        </w:rPr>
        <w:t>经正式授权并代表投标人</w:t>
      </w:r>
      <w:r>
        <w:rPr>
          <w:rFonts w:hint="eastAsia" w:ascii="宋体" w:hAnsi="宋体"/>
          <w:szCs w:val="21"/>
          <w:u w:val="single"/>
        </w:rPr>
        <w:t>（投标人名称）</w:t>
      </w:r>
      <w:r>
        <w:rPr>
          <w:rFonts w:hint="eastAsia" w:ascii="宋体" w:hAnsi="宋体"/>
          <w:szCs w:val="21"/>
        </w:rPr>
        <w:t>提交资信商务文件及技术文件</w:t>
      </w:r>
      <w:r>
        <w:rPr>
          <w:rFonts w:hint="eastAsia" w:ascii="宋体" w:hAnsi="宋体"/>
          <w:szCs w:val="21"/>
          <w:u w:val="single"/>
        </w:rPr>
        <w:t xml:space="preserve">          </w:t>
      </w:r>
      <w:r>
        <w:rPr>
          <w:rFonts w:hint="eastAsia" w:ascii="宋体" w:hAnsi="宋体"/>
          <w:szCs w:val="21"/>
        </w:rPr>
        <w:t>份；投标报价文件</w:t>
      </w:r>
      <w:r>
        <w:rPr>
          <w:rFonts w:hint="eastAsia" w:ascii="宋体" w:hAnsi="宋体"/>
          <w:szCs w:val="21"/>
          <w:u w:val="single"/>
        </w:rPr>
        <w:t xml:space="preserve">          </w:t>
      </w:r>
      <w:r>
        <w:rPr>
          <w:rFonts w:hint="eastAsia" w:ascii="宋体" w:hAnsi="宋体"/>
          <w:szCs w:val="21"/>
        </w:rPr>
        <w:t>份。</w:t>
      </w:r>
    </w:p>
    <w:p w14:paraId="1DC44483">
      <w:pPr>
        <w:snapToGrid w:val="0"/>
        <w:spacing w:line="360" w:lineRule="auto"/>
        <w:ind w:firstLine="420" w:firstLineChars="200"/>
        <w:jc w:val="left"/>
        <w:rPr>
          <w:rFonts w:ascii="宋体" w:hAnsi="宋体"/>
          <w:szCs w:val="21"/>
        </w:rPr>
      </w:pPr>
      <w:r>
        <w:rPr>
          <w:rFonts w:hint="eastAsia" w:ascii="宋体" w:hAnsi="宋体"/>
          <w:szCs w:val="21"/>
        </w:rPr>
        <w:t>据此函，签字代表宣布同意如下：</w:t>
      </w:r>
    </w:p>
    <w:p w14:paraId="7DDEFE8A">
      <w:pPr>
        <w:snapToGrid w:val="0"/>
        <w:spacing w:line="360" w:lineRule="auto"/>
        <w:ind w:firstLine="420" w:firstLineChars="200"/>
        <w:jc w:val="left"/>
        <w:rPr>
          <w:rFonts w:ascii="宋体" w:hAnsi="宋体"/>
          <w:szCs w:val="21"/>
        </w:rPr>
      </w:pPr>
      <w:r>
        <w:rPr>
          <w:rFonts w:ascii="宋体" w:hAnsi="宋体"/>
          <w:szCs w:val="21"/>
        </w:rPr>
        <w:t>1</w:t>
      </w:r>
      <w:r>
        <w:rPr>
          <w:rFonts w:hint="eastAsia" w:ascii="宋体" w:hAnsi="宋体"/>
          <w:szCs w:val="21"/>
        </w:rPr>
        <w:t>、投标人已详细审查全部“招标文件”，包括修改文件（如有的话）以及全部参考资料和有关附件，已经了解我方对于招标文件、采购过程、采购结果有依法进行询问、质疑、投诉的权利及相关渠道和要求。</w:t>
      </w:r>
    </w:p>
    <w:p w14:paraId="0ABFFB18">
      <w:pPr>
        <w:snapToGrid w:val="0"/>
        <w:spacing w:line="360" w:lineRule="auto"/>
        <w:ind w:firstLine="420" w:firstLineChars="200"/>
        <w:jc w:val="left"/>
        <w:rPr>
          <w:rFonts w:ascii="宋体" w:hAnsi="宋体"/>
          <w:szCs w:val="21"/>
        </w:rPr>
      </w:pPr>
      <w:r>
        <w:rPr>
          <w:rFonts w:ascii="宋体" w:hAnsi="宋体"/>
          <w:szCs w:val="21"/>
        </w:rPr>
        <w:t>2</w:t>
      </w:r>
      <w:r>
        <w:rPr>
          <w:rFonts w:hint="eastAsia" w:ascii="宋体" w:hAnsi="宋体"/>
          <w:szCs w:val="21"/>
        </w:rPr>
        <w:t>、投标人在投标之前已经与贵方进行了充分的沟通，完全理解并接受招标文件的各项规定和要求，对招标文件的合理性、合法性不再有异议。</w:t>
      </w:r>
    </w:p>
    <w:p w14:paraId="51103834">
      <w:pPr>
        <w:snapToGrid w:val="0"/>
        <w:spacing w:line="360" w:lineRule="auto"/>
        <w:ind w:firstLine="420" w:firstLineChars="200"/>
        <w:jc w:val="left"/>
        <w:rPr>
          <w:rFonts w:ascii="宋体" w:hAnsi="宋体"/>
          <w:szCs w:val="21"/>
        </w:rPr>
      </w:pPr>
      <w:r>
        <w:rPr>
          <w:rFonts w:ascii="宋体" w:hAnsi="宋体"/>
          <w:szCs w:val="21"/>
        </w:rPr>
        <w:t>3</w:t>
      </w:r>
      <w:r>
        <w:rPr>
          <w:rFonts w:hint="eastAsia" w:ascii="宋体" w:hAnsi="宋体"/>
          <w:szCs w:val="21"/>
        </w:rPr>
        <w:t>、本投标有效期自开标日起</w:t>
      </w:r>
      <w:r>
        <w:rPr>
          <w:rFonts w:ascii="宋体" w:hAnsi="宋体"/>
          <w:szCs w:val="21"/>
        </w:rPr>
        <w:t xml:space="preserve"> ______</w:t>
      </w:r>
      <w:r>
        <w:rPr>
          <w:rFonts w:hint="eastAsia" w:ascii="宋体" w:hAnsi="宋体"/>
          <w:szCs w:val="21"/>
        </w:rPr>
        <w:t>个日。</w:t>
      </w:r>
    </w:p>
    <w:p w14:paraId="493F7E64">
      <w:pPr>
        <w:snapToGrid w:val="0"/>
        <w:spacing w:line="360" w:lineRule="auto"/>
        <w:ind w:firstLine="420" w:firstLineChars="200"/>
        <w:jc w:val="left"/>
        <w:rPr>
          <w:rFonts w:ascii="宋体" w:hAnsi="宋体"/>
          <w:szCs w:val="21"/>
        </w:rPr>
      </w:pPr>
      <w:r>
        <w:rPr>
          <w:rFonts w:ascii="宋体" w:hAnsi="宋体"/>
          <w:szCs w:val="21"/>
        </w:rPr>
        <w:t>4</w:t>
      </w:r>
      <w:r>
        <w:rPr>
          <w:rFonts w:hint="eastAsia" w:ascii="宋体" w:hAnsi="宋体"/>
          <w:szCs w:val="21"/>
        </w:rPr>
        <w:t>、如中标，本投标文件至本项目合同履行完毕止均保持有效，本投标人将按“招标文件”及政府采购法律、法规的规定履行合同责任和义务。</w:t>
      </w:r>
    </w:p>
    <w:p w14:paraId="4255D9A3">
      <w:pPr>
        <w:snapToGrid w:val="0"/>
        <w:spacing w:line="360" w:lineRule="auto"/>
        <w:ind w:firstLine="420" w:firstLineChars="200"/>
        <w:jc w:val="left"/>
        <w:rPr>
          <w:rFonts w:ascii="宋体" w:hAnsi="宋体"/>
          <w:szCs w:val="21"/>
        </w:rPr>
      </w:pPr>
      <w:r>
        <w:rPr>
          <w:rFonts w:ascii="宋体" w:hAnsi="宋体"/>
          <w:szCs w:val="21"/>
        </w:rPr>
        <w:t>5</w:t>
      </w:r>
      <w:r>
        <w:rPr>
          <w:rFonts w:hint="eastAsia" w:ascii="宋体" w:hAnsi="宋体"/>
          <w:szCs w:val="21"/>
        </w:rPr>
        <w:t>、投标人同意按照贵方要求提供与投标有关的一切数据或资料。</w:t>
      </w:r>
    </w:p>
    <w:p w14:paraId="2E91711E">
      <w:pPr>
        <w:snapToGrid w:val="0"/>
        <w:spacing w:line="360" w:lineRule="auto"/>
        <w:ind w:firstLine="420" w:firstLineChars="200"/>
        <w:jc w:val="left"/>
        <w:rPr>
          <w:rFonts w:ascii="宋体" w:hAnsi="宋体"/>
          <w:szCs w:val="21"/>
        </w:rPr>
      </w:pPr>
      <w:r>
        <w:rPr>
          <w:rFonts w:ascii="宋体" w:hAnsi="宋体"/>
          <w:szCs w:val="21"/>
        </w:rPr>
        <w:t>6</w:t>
      </w:r>
      <w:r>
        <w:rPr>
          <w:rFonts w:hint="eastAsia" w:ascii="宋体" w:hAnsi="宋体"/>
          <w:szCs w:val="21"/>
        </w:rPr>
        <w:t>、与本投标有关的一切正式往来信函请寄：</w:t>
      </w:r>
    </w:p>
    <w:p w14:paraId="439BD79C">
      <w:pPr>
        <w:snapToGrid w:val="0"/>
        <w:spacing w:line="360" w:lineRule="auto"/>
        <w:ind w:firstLine="420" w:firstLineChars="200"/>
        <w:jc w:val="left"/>
        <w:rPr>
          <w:rFonts w:ascii="宋体" w:hAnsi="宋体"/>
          <w:szCs w:val="21"/>
        </w:rPr>
      </w:pPr>
    </w:p>
    <w:p w14:paraId="38B95DEF">
      <w:pPr>
        <w:snapToGrid w:val="0"/>
        <w:spacing w:line="360" w:lineRule="auto"/>
        <w:ind w:firstLine="420" w:firstLineChars="200"/>
        <w:jc w:val="left"/>
        <w:rPr>
          <w:rFonts w:ascii="宋体" w:hAnsi="宋体"/>
          <w:szCs w:val="21"/>
        </w:rPr>
      </w:pPr>
      <w:r>
        <w:rPr>
          <w:rFonts w:hint="eastAsia" w:ascii="宋体" w:hAnsi="宋体"/>
          <w:szCs w:val="21"/>
        </w:rPr>
        <w:t>地址： 邮编：</w:t>
      </w:r>
      <w:r>
        <w:rPr>
          <w:rFonts w:ascii="宋体" w:hAnsi="宋体"/>
          <w:szCs w:val="21"/>
        </w:rPr>
        <w:t xml:space="preserve">__________   </w:t>
      </w:r>
      <w:r>
        <w:rPr>
          <w:rFonts w:hint="eastAsia" w:ascii="宋体" w:hAnsi="宋体"/>
          <w:szCs w:val="21"/>
        </w:rPr>
        <w:t>电话：</w:t>
      </w:r>
      <w:r>
        <w:rPr>
          <w:rFonts w:ascii="宋体" w:hAnsi="宋体"/>
          <w:szCs w:val="21"/>
        </w:rPr>
        <w:t>______________</w:t>
      </w:r>
    </w:p>
    <w:p w14:paraId="402267F5">
      <w:pPr>
        <w:snapToGrid w:val="0"/>
        <w:spacing w:line="360" w:lineRule="auto"/>
        <w:ind w:firstLine="420" w:firstLineChars="200"/>
        <w:jc w:val="left"/>
        <w:rPr>
          <w:rFonts w:ascii="宋体" w:hAnsi="宋体"/>
          <w:szCs w:val="21"/>
        </w:rPr>
      </w:pPr>
      <w:r>
        <w:rPr>
          <w:rFonts w:hint="eastAsia" w:ascii="宋体" w:hAnsi="宋体"/>
          <w:szCs w:val="21"/>
        </w:rPr>
        <w:t>传真：</w:t>
      </w:r>
      <w:r>
        <w:rPr>
          <w:rFonts w:ascii="宋体" w:hAnsi="宋体"/>
          <w:szCs w:val="21"/>
        </w:rPr>
        <w:t>______________</w:t>
      </w:r>
      <w:r>
        <w:rPr>
          <w:rFonts w:hint="eastAsia" w:ascii="宋体" w:hAnsi="宋体"/>
          <w:szCs w:val="21"/>
        </w:rPr>
        <w:t>投标人代表姓名</w:t>
      </w:r>
      <w:r>
        <w:rPr>
          <w:rFonts w:ascii="宋体" w:hAnsi="宋体"/>
          <w:szCs w:val="21"/>
        </w:rPr>
        <w:t xml:space="preserve"> ___________  </w:t>
      </w:r>
      <w:r>
        <w:rPr>
          <w:rFonts w:hint="eastAsia" w:ascii="宋体" w:hAnsi="宋体"/>
          <w:szCs w:val="21"/>
        </w:rPr>
        <w:t>职务：</w:t>
      </w:r>
      <w:r>
        <w:rPr>
          <w:rFonts w:ascii="宋体" w:hAnsi="宋体"/>
          <w:szCs w:val="21"/>
        </w:rPr>
        <w:t>_____________</w:t>
      </w:r>
    </w:p>
    <w:p w14:paraId="2A63835C">
      <w:pPr>
        <w:snapToGrid w:val="0"/>
        <w:spacing w:line="360" w:lineRule="auto"/>
        <w:ind w:firstLine="420" w:firstLineChars="200"/>
        <w:jc w:val="left"/>
        <w:rPr>
          <w:rFonts w:ascii="宋体" w:hAnsi="宋体"/>
          <w:szCs w:val="21"/>
        </w:rPr>
      </w:pPr>
      <w:r>
        <w:rPr>
          <w:rFonts w:hint="eastAsia" w:ascii="宋体" w:hAnsi="宋体"/>
          <w:szCs w:val="21"/>
        </w:rPr>
        <w:t>投标人名称</w:t>
      </w:r>
      <w:r>
        <w:rPr>
          <w:rFonts w:ascii="宋体" w:hAnsi="宋体"/>
          <w:szCs w:val="21"/>
        </w:rPr>
        <w:t>(</w:t>
      </w:r>
      <w:r>
        <w:rPr>
          <w:rFonts w:hint="eastAsia" w:ascii="宋体" w:hAnsi="宋体"/>
          <w:szCs w:val="21"/>
        </w:rPr>
        <w:t>公章</w:t>
      </w:r>
      <w:r>
        <w:rPr>
          <w:rFonts w:ascii="宋体" w:hAnsi="宋体"/>
          <w:szCs w:val="21"/>
        </w:rPr>
        <w:t>): _____________</w:t>
      </w:r>
    </w:p>
    <w:p w14:paraId="708F1456">
      <w:pPr>
        <w:snapToGrid w:val="0"/>
        <w:spacing w:line="360" w:lineRule="auto"/>
        <w:ind w:firstLine="420" w:firstLineChars="200"/>
        <w:jc w:val="left"/>
        <w:rPr>
          <w:rFonts w:ascii="宋体" w:hAnsi="宋体"/>
          <w:szCs w:val="21"/>
        </w:rPr>
      </w:pPr>
      <w:r>
        <w:rPr>
          <w:rFonts w:hint="eastAsia" w:ascii="宋体" w:hAnsi="宋体"/>
          <w:szCs w:val="21"/>
        </w:rPr>
        <w:t>开户银行：银行帐号：</w:t>
      </w:r>
    </w:p>
    <w:p w14:paraId="486E37FB">
      <w:pPr>
        <w:snapToGrid w:val="0"/>
        <w:spacing w:line="360" w:lineRule="auto"/>
        <w:ind w:firstLine="420" w:firstLineChars="200"/>
        <w:jc w:val="left"/>
        <w:rPr>
          <w:rFonts w:ascii="宋体" w:hAnsi="宋体"/>
          <w:szCs w:val="21"/>
        </w:rPr>
      </w:pPr>
      <w:r>
        <w:rPr>
          <w:rFonts w:hint="eastAsia" w:ascii="宋体" w:hAnsi="宋体"/>
          <w:szCs w:val="21"/>
        </w:rPr>
        <w:t>法定代表人或其委托代理人签名（或盖章）</w:t>
      </w:r>
      <w:r>
        <w:rPr>
          <w:rFonts w:ascii="宋体" w:hAnsi="宋体"/>
          <w:szCs w:val="21"/>
        </w:rPr>
        <w:t xml:space="preserve">:___________                      </w:t>
      </w:r>
    </w:p>
    <w:p w14:paraId="451DF29D">
      <w:pPr>
        <w:snapToGrid w:val="0"/>
        <w:spacing w:line="360" w:lineRule="auto"/>
        <w:ind w:firstLine="420" w:firstLineChars="200"/>
        <w:jc w:val="left"/>
        <w:rPr>
          <w:rFonts w:ascii="宋体" w:hAnsi="宋体"/>
          <w:szCs w:val="21"/>
        </w:rPr>
      </w:pPr>
      <w:r>
        <w:rPr>
          <w:rFonts w:hint="eastAsia" w:ascii="宋体" w:hAnsi="宋体"/>
          <w:szCs w:val="21"/>
        </w:rPr>
        <w:t>日期</w:t>
      </w:r>
      <w:r>
        <w:rPr>
          <w:rFonts w:ascii="宋体" w:hAnsi="宋体"/>
          <w:szCs w:val="21"/>
        </w:rPr>
        <w:t>:_____</w:t>
      </w:r>
      <w:r>
        <w:rPr>
          <w:rFonts w:hint="eastAsia" w:ascii="宋体" w:hAnsi="宋体"/>
          <w:szCs w:val="21"/>
        </w:rPr>
        <w:t>年</w:t>
      </w:r>
      <w:r>
        <w:rPr>
          <w:rFonts w:ascii="宋体" w:hAnsi="宋体"/>
          <w:szCs w:val="21"/>
        </w:rPr>
        <w:t>___</w:t>
      </w:r>
      <w:r>
        <w:rPr>
          <w:rFonts w:hint="eastAsia" w:ascii="宋体" w:hAnsi="宋体"/>
          <w:szCs w:val="21"/>
        </w:rPr>
        <w:t>月</w:t>
      </w:r>
      <w:r>
        <w:rPr>
          <w:rFonts w:ascii="宋体" w:hAnsi="宋体"/>
          <w:szCs w:val="21"/>
        </w:rPr>
        <w:t>___</w:t>
      </w:r>
      <w:r>
        <w:rPr>
          <w:rFonts w:hint="eastAsia" w:ascii="宋体" w:hAnsi="宋体"/>
          <w:szCs w:val="21"/>
        </w:rPr>
        <w:t>日</w:t>
      </w:r>
    </w:p>
    <w:p w14:paraId="3D6E64DE">
      <w:pPr>
        <w:pStyle w:val="46"/>
        <w:ind w:firstLine="464"/>
        <w:rPr>
          <w:rFonts w:hAnsi="宋体"/>
          <w:szCs w:val="21"/>
        </w:rPr>
      </w:pPr>
    </w:p>
    <w:p w14:paraId="10E08FF1">
      <w:pPr>
        <w:pStyle w:val="46"/>
        <w:ind w:firstLine="464"/>
        <w:rPr>
          <w:rFonts w:hAnsi="宋体"/>
          <w:szCs w:val="21"/>
        </w:rPr>
      </w:pPr>
    </w:p>
    <w:p w14:paraId="50DE1DD6">
      <w:pPr>
        <w:pStyle w:val="46"/>
        <w:ind w:firstLine="464"/>
        <w:rPr>
          <w:rFonts w:hAnsi="宋体"/>
          <w:szCs w:val="21"/>
        </w:rPr>
      </w:pPr>
    </w:p>
    <w:p w14:paraId="24DD2C60">
      <w:pPr>
        <w:pStyle w:val="46"/>
        <w:ind w:firstLine="464"/>
        <w:rPr>
          <w:rFonts w:hAnsi="宋体"/>
          <w:szCs w:val="21"/>
        </w:rPr>
      </w:pPr>
    </w:p>
    <w:p w14:paraId="1D09FA95">
      <w:pPr>
        <w:pStyle w:val="46"/>
        <w:ind w:firstLine="464"/>
        <w:rPr>
          <w:rFonts w:hAnsi="宋体"/>
          <w:szCs w:val="21"/>
        </w:rPr>
      </w:pPr>
    </w:p>
    <w:p w14:paraId="5CACB7EA">
      <w:pPr>
        <w:pStyle w:val="46"/>
        <w:ind w:firstLine="464"/>
        <w:rPr>
          <w:rFonts w:hAnsi="宋体"/>
          <w:szCs w:val="21"/>
        </w:rPr>
      </w:pPr>
    </w:p>
    <w:p w14:paraId="6E4AA0F8">
      <w:pPr>
        <w:pStyle w:val="46"/>
        <w:ind w:firstLine="464"/>
        <w:rPr>
          <w:rFonts w:hAnsi="宋体"/>
          <w:szCs w:val="21"/>
        </w:rPr>
      </w:pPr>
    </w:p>
    <w:p w14:paraId="680E0E9C">
      <w:pPr>
        <w:snapToGrid w:val="0"/>
        <w:spacing w:line="360" w:lineRule="auto"/>
        <w:rPr>
          <w:rFonts w:ascii="宋体" w:hAnsi="宋体"/>
          <w:szCs w:val="21"/>
        </w:rPr>
      </w:pPr>
    </w:p>
    <w:p w14:paraId="2F84F12A">
      <w:pPr>
        <w:snapToGrid w:val="0"/>
        <w:spacing w:line="360" w:lineRule="auto"/>
        <w:ind w:firstLine="420" w:firstLineChars="200"/>
        <w:jc w:val="center"/>
        <w:rPr>
          <w:rFonts w:ascii="宋体" w:hAnsi="宋体"/>
          <w:szCs w:val="21"/>
        </w:rPr>
      </w:pPr>
      <w:r>
        <w:rPr>
          <w:rFonts w:hint="eastAsia" w:ascii="宋体" w:hAnsi="宋体"/>
          <w:szCs w:val="21"/>
        </w:rPr>
        <w:t>开标一览表</w:t>
      </w:r>
    </w:p>
    <w:p w14:paraId="5C58D88B">
      <w:pPr>
        <w:snapToGrid w:val="0"/>
        <w:spacing w:line="360" w:lineRule="auto"/>
        <w:ind w:firstLine="420" w:firstLineChars="200"/>
        <w:jc w:val="left"/>
        <w:rPr>
          <w:rFonts w:ascii="宋体" w:hAnsi="宋体"/>
          <w:szCs w:val="21"/>
        </w:rPr>
      </w:pPr>
    </w:p>
    <w:p w14:paraId="3DA57716">
      <w:pPr>
        <w:snapToGrid w:val="0"/>
        <w:spacing w:line="360" w:lineRule="auto"/>
        <w:rPr>
          <w:rFonts w:ascii="宋体" w:hAnsi="宋体"/>
          <w:szCs w:val="21"/>
        </w:rPr>
      </w:pPr>
      <w:r>
        <w:rPr>
          <w:rFonts w:ascii="宋体" w:hAnsi="宋体"/>
          <w:szCs w:val="21"/>
        </w:rPr>
        <w:t xml:space="preserve">招标编号： </w:t>
      </w:r>
    </w:p>
    <w:p w14:paraId="36EAB200">
      <w:pPr>
        <w:snapToGrid w:val="0"/>
        <w:spacing w:line="360" w:lineRule="auto"/>
        <w:rPr>
          <w:rFonts w:ascii="宋体" w:hAnsi="宋体"/>
          <w:szCs w:val="21"/>
        </w:rPr>
      </w:pPr>
      <w:r>
        <w:rPr>
          <w:rFonts w:ascii="宋体" w:hAnsi="宋体"/>
          <w:szCs w:val="21"/>
        </w:rPr>
        <w:t>投标人名称：</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2520"/>
        <w:gridCol w:w="5111"/>
      </w:tblGrid>
      <w:tr w14:paraId="6902B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exact"/>
          <w:jc w:val="center"/>
        </w:trPr>
        <w:tc>
          <w:tcPr>
            <w:tcW w:w="1356" w:type="dxa"/>
            <w:vAlign w:val="center"/>
          </w:tcPr>
          <w:p w14:paraId="13616C31">
            <w:pPr>
              <w:ind w:firstLine="440"/>
              <w:jc w:val="center"/>
              <w:rPr>
                <w:rFonts w:ascii="华文中宋" w:hAnsi="华文中宋" w:eastAsia="华文中宋"/>
                <w:b/>
                <w:bCs/>
                <w:sz w:val="22"/>
                <w:szCs w:val="22"/>
              </w:rPr>
            </w:pPr>
            <w:r>
              <w:rPr>
                <w:rFonts w:hint="eastAsia" w:ascii="华文中宋" w:hAnsi="华文中宋" w:eastAsia="华文中宋"/>
                <w:b/>
                <w:bCs/>
                <w:sz w:val="22"/>
                <w:szCs w:val="22"/>
              </w:rPr>
              <w:t>序号</w:t>
            </w:r>
          </w:p>
        </w:tc>
        <w:tc>
          <w:tcPr>
            <w:tcW w:w="2520" w:type="dxa"/>
            <w:vAlign w:val="center"/>
          </w:tcPr>
          <w:p w14:paraId="1DDF1C22">
            <w:pPr>
              <w:ind w:firstLine="440"/>
              <w:jc w:val="center"/>
              <w:rPr>
                <w:rFonts w:ascii="华文中宋" w:hAnsi="华文中宋" w:eastAsia="华文中宋"/>
                <w:b/>
                <w:bCs/>
                <w:sz w:val="22"/>
                <w:szCs w:val="22"/>
              </w:rPr>
            </w:pPr>
            <w:r>
              <w:rPr>
                <w:rFonts w:hint="eastAsia" w:ascii="华文中宋" w:hAnsi="华文中宋" w:eastAsia="华文中宋"/>
                <w:b/>
                <w:bCs/>
                <w:sz w:val="22"/>
                <w:szCs w:val="22"/>
              </w:rPr>
              <w:t>类别</w:t>
            </w:r>
          </w:p>
        </w:tc>
        <w:tc>
          <w:tcPr>
            <w:tcW w:w="5111" w:type="dxa"/>
            <w:vAlign w:val="center"/>
          </w:tcPr>
          <w:p w14:paraId="45E454A1">
            <w:pPr>
              <w:ind w:firstLine="440"/>
              <w:jc w:val="center"/>
              <w:rPr>
                <w:rFonts w:ascii="华文中宋" w:hAnsi="华文中宋" w:eastAsia="华文中宋"/>
                <w:b/>
                <w:bCs/>
                <w:sz w:val="22"/>
                <w:szCs w:val="22"/>
              </w:rPr>
            </w:pPr>
            <w:r>
              <w:rPr>
                <w:rFonts w:hint="eastAsia" w:ascii="华文中宋" w:hAnsi="华文中宋" w:eastAsia="华文中宋"/>
                <w:b/>
                <w:bCs/>
                <w:sz w:val="22"/>
                <w:szCs w:val="22"/>
              </w:rPr>
              <w:t>折扣率（%）</w:t>
            </w:r>
          </w:p>
        </w:tc>
      </w:tr>
      <w:tr w14:paraId="113B0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356" w:type="dxa"/>
            <w:vAlign w:val="center"/>
          </w:tcPr>
          <w:p w14:paraId="3EC27FE8">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color w:val="000000"/>
                <w:sz w:val="24"/>
              </w:rPr>
              <w:t>1</w:t>
            </w:r>
          </w:p>
        </w:tc>
        <w:tc>
          <w:tcPr>
            <w:tcW w:w="2520" w:type="dxa"/>
            <w:vAlign w:val="center"/>
          </w:tcPr>
          <w:p w14:paraId="495353F4">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color w:val="000000"/>
                <w:sz w:val="24"/>
              </w:rPr>
              <w:t>蔬菜类</w:t>
            </w:r>
          </w:p>
        </w:tc>
        <w:tc>
          <w:tcPr>
            <w:tcW w:w="5111" w:type="dxa"/>
            <w:vAlign w:val="center"/>
          </w:tcPr>
          <w:p w14:paraId="3CBA1D00">
            <w:pPr>
              <w:ind w:firstLine="440"/>
              <w:jc w:val="center"/>
              <w:rPr>
                <w:rFonts w:ascii="华文中宋" w:hAnsi="华文中宋" w:eastAsia="华文中宋"/>
                <w:b/>
                <w:bCs/>
                <w:sz w:val="22"/>
                <w:szCs w:val="22"/>
              </w:rPr>
            </w:pPr>
          </w:p>
        </w:tc>
      </w:tr>
      <w:tr w14:paraId="6E938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356" w:type="dxa"/>
            <w:vAlign w:val="center"/>
          </w:tcPr>
          <w:p w14:paraId="0BA1566B">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sz w:val="24"/>
              </w:rPr>
              <w:t>2</w:t>
            </w:r>
          </w:p>
        </w:tc>
        <w:tc>
          <w:tcPr>
            <w:tcW w:w="2520" w:type="dxa"/>
            <w:vAlign w:val="center"/>
          </w:tcPr>
          <w:p w14:paraId="41F34FAA">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sz w:val="24"/>
              </w:rPr>
              <w:t>饮品类</w:t>
            </w:r>
          </w:p>
        </w:tc>
        <w:tc>
          <w:tcPr>
            <w:tcW w:w="5111" w:type="dxa"/>
            <w:vAlign w:val="center"/>
          </w:tcPr>
          <w:p w14:paraId="239003F2">
            <w:pPr>
              <w:ind w:firstLine="440"/>
              <w:jc w:val="center"/>
              <w:rPr>
                <w:rFonts w:ascii="华文中宋" w:hAnsi="华文中宋" w:eastAsia="华文中宋"/>
                <w:b/>
                <w:bCs/>
                <w:sz w:val="22"/>
                <w:szCs w:val="22"/>
              </w:rPr>
            </w:pPr>
          </w:p>
        </w:tc>
      </w:tr>
      <w:tr w14:paraId="295E0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356" w:type="dxa"/>
            <w:vAlign w:val="center"/>
          </w:tcPr>
          <w:p w14:paraId="77546222">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sz w:val="24"/>
              </w:rPr>
              <w:t>3</w:t>
            </w:r>
          </w:p>
        </w:tc>
        <w:tc>
          <w:tcPr>
            <w:tcW w:w="2520" w:type="dxa"/>
            <w:vAlign w:val="center"/>
          </w:tcPr>
          <w:p w14:paraId="6071E357">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sz w:val="24"/>
              </w:rPr>
              <w:t>肉类</w:t>
            </w:r>
          </w:p>
        </w:tc>
        <w:tc>
          <w:tcPr>
            <w:tcW w:w="5111" w:type="dxa"/>
            <w:vAlign w:val="center"/>
          </w:tcPr>
          <w:p w14:paraId="073F36A7">
            <w:pPr>
              <w:ind w:firstLine="440"/>
              <w:jc w:val="center"/>
              <w:rPr>
                <w:rFonts w:ascii="华文中宋" w:hAnsi="华文中宋" w:eastAsia="华文中宋"/>
                <w:b/>
                <w:bCs/>
                <w:sz w:val="22"/>
                <w:szCs w:val="22"/>
              </w:rPr>
            </w:pPr>
          </w:p>
        </w:tc>
      </w:tr>
      <w:tr w14:paraId="4CDFA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356" w:type="dxa"/>
            <w:vAlign w:val="center"/>
          </w:tcPr>
          <w:p w14:paraId="7B5941F8">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sz w:val="24"/>
              </w:rPr>
              <w:t>4</w:t>
            </w:r>
          </w:p>
        </w:tc>
        <w:tc>
          <w:tcPr>
            <w:tcW w:w="2520" w:type="dxa"/>
            <w:vAlign w:val="center"/>
          </w:tcPr>
          <w:p w14:paraId="2A3ED775">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sz w:val="24"/>
              </w:rPr>
              <w:t>冷冻食品类</w:t>
            </w:r>
          </w:p>
        </w:tc>
        <w:tc>
          <w:tcPr>
            <w:tcW w:w="5111" w:type="dxa"/>
            <w:vAlign w:val="center"/>
          </w:tcPr>
          <w:p w14:paraId="26DA0D22">
            <w:pPr>
              <w:ind w:firstLine="440"/>
              <w:jc w:val="center"/>
              <w:rPr>
                <w:rFonts w:ascii="华文中宋" w:hAnsi="华文中宋" w:eastAsia="华文中宋"/>
                <w:b/>
                <w:bCs/>
                <w:sz w:val="22"/>
                <w:szCs w:val="22"/>
              </w:rPr>
            </w:pPr>
          </w:p>
        </w:tc>
      </w:tr>
      <w:tr w14:paraId="7992B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356" w:type="dxa"/>
            <w:vAlign w:val="center"/>
          </w:tcPr>
          <w:p w14:paraId="6B9752C6">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sz w:val="24"/>
              </w:rPr>
              <w:t>5</w:t>
            </w:r>
          </w:p>
        </w:tc>
        <w:tc>
          <w:tcPr>
            <w:tcW w:w="2520" w:type="dxa"/>
            <w:vAlign w:val="center"/>
          </w:tcPr>
          <w:p w14:paraId="2EF4E7EF">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sz w:val="24"/>
              </w:rPr>
              <w:t>干货类</w:t>
            </w:r>
          </w:p>
        </w:tc>
        <w:tc>
          <w:tcPr>
            <w:tcW w:w="5111" w:type="dxa"/>
            <w:vAlign w:val="center"/>
          </w:tcPr>
          <w:p w14:paraId="13A58279">
            <w:pPr>
              <w:ind w:firstLine="440"/>
              <w:jc w:val="center"/>
              <w:rPr>
                <w:rFonts w:ascii="华文中宋" w:hAnsi="华文中宋" w:eastAsia="华文中宋"/>
                <w:b/>
                <w:bCs/>
                <w:sz w:val="22"/>
                <w:szCs w:val="22"/>
              </w:rPr>
            </w:pPr>
          </w:p>
        </w:tc>
      </w:tr>
      <w:tr w14:paraId="171B8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356" w:type="dxa"/>
            <w:vAlign w:val="center"/>
          </w:tcPr>
          <w:p w14:paraId="3360B9A0">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sz w:val="24"/>
              </w:rPr>
              <w:t>6</w:t>
            </w:r>
          </w:p>
        </w:tc>
        <w:tc>
          <w:tcPr>
            <w:tcW w:w="2520" w:type="dxa"/>
            <w:vAlign w:val="center"/>
          </w:tcPr>
          <w:p w14:paraId="3DEB8D62">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cs="宋体"/>
                <w:b/>
                <w:bCs/>
                <w:kern w:val="0"/>
                <w:sz w:val="22"/>
                <w:szCs w:val="22"/>
              </w:rPr>
            </w:pPr>
            <w:r>
              <w:rPr>
                <w:rFonts w:hint="eastAsia" w:ascii="仿宋" w:hAnsi="仿宋" w:eastAsia="仿宋" w:cs="仿宋"/>
                <w:sz w:val="24"/>
              </w:rPr>
              <w:t>豆制品类</w:t>
            </w:r>
          </w:p>
        </w:tc>
        <w:tc>
          <w:tcPr>
            <w:tcW w:w="5111" w:type="dxa"/>
            <w:vAlign w:val="center"/>
          </w:tcPr>
          <w:p w14:paraId="0260FA2E">
            <w:pPr>
              <w:ind w:firstLine="440"/>
              <w:jc w:val="center"/>
              <w:rPr>
                <w:rFonts w:ascii="华文中宋" w:hAnsi="华文中宋" w:eastAsia="华文中宋"/>
                <w:b/>
                <w:bCs/>
                <w:sz w:val="22"/>
                <w:szCs w:val="22"/>
              </w:rPr>
            </w:pPr>
          </w:p>
        </w:tc>
      </w:tr>
      <w:tr w14:paraId="1073D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356" w:type="dxa"/>
            <w:vAlign w:val="center"/>
          </w:tcPr>
          <w:p w14:paraId="1A893599">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sz w:val="24"/>
              </w:rPr>
              <w:t>7</w:t>
            </w:r>
          </w:p>
        </w:tc>
        <w:tc>
          <w:tcPr>
            <w:tcW w:w="2520" w:type="dxa"/>
            <w:vAlign w:val="center"/>
          </w:tcPr>
          <w:p w14:paraId="78F4BBC5">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cs="宋体"/>
                <w:b/>
                <w:bCs/>
                <w:kern w:val="0"/>
                <w:sz w:val="22"/>
                <w:szCs w:val="22"/>
              </w:rPr>
            </w:pPr>
            <w:r>
              <w:rPr>
                <w:rFonts w:hint="eastAsia"/>
                <w:highlight w:val="green"/>
              </w:rPr>
              <w:t>水产品类</w:t>
            </w:r>
          </w:p>
        </w:tc>
        <w:tc>
          <w:tcPr>
            <w:tcW w:w="5111" w:type="dxa"/>
            <w:vAlign w:val="center"/>
          </w:tcPr>
          <w:p w14:paraId="5A4344FE">
            <w:pPr>
              <w:ind w:firstLine="440"/>
              <w:jc w:val="center"/>
              <w:rPr>
                <w:rFonts w:ascii="华文中宋" w:hAnsi="华文中宋" w:eastAsia="华文中宋"/>
                <w:b/>
                <w:bCs/>
                <w:sz w:val="22"/>
                <w:szCs w:val="22"/>
              </w:rPr>
            </w:pPr>
          </w:p>
        </w:tc>
      </w:tr>
      <w:tr w14:paraId="71559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356" w:type="dxa"/>
            <w:vAlign w:val="center"/>
          </w:tcPr>
          <w:p w14:paraId="1CADD656">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sz w:val="24"/>
              </w:rPr>
              <w:t>8</w:t>
            </w:r>
          </w:p>
        </w:tc>
        <w:tc>
          <w:tcPr>
            <w:tcW w:w="2520" w:type="dxa"/>
            <w:vAlign w:val="center"/>
          </w:tcPr>
          <w:p w14:paraId="01A5CFA5">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cs="宋体"/>
                <w:b/>
                <w:bCs/>
                <w:kern w:val="0"/>
                <w:sz w:val="22"/>
                <w:szCs w:val="22"/>
              </w:rPr>
            </w:pPr>
            <w:r>
              <w:rPr>
                <w:rFonts w:hint="eastAsia" w:ascii="仿宋" w:hAnsi="仿宋" w:eastAsia="仿宋" w:cs="仿宋"/>
                <w:sz w:val="24"/>
              </w:rPr>
              <w:t>禽蛋类</w:t>
            </w:r>
          </w:p>
        </w:tc>
        <w:tc>
          <w:tcPr>
            <w:tcW w:w="5111" w:type="dxa"/>
            <w:vAlign w:val="center"/>
          </w:tcPr>
          <w:p w14:paraId="75719DB8">
            <w:pPr>
              <w:ind w:firstLine="440"/>
              <w:jc w:val="center"/>
              <w:rPr>
                <w:rFonts w:ascii="华文中宋" w:hAnsi="华文中宋" w:eastAsia="华文中宋"/>
                <w:b/>
                <w:bCs/>
                <w:sz w:val="22"/>
                <w:szCs w:val="22"/>
              </w:rPr>
            </w:pPr>
          </w:p>
        </w:tc>
      </w:tr>
      <w:tr w14:paraId="4DC03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356" w:type="dxa"/>
            <w:vAlign w:val="center"/>
          </w:tcPr>
          <w:p w14:paraId="14A7B115">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b/>
                <w:bCs/>
                <w:sz w:val="22"/>
                <w:szCs w:val="22"/>
              </w:rPr>
            </w:pPr>
            <w:r>
              <w:rPr>
                <w:rFonts w:hint="eastAsia" w:ascii="仿宋" w:hAnsi="仿宋" w:eastAsia="仿宋" w:cs="仿宋"/>
                <w:sz w:val="24"/>
              </w:rPr>
              <w:t>9</w:t>
            </w:r>
          </w:p>
        </w:tc>
        <w:tc>
          <w:tcPr>
            <w:tcW w:w="2520" w:type="dxa"/>
            <w:vAlign w:val="center"/>
          </w:tcPr>
          <w:p w14:paraId="7B4DCBFD">
            <w:pPr>
              <w:widowControl/>
              <w:kinsoku w:val="0"/>
              <w:autoSpaceDE w:val="0"/>
              <w:autoSpaceDN w:val="0"/>
              <w:adjustRightInd w:val="0"/>
              <w:snapToGrid w:val="0"/>
              <w:spacing w:beforeLines="50" w:afterLines="50" w:line="360" w:lineRule="auto"/>
              <w:jc w:val="center"/>
              <w:textAlignment w:val="baseline"/>
              <w:rPr>
                <w:rFonts w:ascii="华文中宋" w:hAnsi="华文中宋" w:eastAsia="华文中宋" w:cs="宋体"/>
                <w:b/>
                <w:bCs/>
                <w:kern w:val="0"/>
                <w:sz w:val="22"/>
                <w:szCs w:val="22"/>
              </w:rPr>
            </w:pPr>
            <w:r>
              <w:rPr>
                <w:rFonts w:hint="eastAsia" w:ascii="仿宋" w:hAnsi="仿宋" w:eastAsia="仿宋" w:cs="仿宋"/>
                <w:sz w:val="24"/>
              </w:rPr>
              <w:t>其他类</w:t>
            </w:r>
          </w:p>
        </w:tc>
        <w:tc>
          <w:tcPr>
            <w:tcW w:w="5111" w:type="dxa"/>
            <w:vAlign w:val="center"/>
          </w:tcPr>
          <w:p w14:paraId="1FC50D0A">
            <w:pPr>
              <w:ind w:firstLine="440"/>
              <w:jc w:val="center"/>
              <w:rPr>
                <w:rFonts w:ascii="华文中宋" w:hAnsi="华文中宋" w:eastAsia="华文中宋"/>
                <w:b/>
                <w:bCs/>
                <w:sz w:val="22"/>
                <w:szCs w:val="22"/>
              </w:rPr>
            </w:pPr>
          </w:p>
        </w:tc>
      </w:tr>
    </w:tbl>
    <w:p w14:paraId="273EA3BE">
      <w:pPr>
        <w:pStyle w:val="58"/>
        <w:spacing w:line="360" w:lineRule="auto"/>
        <w:rPr>
          <w:rFonts w:ascii="宋体" w:hAnsi="宋体"/>
        </w:rPr>
      </w:pPr>
    </w:p>
    <w:p w14:paraId="2FC5B2A6">
      <w:pPr>
        <w:snapToGrid w:val="0"/>
        <w:spacing w:line="360" w:lineRule="auto"/>
        <w:rPr>
          <w:rFonts w:ascii="宋体" w:hAnsi="宋体"/>
          <w:szCs w:val="21"/>
        </w:rPr>
      </w:pPr>
    </w:p>
    <w:p w14:paraId="17069D46">
      <w:pPr>
        <w:pStyle w:val="26"/>
        <w:snapToGrid w:val="0"/>
        <w:spacing w:line="360" w:lineRule="auto"/>
        <w:rPr>
          <w:rFonts w:hAnsi="宋体"/>
          <w:b/>
          <w:bCs/>
          <w:szCs w:val="21"/>
          <w:shd w:val="clear" w:color="auto" w:fill="FFFFFF"/>
        </w:rPr>
      </w:pPr>
      <w:r>
        <w:rPr>
          <w:rFonts w:hAnsi="宋体"/>
          <w:szCs w:val="21"/>
          <w:shd w:val="clear" w:color="auto" w:fill="FFFFFF"/>
        </w:rPr>
        <w:t>注: 1</w:t>
      </w:r>
      <w:r>
        <w:rPr>
          <w:rFonts w:hAnsi="宋体"/>
          <w:b/>
          <w:bCs/>
          <w:szCs w:val="21"/>
          <w:shd w:val="clear" w:color="auto" w:fill="FFFFFF"/>
        </w:rPr>
        <w:t>、</w:t>
      </w:r>
      <w:r>
        <w:rPr>
          <w:rFonts w:hint="eastAsia" w:hAnsi="宋体"/>
          <w:b/>
          <w:bCs/>
          <w:szCs w:val="21"/>
          <w:shd w:val="clear" w:color="auto" w:fill="FFFFFF"/>
        </w:rPr>
        <w:t>投标单位以折扣率进行报价（如：9折，即报价90%，结果保留两位小数）。</w:t>
      </w:r>
      <w:r>
        <w:rPr>
          <w:rFonts w:hAnsi="宋体"/>
          <w:b/>
          <w:bCs/>
          <w:szCs w:val="21"/>
          <w:shd w:val="clear" w:color="auto" w:fill="FFFFFF"/>
        </w:rPr>
        <w:t>报价一经涂改，应在涂改处加盖单位公章或者由法定代表人或授权委托人签字或盖章，否则其投标作无效标处理。</w:t>
      </w:r>
    </w:p>
    <w:p w14:paraId="01979FB3">
      <w:pPr>
        <w:widowControl/>
        <w:spacing w:line="360" w:lineRule="auto"/>
        <w:ind w:right="42" w:rightChars="20" w:firstLine="422" w:firstLineChars="200"/>
        <w:rPr>
          <w:rFonts w:ascii="宋体" w:hAnsi="宋体"/>
          <w:b/>
          <w:bCs/>
          <w:szCs w:val="21"/>
          <w:shd w:val="clear" w:color="auto" w:fill="FFFFFF"/>
        </w:rPr>
      </w:pPr>
      <w:r>
        <w:rPr>
          <w:rFonts w:hint="eastAsia" w:ascii="宋体" w:hAnsi="宋体"/>
          <w:b/>
          <w:bCs/>
          <w:szCs w:val="21"/>
          <w:shd w:val="clear" w:color="auto" w:fill="FFFFFF"/>
        </w:rPr>
        <w:t>2、投标报价是必须包括提供项目服务所需的一切人员费用（人员工资、奖金、各种加班费、各种社会保险（基本养老保险、基本医疗保险、工伤保险、失业保险、公积金等）、食宿与交通、高温补偿费）、货款、管理费用（意外保险、车辆、培训、税费、利润等完成合同所需的一切本身和不可或缺的所有工作开支、政策性文件规定及合同包含的所有风险、责任等各项全部费用并承担一切风险责任。</w:t>
      </w:r>
    </w:p>
    <w:p w14:paraId="5CEC4B1C">
      <w:pPr>
        <w:pStyle w:val="26"/>
        <w:snapToGrid w:val="0"/>
        <w:spacing w:line="360" w:lineRule="auto"/>
        <w:rPr>
          <w:rFonts w:hAnsi="宋体"/>
          <w:szCs w:val="21"/>
          <w:shd w:val="clear" w:color="auto" w:fill="FFFFFF"/>
        </w:rPr>
      </w:pPr>
    </w:p>
    <w:p w14:paraId="27D32414">
      <w:pPr>
        <w:pStyle w:val="26"/>
        <w:snapToGrid w:val="0"/>
        <w:spacing w:line="360" w:lineRule="auto"/>
        <w:rPr>
          <w:rFonts w:hAnsi="宋体"/>
          <w:szCs w:val="21"/>
          <w:shd w:val="clear" w:color="auto" w:fill="FFFFFF"/>
        </w:rPr>
      </w:pPr>
    </w:p>
    <w:p w14:paraId="50501005">
      <w:pPr>
        <w:pStyle w:val="26"/>
        <w:snapToGrid w:val="0"/>
        <w:spacing w:line="360" w:lineRule="auto"/>
        <w:rPr>
          <w:rFonts w:hAnsi="宋体"/>
          <w:szCs w:val="21"/>
          <w:shd w:val="clear" w:color="auto" w:fill="FFFFFF"/>
        </w:rPr>
      </w:pPr>
    </w:p>
    <w:p w14:paraId="5D1B6D05">
      <w:pPr>
        <w:pStyle w:val="26"/>
        <w:snapToGrid w:val="0"/>
        <w:spacing w:line="360" w:lineRule="auto"/>
        <w:rPr>
          <w:rFonts w:hAnsi="宋体"/>
          <w:szCs w:val="21"/>
          <w:shd w:val="clear" w:color="auto" w:fill="FFFFFF"/>
        </w:rPr>
      </w:pPr>
      <w:r>
        <w:rPr>
          <w:rFonts w:hAnsi="宋体"/>
          <w:szCs w:val="21"/>
          <w:shd w:val="clear" w:color="auto" w:fill="FFFFFF"/>
        </w:rPr>
        <w:t xml:space="preserve">法定代表人或授权代表（签字或盖章）： </w:t>
      </w:r>
    </w:p>
    <w:p w14:paraId="3473AAE1">
      <w:pPr>
        <w:pStyle w:val="26"/>
        <w:snapToGrid w:val="0"/>
        <w:spacing w:line="360" w:lineRule="auto"/>
        <w:rPr>
          <w:rFonts w:hAnsi="宋体"/>
          <w:szCs w:val="21"/>
          <w:shd w:val="clear" w:color="auto" w:fill="FFFFFF"/>
        </w:rPr>
      </w:pPr>
    </w:p>
    <w:p w14:paraId="404F91E0">
      <w:pPr>
        <w:pStyle w:val="26"/>
        <w:snapToGrid w:val="0"/>
        <w:spacing w:line="360" w:lineRule="auto"/>
        <w:rPr>
          <w:rFonts w:hAnsi="宋体"/>
          <w:szCs w:val="21"/>
          <w:shd w:val="clear" w:color="auto" w:fill="FFFFFF"/>
        </w:rPr>
      </w:pPr>
      <w:r>
        <w:rPr>
          <w:rFonts w:hint="eastAsia" w:hAnsi="宋体"/>
          <w:szCs w:val="21"/>
          <w:shd w:val="clear" w:color="auto" w:fill="FFFFFF"/>
        </w:rPr>
        <w:t>投标人名称：（盖章）</w:t>
      </w:r>
      <w:r>
        <w:rPr>
          <w:rFonts w:hAnsi="宋体"/>
          <w:szCs w:val="21"/>
          <w:shd w:val="clear" w:color="auto" w:fill="FFFFFF"/>
        </w:rPr>
        <w:t>：</w:t>
      </w:r>
    </w:p>
    <w:p w14:paraId="6E7D203B">
      <w:pPr>
        <w:pStyle w:val="26"/>
        <w:snapToGrid w:val="0"/>
        <w:spacing w:line="360" w:lineRule="auto"/>
        <w:rPr>
          <w:rFonts w:hAnsi="宋体"/>
          <w:szCs w:val="21"/>
        </w:rPr>
      </w:pPr>
    </w:p>
    <w:p w14:paraId="7A58FD4C">
      <w:pPr>
        <w:pStyle w:val="26"/>
        <w:snapToGrid w:val="0"/>
        <w:spacing w:line="360" w:lineRule="auto"/>
        <w:rPr>
          <w:rFonts w:hAnsi="宋体"/>
          <w:szCs w:val="21"/>
          <w:shd w:val="clear" w:color="auto" w:fill="FFFFFF"/>
        </w:rPr>
      </w:pPr>
      <w:r>
        <w:rPr>
          <w:rFonts w:hint="eastAsia" w:hAnsi="宋体"/>
          <w:szCs w:val="21"/>
          <w:shd w:val="clear" w:color="auto" w:fill="FFFFFF"/>
        </w:rPr>
        <w:t>日期：</w:t>
      </w:r>
    </w:p>
    <w:p w14:paraId="762CF724">
      <w:pPr>
        <w:pStyle w:val="58"/>
        <w:spacing w:line="360" w:lineRule="auto"/>
        <w:rPr>
          <w:rFonts w:ascii="宋体" w:hAnsi="宋体"/>
        </w:rPr>
      </w:pPr>
    </w:p>
    <w:p w14:paraId="6B72F9CF">
      <w:pPr>
        <w:pStyle w:val="58"/>
        <w:spacing w:line="360" w:lineRule="auto"/>
        <w:rPr>
          <w:rFonts w:ascii="宋体" w:hAnsi="宋体"/>
        </w:rPr>
      </w:pPr>
    </w:p>
    <w:p w14:paraId="1054F29D">
      <w:pPr>
        <w:pStyle w:val="58"/>
        <w:spacing w:line="360" w:lineRule="auto"/>
        <w:rPr>
          <w:rFonts w:ascii="宋体" w:hAnsi="宋体"/>
        </w:rPr>
      </w:pPr>
    </w:p>
    <w:p w14:paraId="744D99E1">
      <w:pPr>
        <w:pStyle w:val="58"/>
        <w:spacing w:line="360" w:lineRule="auto"/>
        <w:rPr>
          <w:rFonts w:ascii="宋体" w:hAnsi="宋体"/>
        </w:rPr>
      </w:pPr>
    </w:p>
    <w:p w14:paraId="413653D0">
      <w:pPr>
        <w:pStyle w:val="58"/>
        <w:spacing w:line="360" w:lineRule="auto"/>
        <w:rPr>
          <w:rFonts w:ascii="宋体" w:hAnsi="宋体"/>
        </w:rPr>
      </w:pPr>
    </w:p>
    <w:p w14:paraId="05EABA23">
      <w:pPr>
        <w:pStyle w:val="58"/>
        <w:spacing w:line="360" w:lineRule="auto"/>
        <w:rPr>
          <w:rFonts w:ascii="宋体" w:hAnsi="宋体"/>
        </w:rPr>
      </w:pPr>
    </w:p>
    <w:p w14:paraId="2E4029D0">
      <w:pPr>
        <w:pStyle w:val="26"/>
        <w:snapToGrid w:val="0"/>
        <w:spacing w:line="360" w:lineRule="auto"/>
        <w:rPr>
          <w:rFonts w:hAnsi="宋体"/>
          <w:szCs w:val="21"/>
          <w:shd w:val="clear" w:color="auto" w:fill="FFFFFF"/>
        </w:rPr>
      </w:pPr>
    </w:p>
    <w:p w14:paraId="57919FC7">
      <w:pPr>
        <w:pStyle w:val="8"/>
        <w:rPr>
          <w:rFonts w:hAnsi="宋体"/>
          <w:szCs w:val="21"/>
          <w:shd w:val="clear" w:color="auto" w:fill="FFFFFF"/>
        </w:rPr>
      </w:pPr>
    </w:p>
    <w:p w14:paraId="134E6ABB">
      <w:pPr>
        <w:pStyle w:val="9"/>
        <w:rPr>
          <w:rFonts w:hAnsi="宋体"/>
          <w:szCs w:val="21"/>
          <w:shd w:val="clear" w:color="auto" w:fill="FFFFFF"/>
        </w:rPr>
      </w:pPr>
    </w:p>
    <w:p w14:paraId="4DB0B5E5">
      <w:pPr>
        <w:pStyle w:val="8"/>
        <w:rPr>
          <w:rFonts w:hAnsi="宋体"/>
          <w:szCs w:val="21"/>
          <w:shd w:val="clear" w:color="auto" w:fill="FFFFFF"/>
        </w:rPr>
      </w:pPr>
    </w:p>
    <w:p w14:paraId="6A3048F6">
      <w:pPr>
        <w:pStyle w:val="9"/>
        <w:rPr>
          <w:rFonts w:hAnsi="宋体"/>
          <w:szCs w:val="21"/>
          <w:shd w:val="clear" w:color="auto" w:fill="FFFFFF"/>
        </w:rPr>
      </w:pPr>
    </w:p>
    <w:p w14:paraId="7EE6CC8A">
      <w:pPr>
        <w:pStyle w:val="8"/>
        <w:rPr>
          <w:rFonts w:hAnsi="宋体"/>
          <w:szCs w:val="21"/>
          <w:shd w:val="clear" w:color="auto" w:fill="FFFFFF"/>
        </w:rPr>
      </w:pPr>
    </w:p>
    <w:p w14:paraId="25FF9831">
      <w:pPr>
        <w:pStyle w:val="9"/>
        <w:rPr>
          <w:rFonts w:hAnsi="宋体"/>
          <w:szCs w:val="21"/>
          <w:shd w:val="clear" w:color="auto" w:fill="FFFFFF"/>
        </w:rPr>
      </w:pPr>
    </w:p>
    <w:p w14:paraId="20333836">
      <w:pPr>
        <w:pStyle w:val="8"/>
        <w:rPr>
          <w:rFonts w:hAnsi="宋体"/>
          <w:szCs w:val="21"/>
          <w:shd w:val="clear" w:color="auto" w:fill="FFFFFF"/>
        </w:rPr>
      </w:pPr>
    </w:p>
    <w:p w14:paraId="592F4BC8">
      <w:pPr>
        <w:pStyle w:val="9"/>
        <w:rPr>
          <w:rFonts w:hAnsi="宋体"/>
          <w:szCs w:val="21"/>
          <w:shd w:val="clear" w:color="auto" w:fill="FFFFFF"/>
        </w:rPr>
      </w:pPr>
    </w:p>
    <w:p w14:paraId="19290D4E">
      <w:pPr>
        <w:pStyle w:val="8"/>
        <w:rPr>
          <w:rFonts w:hAnsi="宋体"/>
          <w:szCs w:val="21"/>
          <w:shd w:val="clear" w:color="auto" w:fill="FFFFFF"/>
        </w:rPr>
      </w:pPr>
    </w:p>
    <w:p w14:paraId="538536D6">
      <w:pPr>
        <w:pStyle w:val="9"/>
        <w:rPr>
          <w:rFonts w:hAnsi="宋体"/>
          <w:szCs w:val="21"/>
          <w:shd w:val="clear" w:color="auto" w:fill="FFFFFF"/>
        </w:rPr>
      </w:pPr>
    </w:p>
    <w:p w14:paraId="37185A8B">
      <w:pPr>
        <w:pStyle w:val="8"/>
        <w:rPr>
          <w:rFonts w:hAnsi="宋体"/>
          <w:szCs w:val="21"/>
          <w:shd w:val="clear" w:color="auto" w:fill="FFFFFF"/>
        </w:rPr>
      </w:pPr>
    </w:p>
    <w:p w14:paraId="0900505D">
      <w:pPr>
        <w:pStyle w:val="9"/>
        <w:rPr>
          <w:rFonts w:hAnsi="宋体"/>
          <w:szCs w:val="21"/>
          <w:shd w:val="clear" w:color="auto" w:fill="FFFFFF"/>
        </w:rPr>
      </w:pPr>
    </w:p>
    <w:p w14:paraId="5E166792">
      <w:pPr>
        <w:pStyle w:val="8"/>
        <w:rPr>
          <w:rFonts w:hAnsi="宋体"/>
          <w:szCs w:val="21"/>
          <w:shd w:val="clear" w:color="auto" w:fill="FFFFFF"/>
        </w:rPr>
      </w:pPr>
    </w:p>
    <w:p w14:paraId="3B8236AE">
      <w:pPr>
        <w:pStyle w:val="9"/>
        <w:rPr>
          <w:rFonts w:hAnsi="宋体"/>
          <w:szCs w:val="21"/>
          <w:shd w:val="clear" w:color="auto" w:fill="FFFFFF"/>
        </w:rPr>
      </w:pPr>
    </w:p>
    <w:p w14:paraId="40787CD6">
      <w:pPr>
        <w:pStyle w:val="8"/>
        <w:rPr>
          <w:rFonts w:hAnsi="宋体"/>
          <w:szCs w:val="21"/>
          <w:shd w:val="clear" w:color="auto" w:fill="FFFFFF"/>
        </w:rPr>
      </w:pPr>
    </w:p>
    <w:p w14:paraId="2296B52F">
      <w:pPr>
        <w:pStyle w:val="9"/>
        <w:rPr>
          <w:rFonts w:hAnsi="宋体"/>
          <w:szCs w:val="21"/>
          <w:shd w:val="clear" w:color="auto" w:fill="FFFFFF"/>
        </w:rPr>
      </w:pPr>
    </w:p>
    <w:p w14:paraId="1D444CD1">
      <w:pPr>
        <w:pStyle w:val="8"/>
        <w:rPr>
          <w:rFonts w:hAnsi="宋体"/>
          <w:szCs w:val="21"/>
          <w:shd w:val="clear" w:color="auto" w:fill="FFFFFF"/>
        </w:rPr>
      </w:pPr>
    </w:p>
    <w:p w14:paraId="6CDFDB2C">
      <w:pPr>
        <w:pStyle w:val="9"/>
        <w:rPr>
          <w:rFonts w:hAnsi="宋体"/>
          <w:szCs w:val="21"/>
          <w:shd w:val="clear" w:color="auto" w:fill="FFFFFF"/>
        </w:rPr>
      </w:pPr>
    </w:p>
    <w:p w14:paraId="379EC7A9">
      <w:pPr>
        <w:pStyle w:val="8"/>
        <w:rPr>
          <w:rFonts w:hAnsi="宋体"/>
          <w:szCs w:val="21"/>
          <w:shd w:val="clear" w:color="auto" w:fill="FFFFFF"/>
        </w:rPr>
      </w:pPr>
    </w:p>
    <w:p w14:paraId="3A81DCC6">
      <w:pPr>
        <w:pStyle w:val="9"/>
        <w:rPr>
          <w:rFonts w:hAnsi="宋体"/>
          <w:szCs w:val="21"/>
          <w:shd w:val="clear" w:color="auto" w:fill="FFFFFF"/>
        </w:rPr>
      </w:pPr>
    </w:p>
    <w:p w14:paraId="3D359AC8">
      <w:pPr>
        <w:pStyle w:val="8"/>
        <w:rPr>
          <w:rFonts w:hAnsi="宋体"/>
          <w:szCs w:val="21"/>
          <w:shd w:val="clear" w:color="auto" w:fill="FFFFFF"/>
        </w:rPr>
      </w:pPr>
    </w:p>
    <w:p w14:paraId="34710182">
      <w:pPr>
        <w:pStyle w:val="9"/>
        <w:rPr>
          <w:rFonts w:hAnsi="宋体"/>
          <w:szCs w:val="21"/>
          <w:shd w:val="clear" w:color="auto" w:fill="FFFFFF"/>
        </w:rPr>
      </w:pPr>
    </w:p>
    <w:p w14:paraId="1557D1B5">
      <w:pPr>
        <w:pStyle w:val="8"/>
        <w:rPr>
          <w:rFonts w:hAnsi="宋体"/>
          <w:szCs w:val="21"/>
          <w:shd w:val="clear" w:color="auto" w:fill="FFFFFF"/>
        </w:rPr>
      </w:pPr>
    </w:p>
    <w:p w14:paraId="0E053D45">
      <w:pPr>
        <w:pStyle w:val="9"/>
        <w:rPr>
          <w:rFonts w:hAnsi="宋体"/>
          <w:szCs w:val="21"/>
          <w:shd w:val="clear" w:color="auto" w:fill="FFFFFF"/>
        </w:rPr>
      </w:pPr>
    </w:p>
    <w:p w14:paraId="30D031A1">
      <w:pPr>
        <w:pStyle w:val="8"/>
      </w:pPr>
    </w:p>
    <w:p w14:paraId="46CA9074">
      <w:pPr>
        <w:pStyle w:val="26"/>
        <w:snapToGrid w:val="0"/>
        <w:spacing w:line="360" w:lineRule="auto"/>
        <w:rPr>
          <w:rFonts w:hAnsi="宋体"/>
          <w:szCs w:val="21"/>
          <w:shd w:val="clear" w:color="auto" w:fill="FFFFFF"/>
        </w:rPr>
      </w:pPr>
    </w:p>
    <w:p w14:paraId="160EFD8E">
      <w:pPr>
        <w:pStyle w:val="26"/>
        <w:snapToGrid w:val="0"/>
        <w:spacing w:line="360" w:lineRule="auto"/>
        <w:rPr>
          <w:rFonts w:hAnsi="宋体"/>
          <w:szCs w:val="21"/>
          <w:shd w:val="clear" w:color="auto" w:fill="FFFFFF"/>
        </w:rPr>
      </w:pPr>
    </w:p>
    <w:p w14:paraId="2816E5F7">
      <w:pPr>
        <w:pStyle w:val="26"/>
        <w:snapToGrid w:val="0"/>
        <w:spacing w:line="360" w:lineRule="auto"/>
        <w:rPr>
          <w:rFonts w:hAnsi="宋体"/>
          <w:szCs w:val="21"/>
          <w:shd w:val="clear" w:color="auto" w:fill="FFFFFF"/>
        </w:rPr>
      </w:pPr>
    </w:p>
    <w:p w14:paraId="0FD4A3D4">
      <w:pPr>
        <w:pStyle w:val="26"/>
        <w:snapToGrid w:val="0"/>
        <w:spacing w:line="360" w:lineRule="auto"/>
        <w:rPr>
          <w:rFonts w:hAnsi="宋体"/>
          <w:szCs w:val="21"/>
          <w:shd w:val="clear" w:color="auto" w:fill="FFFFFF"/>
        </w:rPr>
      </w:pPr>
    </w:p>
    <w:p w14:paraId="4364B0CA">
      <w:pPr>
        <w:pStyle w:val="26"/>
        <w:snapToGrid w:val="0"/>
        <w:spacing w:line="360" w:lineRule="auto"/>
        <w:rPr>
          <w:rFonts w:hAnsi="宋体"/>
          <w:szCs w:val="21"/>
          <w:shd w:val="clear" w:color="auto" w:fill="FFFFFF"/>
        </w:rPr>
      </w:pPr>
    </w:p>
    <w:p w14:paraId="734018C3">
      <w:pPr>
        <w:pStyle w:val="26"/>
        <w:snapToGrid w:val="0"/>
        <w:spacing w:line="360" w:lineRule="auto"/>
        <w:rPr>
          <w:rFonts w:hAnsi="宋体"/>
          <w:szCs w:val="21"/>
          <w:shd w:val="clear" w:color="auto" w:fill="FFFFFF"/>
        </w:rPr>
      </w:pPr>
    </w:p>
    <w:p w14:paraId="48E80C0E">
      <w:pPr>
        <w:snapToGrid w:val="0"/>
        <w:spacing w:before="50" w:afterLines="50" w:line="440" w:lineRule="exact"/>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b/>
          <w:sz w:val="32"/>
          <w:szCs w:val="32"/>
        </w:rPr>
        <w:t>劳动用工书面承诺</w:t>
      </w:r>
    </w:p>
    <w:p w14:paraId="3A1AF330">
      <w:pPr>
        <w:pStyle w:val="26"/>
        <w:spacing w:line="48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如我公司中标，我公司将严格遵守《民法典》的相关规定，按招标文件的要求配置服务人员，按国家规定为员工缴纳社会保险，员工的工资标准不低于嘉兴市最低工资标准，并将所有条款写入劳动用工合同。</w:t>
      </w:r>
    </w:p>
    <w:p w14:paraId="6123BB1A">
      <w:pPr>
        <w:pStyle w:val="26"/>
        <w:spacing w:line="48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特此承诺。</w:t>
      </w:r>
    </w:p>
    <w:p w14:paraId="568D1447">
      <w:pPr>
        <w:pStyle w:val="26"/>
        <w:spacing w:line="480" w:lineRule="exact"/>
        <w:ind w:firstLine="480" w:firstLineChars="200"/>
        <w:rPr>
          <w:rFonts w:asciiTheme="minorEastAsia" w:hAnsiTheme="minorEastAsia" w:eastAsiaTheme="minorEastAsia" w:cstheme="minorEastAsia"/>
          <w:sz w:val="24"/>
          <w:szCs w:val="24"/>
        </w:rPr>
      </w:pPr>
    </w:p>
    <w:p w14:paraId="7CCBF496">
      <w:pPr>
        <w:pStyle w:val="26"/>
        <w:spacing w:line="480" w:lineRule="exact"/>
        <w:ind w:firstLine="480" w:firstLineChars="200"/>
        <w:rPr>
          <w:rFonts w:asciiTheme="minorEastAsia" w:hAnsiTheme="minorEastAsia" w:eastAsiaTheme="minorEastAsia" w:cstheme="minorEastAsia"/>
          <w:sz w:val="24"/>
          <w:szCs w:val="24"/>
        </w:rPr>
      </w:pPr>
    </w:p>
    <w:p w14:paraId="029C319E">
      <w:pPr>
        <w:snapToGrid w:val="0"/>
        <w:spacing w:before="50" w:after="50" w:line="360" w:lineRule="auto"/>
        <w:ind w:firstLine="480" w:firstLineChars="200"/>
        <w:rPr>
          <w:rFonts w:asciiTheme="minorEastAsia" w:hAnsiTheme="minorEastAsia" w:eastAsiaTheme="minorEastAsia" w:cstheme="minorEastAsia"/>
          <w:spacing w:val="20"/>
          <w:sz w:val="24"/>
          <w:u w:val="single"/>
        </w:rPr>
      </w:pPr>
      <w:r>
        <w:rPr>
          <w:rFonts w:hint="eastAsia" w:asciiTheme="minorEastAsia" w:hAnsiTheme="minorEastAsia" w:eastAsiaTheme="minorEastAsia" w:cstheme="minorEastAsia"/>
          <w:sz w:val="24"/>
        </w:rPr>
        <w:t>被授权人签字（或盖章）</w:t>
      </w:r>
      <w:r>
        <w:rPr>
          <w:rFonts w:hint="eastAsia" w:asciiTheme="minorEastAsia" w:hAnsiTheme="minorEastAsia" w:eastAsiaTheme="minorEastAsia" w:cstheme="minorEastAsia"/>
          <w:spacing w:val="20"/>
          <w:sz w:val="24"/>
        </w:rPr>
        <w:t>：</w:t>
      </w:r>
      <w:r>
        <w:rPr>
          <w:rFonts w:hint="eastAsia" w:asciiTheme="minorEastAsia" w:hAnsiTheme="minorEastAsia" w:eastAsiaTheme="minorEastAsia" w:cstheme="minorEastAsia"/>
          <w:spacing w:val="20"/>
          <w:sz w:val="24"/>
          <w:u w:val="single"/>
        </w:rPr>
        <w:t xml:space="preserve">        </w:t>
      </w:r>
    </w:p>
    <w:p w14:paraId="4751DF37">
      <w:pPr>
        <w:spacing w:line="460" w:lineRule="atLeas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投标人公章：                    </w:t>
      </w:r>
    </w:p>
    <w:p w14:paraId="0E35DBC3">
      <w:pPr>
        <w:spacing w:line="460" w:lineRule="atLeast"/>
        <w:ind w:firstLine="240" w:firstLineChars="100"/>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      年    月    日</w:t>
      </w:r>
    </w:p>
    <w:p w14:paraId="44FEB913">
      <w:pPr>
        <w:pStyle w:val="26"/>
        <w:snapToGrid w:val="0"/>
        <w:spacing w:line="360" w:lineRule="auto"/>
        <w:rPr>
          <w:rFonts w:asciiTheme="minorEastAsia" w:hAnsiTheme="minorEastAsia" w:eastAsiaTheme="minorEastAsia" w:cstheme="minorEastAsia"/>
        </w:rPr>
      </w:pPr>
    </w:p>
    <w:sectPr>
      <w:pgSz w:w="11907" w:h="16839"/>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9" w:usb3="00000000" w:csb0="000001FF" w:csb1="00000000"/>
  </w:font>
  <w:font w:name="MingLiU">
    <w:altName w:val="PMingLiU-ExtB"/>
    <w:panose1 w:val="02020509000000000000"/>
    <w:charset w:val="88"/>
    <w:family w:val="modern"/>
    <w:pitch w:val="default"/>
    <w:sig w:usb0="00000000" w:usb1="00000000" w:usb2="00000016" w:usb3="00000000" w:csb0="00100001" w:csb1="00000000"/>
  </w:font>
  <w:font w:name="仿宋">
    <w:panose1 w:val="02010609060101010101"/>
    <w:charset w:val="86"/>
    <w:family w:val="modern"/>
    <w:pitch w:val="default"/>
    <w:sig w:usb0="800002BF" w:usb1="38CF7CFA" w:usb2="00000016" w:usb3="00000000" w:csb0="00040001" w:csb1="00000000"/>
  </w:font>
  <w:font w:name="??">
    <w:altName w:val="微软雅黑"/>
    <w:panose1 w:val="00000000000000000000"/>
    <w:charset w:val="00"/>
    <w:family w:val="auto"/>
    <w:pitch w:val="default"/>
    <w:sig w:usb0="00000000" w:usb1="00000000" w:usb2="00000000" w:usb3="00000000" w:csb0="00040001" w:csb1="00000000"/>
  </w:font>
  <w:font w:name="Batang">
    <w:altName w:val="Malgun Gothic"/>
    <w:panose1 w:val="02030600000101010101"/>
    <w:charset w:val="81"/>
    <w:family w:val="roman"/>
    <w:pitch w:val="default"/>
    <w:sig w:usb0="00000000" w:usb1="00000000" w:usb2="00000030" w:usb3="00000000" w:csb0="0008009F" w:csb1="00000000"/>
  </w:font>
  <w:font w:name="Courier">
    <w:altName w:val="Courier New"/>
    <w:panose1 w:val="02070409020205020404"/>
    <w:charset w:val="00"/>
    <w:family w:val="modern"/>
    <w:pitch w:val="default"/>
    <w:sig w:usb0="00000000" w:usb1="00000000" w:usb2="00000000" w:usb3="00000000" w:csb0="00000001" w:csb1="00000000"/>
  </w:font>
  <w:font w:name="Calibri Light">
    <w:panose1 w:val="020F03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MS Gothic">
    <w:panose1 w:val="020B0609070205080204"/>
    <w:charset w:val="80"/>
    <w:family w:val="modern"/>
    <w:pitch w:val="default"/>
    <w:sig w:usb0="E00002FF" w:usb1="6AC7FDFB" w:usb2="08000012" w:usb3="00000000" w:csb0="4002009F" w:csb1="DFD7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B1570">
    <w:pPr>
      <w:pStyle w:val="30"/>
      <w:jc w:val="center"/>
    </w:pPr>
    <w:r>
      <w:fldChar w:fldCharType="begin"/>
    </w:r>
    <w:r>
      <w:instrText xml:space="preserve"> PAGE   \* MERGEFORMAT </w:instrText>
    </w:r>
    <w:r>
      <w:fldChar w:fldCharType="separate"/>
    </w:r>
    <w:r>
      <w:rPr>
        <w:lang w:val="zh-CN"/>
      </w:rPr>
      <w:t>6</w:t>
    </w:r>
    <w:r>
      <w:rPr>
        <w:lang w:val="zh-CN"/>
      </w:rPr>
      <w:fldChar w:fldCharType="end"/>
    </w:r>
  </w:p>
  <w:p w14:paraId="11DEC70C">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DEA9B">
    <w:pPr>
      <w:pStyle w:val="30"/>
      <w:jc w:val="center"/>
    </w:pPr>
    <w:r>
      <w:fldChar w:fldCharType="begin"/>
    </w:r>
    <w:r>
      <w:instrText xml:space="preserve"> PAGE   \* MERGEFORMAT </w:instrText>
    </w:r>
    <w:r>
      <w:fldChar w:fldCharType="separate"/>
    </w:r>
    <w:r>
      <w:rPr>
        <w:lang w:val="zh-CN"/>
      </w:rPr>
      <w:t>52</w:t>
    </w:r>
    <w:r>
      <w:rPr>
        <w:lang w:val="zh-CN"/>
      </w:rPr>
      <w:fldChar w:fldCharType="end"/>
    </w:r>
  </w:p>
  <w:p w14:paraId="09364FFE">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12B38">
    <w:pPr>
      <w:pStyle w:val="30"/>
      <w:jc w:val="center"/>
    </w:pPr>
    <w:r>
      <w:fldChar w:fldCharType="begin"/>
    </w:r>
    <w:r>
      <w:instrText xml:space="preserve"> PAGE   \* MERGEFORMAT </w:instrText>
    </w:r>
    <w:r>
      <w:fldChar w:fldCharType="separate"/>
    </w:r>
    <w:r>
      <w:rPr>
        <w:lang w:val="zh-CN"/>
      </w:rPr>
      <w:t>63</w:t>
    </w:r>
    <w:r>
      <w:rPr>
        <w:lang w:val="zh-CN"/>
      </w:rPr>
      <w:fldChar w:fldCharType="end"/>
    </w:r>
  </w:p>
  <w:p w14:paraId="2F0931F3">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859E2">
    <w:pPr>
      <w:pStyle w:val="30"/>
      <w:framePr w:wrap="around" w:vAnchor="text" w:hAnchor="margin" w:xAlign="outside" w:y="1"/>
      <w:rPr>
        <w:rStyle w:val="52"/>
      </w:rPr>
    </w:pPr>
    <w:r>
      <w:fldChar w:fldCharType="begin"/>
    </w:r>
    <w:r>
      <w:rPr>
        <w:rStyle w:val="52"/>
      </w:rPr>
      <w:instrText xml:space="preserve">PAGE  </w:instrText>
    </w:r>
    <w:r>
      <w:fldChar w:fldCharType="end"/>
    </w:r>
  </w:p>
  <w:p w14:paraId="41F24ABE">
    <w:pPr>
      <w:pStyle w:val="30"/>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6FE64">
    <w:pPr>
      <w:pStyle w:val="3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DB393">
    <w:pPr>
      <w:pStyle w:val="31"/>
      <w:jc w:val="right"/>
      <w:rPr>
        <w:rFonts w:ascii="微软雅黑" w:hAnsi="微软雅黑" w:eastAsia="微软雅黑"/>
      </w:rPr>
    </w:pPr>
    <w:r>
      <w:rPr>
        <w:rFonts w:hint="eastAsia" w:ascii="宋体" w:hAnsi="宋体" w:cs="Arial"/>
        <w:kern w:val="0"/>
        <w:szCs w:val="21"/>
      </w:rPr>
      <w:t>浙江省嘉兴支队经济技术开发区消防救援大队2024—2025年度食堂大宗物品配送采购项目 .招标文</w:t>
    </w:r>
    <w:r>
      <w:rPr>
        <w:rFonts w:ascii="宋体" w:hAnsi="宋体" w:cs="Arial"/>
        <w:kern w:val="0"/>
        <w:szCs w:val="21"/>
      </w:rPr>
      <w:t>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2DCC0">
    <w:pPr>
      <w:pStyle w:val="31"/>
      <w:jc w:val="right"/>
      <w:rPr>
        <w:rFonts w:ascii="微软雅黑" w:hAnsi="微软雅黑" w:eastAsia="微软雅黑"/>
      </w:rPr>
    </w:pPr>
    <w:r>
      <w:rPr>
        <w:rFonts w:hint="eastAsia" w:ascii="宋体" w:hAnsi="宋体" w:cs="Arial"/>
        <w:kern w:val="0"/>
        <w:szCs w:val="21"/>
        <w:lang w:val="zh-CN"/>
      </w:rPr>
      <w:t>浙江省嘉兴支队经济技术开发区消防救援大队2024-2025年度食堂大宗物品配送采购项目</w:t>
    </w:r>
    <w:r>
      <w:rPr>
        <w:rFonts w:hint="eastAsia" w:ascii="宋体" w:hAnsi="宋体" w:cs="Arial"/>
        <w:kern w:val="0"/>
        <w:szCs w:val="21"/>
      </w:rPr>
      <w:t xml:space="preserve"> .招标文</w:t>
    </w:r>
    <w:r>
      <w:rPr>
        <w:rFonts w:ascii="宋体" w:hAnsi="宋体" w:cs="Arial"/>
        <w:kern w:val="0"/>
        <w:szCs w:val="21"/>
      </w:rPr>
      <w:t>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5743D">
    <w:pPr>
      <w:pStyle w:val="31"/>
      <w:rPr>
        <w:rFonts w:ascii="宋体" w:hAnsi="宋体" w:cs="Arial"/>
        <w:kern w:val="0"/>
        <w:szCs w:val="21"/>
      </w:rPr>
    </w:pPr>
    <w:r>
      <w:rPr>
        <w:rFonts w:hint="eastAsia" w:ascii="宋体" w:hAnsi="宋体" w:cs="Arial"/>
        <w:kern w:val="0"/>
        <w:szCs w:val="21"/>
      </w:rPr>
      <w:t xml:space="preserve">      </w:t>
    </w:r>
  </w:p>
  <w:p w14:paraId="693E1652">
    <w:pPr>
      <w:pStyle w:val="31"/>
      <w:rPr>
        <w:rFonts w:ascii="微软雅黑" w:hAnsi="微软雅黑" w:eastAsia="微软雅黑"/>
      </w:rPr>
    </w:pPr>
    <w:r>
      <w:rPr>
        <w:rFonts w:hint="eastAsia" w:ascii="宋体" w:hAnsi="宋体" w:cs="Arial"/>
        <w:kern w:val="0"/>
        <w:szCs w:val="21"/>
        <w:lang w:val="zh-CN"/>
      </w:rPr>
      <w:t>浙江省嘉兴支队经济技术开发区消防救援大队2024-2025年度食堂大宗物品配送采购项目</w:t>
    </w:r>
    <w:r>
      <w:rPr>
        <w:rFonts w:hint="eastAsia" w:ascii="宋体" w:hAnsi="宋体" w:cs="Arial"/>
        <w:kern w:val="0"/>
        <w:szCs w:val="21"/>
      </w:rPr>
      <w:t xml:space="preserve"> 招标文</w:t>
    </w:r>
    <w:r>
      <w:rPr>
        <w:rFonts w:ascii="宋体" w:hAnsi="宋体" w:cs="Arial"/>
        <w:kern w:val="0"/>
        <w:szCs w:val="21"/>
      </w:rPr>
      <w:t>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2C70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1B0AEF"/>
    <w:multiLevelType w:val="multilevel"/>
    <w:tmpl w:val="881B0AEF"/>
    <w:lvl w:ilvl="0" w:tentative="0">
      <w:start w:val="1"/>
      <w:numFmt w:val="decimal"/>
      <w:suff w:val="nothing"/>
      <w:lvlText w:val="%1、"/>
      <w:lvlJc w:val="left"/>
      <w:pPr>
        <w:ind w:left="0" w:firstLine="0"/>
      </w:pPr>
      <w:rPr>
        <w:rFonts w:hint="default"/>
      </w:rPr>
    </w:lvl>
    <w:lvl w:ilvl="1" w:tentative="0">
      <w:start w:val="1"/>
      <w:numFmt w:val="decimal"/>
      <w:suff w:val="nothing"/>
      <w:lvlText w:val="%1.%2、"/>
      <w:lvlJc w:val="left"/>
      <w:pPr>
        <w:ind w:left="0" w:firstLine="0"/>
      </w:pPr>
      <w:rPr>
        <w:rFonts w:hint="default"/>
      </w:rPr>
    </w:lvl>
    <w:lvl w:ilvl="2" w:tentative="0">
      <w:start w:val="1"/>
      <w:numFmt w:val="decimal"/>
      <w:suff w:val="nothing"/>
      <w:lvlText w:val="%1.%2.%3、"/>
      <w:lvlJc w:val="left"/>
      <w:pPr>
        <w:ind w:left="0" w:firstLine="0"/>
      </w:pPr>
      <w:rPr>
        <w:rFonts w:hint="default"/>
      </w:rPr>
    </w:lvl>
    <w:lvl w:ilvl="3" w:tentative="0">
      <w:start w:val="1"/>
      <w:numFmt w:val="decimal"/>
      <w:suff w:val="nothing"/>
      <w:lvlText w:val="%1.%2.%3.%4、"/>
      <w:lvlJc w:val="left"/>
      <w:pPr>
        <w:ind w:left="0" w:firstLine="0"/>
      </w:pPr>
      <w:rPr>
        <w:rFonts w:hint="default"/>
      </w:rPr>
    </w:lvl>
    <w:lvl w:ilvl="4" w:tentative="0">
      <w:start w:val="1"/>
      <w:numFmt w:val="decimal"/>
      <w:suff w:val="nothing"/>
      <w:lvlText w:val="%1.%2.%3.%4.%5、"/>
      <w:lvlJc w:val="left"/>
      <w:pPr>
        <w:ind w:left="0" w:firstLine="0"/>
      </w:pPr>
      <w:rPr>
        <w:rFonts w:hint="default"/>
      </w:rPr>
    </w:lvl>
    <w:lvl w:ilvl="5" w:tentative="0">
      <w:start w:val="1"/>
      <w:numFmt w:val="decimal"/>
      <w:suff w:val="nothing"/>
      <w:lvlText w:val="%1.%2.%3.%4.%5.%6、"/>
      <w:lvlJc w:val="left"/>
      <w:pPr>
        <w:ind w:left="0" w:firstLine="0"/>
      </w:pPr>
      <w:rPr>
        <w:rFonts w:hint="default"/>
      </w:rPr>
    </w:lvl>
    <w:lvl w:ilvl="6" w:tentative="0">
      <w:start w:val="1"/>
      <w:numFmt w:val="decimal"/>
      <w:suff w:val="nothing"/>
      <w:lvlText w:val="%1.%2.%3.%4.%5.%6.%7、"/>
      <w:lvlJc w:val="left"/>
      <w:pPr>
        <w:ind w:left="0" w:firstLine="0"/>
      </w:pPr>
      <w:rPr>
        <w:rFonts w:hint="default"/>
      </w:rPr>
    </w:lvl>
    <w:lvl w:ilvl="7" w:tentative="0">
      <w:start w:val="1"/>
      <w:numFmt w:val="decimal"/>
      <w:suff w:val="nothing"/>
      <w:lvlText w:val="%1.%2.%3.%4.%5.%6.%7.%8、"/>
      <w:lvlJc w:val="left"/>
      <w:pPr>
        <w:ind w:left="0" w:firstLine="0"/>
      </w:pPr>
      <w:rPr>
        <w:rFonts w:hint="default"/>
      </w:rPr>
    </w:lvl>
    <w:lvl w:ilvl="8" w:tentative="0">
      <w:start w:val="1"/>
      <w:numFmt w:val="decimal"/>
      <w:suff w:val="nothing"/>
      <w:lvlText w:val="%1.%2.%3.%4.%5.%6.%7.%8.%9、"/>
      <w:lvlJc w:val="left"/>
      <w:pPr>
        <w:ind w:left="0" w:firstLine="0"/>
      </w:pPr>
      <w:rPr>
        <w:rFonts w:hint="default"/>
      </w:rPr>
    </w:lvl>
  </w:abstractNum>
  <w:abstractNum w:abstractNumId="1">
    <w:nsid w:val="551E3405"/>
    <w:multiLevelType w:val="multilevel"/>
    <w:tmpl w:val="551E3405"/>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6F05BE2E"/>
    <w:multiLevelType w:val="singleLevel"/>
    <w:tmpl w:val="6F05BE2E"/>
    <w:lvl w:ilvl="0" w:tentative="0">
      <w:start w:val="1"/>
      <w:numFmt w:val="chineseCounting"/>
      <w:suff w:val="nothing"/>
      <w:lvlText w:val="%1、"/>
      <w:lvlJc w:val="left"/>
      <w:rPr>
        <w:rFonts w:hint="eastAsia"/>
      </w:rPr>
    </w:lvl>
  </w:abstractNum>
  <w:abstractNum w:abstractNumId="3">
    <w:nsid w:val="73501D6F"/>
    <w:multiLevelType w:val="multilevel"/>
    <w:tmpl w:val="73501D6F"/>
    <w:lvl w:ilvl="0" w:tentative="0">
      <w:start w:val="1"/>
      <w:numFmt w:val="japaneseCounting"/>
      <w:lvlText w:val="%1、"/>
      <w:lvlJc w:val="left"/>
      <w:pPr>
        <w:tabs>
          <w:tab w:val="left" w:pos="946"/>
        </w:tabs>
        <w:ind w:left="946" w:hanging="480"/>
      </w:pPr>
      <w:rPr>
        <w:rFonts w:hint="default"/>
      </w:rPr>
    </w:lvl>
    <w:lvl w:ilvl="1" w:tentative="0">
      <w:start w:val="1"/>
      <w:numFmt w:val="lowerLetter"/>
      <w:lvlText w:val="%2)"/>
      <w:lvlJc w:val="left"/>
      <w:pPr>
        <w:tabs>
          <w:tab w:val="left" w:pos="1306"/>
        </w:tabs>
        <w:ind w:left="1306" w:hanging="420"/>
      </w:pPr>
    </w:lvl>
    <w:lvl w:ilvl="2" w:tentative="0">
      <w:start w:val="1"/>
      <w:numFmt w:val="lowerRoman"/>
      <w:lvlText w:val="%3."/>
      <w:lvlJc w:val="right"/>
      <w:pPr>
        <w:tabs>
          <w:tab w:val="left" w:pos="1726"/>
        </w:tabs>
        <w:ind w:left="1726" w:hanging="420"/>
      </w:pPr>
    </w:lvl>
    <w:lvl w:ilvl="3" w:tentative="0">
      <w:start w:val="1"/>
      <w:numFmt w:val="decimal"/>
      <w:lvlText w:val="%4."/>
      <w:lvlJc w:val="left"/>
      <w:pPr>
        <w:tabs>
          <w:tab w:val="left" w:pos="2146"/>
        </w:tabs>
        <w:ind w:left="2146" w:hanging="420"/>
      </w:pPr>
    </w:lvl>
    <w:lvl w:ilvl="4" w:tentative="0">
      <w:start w:val="1"/>
      <w:numFmt w:val="lowerLetter"/>
      <w:lvlText w:val="%5)"/>
      <w:lvlJc w:val="left"/>
      <w:pPr>
        <w:tabs>
          <w:tab w:val="left" w:pos="2566"/>
        </w:tabs>
        <w:ind w:left="2566" w:hanging="420"/>
      </w:pPr>
    </w:lvl>
    <w:lvl w:ilvl="5" w:tentative="0">
      <w:start w:val="1"/>
      <w:numFmt w:val="lowerRoman"/>
      <w:lvlText w:val="%6."/>
      <w:lvlJc w:val="right"/>
      <w:pPr>
        <w:tabs>
          <w:tab w:val="left" w:pos="2986"/>
        </w:tabs>
        <w:ind w:left="2986" w:hanging="420"/>
      </w:pPr>
    </w:lvl>
    <w:lvl w:ilvl="6" w:tentative="0">
      <w:start w:val="1"/>
      <w:numFmt w:val="decimal"/>
      <w:lvlText w:val="%7."/>
      <w:lvlJc w:val="left"/>
      <w:pPr>
        <w:tabs>
          <w:tab w:val="left" w:pos="3406"/>
        </w:tabs>
        <w:ind w:left="3406" w:hanging="420"/>
      </w:pPr>
    </w:lvl>
    <w:lvl w:ilvl="7" w:tentative="0">
      <w:start w:val="1"/>
      <w:numFmt w:val="lowerLetter"/>
      <w:lvlText w:val="%8)"/>
      <w:lvlJc w:val="left"/>
      <w:pPr>
        <w:tabs>
          <w:tab w:val="left" w:pos="3826"/>
        </w:tabs>
        <w:ind w:left="3826" w:hanging="420"/>
      </w:pPr>
    </w:lvl>
    <w:lvl w:ilvl="8" w:tentative="0">
      <w:start w:val="1"/>
      <w:numFmt w:val="lowerRoman"/>
      <w:lvlText w:val="%9."/>
      <w:lvlJc w:val="right"/>
      <w:pPr>
        <w:tabs>
          <w:tab w:val="left" w:pos="4246"/>
        </w:tabs>
        <w:ind w:left="4246"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trackRevisions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docVars>
    <w:docVar w:name="commondata" w:val="eyJoZGlkIjoiYWFmN2EwZWFiZDY2ZWI3Njg3YWZmMTdjMmVlZWRkOGUifQ=="/>
  </w:docVars>
  <w:rsids>
    <w:rsidRoot w:val="00C67595"/>
    <w:rsid w:val="00000868"/>
    <w:rsid w:val="00002FF3"/>
    <w:rsid w:val="0000398F"/>
    <w:rsid w:val="00003C3C"/>
    <w:rsid w:val="000044F4"/>
    <w:rsid w:val="000050D6"/>
    <w:rsid w:val="00005B6A"/>
    <w:rsid w:val="0000613F"/>
    <w:rsid w:val="00006676"/>
    <w:rsid w:val="00007A59"/>
    <w:rsid w:val="000101D3"/>
    <w:rsid w:val="00010B34"/>
    <w:rsid w:val="00010C43"/>
    <w:rsid w:val="000112E4"/>
    <w:rsid w:val="00011499"/>
    <w:rsid w:val="00011EDD"/>
    <w:rsid w:val="00012415"/>
    <w:rsid w:val="00014435"/>
    <w:rsid w:val="00015B12"/>
    <w:rsid w:val="00015C8C"/>
    <w:rsid w:val="00015EBA"/>
    <w:rsid w:val="00016F84"/>
    <w:rsid w:val="00017123"/>
    <w:rsid w:val="0001712E"/>
    <w:rsid w:val="0001791B"/>
    <w:rsid w:val="00020A3B"/>
    <w:rsid w:val="00023EA6"/>
    <w:rsid w:val="00023F05"/>
    <w:rsid w:val="000249F2"/>
    <w:rsid w:val="00024B81"/>
    <w:rsid w:val="00026C81"/>
    <w:rsid w:val="0003103E"/>
    <w:rsid w:val="0003146C"/>
    <w:rsid w:val="00031953"/>
    <w:rsid w:val="0003293E"/>
    <w:rsid w:val="00034784"/>
    <w:rsid w:val="00034D4D"/>
    <w:rsid w:val="00035725"/>
    <w:rsid w:val="000365CB"/>
    <w:rsid w:val="0003713E"/>
    <w:rsid w:val="000377BF"/>
    <w:rsid w:val="00037CD8"/>
    <w:rsid w:val="0004008C"/>
    <w:rsid w:val="000401D5"/>
    <w:rsid w:val="00041B2D"/>
    <w:rsid w:val="00042977"/>
    <w:rsid w:val="00042AFD"/>
    <w:rsid w:val="00043120"/>
    <w:rsid w:val="00043142"/>
    <w:rsid w:val="00045492"/>
    <w:rsid w:val="000462B4"/>
    <w:rsid w:val="0004692F"/>
    <w:rsid w:val="00047D1E"/>
    <w:rsid w:val="000501DD"/>
    <w:rsid w:val="0005070C"/>
    <w:rsid w:val="000510C6"/>
    <w:rsid w:val="000518B8"/>
    <w:rsid w:val="00051FC1"/>
    <w:rsid w:val="00052F01"/>
    <w:rsid w:val="00054A9C"/>
    <w:rsid w:val="00055784"/>
    <w:rsid w:val="00055D20"/>
    <w:rsid w:val="00056CBF"/>
    <w:rsid w:val="000573EF"/>
    <w:rsid w:val="00057835"/>
    <w:rsid w:val="00060047"/>
    <w:rsid w:val="00060905"/>
    <w:rsid w:val="000623FD"/>
    <w:rsid w:val="00062990"/>
    <w:rsid w:val="00062AFE"/>
    <w:rsid w:val="00063364"/>
    <w:rsid w:val="00064222"/>
    <w:rsid w:val="00064829"/>
    <w:rsid w:val="00065016"/>
    <w:rsid w:val="000651F4"/>
    <w:rsid w:val="00065E41"/>
    <w:rsid w:val="000661E3"/>
    <w:rsid w:val="000662AD"/>
    <w:rsid w:val="00066842"/>
    <w:rsid w:val="00066EC4"/>
    <w:rsid w:val="000709B0"/>
    <w:rsid w:val="000718A7"/>
    <w:rsid w:val="00072638"/>
    <w:rsid w:val="000736C9"/>
    <w:rsid w:val="00073C4C"/>
    <w:rsid w:val="00074E55"/>
    <w:rsid w:val="00074FC4"/>
    <w:rsid w:val="00076500"/>
    <w:rsid w:val="00076C16"/>
    <w:rsid w:val="0007718F"/>
    <w:rsid w:val="0007759B"/>
    <w:rsid w:val="0007790A"/>
    <w:rsid w:val="00080288"/>
    <w:rsid w:val="0008113B"/>
    <w:rsid w:val="00081912"/>
    <w:rsid w:val="00083285"/>
    <w:rsid w:val="00083E93"/>
    <w:rsid w:val="000845F6"/>
    <w:rsid w:val="00085D08"/>
    <w:rsid w:val="0008643D"/>
    <w:rsid w:val="000871CB"/>
    <w:rsid w:val="00087413"/>
    <w:rsid w:val="00087869"/>
    <w:rsid w:val="00087F2C"/>
    <w:rsid w:val="000901E0"/>
    <w:rsid w:val="00091F55"/>
    <w:rsid w:val="00092DE6"/>
    <w:rsid w:val="000932B2"/>
    <w:rsid w:val="00093B7D"/>
    <w:rsid w:val="00093EB5"/>
    <w:rsid w:val="000941A5"/>
    <w:rsid w:val="00095712"/>
    <w:rsid w:val="00096C1B"/>
    <w:rsid w:val="0009734B"/>
    <w:rsid w:val="000A0027"/>
    <w:rsid w:val="000A137F"/>
    <w:rsid w:val="000A20E5"/>
    <w:rsid w:val="000A24D3"/>
    <w:rsid w:val="000A29D9"/>
    <w:rsid w:val="000A326A"/>
    <w:rsid w:val="000A4323"/>
    <w:rsid w:val="000A4FF5"/>
    <w:rsid w:val="000A6697"/>
    <w:rsid w:val="000A69C1"/>
    <w:rsid w:val="000A74D9"/>
    <w:rsid w:val="000B09AE"/>
    <w:rsid w:val="000B0A3A"/>
    <w:rsid w:val="000B177F"/>
    <w:rsid w:val="000B22F5"/>
    <w:rsid w:val="000B2508"/>
    <w:rsid w:val="000B2E80"/>
    <w:rsid w:val="000B3796"/>
    <w:rsid w:val="000B39C4"/>
    <w:rsid w:val="000B4EDA"/>
    <w:rsid w:val="000B5BDD"/>
    <w:rsid w:val="000B60F2"/>
    <w:rsid w:val="000B688B"/>
    <w:rsid w:val="000C0619"/>
    <w:rsid w:val="000C0796"/>
    <w:rsid w:val="000C1788"/>
    <w:rsid w:val="000C1894"/>
    <w:rsid w:val="000C1950"/>
    <w:rsid w:val="000C1952"/>
    <w:rsid w:val="000C2450"/>
    <w:rsid w:val="000C34D1"/>
    <w:rsid w:val="000C3CB6"/>
    <w:rsid w:val="000C400E"/>
    <w:rsid w:val="000C4E12"/>
    <w:rsid w:val="000C51F1"/>
    <w:rsid w:val="000C52F4"/>
    <w:rsid w:val="000C62D7"/>
    <w:rsid w:val="000C743A"/>
    <w:rsid w:val="000C7992"/>
    <w:rsid w:val="000D00D5"/>
    <w:rsid w:val="000D0A89"/>
    <w:rsid w:val="000D0CCE"/>
    <w:rsid w:val="000D1BEF"/>
    <w:rsid w:val="000D1E8B"/>
    <w:rsid w:val="000D270C"/>
    <w:rsid w:val="000D3375"/>
    <w:rsid w:val="000D3BD8"/>
    <w:rsid w:val="000D3CA8"/>
    <w:rsid w:val="000D3DBC"/>
    <w:rsid w:val="000D3E83"/>
    <w:rsid w:val="000D4194"/>
    <w:rsid w:val="000D4E06"/>
    <w:rsid w:val="000D51BB"/>
    <w:rsid w:val="000D5879"/>
    <w:rsid w:val="000D73FD"/>
    <w:rsid w:val="000E0758"/>
    <w:rsid w:val="000E0C03"/>
    <w:rsid w:val="000E1631"/>
    <w:rsid w:val="000E1EB6"/>
    <w:rsid w:val="000E1F01"/>
    <w:rsid w:val="000E2330"/>
    <w:rsid w:val="000E2A99"/>
    <w:rsid w:val="000E4552"/>
    <w:rsid w:val="000E4833"/>
    <w:rsid w:val="000E5B07"/>
    <w:rsid w:val="000E5BED"/>
    <w:rsid w:val="000E63B3"/>
    <w:rsid w:val="000E67CC"/>
    <w:rsid w:val="000F00C6"/>
    <w:rsid w:val="000F03BE"/>
    <w:rsid w:val="000F1174"/>
    <w:rsid w:val="000F200A"/>
    <w:rsid w:val="000F2A44"/>
    <w:rsid w:val="000F2E02"/>
    <w:rsid w:val="000F41DC"/>
    <w:rsid w:val="000F79F2"/>
    <w:rsid w:val="000F7AE1"/>
    <w:rsid w:val="00102946"/>
    <w:rsid w:val="001029B5"/>
    <w:rsid w:val="00104A23"/>
    <w:rsid w:val="00104D7B"/>
    <w:rsid w:val="00104E7B"/>
    <w:rsid w:val="001056B0"/>
    <w:rsid w:val="00106261"/>
    <w:rsid w:val="00106CA0"/>
    <w:rsid w:val="00111AC6"/>
    <w:rsid w:val="00111C03"/>
    <w:rsid w:val="001127C2"/>
    <w:rsid w:val="00112C9C"/>
    <w:rsid w:val="001136F2"/>
    <w:rsid w:val="001140A1"/>
    <w:rsid w:val="0011453D"/>
    <w:rsid w:val="001157FF"/>
    <w:rsid w:val="00115C70"/>
    <w:rsid w:val="00117042"/>
    <w:rsid w:val="0012000F"/>
    <w:rsid w:val="00120031"/>
    <w:rsid w:val="001204E0"/>
    <w:rsid w:val="0012571C"/>
    <w:rsid w:val="00131164"/>
    <w:rsid w:val="0013190C"/>
    <w:rsid w:val="00131EB3"/>
    <w:rsid w:val="00132367"/>
    <w:rsid w:val="0013276A"/>
    <w:rsid w:val="0013300D"/>
    <w:rsid w:val="001331D8"/>
    <w:rsid w:val="0013637D"/>
    <w:rsid w:val="00136E52"/>
    <w:rsid w:val="001411A8"/>
    <w:rsid w:val="001433CF"/>
    <w:rsid w:val="0014548E"/>
    <w:rsid w:val="00150C59"/>
    <w:rsid w:val="001512EB"/>
    <w:rsid w:val="00152126"/>
    <w:rsid w:val="00152408"/>
    <w:rsid w:val="00152CF7"/>
    <w:rsid w:val="00155680"/>
    <w:rsid w:val="00155885"/>
    <w:rsid w:val="0015627F"/>
    <w:rsid w:val="0015639E"/>
    <w:rsid w:val="00157136"/>
    <w:rsid w:val="00157DAD"/>
    <w:rsid w:val="001601E1"/>
    <w:rsid w:val="001608DD"/>
    <w:rsid w:val="00160CB6"/>
    <w:rsid w:val="001619B3"/>
    <w:rsid w:val="00162AB9"/>
    <w:rsid w:val="001663C1"/>
    <w:rsid w:val="00171130"/>
    <w:rsid w:val="001749E9"/>
    <w:rsid w:val="001749EA"/>
    <w:rsid w:val="00175FF0"/>
    <w:rsid w:val="001760F8"/>
    <w:rsid w:val="00180135"/>
    <w:rsid w:val="001807AC"/>
    <w:rsid w:val="0018080D"/>
    <w:rsid w:val="00180B6C"/>
    <w:rsid w:val="00183E56"/>
    <w:rsid w:val="00184A25"/>
    <w:rsid w:val="00185BE6"/>
    <w:rsid w:val="00186C73"/>
    <w:rsid w:val="00187CA6"/>
    <w:rsid w:val="00190584"/>
    <w:rsid w:val="00190A51"/>
    <w:rsid w:val="001916F1"/>
    <w:rsid w:val="00191C4B"/>
    <w:rsid w:val="001930F4"/>
    <w:rsid w:val="00194ECF"/>
    <w:rsid w:val="001961BA"/>
    <w:rsid w:val="001963C7"/>
    <w:rsid w:val="00196943"/>
    <w:rsid w:val="00196E8A"/>
    <w:rsid w:val="001A3799"/>
    <w:rsid w:val="001A385B"/>
    <w:rsid w:val="001A3D66"/>
    <w:rsid w:val="001A45C5"/>
    <w:rsid w:val="001A5907"/>
    <w:rsid w:val="001A6FF0"/>
    <w:rsid w:val="001A7535"/>
    <w:rsid w:val="001A78E7"/>
    <w:rsid w:val="001B024B"/>
    <w:rsid w:val="001B15F6"/>
    <w:rsid w:val="001B31E0"/>
    <w:rsid w:val="001B333B"/>
    <w:rsid w:val="001B4756"/>
    <w:rsid w:val="001B4BD3"/>
    <w:rsid w:val="001B52C5"/>
    <w:rsid w:val="001B598A"/>
    <w:rsid w:val="001B6161"/>
    <w:rsid w:val="001B6DF8"/>
    <w:rsid w:val="001B7633"/>
    <w:rsid w:val="001B7C02"/>
    <w:rsid w:val="001C01C4"/>
    <w:rsid w:val="001C1990"/>
    <w:rsid w:val="001C2AE0"/>
    <w:rsid w:val="001C2C06"/>
    <w:rsid w:val="001C2E1A"/>
    <w:rsid w:val="001C2F33"/>
    <w:rsid w:val="001C531A"/>
    <w:rsid w:val="001C585A"/>
    <w:rsid w:val="001C5F4C"/>
    <w:rsid w:val="001C70F2"/>
    <w:rsid w:val="001D0E96"/>
    <w:rsid w:val="001D15FA"/>
    <w:rsid w:val="001D1BEF"/>
    <w:rsid w:val="001D3D2D"/>
    <w:rsid w:val="001D6C3A"/>
    <w:rsid w:val="001E01DD"/>
    <w:rsid w:val="001E0DAD"/>
    <w:rsid w:val="001E0ED4"/>
    <w:rsid w:val="001E14EA"/>
    <w:rsid w:val="001E23F2"/>
    <w:rsid w:val="001E2F45"/>
    <w:rsid w:val="001E31F8"/>
    <w:rsid w:val="001E3FCE"/>
    <w:rsid w:val="001E4776"/>
    <w:rsid w:val="001E550F"/>
    <w:rsid w:val="001F020B"/>
    <w:rsid w:val="001F02A5"/>
    <w:rsid w:val="001F2692"/>
    <w:rsid w:val="001F32E4"/>
    <w:rsid w:val="001F3957"/>
    <w:rsid w:val="001F4D21"/>
    <w:rsid w:val="001F6A15"/>
    <w:rsid w:val="001F7336"/>
    <w:rsid w:val="002001BC"/>
    <w:rsid w:val="002004C0"/>
    <w:rsid w:val="00200E8E"/>
    <w:rsid w:val="002012BC"/>
    <w:rsid w:val="00201494"/>
    <w:rsid w:val="002033CF"/>
    <w:rsid w:val="00203D55"/>
    <w:rsid w:val="00204712"/>
    <w:rsid w:val="00204AFB"/>
    <w:rsid w:val="00205048"/>
    <w:rsid w:val="0020630C"/>
    <w:rsid w:val="00206B06"/>
    <w:rsid w:val="00210A6D"/>
    <w:rsid w:val="00211B35"/>
    <w:rsid w:val="00212194"/>
    <w:rsid w:val="002122A4"/>
    <w:rsid w:val="00213BB2"/>
    <w:rsid w:val="00214014"/>
    <w:rsid w:val="0021426B"/>
    <w:rsid w:val="00214F3B"/>
    <w:rsid w:val="00215167"/>
    <w:rsid w:val="00215261"/>
    <w:rsid w:val="0021582A"/>
    <w:rsid w:val="00216455"/>
    <w:rsid w:val="00216784"/>
    <w:rsid w:val="00216AF8"/>
    <w:rsid w:val="002172A3"/>
    <w:rsid w:val="002202C1"/>
    <w:rsid w:val="0022043B"/>
    <w:rsid w:val="0022120F"/>
    <w:rsid w:val="00221406"/>
    <w:rsid w:val="002214C3"/>
    <w:rsid w:val="00221609"/>
    <w:rsid w:val="00221DE0"/>
    <w:rsid w:val="00222725"/>
    <w:rsid w:val="00223C33"/>
    <w:rsid w:val="0022501A"/>
    <w:rsid w:val="00225680"/>
    <w:rsid w:val="00225B70"/>
    <w:rsid w:val="0022638E"/>
    <w:rsid w:val="002266AF"/>
    <w:rsid w:val="00226F31"/>
    <w:rsid w:val="00227079"/>
    <w:rsid w:val="002272CC"/>
    <w:rsid w:val="0022764B"/>
    <w:rsid w:val="002310E4"/>
    <w:rsid w:val="00231165"/>
    <w:rsid w:val="002321B2"/>
    <w:rsid w:val="00232532"/>
    <w:rsid w:val="002327C8"/>
    <w:rsid w:val="002331D8"/>
    <w:rsid w:val="0023367C"/>
    <w:rsid w:val="0023556C"/>
    <w:rsid w:val="00235917"/>
    <w:rsid w:val="0023594C"/>
    <w:rsid w:val="0023766E"/>
    <w:rsid w:val="00240313"/>
    <w:rsid w:val="00244319"/>
    <w:rsid w:val="002450E8"/>
    <w:rsid w:val="00245739"/>
    <w:rsid w:val="0024712C"/>
    <w:rsid w:val="0024757D"/>
    <w:rsid w:val="00250561"/>
    <w:rsid w:val="0025074F"/>
    <w:rsid w:val="00250FF3"/>
    <w:rsid w:val="00251D1B"/>
    <w:rsid w:val="00251DDD"/>
    <w:rsid w:val="00254D47"/>
    <w:rsid w:val="00255D0F"/>
    <w:rsid w:val="0025717D"/>
    <w:rsid w:val="00257251"/>
    <w:rsid w:val="00257614"/>
    <w:rsid w:val="00260090"/>
    <w:rsid w:val="00260141"/>
    <w:rsid w:val="00260679"/>
    <w:rsid w:val="00261255"/>
    <w:rsid w:val="002615FC"/>
    <w:rsid w:val="00262313"/>
    <w:rsid w:val="0026292E"/>
    <w:rsid w:val="00266055"/>
    <w:rsid w:val="0026746C"/>
    <w:rsid w:val="002705BE"/>
    <w:rsid w:val="00270CF7"/>
    <w:rsid w:val="00270F20"/>
    <w:rsid w:val="00272EC3"/>
    <w:rsid w:val="00273015"/>
    <w:rsid w:val="0027308B"/>
    <w:rsid w:val="0027337F"/>
    <w:rsid w:val="00274258"/>
    <w:rsid w:val="0027449C"/>
    <w:rsid w:val="00274F22"/>
    <w:rsid w:val="002754FB"/>
    <w:rsid w:val="00275E3B"/>
    <w:rsid w:val="00276170"/>
    <w:rsid w:val="00276513"/>
    <w:rsid w:val="002800F9"/>
    <w:rsid w:val="00282B66"/>
    <w:rsid w:val="00284071"/>
    <w:rsid w:val="00284585"/>
    <w:rsid w:val="00284A51"/>
    <w:rsid w:val="0028553D"/>
    <w:rsid w:val="0028590F"/>
    <w:rsid w:val="0028632D"/>
    <w:rsid w:val="002864B8"/>
    <w:rsid w:val="002867E2"/>
    <w:rsid w:val="0029034A"/>
    <w:rsid w:val="00290975"/>
    <w:rsid w:val="00293D33"/>
    <w:rsid w:val="0029485F"/>
    <w:rsid w:val="0029609E"/>
    <w:rsid w:val="00297229"/>
    <w:rsid w:val="002A0977"/>
    <w:rsid w:val="002A0E86"/>
    <w:rsid w:val="002A4768"/>
    <w:rsid w:val="002A5215"/>
    <w:rsid w:val="002A62CD"/>
    <w:rsid w:val="002A6348"/>
    <w:rsid w:val="002A673A"/>
    <w:rsid w:val="002A6D52"/>
    <w:rsid w:val="002A6D8E"/>
    <w:rsid w:val="002A7816"/>
    <w:rsid w:val="002B0D8A"/>
    <w:rsid w:val="002B4339"/>
    <w:rsid w:val="002B5C0A"/>
    <w:rsid w:val="002B650F"/>
    <w:rsid w:val="002B73C5"/>
    <w:rsid w:val="002B7CC9"/>
    <w:rsid w:val="002C07F3"/>
    <w:rsid w:val="002C2BFF"/>
    <w:rsid w:val="002C2C79"/>
    <w:rsid w:val="002C2D68"/>
    <w:rsid w:val="002C30B4"/>
    <w:rsid w:val="002C3195"/>
    <w:rsid w:val="002C3490"/>
    <w:rsid w:val="002C4048"/>
    <w:rsid w:val="002C4195"/>
    <w:rsid w:val="002C49C2"/>
    <w:rsid w:val="002C4CA1"/>
    <w:rsid w:val="002C5920"/>
    <w:rsid w:val="002C5F4F"/>
    <w:rsid w:val="002C60A9"/>
    <w:rsid w:val="002C7739"/>
    <w:rsid w:val="002D0334"/>
    <w:rsid w:val="002D1096"/>
    <w:rsid w:val="002D1656"/>
    <w:rsid w:val="002D30D0"/>
    <w:rsid w:val="002D3A29"/>
    <w:rsid w:val="002D3DE7"/>
    <w:rsid w:val="002D40B4"/>
    <w:rsid w:val="002D4599"/>
    <w:rsid w:val="002D501A"/>
    <w:rsid w:val="002D5406"/>
    <w:rsid w:val="002D6047"/>
    <w:rsid w:val="002D6367"/>
    <w:rsid w:val="002D6ED5"/>
    <w:rsid w:val="002E0380"/>
    <w:rsid w:val="002E3DB0"/>
    <w:rsid w:val="002E4582"/>
    <w:rsid w:val="002E58E1"/>
    <w:rsid w:val="002E608E"/>
    <w:rsid w:val="002E6D2B"/>
    <w:rsid w:val="002E767C"/>
    <w:rsid w:val="002E7AFC"/>
    <w:rsid w:val="002E7CFC"/>
    <w:rsid w:val="002E7E1D"/>
    <w:rsid w:val="002F0B10"/>
    <w:rsid w:val="002F208F"/>
    <w:rsid w:val="002F22D6"/>
    <w:rsid w:val="002F46AD"/>
    <w:rsid w:val="002F4F9C"/>
    <w:rsid w:val="002F6AA7"/>
    <w:rsid w:val="002F6D21"/>
    <w:rsid w:val="002F6FCC"/>
    <w:rsid w:val="003000C5"/>
    <w:rsid w:val="0030184C"/>
    <w:rsid w:val="003034C4"/>
    <w:rsid w:val="00303B30"/>
    <w:rsid w:val="003070E6"/>
    <w:rsid w:val="00307B9E"/>
    <w:rsid w:val="00311A46"/>
    <w:rsid w:val="00312FB3"/>
    <w:rsid w:val="003146C2"/>
    <w:rsid w:val="00314A13"/>
    <w:rsid w:val="00314F8A"/>
    <w:rsid w:val="00315A4D"/>
    <w:rsid w:val="003163D4"/>
    <w:rsid w:val="00316663"/>
    <w:rsid w:val="00316CBA"/>
    <w:rsid w:val="00320024"/>
    <w:rsid w:val="003207AE"/>
    <w:rsid w:val="0032270C"/>
    <w:rsid w:val="003235A5"/>
    <w:rsid w:val="00323E19"/>
    <w:rsid w:val="0032517A"/>
    <w:rsid w:val="00325482"/>
    <w:rsid w:val="00326214"/>
    <w:rsid w:val="003262E3"/>
    <w:rsid w:val="0032659B"/>
    <w:rsid w:val="00326C39"/>
    <w:rsid w:val="00326F34"/>
    <w:rsid w:val="00327B44"/>
    <w:rsid w:val="00330637"/>
    <w:rsid w:val="00331439"/>
    <w:rsid w:val="003314C8"/>
    <w:rsid w:val="0033382F"/>
    <w:rsid w:val="003339BF"/>
    <w:rsid w:val="0033557B"/>
    <w:rsid w:val="00340021"/>
    <w:rsid w:val="00340753"/>
    <w:rsid w:val="00340EF0"/>
    <w:rsid w:val="0034120C"/>
    <w:rsid w:val="00341BA6"/>
    <w:rsid w:val="0034220C"/>
    <w:rsid w:val="0034299D"/>
    <w:rsid w:val="00342C20"/>
    <w:rsid w:val="003446A7"/>
    <w:rsid w:val="00344AB4"/>
    <w:rsid w:val="003450C9"/>
    <w:rsid w:val="0034565D"/>
    <w:rsid w:val="003462B2"/>
    <w:rsid w:val="003471ED"/>
    <w:rsid w:val="00347CE9"/>
    <w:rsid w:val="00351958"/>
    <w:rsid w:val="0035270E"/>
    <w:rsid w:val="0035302D"/>
    <w:rsid w:val="00353D48"/>
    <w:rsid w:val="00353D4B"/>
    <w:rsid w:val="00353FD0"/>
    <w:rsid w:val="0035446D"/>
    <w:rsid w:val="00357213"/>
    <w:rsid w:val="00360259"/>
    <w:rsid w:val="00360275"/>
    <w:rsid w:val="003618C1"/>
    <w:rsid w:val="00361B16"/>
    <w:rsid w:val="00361F22"/>
    <w:rsid w:val="00362B52"/>
    <w:rsid w:val="00362B6B"/>
    <w:rsid w:val="003640AC"/>
    <w:rsid w:val="00364900"/>
    <w:rsid w:val="00367043"/>
    <w:rsid w:val="00367868"/>
    <w:rsid w:val="00367E68"/>
    <w:rsid w:val="003702DB"/>
    <w:rsid w:val="003726C9"/>
    <w:rsid w:val="00373F8D"/>
    <w:rsid w:val="00374437"/>
    <w:rsid w:val="00374661"/>
    <w:rsid w:val="00374AFA"/>
    <w:rsid w:val="00375F2E"/>
    <w:rsid w:val="0037623E"/>
    <w:rsid w:val="0037688E"/>
    <w:rsid w:val="00376CC4"/>
    <w:rsid w:val="00377A30"/>
    <w:rsid w:val="00380F76"/>
    <w:rsid w:val="00381601"/>
    <w:rsid w:val="003827C0"/>
    <w:rsid w:val="00382D2E"/>
    <w:rsid w:val="003831B5"/>
    <w:rsid w:val="003833E2"/>
    <w:rsid w:val="003857B1"/>
    <w:rsid w:val="0038631D"/>
    <w:rsid w:val="00386BBA"/>
    <w:rsid w:val="00387D85"/>
    <w:rsid w:val="00391146"/>
    <w:rsid w:val="0039180D"/>
    <w:rsid w:val="003938CA"/>
    <w:rsid w:val="00393B51"/>
    <w:rsid w:val="003940A9"/>
    <w:rsid w:val="003945FE"/>
    <w:rsid w:val="00394AE3"/>
    <w:rsid w:val="00395629"/>
    <w:rsid w:val="00396529"/>
    <w:rsid w:val="00397632"/>
    <w:rsid w:val="00397A22"/>
    <w:rsid w:val="003A11D5"/>
    <w:rsid w:val="003A1716"/>
    <w:rsid w:val="003A35DE"/>
    <w:rsid w:val="003A368B"/>
    <w:rsid w:val="003A3F1A"/>
    <w:rsid w:val="003A55E2"/>
    <w:rsid w:val="003A5CBD"/>
    <w:rsid w:val="003A65FE"/>
    <w:rsid w:val="003A6EB4"/>
    <w:rsid w:val="003B296C"/>
    <w:rsid w:val="003B5979"/>
    <w:rsid w:val="003B5E24"/>
    <w:rsid w:val="003B6222"/>
    <w:rsid w:val="003C1488"/>
    <w:rsid w:val="003C2EF0"/>
    <w:rsid w:val="003C39A1"/>
    <w:rsid w:val="003C4C6A"/>
    <w:rsid w:val="003C542B"/>
    <w:rsid w:val="003C6088"/>
    <w:rsid w:val="003C6925"/>
    <w:rsid w:val="003C6A7D"/>
    <w:rsid w:val="003C704B"/>
    <w:rsid w:val="003C77FD"/>
    <w:rsid w:val="003C7C88"/>
    <w:rsid w:val="003D1D29"/>
    <w:rsid w:val="003D1E74"/>
    <w:rsid w:val="003D38BD"/>
    <w:rsid w:val="003D3F8F"/>
    <w:rsid w:val="003D44ED"/>
    <w:rsid w:val="003D5BE8"/>
    <w:rsid w:val="003D7B96"/>
    <w:rsid w:val="003E0C22"/>
    <w:rsid w:val="003E25C9"/>
    <w:rsid w:val="003E3291"/>
    <w:rsid w:val="003E3769"/>
    <w:rsid w:val="003E4A05"/>
    <w:rsid w:val="003E62A6"/>
    <w:rsid w:val="003E6BD1"/>
    <w:rsid w:val="003E76F5"/>
    <w:rsid w:val="003F00F1"/>
    <w:rsid w:val="003F08DD"/>
    <w:rsid w:val="003F095C"/>
    <w:rsid w:val="003F135A"/>
    <w:rsid w:val="003F32EA"/>
    <w:rsid w:val="003F3578"/>
    <w:rsid w:val="003F361B"/>
    <w:rsid w:val="003F3B43"/>
    <w:rsid w:val="003F47CC"/>
    <w:rsid w:val="003F6EA7"/>
    <w:rsid w:val="00401095"/>
    <w:rsid w:val="00401627"/>
    <w:rsid w:val="00401A1A"/>
    <w:rsid w:val="00403741"/>
    <w:rsid w:val="00404445"/>
    <w:rsid w:val="00404C20"/>
    <w:rsid w:val="00405C98"/>
    <w:rsid w:val="00407E08"/>
    <w:rsid w:val="00407ED7"/>
    <w:rsid w:val="00410A0F"/>
    <w:rsid w:val="00410FAF"/>
    <w:rsid w:val="004114AA"/>
    <w:rsid w:val="0041237D"/>
    <w:rsid w:val="00412CBD"/>
    <w:rsid w:val="00412CD1"/>
    <w:rsid w:val="00413F4C"/>
    <w:rsid w:val="00415698"/>
    <w:rsid w:val="004156B5"/>
    <w:rsid w:val="00415CB5"/>
    <w:rsid w:val="00415CD0"/>
    <w:rsid w:val="00417BE9"/>
    <w:rsid w:val="00420F8D"/>
    <w:rsid w:val="004214B5"/>
    <w:rsid w:val="004225B5"/>
    <w:rsid w:val="0042297C"/>
    <w:rsid w:val="00422B8C"/>
    <w:rsid w:val="00423F7F"/>
    <w:rsid w:val="004250BA"/>
    <w:rsid w:val="004256E8"/>
    <w:rsid w:val="00425845"/>
    <w:rsid w:val="00425B57"/>
    <w:rsid w:val="004267A0"/>
    <w:rsid w:val="00426EEF"/>
    <w:rsid w:val="00427047"/>
    <w:rsid w:val="00430924"/>
    <w:rsid w:val="0043115C"/>
    <w:rsid w:val="00431C25"/>
    <w:rsid w:val="00431CF0"/>
    <w:rsid w:val="0043214E"/>
    <w:rsid w:val="00433D02"/>
    <w:rsid w:val="00434060"/>
    <w:rsid w:val="00437762"/>
    <w:rsid w:val="00437C7D"/>
    <w:rsid w:val="00440432"/>
    <w:rsid w:val="00440709"/>
    <w:rsid w:val="004409B0"/>
    <w:rsid w:val="004410F2"/>
    <w:rsid w:val="0044176C"/>
    <w:rsid w:val="004426D3"/>
    <w:rsid w:val="004432C4"/>
    <w:rsid w:val="00444BDC"/>
    <w:rsid w:val="00444E81"/>
    <w:rsid w:val="00445C3B"/>
    <w:rsid w:val="004461E1"/>
    <w:rsid w:val="0044624A"/>
    <w:rsid w:val="004466ED"/>
    <w:rsid w:val="00450063"/>
    <w:rsid w:val="00451372"/>
    <w:rsid w:val="00451A69"/>
    <w:rsid w:val="00451D14"/>
    <w:rsid w:val="00453177"/>
    <w:rsid w:val="0045398A"/>
    <w:rsid w:val="004548E3"/>
    <w:rsid w:val="00454CAC"/>
    <w:rsid w:val="00454FEF"/>
    <w:rsid w:val="00455983"/>
    <w:rsid w:val="00455FB6"/>
    <w:rsid w:val="00456AB9"/>
    <w:rsid w:val="00456B40"/>
    <w:rsid w:val="00457A35"/>
    <w:rsid w:val="00463AE4"/>
    <w:rsid w:val="00466865"/>
    <w:rsid w:val="0047000B"/>
    <w:rsid w:val="00470411"/>
    <w:rsid w:val="00470989"/>
    <w:rsid w:val="0047269E"/>
    <w:rsid w:val="00472A6B"/>
    <w:rsid w:val="004730CD"/>
    <w:rsid w:val="004753EA"/>
    <w:rsid w:val="004756E5"/>
    <w:rsid w:val="00475B66"/>
    <w:rsid w:val="00477067"/>
    <w:rsid w:val="0047747E"/>
    <w:rsid w:val="0047764D"/>
    <w:rsid w:val="00481C9A"/>
    <w:rsid w:val="00482362"/>
    <w:rsid w:val="004837DF"/>
    <w:rsid w:val="00483A8C"/>
    <w:rsid w:val="00483AF6"/>
    <w:rsid w:val="004845BA"/>
    <w:rsid w:val="00485E36"/>
    <w:rsid w:val="00486130"/>
    <w:rsid w:val="00487EA8"/>
    <w:rsid w:val="00491467"/>
    <w:rsid w:val="00491686"/>
    <w:rsid w:val="00492C3D"/>
    <w:rsid w:val="004935E2"/>
    <w:rsid w:val="004935F5"/>
    <w:rsid w:val="00493D52"/>
    <w:rsid w:val="00494311"/>
    <w:rsid w:val="00495508"/>
    <w:rsid w:val="00496347"/>
    <w:rsid w:val="0049757D"/>
    <w:rsid w:val="004A0749"/>
    <w:rsid w:val="004A074A"/>
    <w:rsid w:val="004A081C"/>
    <w:rsid w:val="004A08C4"/>
    <w:rsid w:val="004A0C79"/>
    <w:rsid w:val="004A193D"/>
    <w:rsid w:val="004A29C6"/>
    <w:rsid w:val="004A339A"/>
    <w:rsid w:val="004A33C5"/>
    <w:rsid w:val="004A3408"/>
    <w:rsid w:val="004A3427"/>
    <w:rsid w:val="004A35EC"/>
    <w:rsid w:val="004A3D67"/>
    <w:rsid w:val="004A5FE4"/>
    <w:rsid w:val="004A63AD"/>
    <w:rsid w:val="004A672E"/>
    <w:rsid w:val="004A6CD4"/>
    <w:rsid w:val="004A763F"/>
    <w:rsid w:val="004A7686"/>
    <w:rsid w:val="004B1146"/>
    <w:rsid w:val="004B1B25"/>
    <w:rsid w:val="004B3872"/>
    <w:rsid w:val="004B50D5"/>
    <w:rsid w:val="004B5BDD"/>
    <w:rsid w:val="004B76FA"/>
    <w:rsid w:val="004C024F"/>
    <w:rsid w:val="004C08D1"/>
    <w:rsid w:val="004C09A2"/>
    <w:rsid w:val="004C2CFD"/>
    <w:rsid w:val="004C30F4"/>
    <w:rsid w:val="004C34B1"/>
    <w:rsid w:val="004C490A"/>
    <w:rsid w:val="004C4F9B"/>
    <w:rsid w:val="004C7813"/>
    <w:rsid w:val="004D0473"/>
    <w:rsid w:val="004D07AC"/>
    <w:rsid w:val="004D1437"/>
    <w:rsid w:val="004D1876"/>
    <w:rsid w:val="004D3047"/>
    <w:rsid w:val="004D3105"/>
    <w:rsid w:val="004D352E"/>
    <w:rsid w:val="004D39A3"/>
    <w:rsid w:val="004D4F09"/>
    <w:rsid w:val="004D5556"/>
    <w:rsid w:val="004D5FBE"/>
    <w:rsid w:val="004D688A"/>
    <w:rsid w:val="004D7812"/>
    <w:rsid w:val="004D7E27"/>
    <w:rsid w:val="004E180E"/>
    <w:rsid w:val="004E1853"/>
    <w:rsid w:val="004E2801"/>
    <w:rsid w:val="004E3AAC"/>
    <w:rsid w:val="004E3F53"/>
    <w:rsid w:val="004E443A"/>
    <w:rsid w:val="004E49CF"/>
    <w:rsid w:val="004E4C52"/>
    <w:rsid w:val="004E7946"/>
    <w:rsid w:val="004F00CE"/>
    <w:rsid w:val="004F054E"/>
    <w:rsid w:val="004F14AA"/>
    <w:rsid w:val="004F22F9"/>
    <w:rsid w:val="004F28FF"/>
    <w:rsid w:val="004F2BE6"/>
    <w:rsid w:val="004F49C9"/>
    <w:rsid w:val="004F5EEB"/>
    <w:rsid w:val="004F6AAA"/>
    <w:rsid w:val="004F773C"/>
    <w:rsid w:val="004F7EA8"/>
    <w:rsid w:val="00500A89"/>
    <w:rsid w:val="00501FF8"/>
    <w:rsid w:val="0050272E"/>
    <w:rsid w:val="00504332"/>
    <w:rsid w:val="00504E3A"/>
    <w:rsid w:val="00507566"/>
    <w:rsid w:val="005101D0"/>
    <w:rsid w:val="00510C68"/>
    <w:rsid w:val="00511A73"/>
    <w:rsid w:val="0051205B"/>
    <w:rsid w:val="0051264D"/>
    <w:rsid w:val="00512C76"/>
    <w:rsid w:val="00512DE6"/>
    <w:rsid w:val="00513715"/>
    <w:rsid w:val="00513791"/>
    <w:rsid w:val="00513BF2"/>
    <w:rsid w:val="00513EE1"/>
    <w:rsid w:val="0051455D"/>
    <w:rsid w:val="005163A0"/>
    <w:rsid w:val="005167B7"/>
    <w:rsid w:val="00520BD0"/>
    <w:rsid w:val="00520EB6"/>
    <w:rsid w:val="00521558"/>
    <w:rsid w:val="00521C5E"/>
    <w:rsid w:val="00521FA8"/>
    <w:rsid w:val="00521FF6"/>
    <w:rsid w:val="00523056"/>
    <w:rsid w:val="0052346E"/>
    <w:rsid w:val="005235A4"/>
    <w:rsid w:val="00524F55"/>
    <w:rsid w:val="00525BDD"/>
    <w:rsid w:val="0052684A"/>
    <w:rsid w:val="00526FB9"/>
    <w:rsid w:val="005272BF"/>
    <w:rsid w:val="00527687"/>
    <w:rsid w:val="005309B4"/>
    <w:rsid w:val="005312BB"/>
    <w:rsid w:val="00532778"/>
    <w:rsid w:val="00532B2C"/>
    <w:rsid w:val="00533812"/>
    <w:rsid w:val="00534342"/>
    <w:rsid w:val="00534722"/>
    <w:rsid w:val="00535AFE"/>
    <w:rsid w:val="00535F25"/>
    <w:rsid w:val="00536684"/>
    <w:rsid w:val="00536B9E"/>
    <w:rsid w:val="00536EDE"/>
    <w:rsid w:val="00536FC0"/>
    <w:rsid w:val="00537646"/>
    <w:rsid w:val="005432E2"/>
    <w:rsid w:val="0054336E"/>
    <w:rsid w:val="00543F20"/>
    <w:rsid w:val="005445EF"/>
    <w:rsid w:val="00545D29"/>
    <w:rsid w:val="0054671E"/>
    <w:rsid w:val="00546ADF"/>
    <w:rsid w:val="00546C74"/>
    <w:rsid w:val="00547404"/>
    <w:rsid w:val="005474F2"/>
    <w:rsid w:val="00551A9F"/>
    <w:rsid w:val="00551FAE"/>
    <w:rsid w:val="005520FF"/>
    <w:rsid w:val="00553DED"/>
    <w:rsid w:val="00553EF5"/>
    <w:rsid w:val="00555788"/>
    <w:rsid w:val="00556AAA"/>
    <w:rsid w:val="00556ED3"/>
    <w:rsid w:val="005574A3"/>
    <w:rsid w:val="005577EC"/>
    <w:rsid w:val="005579A1"/>
    <w:rsid w:val="00557B69"/>
    <w:rsid w:val="005608EF"/>
    <w:rsid w:val="00562FE2"/>
    <w:rsid w:val="00563D15"/>
    <w:rsid w:val="00564533"/>
    <w:rsid w:val="00566FF8"/>
    <w:rsid w:val="005676EC"/>
    <w:rsid w:val="0056771B"/>
    <w:rsid w:val="00567FD0"/>
    <w:rsid w:val="005719F3"/>
    <w:rsid w:val="00571C2F"/>
    <w:rsid w:val="00572072"/>
    <w:rsid w:val="00572649"/>
    <w:rsid w:val="00574776"/>
    <w:rsid w:val="005758C3"/>
    <w:rsid w:val="00576E0E"/>
    <w:rsid w:val="005774DA"/>
    <w:rsid w:val="00577BFD"/>
    <w:rsid w:val="00580329"/>
    <w:rsid w:val="00583887"/>
    <w:rsid w:val="00583E2C"/>
    <w:rsid w:val="00584144"/>
    <w:rsid w:val="005844A7"/>
    <w:rsid w:val="00584C25"/>
    <w:rsid w:val="0058506B"/>
    <w:rsid w:val="0058575C"/>
    <w:rsid w:val="00585FD8"/>
    <w:rsid w:val="00586296"/>
    <w:rsid w:val="005866FE"/>
    <w:rsid w:val="0059061B"/>
    <w:rsid w:val="005907E4"/>
    <w:rsid w:val="00591922"/>
    <w:rsid w:val="00591C01"/>
    <w:rsid w:val="005955B8"/>
    <w:rsid w:val="00595BD6"/>
    <w:rsid w:val="005969CE"/>
    <w:rsid w:val="00596EB2"/>
    <w:rsid w:val="00597102"/>
    <w:rsid w:val="00597843"/>
    <w:rsid w:val="005979E9"/>
    <w:rsid w:val="00597A7A"/>
    <w:rsid w:val="005A102D"/>
    <w:rsid w:val="005A182D"/>
    <w:rsid w:val="005A1858"/>
    <w:rsid w:val="005A1DC0"/>
    <w:rsid w:val="005A2A66"/>
    <w:rsid w:val="005A422B"/>
    <w:rsid w:val="005A452F"/>
    <w:rsid w:val="005A4EA4"/>
    <w:rsid w:val="005A76B0"/>
    <w:rsid w:val="005B067A"/>
    <w:rsid w:val="005B26C5"/>
    <w:rsid w:val="005B3B45"/>
    <w:rsid w:val="005B6616"/>
    <w:rsid w:val="005B67AE"/>
    <w:rsid w:val="005B7C00"/>
    <w:rsid w:val="005B7F47"/>
    <w:rsid w:val="005C020F"/>
    <w:rsid w:val="005C0785"/>
    <w:rsid w:val="005C0E52"/>
    <w:rsid w:val="005C1351"/>
    <w:rsid w:val="005C1C87"/>
    <w:rsid w:val="005C2002"/>
    <w:rsid w:val="005C25DD"/>
    <w:rsid w:val="005C34B9"/>
    <w:rsid w:val="005C35FC"/>
    <w:rsid w:val="005C3A36"/>
    <w:rsid w:val="005C6DB7"/>
    <w:rsid w:val="005C75FA"/>
    <w:rsid w:val="005D09F3"/>
    <w:rsid w:val="005D2086"/>
    <w:rsid w:val="005D2694"/>
    <w:rsid w:val="005D2A4D"/>
    <w:rsid w:val="005D2A91"/>
    <w:rsid w:val="005D2B8F"/>
    <w:rsid w:val="005D32EA"/>
    <w:rsid w:val="005D3740"/>
    <w:rsid w:val="005D46E1"/>
    <w:rsid w:val="005D4DE6"/>
    <w:rsid w:val="005D547F"/>
    <w:rsid w:val="005D5639"/>
    <w:rsid w:val="005D5F44"/>
    <w:rsid w:val="005D6F33"/>
    <w:rsid w:val="005E250B"/>
    <w:rsid w:val="005E2D9D"/>
    <w:rsid w:val="005E30E2"/>
    <w:rsid w:val="005E3BE9"/>
    <w:rsid w:val="005E4B63"/>
    <w:rsid w:val="005E60BB"/>
    <w:rsid w:val="005E7161"/>
    <w:rsid w:val="005F05EE"/>
    <w:rsid w:val="005F0EA0"/>
    <w:rsid w:val="005F0F42"/>
    <w:rsid w:val="005F1237"/>
    <w:rsid w:val="005F17BB"/>
    <w:rsid w:val="005F22D0"/>
    <w:rsid w:val="005F27D0"/>
    <w:rsid w:val="005F357E"/>
    <w:rsid w:val="005F3F1A"/>
    <w:rsid w:val="005F51B4"/>
    <w:rsid w:val="005F5253"/>
    <w:rsid w:val="005F55D0"/>
    <w:rsid w:val="005F5636"/>
    <w:rsid w:val="005F6215"/>
    <w:rsid w:val="005F6F6C"/>
    <w:rsid w:val="005F7B25"/>
    <w:rsid w:val="006003FA"/>
    <w:rsid w:val="00600451"/>
    <w:rsid w:val="006016E9"/>
    <w:rsid w:val="006034DD"/>
    <w:rsid w:val="00603938"/>
    <w:rsid w:val="006057B7"/>
    <w:rsid w:val="006061EE"/>
    <w:rsid w:val="00610BBA"/>
    <w:rsid w:val="006122BB"/>
    <w:rsid w:val="006127E7"/>
    <w:rsid w:val="0061389F"/>
    <w:rsid w:val="00613CE4"/>
    <w:rsid w:val="00616792"/>
    <w:rsid w:val="00617CB5"/>
    <w:rsid w:val="00617E39"/>
    <w:rsid w:val="006212FF"/>
    <w:rsid w:val="006216C7"/>
    <w:rsid w:val="00623960"/>
    <w:rsid w:val="006239D2"/>
    <w:rsid w:val="0062434B"/>
    <w:rsid w:val="0062472F"/>
    <w:rsid w:val="00625664"/>
    <w:rsid w:val="00626086"/>
    <w:rsid w:val="006277E7"/>
    <w:rsid w:val="00627BB3"/>
    <w:rsid w:val="00630160"/>
    <w:rsid w:val="00631638"/>
    <w:rsid w:val="0063192E"/>
    <w:rsid w:val="00633F6D"/>
    <w:rsid w:val="006343E9"/>
    <w:rsid w:val="0063463C"/>
    <w:rsid w:val="006361F8"/>
    <w:rsid w:val="00636968"/>
    <w:rsid w:val="00636BB2"/>
    <w:rsid w:val="00637470"/>
    <w:rsid w:val="006374F5"/>
    <w:rsid w:val="00640596"/>
    <w:rsid w:val="00640D1D"/>
    <w:rsid w:val="00643083"/>
    <w:rsid w:val="00643839"/>
    <w:rsid w:val="0064553A"/>
    <w:rsid w:val="00647897"/>
    <w:rsid w:val="0065028A"/>
    <w:rsid w:val="00650D71"/>
    <w:rsid w:val="00650E2E"/>
    <w:rsid w:val="0065164A"/>
    <w:rsid w:val="00652459"/>
    <w:rsid w:val="006526B4"/>
    <w:rsid w:val="00656DA8"/>
    <w:rsid w:val="00660207"/>
    <w:rsid w:val="0066034E"/>
    <w:rsid w:val="00660B7E"/>
    <w:rsid w:val="00661A0B"/>
    <w:rsid w:val="00662379"/>
    <w:rsid w:val="006625F1"/>
    <w:rsid w:val="006626E8"/>
    <w:rsid w:val="00662D47"/>
    <w:rsid w:val="00663202"/>
    <w:rsid w:val="006636EA"/>
    <w:rsid w:val="0066420F"/>
    <w:rsid w:val="0066585A"/>
    <w:rsid w:val="00665C33"/>
    <w:rsid w:val="00665EA4"/>
    <w:rsid w:val="0066619B"/>
    <w:rsid w:val="006674FA"/>
    <w:rsid w:val="00670985"/>
    <w:rsid w:val="00670FB1"/>
    <w:rsid w:val="00671C13"/>
    <w:rsid w:val="00672FAE"/>
    <w:rsid w:val="0067304C"/>
    <w:rsid w:val="006731F3"/>
    <w:rsid w:val="0067332C"/>
    <w:rsid w:val="006733E5"/>
    <w:rsid w:val="00673758"/>
    <w:rsid w:val="006747C1"/>
    <w:rsid w:val="006756B6"/>
    <w:rsid w:val="00675EDC"/>
    <w:rsid w:val="00676B76"/>
    <w:rsid w:val="006770F9"/>
    <w:rsid w:val="006779C7"/>
    <w:rsid w:val="0068024E"/>
    <w:rsid w:val="00680D84"/>
    <w:rsid w:val="00683635"/>
    <w:rsid w:val="0068446A"/>
    <w:rsid w:val="00684EAC"/>
    <w:rsid w:val="0068600C"/>
    <w:rsid w:val="006867FE"/>
    <w:rsid w:val="00686DEF"/>
    <w:rsid w:val="0069003B"/>
    <w:rsid w:val="00690265"/>
    <w:rsid w:val="006908CB"/>
    <w:rsid w:val="00693547"/>
    <w:rsid w:val="00693761"/>
    <w:rsid w:val="00694C0A"/>
    <w:rsid w:val="00695242"/>
    <w:rsid w:val="00696549"/>
    <w:rsid w:val="0069692F"/>
    <w:rsid w:val="00696C84"/>
    <w:rsid w:val="0069719C"/>
    <w:rsid w:val="006973C0"/>
    <w:rsid w:val="006A0193"/>
    <w:rsid w:val="006A0516"/>
    <w:rsid w:val="006A09E2"/>
    <w:rsid w:val="006A20B4"/>
    <w:rsid w:val="006A2CF4"/>
    <w:rsid w:val="006A3E17"/>
    <w:rsid w:val="006A506E"/>
    <w:rsid w:val="006A731A"/>
    <w:rsid w:val="006B2869"/>
    <w:rsid w:val="006B3051"/>
    <w:rsid w:val="006B429A"/>
    <w:rsid w:val="006B4904"/>
    <w:rsid w:val="006B526A"/>
    <w:rsid w:val="006B7799"/>
    <w:rsid w:val="006C029A"/>
    <w:rsid w:val="006C0ED1"/>
    <w:rsid w:val="006C119A"/>
    <w:rsid w:val="006C2E01"/>
    <w:rsid w:val="006C3040"/>
    <w:rsid w:val="006C37A6"/>
    <w:rsid w:val="006C39EE"/>
    <w:rsid w:val="006C4979"/>
    <w:rsid w:val="006C4CD4"/>
    <w:rsid w:val="006C51AB"/>
    <w:rsid w:val="006C574A"/>
    <w:rsid w:val="006C6554"/>
    <w:rsid w:val="006C7114"/>
    <w:rsid w:val="006C7366"/>
    <w:rsid w:val="006C769A"/>
    <w:rsid w:val="006C7A0B"/>
    <w:rsid w:val="006C7F22"/>
    <w:rsid w:val="006D0625"/>
    <w:rsid w:val="006D0E7E"/>
    <w:rsid w:val="006D1AB5"/>
    <w:rsid w:val="006D1C10"/>
    <w:rsid w:val="006D3EC2"/>
    <w:rsid w:val="006D41C9"/>
    <w:rsid w:val="006D48EB"/>
    <w:rsid w:val="006D4D8B"/>
    <w:rsid w:val="006D6571"/>
    <w:rsid w:val="006D7AA7"/>
    <w:rsid w:val="006E0134"/>
    <w:rsid w:val="006E0DFA"/>
    <w:rsid w:val="006E0FD3"/>
    <w:rsid w:val="006E1BA5"/>
    <w:rsid w:val="006E1C93"/>
    <w:rsid w:val="006E1D94"/>
    <w:rsid w:val="006E20B4"/>
    <w:rsid w:val="006E23C2"/>
    <w:rsid w:val="006E2473"/>
    <w:rsid w:val="006E25AF"/>
    <w:rsid w:val="006E317D"/>
    <w:rsid w:val="006E3C08"/>
    <w:rsid w:val="006E46D1"/>
    <w:rsid w:val="006E4C23"/>
    <w:rsid w:val="006E6D37"/>
    <w:rsid w:val="006F1882"/>
    <w:rsid w:val="006F2296"/>
    <w:rsid w:val="006F271C"/>
    <w:rsid w:val="006F4BE4"/>
    <w:rsid w:val="006F55BF"/>
    <w:rsid w:val="006F5954"/>
    <w:rsid w:val="00700091"/>
    <w:rsid w:val="00700127"/>
    <w:rsid w:val="007003DE"/>
    <w:rsid w:val="007006A7"/>
    <w:rsid w:val="007035AF"/>
    <w:rsid w:val="007047D4"/>
    <w:rsid w:val="00704C7E"/>
    <w:rsid w:val="00704DB1"/>
    <w:rsid w:val="007103C4"/>
    <w:rsid w:val="00711632"/>
    <w:rsid w:val="007116D7"/>
    <w:rsid w:val="007122C6"/>
    <w:rsid w:val="00712E9E"/>
    <w:rsid w:val="00714040"/>
    <w:rsid w:val="00714D00"/>
    <w:rsid w:val="0071596C"/>
    <w:rsid w:val="00715C18"/>
    <w:rsid w:val="00720042"/>
    <w:rsid w:val="00720D68"/>
    <w:rsid w:val="00721233"/>
    <w:rsid w:val="0072159D"/>
    <w:rsid w:val="007224ED"/>
    <w:rsid w:val="007227A5"/>
    <w:rsid w:val="00724E21"/>
    <w:rsid w:val="007267BA"/>
    <w:rsid w:val="00726FB9"/>
    <w:rsid w:val="00727D8A"/>
    <w:rsid w:val="00731A35"/>
    <w:rsid w:val="00731C9A"/>
    <w:rsid w:val="00732101"/>
    <w:rsid w:val="007325C3"/>
    <w:rsid w:val="0073287D"/>
    <w:rsid w:val="00732BBD"/>
    <w:rsid w:val="00732C9D"/>
    <w:rsid w:val="00733274"/>
    <w:rsid w:val="00734C56"/>
    <w:rsid w:val="00734F91"/>
    <w:rsid w:val="007354DB"/>
    <w:rsid w:val="007355FD"/>
    <w:rsid w:val="007365F1"/>
    <w:rsid w:val="00736B47"/>
    <w:rsid w:val="0073703D"/>
    <w:rsid w:val="00737E26"/>
    <w:rsid w:val="00740E34"/>
    <w:rsid w:val="007428E1"/>
    <w:rsid w:val="0074472E"/>
    <w:rsid w:val="00746F7F"/>
    <w:rsid w:val="0075085C"/>
    <w:rsid w:val="00750C53"/>
    <w:rsid w:val="00751F77"/>
    <w:rsid w:val="0075542C"/>
    <w:rsid w:val="007556A3"/>
    <w:rsid w:val="00755EDC"/>
    <w:rsid w:val="0075681F"/>
    <w:rsid w:val="007602DE"/>
    <w:rsid w:val="00760AE5"/>
    <w:rsid w:val="00760D9F"/>
    <w:rsid w:val="0076277F"/>
    <w:rsid w:val="00765390"/>
    <w:rsid w:val="0076602C"/>
    <w:rsid w:val="007674A5"/>
    <w:rsid w:val="007677DB"/>
    <w:rsid w:val="00770F11"/>
    <w:rsid w:val="00771333"/>
    <w:rsid w:val="0077177C"/>
    <w:rsid w:val="00773806"/>
    <w:rsid w:val="007776CA"/>
    <w:rsid w:val="0078038B"/>
    <w:rsid w:val="007824BC"/>
    <w:rsid w:val="00782FEF"/>
    <w:rsid w:val="00783049"/>
    <w:rsid w:val="007831A0"/>
    <w:rsid w:val="00783A8A"/>
    <w:rsid w:val="0078417B"/>
    <w:rsid w:val="00786222"/>
    <w:rsid w:val="00786753"/>
    <w:rsid w:val="00787045"/>
    <w:rsid w:val="0079078D"/>
    <w:rsid w:val="00790F1A"/>
    <w:rsid w:val="00791058"/>
    <w:rsid w:val="007918EB"/>
    <w:rsid w:val="00792754"/>
    <w:rsid w:val="00792D5E"/>
    <w:rsid w:val="0079305E"/>
    <w:rsid w:val="00793CD6"/>
    <w:rsid w:val="00796CD3"/>
    <w:rsid w:val="007973CE"/>
    <w:rsid w:val="007A0048"/>
    <w:rsid w:val="007A1211"/>
    <w:rsid w:val="007A166C"/>
    <w:rsid w:val="007A1A85"/>
    <w:rsid w:val="007A2813"/>
    <w:rsid w:val="007A29E6"/>
    <w:rsid w:val="007A39FD"/>
    <w:rsid w:val="007A523F"/>
    <w:rsid w:val="007A5705"/>
    <w:rsid w:val="007A68F9"/>
    <w:rsid w:val="007A6FB4"/>
    <w:rsid w:val="007A7604"/>
    <w:rsid w:val="007B125D"/>
    <w:rsid w:val="007B158D"/>
    <w:rsid w:val="007B2033"/>
    <w:rsid w:val="007B2975"/>
    <w:rsid w:val="007B33D2"/>
    <w:rsid w:val="007B3A1C"/>
    <w:rsid w:val="007B4571"/>
    <w:rsid w:val="007B4DC3"/>
    <w:rsid w:val="007B5865"/>
    <w:rsid w:val="007B5F6E"/>
    <w:rsid w:val="007B6DE8"/>
    <w:rsid w:val="007C038A"/>
    <w:rsid w:val="007C2BCC"/>
    <w:rsid w:val="007C3BD3"/>
    <w:rsid w:val="007C3D13"/>
    <w:rsid w:val="007C6F35"/>
    <w:rsid w:val="007C7003"/>
    <w:rsid w:val="007C712C"/>
    <w:rsid w:val="007D04E8"/>
    <w:rsid w:val="007D0D1C"/>
    <w:rsid w:val="007D17C7"/>
    <w:rsid w:val="007D1DD1"/>
    <w:rsid w:val="007D4CC7"/>
    <w:rsid w:val="007D4D43"/>
    <w:rsid w:val="007D4E6E"/>
    <w:rsid w:val="007D51DD"/>
    <w:rsid w:val="007D6377"/>
    <w:rsid w:val="007D69E1"/>
    <w:rsid w:val="007D6A5D"/>
    <w:rsid w:val="007D725A"/>
    <w:rsid w:val="007D72DD"/>
    <w:rsid w:val="007D799A"/>
    <w:rsid w:val="007E0CDD"/>
    <w:rsid w:val="007E145B"/>
    <w:rsid w:val="007E1BEB"/>
    <w:rsid w:val="007E59BC"/>
    <w:rsid w:val="007E59D4"/>
    <w:rsid w:val="007E6638"/>
    <w:rsid w:val="007E6EAB"/>
    <w:rsid w:val="007E7296"/>
    <w:rsid w:val="007E7958"/>
    <w:rsid w:val="007F12CD"/>
    <w:rsid w:val="007F1C24"/>
    <w:rsid w:val="007F3C74"/>
    <w:rsid w:val="007F49DD"/>
    <w:rsid w:val="007F5EE7"/>
    <w:rsid w:val="007F6266"/>
    <w:rsid w:val="007F707D"/>
    <w:rsid w:val="007F757C"/>
    <w:rsid w:val="007F75BA"/>
    <w:rsid w:val="00800C88"/>
    <w:rsid w:val="00801661"/>
    <w:rsid w:val="0080173B"/>
    <w:rsid w:val="00802B0C"/>
    <w:rsid w:val="00803D5B"/>
    <w:rsid w:val="00805CB6"/>
    <w:rsid w:val="00805DB5"/>
    <w:rsid w:val="008062BD"/>
    <w:rsid w:val="00807320"/>
    <w:rsid w:val="00807935"/>
    <w:rsid w:val="00807F93"/>
    <w:rsid w:val="008108E2"/>
    <w:rsid w:val="00810B53"/>
    <w:rsid w:val="0081145A"/>
    <w:rsid w:val="00811520"/>
    <w:rsid w:val="00812DA6"/>
    <w:rsid w:val="008139DA"/>
    <w:rsid w:val="008140DA"/>
    <w:rsid w:val="00814678"/>
    <w:rsid w:val="0081505A"/>
    <w:rsid w:val="008156B5"/>
    <w:rsid w:val="00815B82"/>
    <w:rsid w:val="00817109"/>
    <w:rsid w:val="008233B0"/>
    <w:rsid w:val="0082379B"/>
    <w:rsid w:val="00824E78"/>
    <w:rsid w:val="00825019"/>
    <w:rsid w:val="00826EDE"/>
    <w:rsid w:val="00826F90"/>
    <w:rsid w:val="00827283"/>
    <w:rsid w:val="0083230F"/>
    <w:rsid w:val="00832A0B"/>
    <w:rsid w:val="0083477D"/>
    <w:rsid w:val="00837D28"/>
    <w:rsid w:val="008400FE"/>
    <w:rsid w:val="008402AF"/>
    <w:rsid w:val="00840409"/>
    <w:rsid w:val="00840E53"/>
    <w:rsid w:val="0084161D"/>
    <w:rsid w:val="00841E45"/>
    <w:rsid w:val="0084223A"/>
    <w:rsid w:val="008431CE"/>
    <w:rsid w:val="00844133"/>
    <w:rsid w:val="0085149F"/>
    <w:rsid w:val="00852726"/>
    <w:rsid w:val="008529C4"/>
    <w:rsid w:val="00852AD5"/>
    <w:rsid w:val="00852D3F"/>
    <w:rsid w:val="00853144"/>
    <w:rsid w:val="00854462"/>
    <w:rsid w:val="008551D2"/>
    <w:rsid w:val="00856156"/>
    <w:rsid w:val="00857444"/>
    <w:rsid w:val="00857E65"/>
    <w:rsid w:val="00861AED"/>
    <w:rsid w:val="00861FE8"/>
    <w:rsid w:val="00862183"/>
    <w:rsid w:val="00863C21"/>
    <w:rsid w:val="00863EA8"/>
    <w:rsid w:val="00864368"/>
    <w:rsid w:val="00865389"/>
    <w:rsid w:val="00865BD0"/>
    <w:rsid w:val="008660BF"/>
    <w:rsid w:val="0086763B"/>
    <w:rsid w:val="00867695"/>
    <w:rsid w:val="00867C56"/>
    <w:rsid w:val="00867DB1"/>
    <w:rsid w:val="008715E2"/>
    <w:rsid w:val="0087228F"/>
    <w:rsid w:val="00873771"/>
    <w:rsid w:val="00875CB0"/>
    <w:rsid w:val="0087768F"/>
    <w:rsid w:val="0088024B"/>
    <w:rsid w:val="008802C1"/>
    <w:rsid w:val="00880ED4"/>
    <w:rsid w:val="00883807"/>
    <w:rsid w:val="00885F21"/>
    <w:rsid w:val="00886208"/>
    <w:rsid w:val="00887326"/>
    <w:rsid w:val="008874B0"/>
    <w:rsid w:val="0088757A"/>
    <w:rsid w:val="008879CF"/>
    <w:rsid w:val="0089028E"/>
    <w:rsid w:val="00890A34"/>
    <w:rsid w:val="008911FC"/>
    <w:rsid w:val="00891708"/>
    <w:rsid w:val="00891A03"/>
    <w:rsid w:val="00892213"/>
    <w:rsid w:val="0089268E"/>
    <w:rsid w:val="00892F9F"/>
    <w:rsid w:val="008934C7"/>
    <w:rsid w:val="00894232"/>
    <w:rsid w:val="00895693"/>
    <w:rsid w:val="0089600B"/>
    <w:rsid w:val="008A13C0"/>
    <w:rsid w:val="008A1501"/>
    <w:rsid w:val="008A1D9B"/>
    <w:rsid w:val="008A263A"/>
    <w:rsid w:val="008A2D62"/>
    <w:rsid w:val="008A3834"/>
    <w:rsid w:val="008A3F5A"/>
    <w:rsid w:val="008A463B"/>
    <w:rsid w:val="008A50C7"/>
    <w:rsid w:val="008A7414"/>
    <w:rsid w:val="008B0A27"/>
    <w:rsid w:val="008B197C"/>
    <w:rsid w:val="008B1F00"/>
    <w:rsid w:val="008B2239"/>
    <w:rsid w:val="008B2446"/>
    <w:rsid w:val="008B333D"/>
    <w:rsid w:val="008B47ED"/>
    <w:rsid w:val="008B6EDB"/>
    <w:rsid w:val="008C1649"/>
    <w:rsid w:val="008C1B09"/>
    <w:rsid w:val="008C2E7B"/>
    <w:rsid w:val="008C3389"/>
    <w:rsid w:val="008C35F5"/>
    <w:rsid w:val="008C3B3E"/>
    <w:rsid w:val="008C462C"/>
    <w:rsid w:val="008C4831"/>
    <w:rsid w:val="008C486C"/>
    <w:rsid w:val="008C5778"/>
    <w:rsid w:val="008D0C8E"/>
    <w:rsid w:val="008D3C76"/>
    <w:rsid w:val="008D40FE"/>
    <w:rsid w:val="008D44A6"/>
    <w:rsid w:val="008D5502"/>
    <w:rsid w:val="008D561F"/>
    <w:rsid w:val="008D6764"/>
    <w:rsid w:val="008D6AE9"/>
    <w:rsid w:val="008D792D"/>
    <w:rsid w:val="008E13D5"/>
    <w:rsid w:val="008E3C9E"/>
    <w:rsid w:val="008E4205"/>
    <w:rsid w:val="008E440F"/>
    <w:rsid w:val="008E459D"/>
    <w:rsid w:val="008E605F"/>
    <w:rsid w:val="008E7754"/>
    <w:rsid w:val="008F019A"/>
    <w:rsid w:val="008F3F27"/>
    <w:rsid w:val="008F425C"/>
    <w:rsid w:val="008F5D87"/>
    <w:rsid w:val="008F6541"/>
    <w:rsid w:val="008F669A"/>
    <w:rsid w:val="008F6AFA"/>
    <w:rsid w:val="008F7C92"/>
    <w:rsid w:val="008F7D1A"/>
    <w:rsid w:val="009002CF"/>
    <w:rsid w:val="009019EB"/>
    <w:rsid w:val="00902097"/>
    <w:rsid w:val="00903445"/>
    <w:rsid w:val="009035A2"/>
    <w:rsid w:val="00903CAD"/>
    <w:rsid w:val="00904F2D"/>
    <w:rsid w:val="009063E7"/>
    <w:rsid w:val="00907B36"/>
    <w:rsid w:val="00911E6D"/>
    <w:rsid w:val="00911EC2"/>
    <w:rsid w:val="0091372B"/>
    <w:rsid w:val="00913AFB"/>
    <w:rsid w:val="00915AEB"/>
    <w:rsid w:val="009172A2"/>
    <w:rsid w:val="00917857"/>
    <w:rsid w:val="00917F98"/>
    <w:rsid w:val="009219BC"/>
    <w:rsid w:val="009232BB"/>
    <w:rsid w:val="00923C17"/>
    <w:rsid w:val="00923DFD"/>
    <w:rsid w:val="00924527"/>
    <w:rsid w:val="00924F37"/>
    <w:rsid w:val="0092562D"/>
    <w:rsid w:val="00926352"/>
    <w:rsid w:val="00931AE8"/>
    <w:rsid w:val="00933D0C"/>
    <w:rsid w:val="00934086"/>
    <w:rsid w:val="0093431C"/>
    <w:rsid w:val="009356E6"/>
    <w:rsid w:val="0093634D"/>
    <w:rsid w:val="00936F4C"/>
    <w:rsid w:val="00937C7C"/>
    <w:rsid w:val="009401AB"/>
    <w:rsid w:val="0094096B"/>
    <w:rsid w:val="0094184E"/>
    <w:rsid w:val="00942355"/>
    <w:rsid w:val="00943155"/>
    <w:rsid w:val="00943B3E"/>
    <w:rsid w:val="00944743"/>
    <w:rsid w:val="00944E03"/>
    <w:rsid w:val="009455C7"/>
    <w:rsid w:val="00945A5A"/>
    <w:rsid w:val="00945D37"/>
    <w:rsid w:val="0095401B"/>
    <w:rsid w:val="0095469E"/>
    <w:rsid w:val="009546FA"/>
    <w:rsid w:val="00954CC7"/>
    <w:rsid w:val="009550FB"/>
    <w:rsid w:val="00960F09"/>
    <w:rsid w:val="00961025"/>
    <w:rsid w:val="00961C89"/>
    <w:rsid w:val="00963E8A"/>
    <w:rsid w:val="0096408B"/>
    <w:rsid w:val="0096523F"/>
    <w:rsid w:val="0096577B"/>
    <w:rsid w:val="0096586A"/>
    <w:rsid w:val="009661D8"/>
    <w:rsid w:val="00966D62"/>
    <w:rsid w:val="0096772B"/>
    <w:rsid w:val="009707D3"/>
    <w:rsid w:val="009717DC"/>
    <w:rsid w:val="00971C84"/>
    <w:rsid w:val="00973D02"/>
    <w:rsid w:val="00973F57"/>
    <w:rsid w:val="0097408E"/>
    <w:rsid w:val="009757FB"/>
    <w:rsid w:val="0097581E"/>
    <w:rsid w:val="00977B42"/>
    <w:rsid w:val="009805B6"/>
    <w:rsid w:val="009812FB"/>
    <w:rsid w:val="00982CA1"/>
    <w:rsid w:val="00983BD8"/>
    <w:rsid w:val="00983EB7"/>
    <w:rsid w:val="009851CF"/>
    <w:rsid w:val="00987241"/>
    <w:rsid w:val="00987B72"/>
    <w:rsid w:val="00990ACE"/>
    <w:rsid w:val="0099119E"/>
    <w:rsid w:val="00991C50"/>
    <w:rsid w:val="00994E1C"/>
    <w:rsid w:val="009953DA"/>
    <w:rsid w:val="00997501"/>
    <w:rsid w:val="00997D48"/>
    <w:rsid w:val="009A01A1"/>
    <w:rsid w:val="009A05B4"/>
    <w:rsid w:val="009A1026"/>
    <w:rsid w:val="009A26DA"/>
    <w:rsid w:val="009A2F73"/>
    <w:rsid w:val="009A3D54"/>
    <w:rsid w:val="009A5858"/>
    <w:rsid w:val="009A5B9F"/>
    <w:rsid w:val="009A63DE"/>
    <w:rsid w:val="009A6D66"/>
    <w:rsid w:val="009B0745"/>
    <w:rsid w:val="009B1D19"/>
    <w:rsid w:val="009B2B19"/>
    <w:rsid w:val="009B3550"/>
    <w:rsid w:val="009B44FE"/>
    <w:rsid w:val="009B65FF"/>
    <w:rsid w:val="009B6700"/>
    <w:rsid w:val="009B767E"/>
    <w:rsid w:val="009C1A76"/>
    <w:rsid w:val="009C1CD0"/>
    <w:rsid w:val="009C2218"/>
    <w:rsid w:val="009C317F"/>
    <w:rsid w:val="009C76CB"/>
    <w:rsid w:val="009D0F9C"/>
    <w:rsid w:val="009D12F8"/>
    <w:rsid w:val="009D15FF"/>
    <w:rsid w:val="009D2660"/>
    <w:rsid w:val="009D2C63"/>
    <w:rsid w:val="009D3830"/>
    <w:rsid w:val="009D39F5"/>
    <w:rsid w:val="009D3AEF"/>
    <w:rsid w:val="009D421B"/>
    <w:rsid w:val="009D454F"/>
    <w:rsid w:val="009D47FF"/>
    <w:rsid w:val="009D51A8"/>
    <w:rsid w:val="009E034E"/>
    <w:rsid w:val="009E03EC"/>
    <w:rsid w:val="009E0A7A"/>
    <w:rsid w:val="009E10C0"/>
    <w:rsid w:val="009E24CB"/>
    <w:rsid w:val="009E2B78"/>
    <w:rsid w:val="009E6421"/>
    <w:rsid w:val="009E6815"/>
    <w:rsid w:val="009E7148"/>
    <w:rsid w:val="009E7514"/>
    <w:rsid w:val="009F04B9"/>
    <w:rsid w:val="009F168F"/>
    <w:rsid w:val="009F19C3"/>
    <w:rsid w:val="009F2DC9"/>
    <w:rsid w:val="009F4180"/>
    <w:rsid w:val="009F5B28"/>
    <w:rsid w:val="009F5C2E"/>
    <w:rsid w:val="009F6DBF"/>
    <w:rsid w:val="009F757B"/>
    <w:rsid w:val="009F7948"/>
    <w:rsid w:val="00A009F7"/>
    <w:rsid w:val="00A01DFD"/>
    <w:rsid w:val="00A022AC"/>
    <w:rsid w:val="00A0423C"/>
    <w:rsid w:val="00A0505C"/>
    <w:rsid w:val="00A067B2"/>
    <w:rsid w:val="00A06AC4"/>
    <w:rsid w:val="00A0776D"/>
    <w:rsid w:val="00A07E6E"/>
    <w:rsid w:val="00A1039F"/>
    <w:rsid w:val="00A110CB"/>
    <w:rsid w:val="00A1297B"/>
    <w:rsid w:val="00A12F3F"/>
    <w:rsid w:val="00A12FE6"/>
    <w:rsid w:val="00A1304B"/>
    <w:rsid w:val="00A133B3"/>
    <w:rsid w:val="00A135C1"/>
    <w:rsid w:val="00A13859"/>
    <w:rsid w:val="00A139BE"/>
    <w:rsid w:val="00A13EE0"/>
    <w:rsid w:val="00A140FC"/>
    <w:rsid w:val="00A14D57"/>
    <w:rsid w:val="00A14EBE"/>
    <w:rsid w:val="00A15DB0"/>
    <w:rsid w:val="00A17DAF"/>
    <w:rsid w:val="00A206E5"/>
    <w:rsid w:val="00A20D42"/>
    <w:rsid w:val="00A20E15"/>
    <w:rsid w:val="00A22B19"/>
    <w:rsid w:val="00A22EDD"/>
    <w:rsid w:val="00A231AE"/>
    <w:rsid w:val="00A23A26"/>
    <w:rsid w:val="00A23CD6"/>
    <w:rsid w:val="00A25586"/>
    <w:rsid w:val="00A261BA"/>
    <w:rsid w:val="00A264D5"/>
    <w:rsid w:val="00A27898"/>
    <w:rsid w:val="00A33917"/>
    <w:rsid w:val="00A34B44"/>
    <w:rsid w:val="00A35282"/>
    <w:rsid w:val="00A373A4"/>
    <w:rsid w:val="00A40F71"/>
    <w:rsid w:val="00A415F5"/>
    <w:rsid w:val="00A41BCB"/>
    <w:rsid w:val="00A41E16"/>
    <w:rsid w:val="00A43832"/>
    <w:rsid w:val="00A43DC1"/>
    <w:rsid w:val="00A45515"/>
    <w:rsid w:val="00A4581F"/>
    <w:rsid w:val="00A4595F"/>
    <w:rsid w:val="00A466D3"/>
    <w:rsid w:val="00A50701"/>
    <w:rsid w:val="00A50AE8"/>
    <w:rsid w:val="00A50FD4"/>
    <w:rsid w:val="00A5175B"/>
    <w:rsid w:val="00A522E7"/>
    <w:rsid w:val="00A52CF5"/>
    <w:rsid w:val="00A53356"/>
    <w:rsid w:val="00A540FA"/>
    <w:rsid w:val="00A553B3"/>
    <w:rsid w:val="00A5586F"/>
    <w:rsid w:val="00A560B4"/>
    <w:rsid w:val="00A5672A"/>
    <w:rsid w:val="00A57653"/>
    <w:rsid w:val="00A601B6"/>
    <w:rsid w:val="00A60679"/>
    <w:rsid w:val="00A62224"/>
    <w:rsid w:val="00A62591"/>
    <w:rsid w:val="00A6391F"/>
    <w:rsid w:val="00A639F6"/>
    <w:rsid w:val="00A640C6"/>
    <w:rsid w:val="00A66BE6"/>
    <w:rsid w:val="00A67BF2"/>
    <w:rsid w:val="00A67DE3"/>
    <w:rsid w:val="00A70002"/>
    <w:rsid w:val="00A700DC"/>
    <w:rsid w:val="00A70891"/>
    <w:rsid w:val="00A71694"/>
    <w:rsid w:val="00A7173F"/>
    <w:rsid w:val="00A72211"/>
    <w:rsid w:val="00A73227"/>
    <w:rsid w:val="00A73EE2"/>
    <w:rsid w:val="00A740FB"/>
    <w:rsid w:val="00A74173"/>
    <w:rsid w:val="00A746A3"/>
    <w:rsid w:val="00A74B20"/>
    <w:rsid w:val="00A74C43"/>
    <w:rsid w:val="00A74D3D"/>
    <w:rsid w:val="00A74F9C"/>
    <w:rsid w:val="00A751B5"/>
    <w:rsid w:val="00A80F72"/>
    <w:rsid w:val="00A81798"/>
    <w:rsid w:val="00A83A12"/>
    <w:rsid w:val="00A83F83"/>
    <w:rsid w:val="00A84669"/>
    <w:rsid w:val="00A850BE"/>
    <w:rsid w:val="00A856C5"/>
    <w:rsid w:val="00A863DD"/>
    <w:rsid w:val="00A87C8C"/>
    <w:rsid w:val="00A903A3"/>
    <w:rsid w:val="00A9096F"/>
    <w:rsid w:val="00A90B18"/>
    <w:rsid w:val="00A91EE0"/>
    <w:rsid w:val="00A921F2"/>
    <w:rsid w:val="00A92E4A"/>
    <w:rsid w:val="00A947D5"/>
    <w:rsid w:val="00A96260"/>
    <w:rsid w:val="00A96EE8"/>
    <w:rsid w:val="00AA030E"/>
    <w:rsid w:val="00AA09ED"/>
    <w:rsid w:val="00AA3143"/>
    <w:rsid w:val="00AA37B0"/>
    <w:rsid w:val="00AA3F9B"/>
    <w:rsid w:val="00AA42C7"/>
    <w:rsid w:val="00AA49CC"/>
    <w:rsid w:val="00AA5C83"/>
    <w:rsid w:val="00AA66B6"/>
    <w:rsid w:val="00AA6A0B"/>
    <w:rsid w:val="00AA7670"/>
    <w:rsid w:val="00AB555E"/>
    <w:rsid w:val="00AB5926"/>
    <w:rsid w:val="00AB758B"/>
    <w:rsid w:val="00AC0D28"/>
    <w:rsid w:val="00AC1327"/>
    <w:rsid w:val="00AC153F"/>
    <w:rsid w:val="00AC1A60"/>
    <w:rsid w:val="00AC2340"/>
    <w:rsid w:val="00AC3FD1"/>
    <w:rsid w:val="00AC424A"/>
    <w:rsid w:val="00AC5810"/>
    <w:rsid w:val="00AC5FFB"/>
    <w:rsid w:val="00AC695E"/>
    <w:rsid w:val="00AC7ECD"/>
    <w:rsid w:val="00AD0933"/>
    <w:rsid w:val="00AD210E"/>
    <w:rsid w:val="00AD226F"/>
    <w:rsid w:val="00AD2370"/>
    <w:rsid w:val="00AD28B6"/>
    <w:rsid w:val="00AD303A"/>
    <w:rsid w:val="00AD441C"/>
    <w:rsid w:val="00AD46DE"/>
    <w:rsid w:val="00AD4FDE"/>
    <w:rsid w:val="00AD6904"/>
    <w:rsid w:val="00AD694B"/>
    <w:rsid w:val="00AD70F7"/>
    <w:rsid w:val="00AE2548"/>
    <w:rsid w:val="00AE3B00"/>
    <w:rsid w:val="00AE42D3"/>
    <w:rsid w:val="00AE5870"/>
    <w:rsid w:val="00AE630A"/>
    <w:rsid w:val="00AE6B42"/>
    <w:rsid w:val="00AE782E"/>
    <w:rsid w:val="00AE7BC9"/>
    <w:rsid w:val="00AF0CED"/>
    <w:rsid w:val="00AF31BD"/>
    <w:rsid w:val="00AF3C70"/>
    <w:rsid w:val="00AF3D89"/>
    <w:rsid w:val="00AF443A"/>
    <w:rsid w:val="00AF453E"/>
    <w:rsid w:val="00AF6438"/>
    <w:rsid w:val="00AF77C0"/>
    <w:rsid w:val="00AF79AE"/>
    <w:rsid w:val="00B01019"/>
    <w:rsid w:val="00B0131C"/>
    <w:rsid w:val="00B01F1C"/>
    <w:rsid w:val="00B02D24"/>
    <w:rsid w:val="00B02EA7"/>
    <w:rsid w:val="00B031CB"/>
    <w:rsid w:val="00B058B5"/>
    <w:rsid w:val="00B059B1"/>
    <w:rsid w:val="00B07171"/>
    <w:rsid w:val="00B073BC"/>
    <w:rsid w:val="00B07739"/>
    <w:rsid w:val="00B07C8A"/>
    <w:rsid w:val="00B10013"/>
    <w:rsid w:val="00B10322"/>
    <w:rsid w:val="00B10E1E"/>
    <w:rsid w:val="00B11708"/>
    <w:rsid w:val="00B11E3E"/>
    <w:rsid w:val="00B11F0D"/>
    <w:rsid w:val="00B11FF9"/>
    <w:rsid w:val="00B1217E"/>
    <w:rsid w:val="00B12333"/>
    <w:rsid w:val="00B1252E"/>
    <w:rsid w:val="00B12BE6"/>
    <w:rsid w:val="00B13A91"/>
    <w:rsid w:val="00B1419C"/>
    <w:rsid w:val="00B1687F"/>
    <w:rsid w:val="00B20276"/>
    <w:rsid w:val="00B20963"/>
    <w:rsid w:val="00B21DBF"/>
    <w:rsid w:val="00B221C0"/>
    <w:rsid w:val="00B24110"/>
    <w:rsid w:val="00B2434A"/>
    <w:rsid w:val="00B2464F"/>
    <w:rsid w:val="00B24C1A"/>
    <w:rsid w:val="00B2508D"/>
    <w:rsid w:val="00B258C4"/>
    <w:rsid w:val="00B27475"/>
    <w:rsid w:val="00B30AD4"/>
    <w:rsid w:val="00B30FF4"/>
    <w:rsid w:val="00B31AF4"/>
    <w:rsid w:val="00B31E2F"/>
    <w:rsid w:val="00B31EC3"/>
    <w:rsid w:val="00B3265D"/>
    <w:rsid w:val="00B329D3"/>
    <w:rsid w:val="00B33198"/>
    <w:rsid w:val="00B333F3"/>
    <w:rsid w:val="00B354FD"/>
    <w:rsid w:val="00B356C8"/>
    <w:rsid w:val="00B36A7C"/>
    <w:rsid w:val="00B400C5"/>
    <w:rsid w:val="00B4010B"/>
    <w:rsid w:val="00B413FD"/>
    <w:rsid w:val="00B41CCB"/>
    <w:rsid w:val="00B43544"/>
    <w:rsid w:val="00B43B34"/>
    <w:rsid w:val="00B4409E"/>
    <w:rsid w:val="00B450DE"/>
    <w:rsid w:val="00B458E5"/>
    <w:rsid w:val="00B46ADF"/>
    <w:rsid w:val="00B46B89"/>
    <w:rsid w:val="00B47B89"/>
    <w:rsid w:val="00B50697"/>
    <w:rsid w:val="00B50A8B"/>
    <w:rsid w:val="00B51BFB"/>
    <w:rsid w:val="00B52B3D"/>
    <w:rsid w:val="00B531F8"/>
    <w:rsid w:val="00B54B48"/>
    <w:rsid w:val="00B564FD"/>
    <w:rsid w:val="00B56C2B"/>
    <w:rsid w:val="00B56E20"/>
    <w:rsid w:val="00B57BD7"/>
    <w:rsid w:val="00B60FC4"/>
    <w:rsid w:val="00B61D63"/>
    <w:rsid w:val="00B6353F"/>
    <w:rsid w:val="00B63CA4"/>
    <w:rsid w:val="00B644CE"/>
    <w:rsid w:val="00B6478F"/>
    <w:rsid w:val="00B64E75"/>
    <w:rsid w:val="00B66126"/>
    <w:rsid w:val="00B678B6"/>
    <w:rsid w:val="00B705B5"/>
    <w:rsid w:val="00B70714"/>
    <w:rsid w:val="00B70C75"/>
    <w:rsid w:val="00B71709"/>
    <w:rsid w:val="00B717DC"/>
    <w:rsid w:val="00B720E3"/>
    <w:rsid w:val="00B727EA"/>
    <w:rsid w:val="00B7319D"/>
    <w:rsid w:val="00B73403"/>
    <w:rsid w:val="00B739A7"/>
    <w:rsid w:val="00B73E0B"/>
    <w:rsid w:val="00B755ED"/>
    <w:rsid w:val="00B77287"/>
    <w:rsid w:val="00B81DBE"/>
    <w:rsid w:val="00B82B91"/>
    <w:rsid w:val="00B833F4"/>
    <w:rsid w:val="00B8363B"/>
    <w:rsid w:val="00B8383F"/>
    <w:rsid w:val="00B83B74"/>
    <w:rsid w:val="00B85EF8"/>
    <w:rsid w:val="00B8668D"/>
    <w:rsid w:val="00B8687E"/>
    <w:rsid w:val="00B86D63"/>
    <w:rsid w:val="00B871D0"/>
    <w:rsid w:val="00B877E8"/>
    <w:rsid w:val="00B902DB"/>
    <w:rsid w:val="00B90445"/>
    <w:rsid w:val="00B90CE7"/>
    <w:rsid w:val="00B951D3"/>
    <w:rsid w:val="00B95A0E"/>
    <w:rsid w:val="00B96341"/>
    <w:rsid w:val="00B96AD3"/>
    <w:rsid w:val="00B97977"/>
    <w:rsid w:val="00B97F02"/>
    <w:rsid w:val="00BA148F"/>
    <w:rsid w:val="00BA252C"/>
    <w:rsid w:val="00BA36F9"/>
    <w:rsid w:val="00BA3B3A"/>
    <w:rsid w:val="00BA45F4"/>
    <w:rsid w:val="00BA4DB9"/>
    <w:rsid w:val="00BA4DE2"/>
    <w:rsid w:val="00BA7C9F"/>
    <w:rsid w:val="00BB06DD"/>
    <w:rsid w:val="00BB1A45"/>
    <w:rsid w:val="00BB241A"/>
    <w:rsid w:val="00BB27C8"/>
    <w:rsid w:val="00BB3868"/>
    <w:rsid w:val="00BB449E"/>
    <w:rsid w:val="00BB5041"/>
    <w:rsid w:val="00BB5419"/>
    <w:rsid w:val="00BB578C"/>
    <w:rsid w:val="00BB6398"/>
    <w:rsid w:val="00BB72E5"/>
    <w:rsid w:val="00BB77C6"/>
    <w:rsid w:val="00BB7AA9"/>
    <w:rsid w:val="00BB7CD1"/>
    <w:rsid w:val="00BC17B4"/>
    <w:rsid w:val="00BC206C"/>
    <w:rsid w:val="00BC2C8E"/>
    <w:rsid w:val="00BC34A4"/>
    <w:rsid w:val="00BC3B06"/>
    <w:rsid w:val="00BC4506"/>
    <w:rsid w:val="00BC4F53"/>
    <w:rsid w:val="00BC5E6F"/>
    <w:rsid w:val="00BC6B41"/>
    <w:rsid w:val="00BC7726"/>
    <w:rsid w:val="00BC784D"/>
    <w:rsid w:val="00BD00F3"/>
    <w:rsid w:val="00BD049D"/>
    <w:rsid w:val="00BD04F0"/>
    <w:rsid w:val="00BD068D"/>
    <w:rsid w:val="00BD11D3"/>
    <w:rsid w:val="00BD2170"/>
    <w:rsid w:val="00BD25B3"/>
    <w:rsid w:val="00BD3BC3"/>
    <w:rsid w:val="00BD4C0D"/>
    <w:rsid w:val="00BD6483"/>
    <w:rsid w:val="00BD75F9"/>
    <w:rsid w:val="00BE07A0"/>
    <w:rsid w:val="00BE1D65"/>
    <w:rsid w:val="00BE405F"/>
    <w:rsid w:val="00BE4129"/>
    <w:rsid w:val="00BE44E8"/>
    <w:rsid w:val="00BE471E"/>
    <w:rsid w:val="00BE5314"/>
    <w:rsid w:val="00BE5F2B"/>
    <w:rsid w:val="00BE66CD"/>
    <w:rsid w:val="00BE76E2"/>
    <w:rsid w:val="00BF0C84"/>
    <w:rsid w:val="00BF2121"/>
    <w:rsid w:val="00BF3222"/>
    <w:rsid w:val="00BF325C"/>
    <w:rsid w:val="00BF3445"/>
    <w:rsid w:val="00BF60AE"/>
    <w:rsid w:val="00BF6DA5"/>
    <w:rsid w:val="00BF6E09"/>
    <w:rsid w:val="00C03817"/>
    <w:rsid w:val="00C03ED8"/>
    <w:rsid w:val="00C040B6"/>
    <w:rsid w:val="00C04C8F"/>
    <w:rsid w:val="00C05C06"/>
    <w:rsid w:val="00C07536"/>
    <w:rsid w:val="00C07842"/>
    <w:rsid w:val="00C07925"/>
    <w:rsid w:val="00C101CD"/>
    <w:rsid w:val="00C11A1A"/>
    <w:rsid w:val="00C1205B"/>
    <w:rsid w:val="00C1212A"/>
    <w:rsid w:val="00C12356"/>
    <w:rsid w:val="00C13EF5"/>
    <w:rsid w:val="00C1583D"/>
    <w:rsid w:val="00C17027"/>
    <w:rsid w:val="00C1740C"/>
    <w:rsid w:val="00C174FC"/>
    <w:rsid w:val="00C17609"/>
    <w:rsid w:val="00C17F41"/>
    <w:rsid w:val="00C20367"/>
    <w:rsid w:val="00C204A1"/>
    <w:rsid w:val="00C232BC"/>
    <w:rsid w:val="00C24074"/>
    <w:rsid w:val="00C2493B"/>
    <w:rsid w:val="00C25ADA"/>
    <w:rsid w:val="00C26995"/>
    <w:rsid w:val="00C27678"/>
    <w:rsid w:val="00C30504"/>
    <w:rsid w:val="00C31177"/>
    <w:rsid w:val="00C31346"/>
    <w:rsid w:val="00C31DC1"/>
    <w:rsid w:val="00C33162"/>
    <w:rsid w:val="00C34216"/>
    <w:rsid w:val="00C3459B"/>
    <w:rsid w:val="00C3460D"/>
    <w:rsid w:val="00C349E0"/>
    <w:rsid w:val="00C36950"/>
    <w:rsid w:val="00C36FF2"/>
    <w:rsid w:val="00C41797"/>
    <w:rsid w:val="00C42C96"/>
    <w:rsid w:val="00C4415B"/>
    <w:rsid w:val="00C4452D"/>
    <w:rsid w:val="00C47DC3"/>
    <w:rsid w:val="00C51755"/>
    <w:rsid w:val="00C51E13"/>
    <w:rsid w:val="00C51E41"/>
    <w:rsid w:val="00C52765"/>
    <w:rsid w:val="00C53DB6"/>
    <w:rsid w:val="00C54167"/>
    <w:rsid w:val="00C541FB"/>
    <w:rsid w:val="00C54B89"/>
    <w:rsid w:val="00C54EB8"/>
    <w:rsid w:val="00C551E0"/>
    <w:rsid w:val="00C57C37"/>
    <w:rsid w:val="00C57E71"/>
    <w:rsid w:val="00C60816"/>
    <w:rsid w:val="00C60F04"/>
    <w:rsid w:val="00C61B31"/>
    <w:rsid w:val="00C61F0D"/>
    <w:rsid w:val="00C62285"/>
    <w:rsid w:val="00C635D2"/>
    <w:rsid w:val="00C63C49"/>
    <w:rsid w:val="00C6407F"/>
    <w:rsid w:val="00C641C1"/>
    <w:rsid w:val="00C65F2F"/>
    <w:rsid w:val="00C662A5"/>
    <w:rsid w:val="00C67595"/>
    <w:rsid w:val="00C677E7"/>
    <w:rsid w:val="00C70950"/>
    <w:rsid w:val="00C713EE"/>
    <w:rsid w:val="00C720E4"/>
    <w:rsid w:val="00C737F8"/>
    <w:rsid w:val="00C768CC"/>
    <w:rsid w:val="00C76ADF"/>
    <w:rsid w:val="00C76EBA"/>
    <w:rsid w:val="00C77E32"/>
    <w:rsid w:val="00C803CE"/>
    <w:rsid w:val="00C8084B"/>
    <w:rsid w:val="00C8193F"/>
    <w:rsid w:val="00C819F9"/>
    <w:rsid w:val="00C82BC8"/>
    <w:rsid w:val="00C82EDE"/>
    <w:rsid w:val="00C85AA3"/>
    <w:rsid w:val="00C85E77"/>
    <w:rsid w:val="00C86B5C"/>
    <w:rsid w:val="00C86E6D"/>
    <w:rsid w:val="00C911D4"/>
    <w:rsid w:val="00C9123F"/>
    <w:rsid w:val="00C91287"/>
    <w:rsid w:val="00C93521"/>
    <w:rsid w:val="00C93888"/>
    <w:rsid w:val="00C93BB4"/>
    <w:rsid w:val="00C93CE1"/>
    <w:rsid w:val="00C94090"/>
    <w:rsid w:val="00C947AD"/>
    <w:rsid w:val="00C94D3F"/>
    <w:rsid w:val="00C961D0"/>
    <w:rsid w:val="00C96459"/>
    <w:rsid w:val="00C96E38"/>
    <w:rsid w:val="00C9731B"/>
    <w:rsid w:val="00C97707"/>
    <w:rsid w:val="00C97C92"/>
    <w:rsid w:val="00CA0401"/>
    <w:rsid w:val="00CA0A89"/>
    <w:rsid w:val="00CA0B59"/>
    <w:rsid w:val="00CA1375"/>
    <w:rsid w:val="00CA179C"/>
    <w:rsid w:val="00CA48F1"/>
    <w:rsid w:val="00CA4C9C"/>
    <w:rsid w:val="00CA6289"/>
    <w:rsid w:val="00CA638C"/>
    <w:rsid w:val="00CA7C4D"/>
    <w:rsid w:val="00CA7D19"/>
    <w:rsid w:val="00CB2777"/>
    <w:rsid w:val="00CB2825"/>
    <w:rsid w:val="00CB333C"/>
    <w:rsid w:val="00CB478B"/>
    <w:rsid w:val="00CB4805"/>
    <w:rsid w:val="00CB54C8"/>
    <w:rsid w:val="00CB6525"/>
    <w:rsid w:val="00CB68D2"/>
    <w:rsid w:val="00CB728B"/>
    <w:rsid w:val="00CB7A43"/>
    <w:rsid w:val="00CC027E"/>
    <w:rsid w:val="00CC26F5"/>
    <w:rsid w:val="00CC2C1B"/>
    <w:rsid w:val="00CC3B42"/>
    <w:rsid w:val="00CC40EA"/>
    <w:rsid w:val="00CC42AB"/>
    <w:rsid w:val="00CC44F4"/>
    <w:rsid w:val="00CC480D"/>
    <w:rsid w:val="00CC6461"/>
    <w:rsid w:val="00CC66B9"/>
    <w:rsid w:val="00CC6847"/>
    <w:rsid w:val="00CC6D78"/>
    <w:rsid w:val="00CC7E48"/>
    <w:rsid w:val="00CC7F46"/>
    <w:rsid w:val="00CC7F58"/>
    <w:rsid w:val="00CD088F"/>
    <w:rsid w:val="00CD14AE"/>
    <w:rsid w:val="00CD186C"/>
    <w:rsid w:val="00CD1FC9"/>
    <w:rsid w:val="00CD1FE4"/>
    <w:rsid w:val="00CD2837"/>
    <w:rsid w:val="00CD2E19"/>
    <w:rsid w:val="00CD2FC2"/>
    <w:rsid w:val="00CD3717"/>
    <w:rsid w:val="00CD3A53"/>
    <w:rsid w:val="00CD3B17"/>
    <w:rsid w:val="00CD3BC9"/>
    <w:rsid w:val="00CD4601"/>
    <w:rsid w:val="00CD4DF8"/>
    <w:rsid w:val="00CE0432"/>
    <w:rsid w:val="00CE19AB"/>
    <w:rsid w:val="00CE1C4C"/>
    <w:rsid w:val="00CE3A57"/>
    <w:rsid w:val="00CE6F12"/>
    <w:rsid w:val="00CE7812"/>
    <w:rsid w:val="00CE7D04"/>
    <w:rsid w:val="00CF0EA2"/>
    <w:rsid w:val="00CF29E3"/>
    <w:rsid w:val="00CF34B8"/>
    <w:rsid w:val="00CF39BB"/>
    <w:rsid w:val="00CF42C9"/>
    <w:rsid w:val="00CF4957"/>
    <w:rsid w:val="00CF6FCE"/>
    <w:rsid w:val="00CF7043"/>
    <w:rsid w:val="00CF727C"/>
    <w:rsid w:val="00CF754D"/>
    <w:rsid w:val="00CF77E7"/>
    <w:rsid w:val="00D013C8"/>
    <w:rsid w:val="00D02DFC"/>
    <w:rsid w:val="00D04651"/>
    <w:rsid w:val="00D04E21"/>
    <w:rsid w:val="00D073F3"/>
    <w:rsid w:val="00D077B7"/>
    <w:rsid w:val="00D10427"/>
    <w:rsid w:val="00D10A35"/>
    <w:rsid w:val="00D1209F"/>
    <w:rsid w:val="00D12713"/>
    <w:rsid w:val="00D12EC1"/>
    <w:rsid w:val="00D138E6"/>
    <w:rsid w:val="00D166EA"/>
    <w:rsid w:val="00D16CFB"/>
    <w:rsid w:val="00D16DE6"/>
    <w:rsid w:val="00D2077A"/>
    <w:rsid w:val="00D208A6"/>
    <w:rsid w:val="00D213E6"/>
    <w:rsid w:val="00D213F4"/>
    <w:rsid w:val="00D228BB"/>
    <w:rsid w:val="00D22F77"/>
    <w:rsid w:val="00D243A2"/>
    <w:rsid w:val="00D25DF2"/>
    <w:rsid w:val="00D26BAA"/>
    <w:rsid w:val="00D26F7E"/>
    <w:rsid w:val="00D2720E"/>
    <w:rsid w:val="00D2788C"/>
    <w:rsid w:val="00D27CFB"/>
    <w:rsid w:val="00D30090"/>
    <w:rsid w:val="00D31123"/>
    <w:rsid w:val="00D31207"/>
    <w:rsid w:val="00D3309D"/>
    <w:rsid w:val="00D335A0"/>
    <w:rsid w:val="00D337D4"/>
    <w:rsid w:val="00D34105"/>
    <w:rsid w:val="00D351A2"/>
    <w:rsid w:val="00D36209"/>
    <w:rsid w:val="00D36496"/>
    <w:rsid w:val="00D370DD"/>
    <w:rsid w:val="00D377D8"/>
    <w:rsid w:val="00D37D21"/>
    <w:rsid w:val="00D40186"/>
    <w:rsid w:val="00D40A92"/>
    <w:rsid w:val="00D435D8"/>
    <w:rsid w:val="00D460AC"/>
    <w:rsid w:val="00D460E5"/>
    <w:rsid w:val="00D46CD3"/>
    <w:rsid w:val="00D46D80"/>
    <w:rsid w:val="00D479A4"/>
    <w:rsid w:val="00D506E1"/>
    <w:rsid w:val="00D50CFD"/>
    <w:rsid w:val="00D510E0"/>
    <w:rsid w:val="00D534E2"/>
    <w:rsid w:val="00D54DEC"/>
    <w:rsid w:val="00D5534B"/>
    <w:rsid w:val="00D56E13"/>
    <w:rsid w:val="00D570F4"/>
    <w:rsid w:val="00D607C2"/>
    <w:rsid w:val="00D60871"/>
    <w:rsid w:val="00D61199"/>
    <w:rsid w:val="00D61F40"/>
    <w:rsid w:val="00D622EC"/>
    <w:rsid w:val="00D623AF"/>
    <w:rsid w:val="00D6284C"/>
    <w:rsid w:val="00D64197"/>
    <w:rsid w:val="00D65953"/>
    <w:rsid w:val="00D65A78"/>
    <w:rsid w:val="00D66F7E"/>
    <w:rsid w:val="00D73444"/>
    <w:rsid w:val="00D73633"/>
    <w:rsid w:val="00D73FDF"/>
    <w:rsid w:val="00D75813"/>
    <w:rsid w:val="00D76018"/>
    <w:rsid w:val="00D76083"/>
    <w:rsid w:val="00D76A87"/>
    <w:rsid w:val="00D7779A"/>
    <w:rsid w:val="00D8040E"/>
    <w:rsid w:val="00D808AE"/>
    <w:rsid w:val="00D82051"/>
    <w:rsid w:val="00D83251"/>
    <w:rsid w:val="00D85744"/>
    <w:rsid w:val="00D863F8"/>
    <w:rsid w:val="00D90456"/>
    <w:rsid w:val="00D90682"/>
    <w:rsid w:val="00D90FDA"/>
    <w:rsid w:val="00D92D20"/>
    <w:rsid w:val="00D92FAC"/>
    <w:rsid w:val="00D943A3"/>
    <w:rsid w:val="00D96D49"/>
    <w:rsid w:val="00D97408"/>
    <w:rsid w:val="00D9761B"/>
    <w:rsid w:val="00D9780E"/>
    <w:rsid w:val="00DA049C"/>
    <w:rsid w:val="00DA1430"/>
    <w:rsid w:val="00DA2F03"/>
    <w:rsid w:val="00DA3CB0"/>
    <w:rsid w:val="00DA4E28"/>
    <w:rsid w:val="00DA657E"/>
    <w:rsid w:val="00DA68F6"/>
    <w:rsid w:val="00DA6F72"/>
    <w:rsid w:val="00DB03D9"/>
    <w:rsid w:val="00DB0ED2"/>
    <w:rsid w:val="00DB1159"/>
    <w:rsid w:val="00DB2DCF"/>
    <w:rsid w:val="00DB3587"/>
    <w:rsid w:val="00DB4DC9"/>
    <w:rsid w:val="00DB52EA"/>
    <w:rsid w:val="00DB5427"/>
    <w:rsid w:val="00DB5510"/>
    <w:rsid w:val="00DB7330"/>
    <w:rsid w:val="00DB7BD6"/>
    <w:rsid w:val="00DC00D6"/>
    <w:rsid w:val="00DC01CF"/>
    <w:rsid w:val="00DC0304"/>
    <w:rsid w:val="00DC05AA"/>
    <w:rsid w:val="00DC05C9"/>
    <w:rsid w:val="00DC07E6"/>
    <w:rsid w:val="00DC2245"/>
    <w:rsid w:val="00DC3292"/>
    <w:rsid w:val="00DC34CA"/>
    <w:rsid w:val="00DC3758"/>
    <w:rsid w:val="00DC39F2"/>
    <w:rsid w:val="00DC5EF3"/>
    <w:rsid w:val="00DC7CD0"/>
    <w:rsid w:val="00DD0E73"/>
    <w:rsid w:val="00DD1CB4"/>
    <w:rsid w:val="00DD1D88"/>
    <w:rsid w:val="00DD1DFE"/>
    <w:rsid w:val="00DD22A5"/>
    <w:rsid w:val="00DD25AF"/>
    <w:rsid w:val="00DD4618"/>
    <w:rsid w:val="00DD4911"/>
    <w:rsid w:val="00DD4FA5"/>
    <w:rsid w:val="00DD63EA"/>
    <w:rsid w:val="00DD708E"/>
    <w:rsid w:val="00DD70C4"/>
    <w:rsid w:val="00DD7942"/>
    <w:rsid w:val="00DE0F91"/>
    <w:rsid w:val="00DE1EB2"/>
    <w:rsid w:val="00DE260A"/>
    <w:rsid w:val="00DE3126"/>
    <w:rsid w:val="00DE3142"/>
    <w:rsid w:val="00DE3271"/>
    <w:rsid w:val="00DE35BC"/>
    <w:rsid w:val="00DE4336"/>
    <w:rsid w:val="00DE4F7E"/>
    <w:rsid w:val="00DE51AF"/>
    <w:rsid w:val="00DE54A2"/>
    <w:rsid w:val="00DE54E1"/>
    <w:rsid w:val="00DE60D8"/>
    <w:rsid w:val="00DE6415"/>
    <w:rsid w:val="00DE6BFE"/>
    <w:rsid w:val="00DE75CE"/>
    <w:rsid w:val="00DF02CF"/>
    <w:rsid w:val="00DF054C"/>
    <w:rsid w:val="00DF0696"/>
    <w:rsid w:val="00DF10DE"/>
    <w:rsid w:val="00DF2554"/>
    <w:rsid w:val="00DF40AE"/>
    <w:rsid w:val="00DF42F2"/>
    <w:rsid w:val="00DF48EB"/>
    <w:rsid w:val="00DF4BFB"/>
    <w:rsid w:val="00DF51F1"/>
    <w:rsid w:val="00DF5223"/>
    <w:rsid w:val="00DF5C64"/>
    <w:rsid w:val="00DF5E5E"/>
    <w:rsid w:val="00DF665C"/>
    <w:rsid w:val="00DF713B"/>
    <w:rsid w:val="00DF7250"/>
    <w:rsid w:val="00DF72A5"/>
    <w:rsid w:val="00DF7776"/>
    <w:rsid w:val="00DF7CD8"/>
    <w:rsid w:val="00E00549"/>
    <w:rsid w:val="00E00BCE"/>
    <w:rsid w:val="00E04341"/>
    <w:rsid w:val="00E04D37"/>
    <w:rsid w:val="00E04F98"/>
    <w:rsid w:val="00E05BBE"/>
    <w:rsid w:val="00E060D6"/>
    <w:rsid w:val="00E06342"/>
    <w:rsid w:val="00E06AB9"/>
    <w:rsid w:val="00E07ED7"/>
    <w:rsid w:val="00E100B6"/>
    <w:rsid w:val="00E10188"/>
    <w:rsid w:val="00E10C8D"/>
    <w:rsid w:val="00E1153C"/>
    <w:rsid w:val="00E11A31"/>
    <w:rsid w:val="00E11B4B"/>
    <w:rsid w:val="00E13035"/>
    <w:rsid w:val="00E13287"/>
    <w:rsid w:val="00E13410"/>
    <w:rsid w:val="00E134B3"/>
    <w:rsid w:val="00E1363E"/>
    <w:rsid w:val="00E143C7"/>
    <w:rsid w:val="00E147E7"/>
    <w:rsid w:val="00E1529C"/>
    <w:rsid w:val="00E15D47"/>
    <w:rsid w:val="00E16995"/>
    <w:rsid w:val="00E16FE8"/>
    <w:rsid w:val="00E20949"/>
    <w:rsid w:val="00E21088"/>
    <w:rsid w:val="00E21B5B"/>
    <w:rsid w:val="00E22095"/>
    <w:rsid w:val="00E24F6E"/>
    <w:rsid w:val="00E25417"/>
    <w:rsid w:val="00E263BA"/>
    <w:rsid w:val="00E269EE"/>
    <w:rsid w:val="00E26FF4"/>
    <w:rsid w:val="00E271C1"/>
    <w:rsid w:val="00E2760F"/>
    <w:rsid w:val="00E27C67"/>
    <w:rsid w:val="00E3064D"/>
    <w:rsid w:val="00E33458"/>
    <w:rsid w:val="00E33AFA"/>
    <w:rsid w:val="00E34D99"/>
    <w:rsid w:val="00E352DF"/>
    <w:rsid w:val="00E36CA0"/>
    <w:rsid w:val="00E37057"/>
    <w:rsid w:val="00E40836"/>
    <w:rsid w:val="00E41464"/>
    <w:rsid w:val="00E4185F"/>
    <w:rsid w:val="00E418A7"/>
    <w:rsid w:val="00E41E7D"/>
    <w:rsid w:val="00E430C1"/>
    <w:rsid w:val="00E4395B"/>
    <w:rsid w:val="00E4417C"/>
    <w:rsid w:val="00E45518"/>
    <w:rsid w:val="00E45D67"/>
    <w:rsid w:val="00E46081"/>
    <w:rsid w:val="00E50D22"/>
    <w:rsid w:val="00E514E1"/>
    <w:rsid w:val="00E51D03"/>
    <w:rsid w:val="00E52070"/>
    <w:rsid w:val="00E56118"/>
    <w:rsid w:val="00E60023"/>
    <w:rsid w:val="00E600D6"/>
    <w:rsid w:val="00E605AE"/>
    <w:rsid w:val="00E61031"/>
    <w:rsid w:val="00E613A0"/>
    <w:rsid w:val="00E6158A"/>
    <w:rsid w:val="00E61920"/>
    <w:rsid w:val="00E6235E"/>
    <w:rsid w:val="00E636C0"/>
    <w:rsid w:val="00E64383"/>
    <w:rsid w:val="00E64406"/>
    <w:rsid w:val="00E66B49"/>
    <w:rsid w:val="00E66C45"/>
    <w:rsid w:val="00E674E5"/>
    <w:rsid w:val="00E675D0"/>
    <w:rsid w:val="00E67606"/>
    <w:rsid w:val="00E6774E"/>
    <w:rsid w:val="00E702C4"/>
    <w:rsid w:val="00E70B8C"/>
    <w:rsid w:val="00E71EFD"/>
    <w:rsid w:val="00E73F60"/>
    <w:rsid w:val="00E74412"/>
    <w:rsid w:val="00E74EEC"/>
    <w:rsid w:val="00E74FFA"/>
    <w:rsid w:val="00E75977"/>
    <w:rsid w:val="00E76683"/>
    <w:rsid w:val="00E76F57"/>
    <w:rsid w:val="00E77481"/>
    <w:rsid w:val="00E80BE8"/>
    <w:rsid w:val="00E81AB3"/>
    <w:rsid w:val="00E8330D"/>
    <w:rsid w:val="00E83F56"/>
    <w:rsid w:val="00E8455F"/>
    <w:rsid w:val="00E874B4"/>
    <w:rsid w:val="00E87AF9"/>
    <w:rsid w:val="00E90434"/>
    <w:rsid w:val="00E90F8A"/>
    <w:rsid w:val="00E9259D"/>
    <w:rsid w:val="00E93101"/>
    <w:rsid w:val="00E9313E"/>
    <w:rsid w:val="00E93761"/>
    <w:rsid w:val="00E948A5"/>
    <w:rsid w:val="00E95067"/>
    <w:rsid w:val="00E95E3E"/>
    <w:rsid w:val="00E95E76"/>
    <w:rsid w:val="00E962F2"/>
    <w:rsid w:val="00E973D5"/>
    <w:rsid w:val="00EA010D"/>
    <w:rsid w:val="00EA0ED1"/>
    <w:rsid w:val="00EA1523"/>
    <w:rsid w:val="00EA2731"/>
    <w:rsid w:val="00EA279A"/>
    <w:rsid w:val="00EA2F8B"/>
    <w:rsid w:val="00EA3A1D"/>
    <w:rsid w:val="00EA445A"/>
    <w:rsid w:val="00EA57D0"/>
    <w:rsid w:val="00EA6445"/>
    <w:rsid w:val="00EA70CB"/>
    <w:rsid w:val="00EA7D98"/>
    <w:rsid w:val="00EB2483"/>
    <w:rsid w:val="00EB5B14"/>
    <w:rsid w:val="00EB683C"/>
    <w:rsid w:val="00EB734F"/>
    <w:rsid w:val="00EB75C2"/>
    <w:rsid w:val="00EB7981"/>
    <w:rsid w:val="00EC0019"/>
    <w:rsid w:val="00EC02A2"/>
    <w:rsid w:val="00EC0520"/>
    <w:rsid w:val="00EC070C"/>
    <w:rsid w:val="00EC0E05"/>
    <w:rsid w:val="00EC17B5"/>
    <w:rsid w:val="00EC23BF"/>
    <w:rsid w:val="00EC31CD"/>
    <w:rsid w:val="00EC3BFD"/>
    <w:rsid w:val="00EC3E45"/>
    <w:rsid w:val="00EC439B"/>
    <w:rsid w:val="00EC55ED"/>
    <w:rsid w:val="00EC7FDD"/>
    <w:rsid w:val="00ED0996"/>
    <w:rsid w:val="00ED1312"/>
    <w:rsid w:val="00ED1A64"/>
    <w:rsid w:val="00ED3E13"/>
    <w:rsid w:val="00ED6014"/>
    <w:rsid w:val="00ED64EE"/>
    <w:rsid w:val="00ED6A94"/>
    <w:rsid w:val="00EE0049"/>
    <w:rsid w:val="00EE01D0"/>
    <w:rsid w:val="00EE0E63"/>
    <w:rsid w:val="00EE10A5"/>
    <w:rsid w:val="00EE2AC6"/>
    <w:rsid w:val="00EE2EBF"/>
    <w:rsid w:val="00EE2EFE"/>
    <w:rsid w:val="00EE5274"/>
    <w:rsid w:val="00EE55CB"/>
    <w:rsid w:val="00EE6081"/>
    <w:rsid w:val="00EE62BE"/>
    <w:rsid w:val="00EE6375"/>
    <w:rsid w:val="00EE6A96"/>
    <w:rsid w:val="00EF05FD"/>
    <w:rsid w:val="00EF1219"/>
    <w:rsid w:val="00EF1B3B"/>
    <w:rsid w:val="00EF231F"/>
    <w:rsid w:val="00EF3C22"/>
    <w:rsid w:val="00EF4428"/>
    <w:rsid w:val="00EF4657"/>
    <w:rsid w:val="00EF4C37"/>
    <w:rsid w:val="00EF5378"/>
    <w:rsid w:val="00EF54AC"/>
    <w:rsid w:val="00EF59F0"/>
    <w:rsid w:val="00EF7795"/>
    <w:rsid w:val="00F007BC"/>
    <w:rsid w:val="00F008C6"/>
    <w:rsid w:val="00F0224B"/>
    <w:rsid w:val="00F033F2"/>
    <w:rsid w:val="00F045F2"/>
    <w:rsid w:val="00F051A2"/>
    <w:rsid w:val="00F05AF4"/>
    <w:rsid w:val="00F05C68"/>
    <w:rsid w:val="00F10B41"/>
    <w:rsid w:val="00F10CB6"/>
    <w:rsid w:val="00F10FAF"/>
    <w:rsid w:val="00F113B5"/>
    <w:rsid w:val="00F1154F"/>
    <w:rsid w:val="00F11C9D"/>
    <w:rsid w:val="00F11DDD"/>
    <w:rsid w:val="00F12106"/>
    <w:rsid w:val="00F13231"/>
    <w:rsid w:val="00F14039"/>
    <w:rsid w:val="00F15101"/>
    <w:rsid w:val="00F15307"/>
    <w:rsid w:val="00F1585E"/>
    <w:rsid w:val="00F15AB4"/>
    <w:rsid w:val="00F15ED8"/>
    <w:rsid w:val="00F16046"/>
    <w:rsid w:val="00F164E6"/>
    <w:rsid w:val="00F16DC2"/>
    <w:rsid w:val="00F178C8"/>
    <w:rsid w:val="00F17B63"/>
    <w:rsid w:val="00F17BE2"/>
    <w:rsid w:val="00F20119"/>
    <w:rsid w:val="00F20B5D"/>
    <w:rsid w:val="00F21756"/>
    <w:rsid w:val="00F2296F"/>
    <w:rsid w:val="00F22DC4"/>
    <w:rsid w:val="00F24D45"/>
    <w:rsid w:val="00F252E5"/>
    <w:rsid w:val="00F26804"/>
    <w:rsid w:val="00F302DA"/>
    <w:rsid w:val="00F30CF8"/>
    <w:rsid w:val="00F31C17"/>
    <w:rsid w:val="00F34292"/>
    <w:rsid w:val="00F35F54"/>
    <w:rsid w:val="00F362B5"/>
    <w:rsid w:val="00F36A77"/>
    <w:rsid w:val="00F36B91"/>
    <w:rsid w:val="00F37A4F"/>
    <w:rsid w:val="00F40A99"/>
    <w:rsid w:val="00F41060"/>
    <w:rsid w:val="00F41B6E"/>
    <w:rsid w:val="00F42C2D"/>
    <w:rsid w:val="00F43857"/>
    <w:rsid w:val="00F4438B"/>
    <w:rsid w:val="00F45D12"/>
    <w:rsid w:val="00F46E21"/>
    <w:rsid w:val="00F4723C"/>
    <w:rsid w:val="00F47F3F"/>
    <w:rsid w:val="00F50D7A"/>
    <w:rsid w:val="00F520A9"/>
    <w:rsid w:val="00F52F66"/>
    <w:rsid w:val="00F53AA0"/>
    <w:rsid w:val="00F54B7A"/>
    <w:rsid w:val="00F5519F"/>
    <w:rsid w:val="00F56FBA"/>
    <w:rsid w:val="00F5716E"/>
    <w:rsid w:val="00F57471"/>
    <w:rsid w:val="00F57672"/>
    <w:rsid w:val="00F57978"/>
    <w:rsid w:val="00F608E2"/>
    <w:rsid w:val="00F612B1"/>
    <w:rsid w:val="00F61E95"/>
    <w:rsid w:val="00F6227D"/>
    <w:rsid w:val="00F625BF"/>
    <w:rsid w:val="00F63934"/>
    <w:rsid w:val="00F64DD5"/>
    <w:rsid w:val="00F64F8E"/>
    <w:rsid w:val="00F65ED9"/>
    <w:rsid w:val="00F7014A"/>
    <w:rsid w:val="00F715BA"/>
    <w:rsid w:val="00F71832"/>
    <w:rsid w:val="00F72CAC"/>
    <w:rsid w:val="00F750A2"/>
    <w:rsid w:val="00F76109"/>
    <w:rsid w:val="00F76B24"/>
    <w:rsid w:val="00F76B4C"/>
    <w:rsid w:val="00F7719C"/>
    <w:rsid w:val="00F777F3"/>
    <w:rsid w:val="00F80155"/>
    <w:rsid w:val="00F804F9"/>
    <w:rsid w:val="00F8118E"/>
    <w:rsid w:val="00F84C34"/>
    <w:rsid w:val="00F8609A"/>
    <w:rsid w:val="00F86B1B"/>
    <w:rsid w:val="00F86F70"/>
    <w:rsid w:val="00F873D2"/>
    <w:rsid w:val="00F8764E"/>
    <w:rsid w:val="00F877ED"/>
    <w:rsid w:val="00F878A5"/>
    <w:rsid w:val="00F90589"/>
    <w:rsid w:val="00F90A8F"/>
    <w:rsid w:val="00F91D2F"/>
    <w:rsid w:val="00F923DE"/>
    <w:rsid w:val="00F93298"/>
    <w:rsid w:val="00F9332C"/>
    <w:rsid w:val="00F95529"/>
    <w:rsid w:val="00F96CC1"/>
    <w:rsid w:val="00F977F7"/>
    <w:rsid w:val="00FA108E"/>
    <w:rsid w:val="00FA2F73"/>
    <w:rsid w:val="00FA3EB0"/>
    <w:rsid w:val="00FA49D9"/>
    <w:rsid w:val="00FA4A08"/>
    <w:rsid w:val="00FA4DB9"/>
    <w:rsid w:val="00FA59B4"/>
    <w:rsid w:val="00FA60BF"/>
    <w:rsid w:val="00FA67E6"/>
    <w:rsid w:val="00FA7BA6"/>
    <w:rsid w:val="00FA7D6D"/>
    <w:rsid w:val="00FB13C0"/>
    <w:rsid w:val="00FB1622"/>
    <w:rsid w:val="00FB204D"/>
    <w:rsid w:val="00FB25FB"/>
    <w:rsid w:val="00FB271D"/>
    <w:rsid w:val="00FB296E"/>
    <w:rsid w:val="00FB2AE1"/>
    <w:rsid w:val="00FB2B7C"/>
    <w:rsid w:val="00FB338B"/>
    <w:rsid w:val="00FB3528"/>
    <w:rsid w:val="00FB38AF"/>
    <w:rsid w:val="00FB4486"/>
    <w:rsid w:val="00FB4BAB"/>
    <w:rsid w:val="00FB4C7F"/>
    <w:rsid w:val="00FB4DFC"/>
    <w:rsid w:val="00FB4E8D"/>
    <w:rsid w:val="00FB6F40"/>
    <w:rsid w:val="00FB6FB1"/>
    <w:rsid w:val="00FB7CD5"/>
    <w:rsid w:val="00FC057E"/>
    <w:rsid w:val="00FC09B6"/>
    <w:rsid w:val="00FC1ED9"/>
    <w:rsid w:val="00FC23EF"/>
    <w:rsid w:val="00FC55B3"/>
    <w:rsid w:val="00FC5AEB"/>
    <w:rsid w:val="00FC692E"/>
    <w:rsid w:val="00FD00AF"/>
    <w:rsid w:val="00FD0635"/>
    <w:rsid w:val="00FD2604"/>
    <w:rsid w:val="00FD2728"/>
    <w:rsid w:val="00FD2A1B"/>
    <w:rsid w:val="00FD326B"/>
    <w:rsid w:val="00FD5416"/>
    <w:rsid w:val="00FD6FA6"/>
    <w:rsid w:val="00FD7CE2"/>
    <w:rsid w:val="00FE0090"/>
    <w:rsid w:val="00FE0490"/>
    <w:rsid w:val="00FE14CB"/>
    <w:rsid w:val="00FE21E3"/>
    <w:rsid w:val="00FE25D0"/>
    <w:rsid w:val="00FE3C8C"/>
    <w:rsid w:val="00FE585E"/>
    <w:rsid w:val="00FE5999"/>
    <w:rsid w:val="00FE5A74"/>
    <w:rsid w:val="00FE5F13"/>
    <w:rsid w:val="00FE6508"/>
    <w:rsid w:val="00FE6905"/>
    <w:rsid w:val="00FE7EE4"/>
    <w:rsid w:val="00FF06A5"/>
    <w:rsid w:val="00FF13A4"/>
    <w:rsid w:val="00FF1496"/>
    <w:rsid w:val="00FF32A1"/>
    <w:rsid w:val="00FF37E9"/>
    <w:rsid w:val="00FF3FA1"/>
    <w:rsid w:val="00FF5D23"/>
    <w:rsid w:val="00FF615D"/>
    <w:rsid w:val="00FF64BA"/>
    <w:rsid w:val="00FF6511"/>
    <w:rsid w:val="00FF7475"/>
    <w:rsid w:val="00FF7D2B"/>
    <w:rsid w:val="01142EFC"/>
    <w:rsid w:val="013C054E"/>
    <w:rsid w:val="01A32DD9"/>
    <w:rsid w:val="028D5F69"/>
    <w:rsid w:val="02AA5B7D"/>
    <w:rsid w:val="02EB5184"/>
    <w:rsid w:val="02F26113"/>
    <w:rsid w:val="03AE5C78"/>
    <w:rsid w:val="04132AE5"/>
    <w:rsid w:val="045B547B"/>
    <w:rsid w:val="05645169"/>
    <w:rsid w:val="05860AA0"/>
    <w:rsid w:val="05B970E0"/>
    <w:rsid w:val="06242B3D"/>
    <w:rsid w:val="06311428"/>
    <w:rsid w:val="06593102"/>
    <w:rsid w:val="07344756"/>
    <w:rsid w:val="07E35A5B"/>
    <w:rsid w:val="08415635"/>
    <w:rsid w:val="08D10652"/>
    <w:rsid w:val="092A35DB"/>
    <w:rsid w:val="097339DB"/>
    <w:rsid w:val="0C5124B3"/>
    <w:rsid w:val="0CDA4765"/>
    <w:rsid w:val="0E2E2851"/>
    <w:rsid w:val="0F3747BA"/>
    <w:rsid w:val="0F991E98"/>
    <w:rsid w:val="104A0632"/>
    <w:rsid w:val="10D75D0B"/>
    <w:rsid w:val="11EA0D70"/>
    <w:rsid w:val="1216530A"/>
    <w:rsid w:val="12F40645"/>
    <w:rsid w:val="132B2B4B"/>
    <w:rsid w:val="13CF7DD3"/>
    <w:rsid w:val="14240D72"/>
    <w:rsid w:val="146411B3"/>
    <w:rsid w:val="14770F16"/>
    <w:rsid w:val="14F52FE5"/>
    <w:rsid w:val="15234F66"/>
    <w:rsid w:val="153D4DBD"/>
    <w:rsid w:val="1818639C"/>
    <w:rsid w:val="182E2909"/>
    <w:rsid w:val="185C1FA2"/>
    <w:rsid w:val="18E960C0"/>
    <w:rsid w:val="1A8A1ABB"/>
    <w:rsid w:val="1A9567B5"/>
    <w:rsid w:val="1B307D77"/>
    <w:rsid w:val="1D4E2C02"/>
    <w:rsid w:val="1D77367A"/>
    <w:rsid w:val="1EEB72DF"/>
    <w:rsid w:val="1F9837C8"/>
    <w:rsid w:val="1FE1254C"/>
    <w:rsid w:val="206E3B8C"/>
    <w:rsid w:val="20BD6AE5"/>
    <w:rsid w:val="220C3E0B"/>
    <w:rsid w:val="223F7B2D"/>
    <w:rsid w:val="23876EE0"/>
    <w:rsid w:val="23CF617A"/>
    <w:rsid w:val="24085B1D"/>
    <w:rsid w:val="27AE736E"/>
    <w:rsid w:val="28A112BE"/>
    <w:rsid w:val="29055E8C"/>
    <w:rsid w:val="299B403F"/>
    <w:rsid w:val="2AB772D9"/>
    <w:rsid w:val="2BCA663C"/>
    <w:rsid w:val="2D8C2805"/>
    <w:rsid w:val="2E544BF6"/>
    <w:rsid w:val="2EE30DF8"/>
    <w:rsid w:val="2F4957F8"/>
    <w:rsid w:val="303430D4"/>
    <w:rsid w:val="304F1246"/>
    <w:rsid w:val="30BD15E5"/>
    <w:rsid w:val="3121636C"/>
    <w:rsid w:val="31A252F1"/>
    <w:rsid w:val="31C50D87"/>
    <w:rsid w:val="31CF708E"/>
    <w:rsid w:val="31D57F7F"/>
    <w:rsid w:val="33351062"/>
    <w:rsid w:val="33A27B38"/>
    <w:rsid w:val="357B753E"/>
    <w:rsid w:val="3595001D"/>
    <w:rsid w:val="35B02185"/>
    <w:rsid w:val="35DE19DF"/>
    <w:rsid w:val="37340B1D"/>
    <w:rsid w:val="37F401F0"/>
    <w:rsid w:val="385A3AD0"/>
    <w:rsid w:val="38852A0E"/>
    <w:rsid w:val="38A17ABD"/>
    <w:rsid w:val="3A3232F3"/>
    <w:rsid w:val="3B383FAF"/>
    <w:rsid w:val="3B494567"/>
    <w:rsid w:val="3B6002E9"/>
    <w:rsid w:val="3D561EA3"/>
    <w:rsid w:val="3E6D47F7"/>
    <w:rsid w:val="3E8D73B3"/>
    <w:rsid w:val="3F2F5AEC"/>
    <w:rsid w:val="3F654595"/>
    <w:rsid w:val="3F7C70EB"/>
    <w:rsid w:val="406008AF"/>
    <w:rsid w:val="413173AF"/>
    <w:rsid w:val="418D1537"/>
    <w:rsid w:val="425A48CF"/>
    <w:rsid w:val="42DD0C8B"/>
    <w:rsid w:val="45235D66"/>
    <w:rsid w:val="452A1BFE"/>
    <w:rsid w:val="454A3D0E"/>
    <w:rsid w:val="458B301B"/>
    <w:rsid w:val="4A316EE9"/>
    <w:rsid w:val="4A72211A"/>
    <w:rsid w:val="4B3B30DB"/>
    <w:rsid w:val="4B421DA5"/>
    <w:rsid w:val="4CA14F0B"/>
    <w:rsid w:val="4D893F5F"/>
    <w:rsid w:val="4E97682F"/>
    <w:rsid w:val="4ECC2C3D"/>
    <w:rsid w:val="4F6A50AB"/>
    <w:rsid w:val="4FA727D4"/>
    <w:rsid w:val="543C33D0"/>
    <w:rsid w:val="54E46620"/>
    <w:rsid w:val="5508216F"/>
    <w:rsid w:val="56BA41C9"/>
    <w:rsid w:val="598377BF"/>
    <w:rsid w:val="59F83469"/>
    <w:rsid w:val="5A1610A0"/>
    <w:rsid w:val="5C786EB0"/>
    <w:rsid w:val="5D27015D"/>
    <w:rsid w:val="5D5B5065"/>
    <w:rsid w:val="5E413F47"/>
    <w:rsid w:val="5EB80508"/>
    <w:rsid w:val="61092A40"/>
    <w:rsid w:val="61BE21CF"/>
    <w:rsid w:val="62700640"/>
    <w:rsid w:val="628559C8"/>
    <w:rsid w:val="62C63D9D"/>
    <w:rsid w:val="63FA7440"/>
    <w:rsid w:val="644C495D"/>
    <w:rsid w:val="64715C24"/>
    <w:rsid w:val="65224C04"/>
    <w:rsid w:val="65800B1A"/>
    <w:rsid w:val="65FA31A1"/>
    <w:rsid w:val="665C267F"/>
    <w:rsid w:val="66A05066"/>
    <w:rsid w:val="67B039EE"/>
    <w:rsid w:val="67F83836"/>
    <w:rsid w:val="68C46AF0"/>
    <w:rsid w:val="6A970AC3"/>
    <w:rsid w:val="6B6D311C"/>
    <w:rsid w:val="6C076298"/>
    <w:rsid w:val="6C520652"/>
    <w:rsid w:val="6EA53FDE"/>
    <w:rsid w:val="6F0C1E15"/>
    <w:rsid w:val="6FB2683E"/>
    <w:rsid w:val="70650505"/>
    <w:rsid w:val="70651D96"/>
    <w:rsid w:val="70812704"/>
    <w:rsid w:val="70945ECB"/>
    <w:rsid w:val="715E23FC"/>
    <w:rsid w:val="716772A9"/>
    <w:rsid w:val="719C3D56"/>
    <w:rsid w:val="721C7497"/>
    <w:rsid w:val="722F3441"/>
    <w:rsid w:val="72AE0BD2"/>
    <w:rsid w:val="73055389"/>
    <w:rsid w:val="732D5840"/>
    <w:rsid w:val="73CA3CEA"/>
    <w:rsid w:val="740F7653"/>
    <w:rsid w:val="748E78D8"/>
    <w:rsid w:val="75422C09"/>
    <w:rsid w:val="76D04E2A"/>
    <w:rsid w:val="77396964"/>
    <w:rsid w:val="77C600FB"/>
    <w:rsid w:val="7B7A34C4"/>
    <w:rsid w:val="7C782CBB"/>
    <w:rsid w:val="7C8331C4"/>
    <w:rsid w:val="7D357AB4"/>
    <w:rsid w:val="7D6350C7"/>
    <w:rsid w:val="7D8B4F86"/>
    <w:rsid w:val="7DC31F48"/>
    <w:rsid w:val="7E133FBA"/>
    <w:rsid w:val="7E575AE3"/>
    <w:rsid w:val="7F186204"/>
    <w:rsid w:val="7F1C6EEC"/>
    <w:rsid w:val="7F1E3964"/>
    <w:rsid w:val="7FA21A9A"/>
    <w:rsid w:val="7FD67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uiPriority="0" w:name="List Bullet"/>
    <w:lsdException w:qFormat="1"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qFormat="1" w:unhideWhenUsed="0" w:uiPriority="0" w:semiHidden="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qFormat="1" w:unhideWhenUsed="0" w:uiPriority="0" w:semiHidden="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31"/>
    <w:qFormat/>
    <w:uiPriority w:val="0"/>
    <w:pPr>
      <w:keepNext/>
      <w:keepLines/>
      <w:spacing w:before="340" w:after="330" w:line="578" w:lineRule="auto"/>
      <w:outlineLvl w:val="0"/>
    </w:pPr>
    <w:rPr>
      <w:b/>
      <w:bCs/>
      <w:kern w:val="44"/>
      <w:sz w:val="44"/>
      <w:szCs w:val="44"/>
    </w:rPr>
  </w:style>
  <w:style w:type="paragraph" w:styleId="6">
    <w:name w:val="heading 2"/>
    <w:basedOn w:val="5"/>
    <w:next w:val="1"/>
    <w:link w:val="132"/>
    <w:qFormat/>
    <w:uiPriority w:val="0"/>
    <w:pPr>
      <w:adjustRightInd w:val="0"/>
      <w:snapToGrid w:val="0"/>
      <w:spacing w:before="120" w:after="120" w:line="360" w:lineRule="auto"/>
      <w:jc w:val="center"/>
      <w:textAlignment w:val="baseline"/>
      <w:outlineLvl w:val="1"/>
    </w:pPr>
    <w:rPr>
      <w:rFonts w:ascii="仿宋_GB2312" w:eastAsia="仿宋_GB2312"/>
      <w:kern w:val="0"/>
      <w:sz w:val="36"/>
      <w:szCs w:val="20"/>
    </w:rPr>
  </w:style>
  <w:style w:type="paragraph" w:styleId="7">
    <w:name w:val="heading 3"/>
    <w:basedOn w:val="1"/>
    <w:next w:val="8"/>
    <w:link w:val="134"/>
    <w:qFormat/>
    <w:uiPriority w:val="0"/>
    <w:pPr>
      <w:keepNext/>
      <w:keepLines/>
      <w:spacing w:before="260" w:after="260" w:line="360" w:lineRule="auto"/>
      <w:ind w:firstLine="602" w:firstLineChars="200"/>
      <w:outlineLvl w:val="2"/>
    </w:pPr>
    <w:rPr>
      <w:rFonts w:ascii="仿宋_GB2312" w:eastAsia="仿宋_GB2312"/>
      <w:b/>
      <w:bCs/>
      <w:sz w:val="30"/>
      <w:szCs w:val="20"/>
    </w:rPr>
  </w:style>
  <w:style w:type="paragraph" w:styleId="10">
    <w:name w:val="heading 4"/>
    <w:basedOn w:val="1"/>
    <w:next w:val="1"/>
    <w:link w:val="135"/>
    <w:qFormat/>
    <w:uiPriority w:val="0"/>
    <w:pPr>
      <w:keepNext/>
      <w:keepLines/>
      <w:spacing w:before="280" w:after="290" w:line="376" w:lineRule="auto"/>
      <w:outlineLvl w:val="3"/>
    </w:pPr>
    <w:rPr>
      <w:rFonts w:ascii="Cambria" w:hAnsi="Cambria"/>
      <w:b/>
      <w:bCs/>
      <w:sz w:val="28"/>
      <w:szCs w:val="28"/>
    </w:rPr>
  </w:style>
  <w:style w:type="paragraph" w:styleId="11">
    <w:name w:val="heading 5"/>
    <w:basedOn w:val="1"/>
    <w:next w:val="1"/>
    <w:link w:val="136"/>
    <w:qFormat/>
    <w:uiPriority w:val="0"/>
    <w:pPr>
      <w:keepNext/>
      <w:keepLines/>
      <w:spacing w:beforeLines="100" w:afterLines="100" w:line="360" w:lineRule="auto"/>
      <w:outlineLvl w:val="4"/>
    </w:pPr>
    <w:rPr>
      <w:b/>
      <w:bCs/>
      <w:sz w:val="28"/>
      <w:szCs w:val="28"/>
    </w:rPr>
  </w:style>
  <w:style w:type="paragraph" w:styleId="12">
    <w:name w:val="heading 6"/>
    <w:basedOn w:val="1"/>
    <w:next w:val="1"/>
    <w:link w:val="137"/>
    <w:qFormat/>
    <w:uiPriority w:val="0"/>
    <w:pPr>
      <w:keepNext/>
      <w:keepLines/>
      <w:spacing w:beforeLines="100" w:afterLines="100" w:line="360" w:lineRule="auto"/>
      <w:outlineLvl w:val="5"/>
    </w:pPr>
    <w:rPr>
      <w:rFonts w:ascii="Cambria" w:hAnsi="Cambria"/>
      <w:b/>
      <w:bCs/>
      <w:sz w:val="24"/>
    </w:rPr>
  </w:style>
  <w:style w:type="paragraph" w:styleId="13">
    <w:name w:val="heading 7"/>
    <w:basedOn w:val="1"/>
    <w:next w:val="1"/>
    <w:link w:val="138"/>
    <w:qFormat/>
    <w:uiPriority w:val="0"/>
    <w:pPr>
      <w:keepNext/>
      <w:keepLines/>
      <w:spacing w:beforeLines="100" w:afterLines="100" w:line="360" w:lineRule="auto"/>
      <w:outlineLvl w:val="6"/>
    </w:pPr>
    <w:rPr>
      <w:b/>
      <w:bCs/>
      <w:sz w:val="24"/>
    </w:rPr>
  </w:style>
  <w:style w:type="paragraph" w:styleId="14">
    <w:name w:val="heading 8"/>
    <w:basedOn w:val="1"/>
    <w:next w:val="1"/>
    <w:link w:val="139"/>
    <w:qFormat/>
    <w:uiPriority w:val="0"/>
    <w:pPr>
      <w:keepNext/>
      <w:keepLines/>
      <w:spacing w:beforeLines="100" w:afterLines="100" w:line="360" w:lineRule="auto"/>
      <w:outlineLvl w:val="7"/>
    </w:pPr>
    <w:rPr>
      <w:rFonts w:ascii="Cambria" w:hAnsi="Cambria"/>
      <w:b/>
      <w:sz w:val="24"/>
    </w:rPr>
  </w:style>
  <w:style w:type="paragraph" w:styleId="15">
    <w:name w:val="heading 9"/>
    <w:basedOn w:val="1"/>
    <w:next w:val="1"/>
    <w:link w:val="140"/>
    <w:qFormat/>
    <w:uiPriority w:val="0"/>
    <w:pPr>
      <w:keepNext/>
      <w:keepLines/>
      <w:spacing w:beforeLines="100" w:afterLines="100" w:line="360" w:lineRule="auto"/>
      <w:outlineLvl w:val="8"/>
    </w:pPr>
    <w:rPr>
      <w:rFonts w:ascii="Cambria" w:hAnsi="Cambria"/>
      <w:b/>
      <w:sz w:val="24"/>
      <w:szCs w:val="21"/>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link w:val="160"/>
    <w:qFormat/>
    <w:uiPriority w:val="0"/>
    <w:pPr>
      <w:ind w:firstLine="420" w:firstLineChars="100"/>
    </w:pPr>
  </w:style>
  <w:style w:type="paragraph" w:styleId="3">
    <w:name w:val="Body Text"/>
    <w:basedOn w:val="1"/>
    <w:next w:val="4"/>
    <w:link w:val="145"/>
    <w:qFormat/>
    <w:uiPriority w:val="0"/>
    <w:pPr>
      <w:spacing w:after="120"/>
    </w:pPr>
  </w:style>
  <w:style w:type="paragraph" w:styleId="4">
    <w:name w:val="Date"/>
    <w:basedOn w:val="1"/>
    <w:next w:val="1"/>
    <w:link w:val="148"/>
    <w:qFormat/>
    <w:uiPriority w:val="0"/>
    <w:pPr>
      <w:ind w:left="2500" w:leftChars="2500"/>
    </w:pPr>
    <w:rPr>
      <w:rFonts w:eastAsia="楷体_GB2312"/>
      <w:sz w:val="32"/>
      <w:szCs w:val="20"/>
    </w:rPr>
  </w:style>
  <w:style w:type="paragraph" w:styleId="8">
    <w:name w:val="Normal Indent"/>
    <w:basedOn w:val="1"/>
    <w:next w:val="9"/>
    <w:link w:val="133"/>
    <w:qFormat/>
    <w:uiPriority w:val="0"/>
    <w:pPr>
      <w:ind w:firstLine="420"/>
    </w:pPr>
    <w:rPr>
      <w:szCs w:val="20"/>
    </w:rPr>
  </w:style>
  <w:style w:type="paragraph" w:styleId="9">
    <w:name w:val="Body Text Indent"/>
    <w:basedOn w:val="1"/>
    <w:next w:val="8"/>
    <w:link w:val="146"/>
    <w:qFormat/>
    <w:uiPriority w:val="0"/>
    <w:pPr>
      <w:spacing w:line="200" w:lineRule="exact"/>
      <w:ind w:firstLine="301"/>
    </w:pPr>
    <w:rPr>
      <w:rFonts w:ascii="宋体" w:hAnsi="Courier New"/>
      <w:spacing w:val="-4"/>
      <w:sz w:val="18"/>
      <w:szCs w:val="20"/>
    </w:rPr>
  </w:style>
  <w:style w:type="paragraph" w:styleId="16">
    <w:name w:val="toc 7"/>
    <w:basedOn w:val="1"/>
    <w:next w:val="1"/>
    <w:unhideWhenUsed/>
    <w:qFormat/>
    <w:uiPriority w:val="39"/>
    <w:pPr>
      <w:ind w:left="2520" w:leftChars="1200"/>
    </w:pPr>
    <w:rPr>
      <w:rFonts w:ascii="Calibri" w:hAnsi="Calibri"/>
      <w:szCs w:val="22"/>
    </w:rPr>
  </w:style>
  <w:style w:type="paragraph" w:styleId="17">
    <w:name w:val="List Number"/>
    <w:basedOn w:val="1"/>
    <w:qFormat/>
    <w:uiPriority w:val="0"/>
    <w:pPr>
      <w:widowControl/>
      <w:tabs>
        <w:tab w:val="left" w:pos="454"/>
        <w:tab w:val="left" w:pos="720"/>
      </w:tabs>
      <w:spacing w:afterLines="50"/>
      <w:ind w:left="720" w:hanging="720"/>
      <w:jc w:val="left"/>
    </w:pPr>
    <w:rPr>
      <w:kern w:val="0"/>
      <w:sz w:val="24"/>
      <w:szCs w:val="20"/>
    </w:rPr>
  </w:style>
  <w:style w:type="paragraph" w:styleId="18">
    <w:name w:val="caption"/>
    <w:basedOn w:val="1"/>
    <w:next w:val="1"/>
    <w:link w:val="141"/>
    <w:qFormat/>
    <w:uiPriority w:val="0"/>
    <w:pPr>
      <w:spacing w:before="152" w:after="160"/>
    </w:pPr>
    <w:rPr>
      <w:rFonts w:ascii="Arial" w:hAnsi="Arial" w:eastAsia="黑体"/>
      <w:sz w:val="20"/>
      <w:szCs w:val="20"/>
    </w:rPr>
  </w:style>
  <w:style w:type="paragraph" w:styleId="19">
    <w:name w:val="Document Map"/>
    <w:basedOn w:val="1"/>
    <w:link w:val="142"/>
    <w:qFormat/>
    <w:uiPriority w:val="0"/>
    <w:pPr>
      <w:shd w:val="clear" w:color="auto" w:fill="000080"/>
    </w:pPr>
  </w:style>
  <w:style w:type="paragraph" w:styleId="20">
    <w:name w:val="annotation text"/>
    <w:basedOn w:val="1"/>
    <w:link w:val="143"/>
    <w:qFormat/>
    <w:uiPriority w:val="99"/>
    <w:pPr>
      <w:jc w:val="left"/>
    </w:pPr>
  </w:style>
  <w:style w:type="paragraph" w:styleId="21">
    <w:name w:val="Body Text 3"/>
    <w:basedOn w:val="1"/>
    <w:link w:val="144"/>
    <w:qFormat/>
    <w:uiPriority w:val="0"/>
    <w:pPr>
      <w:spacing w:after="120"/>
    </w:pPr>
    <w:rPr>
      <w:sz w:val="16"/>
      <w:szCs w:val="16"/>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566" w:hanging="283"/>
      <w:contextualSpacing/>
    </w:pPr>
  </w:style>
  <w:style w:type="paragraph" w:styleId="24">
    <w:name w:val="toc 5"/>
    <w:basedOn w:val="1"/>
    <w:next w:val="1"/>
    <w:unhideWhenUsed/>
    <w:qFormat/>
    <w:uiPriority w:val="39"/>
    <w:pPr>
      <w:ind w:left="1680" w:leftChars="800"/>
    </w:pPr>
    <w:rPr>
      <w:rFonts w:ascii="Calibri" w:hAnsi="Calibri"/>
      <w:szCs w:val="22"/>
    </w:rPr>
  </w:style>
  <w:style w:type="paragraph" w:styleId="25">
    <w:name w:val="toc 3"/>
    <w:basedOn w:val="1"/>
    <w:next w:val="1"/>
    <w:qFormat/>
    <w:uiPriority w:val="39"/>
    <w:pPr>
      <w:ind w:left="840" w:leftChars="400"/>
    </w:pPr>
  </w:style>
  <w:style w:type="paragraph" w:styleId="26">
    <w:name w:val="Plain Text"/>
    <w:basedOn w:val="1"/>
    <w:link w:val="147"/>
    <w:qFormat/>
    <w:uiPriority w:val="99"/>
    <w:rPr>
      <w:rFonts w:ascii="宋体" w:hAnsi="Courier New"/>
      <w:szCs w:val="20"/>
    </w:rPr>
  </w:style>
  <w:style w:type="paragraph" w:styleId="27">
    <w:name w:val="toc 8"/>
    <w:basedOn w:val="1"/>
    <w:next w:val="1"/>
    <w:unhideWhenUsed/>
    <w:qFormat/>
    <w:uiPriority w:val="39"/>
    <w:pPr>
      <w:ind w:left="2940" w:leftChars="1400"/>
    </w:pPr>
    <w:rPr>
      <w:rFonts w:ascii="Calibri" w:hAnsi="Calibri"/>
      <w:szCs w:val="22"/>
    </w:rPr>
  </w:style>
  <w:style w:type="paragraph" w:styleId="28">
    <w:name w:val="Body Text Indent 2"/>
    <w:basedOn w:val="1"/>
    <w:link w:val="149"/>
    <w:qFormat/>
    <w:uiPriority w:val="0"/>
    <w:pPr>
      <w:snapToGrid w:val="0"/>
      <w:ind w:firstLine="542" w:firstLineChars="225"/>
    </w:pPr>
    <w:rPr>
      <w:rFonts w:ascii="仿宋_GB2312" w:hAnsi="宋体"/>
      <w:b/>
      <w:bCs/>
      <w:color w:val="000000"/>
      <w:sz w:val="24"/>
    </w:rPr>
  </w:style>
  <w:style w:type="paragraph" w:styleId="29">
    <w:name w:val="Balloon Text"/>
    <w:basedOn w:val="1"/>
    <w:link w:val="150"/>
    <w:qFormat/>
    <w:uiPriority w:val="0"/>
    <w:rPr>
      <w:sz w:val="18"/>
      <w:szCs w:val="18"/>
    </w:rPr>
  </w:style>
  <w:style w:type="paragraph" w:styleId="30">
    <w:name w:val="footer"/>
    <w:basedOn w:val="1"/>
    <w:link w:val="151"/>
    <w:qFormat/>
    <w:uiPriority w:val="99"/>
    <w:pPr>
      <w:tabs>
        <w:tab w:val="center" w:pos="4153"/>
        <w:tab w:val="right" w:pos="8306"/>
      </w:tabs>
      <w:snapToGrid w:val="0"/>
      <w:jc w:val="left"/>
    </w:pPr>
    <w:rPr>
      <w:sz w:val="18"/>
      <w:szCs w:val="18"/>
    </w:rPr>
  </w:style>
  <w:style w:type="paragraph" w:styleId="31">
    <w:name w:val="header"/>
    <w:basedOn w:val="1"/>
    <w:link w:val="152"/>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leftChars="600"/>
    </w:pPr>
    <w:rPr>
      <w:rFonts w:ascii="Calibri" w:hAnsi="Calibri"/>
      <w:szCs w:val="22"/>
    </w:rPr>
  </w:style>
  <w:style w:type="paragraph" w:styleId="34">
    <w:name w:val="Subtitle"/>
    <w:basedOn w:val="1"/>
    <w:next w:val="1"/>
    <w:link w:val="153"/>
    <w:qFormat/>
    <w:uiPriority w:val="0"/>
    <w:pPr>
      <w:spacing w:before="240" w:after="60" w:line="312" w:lineRule="auto"/>
      <w:jc w:val="center"/>
      <w:outlineLvl w:val="1"/>
    </w:pPr>
    <w:rPr>
      <w:rFonts w:ascii="Cambria" w:hAnsi="Cambria"/>
      <w:b/>
      <w:bCs/>
      <w:kern w:val="28"/>
      <w:sz w:val="32"/>
      <w:szCs w:val="32"/>
    </w:rPr>
  </w:style>
  <w:style w:type="paragraph" w:styleId="35">
    <w:name w:val="List"/>
    <w:basedOn w:val="1"/>
    <w:qFormat/>
    <w:uiPriority w:val="0"/>
    <w:pPr>
      <w:ind w:left="283" w:hanging="283"/>
      <w:contextualSpacing/>
    </w:pPr>
  </w:style>
  <w:style w:type="paragraph" w:styleId="36">
    <w:name w:val="footnote text"/>
    <w:basedOn w:val="1"/>
    <w:link w:val="154"/>
    <w:qFormat/>
    <w:uiPriority w:val="99"/>
    <w:pPr>
      <w:jc w:val="left"/>
    </w:pPr>
    <w:rPr>
      <w:kern w:val="1"/>
      <w:sz w:val="18"/>
      <w:szCs w:val="18"/>
    </w:rPr>
  </w:style>
  <w:style w:type="paragraph" w:styleId="37">
    <w:name w:val="toc 6"/>
    <w:basedOn w:val="1"/>
    <w:next w:val="1"/>
    <w:unhideWhenUsed/>
    <w:qFormat/>
    <w:uiPriority w:val="39"/>
    <w:pPr>
      <w:ind w:left="2100" w:leftChars="1000"/>
    </w:pPr>
    <w:rPr>
      <w:rFonts w:ascii="Calibri" w:hAnsi="Calibri"/>
      <w:szCs w:val="22"/>
    </w:rPr>
  </w:style>
  <w:style w:type="paragraph" w:styleId="38">
    <w:name w:val="Body Text Indent 3"/>
    <w:basedOn w:val="1"/>
    <w:link w:val="155"/>
    <w:qFormat/>
    <w:uiPriority w:val="0"/>
    <w:pPr>
      <w:snapToGrid w:val="0"/>
      <w:ind w:firstLine="480" w:firstLineChars="200"/>
      <w:jc w:val="left"/>
    </w:pPr>
    <w:rPr>
      <w:rFonts w:ascii="仿宋_GB2312" w:hAnsi="宋体" w:eastAsia="仿宋_GB2312"/>
      <w:color w:val="000000"/>
      <w:sz w:val="24"/>
    </w:rPr>
  </w:style>
  <w:style w:type="paragraph" w:styleId="39">
    <w:name w:val="toc 2"/>
    <w:basedOn w:val="1"/>
    <w:next w:val="1"/>
    <w:qFormat/>
    <w:uiPriority w:val="39"/>
    <w:pPr>
      <w:ind w:left="420" w:leftChars="200"/>
    </w:pPr>
  </w:style>
  <w:style w:type="paragraph" w:styleId="40">
    <w:name w:val="toc 9"/>
    <w:basedOn w:val="1"/>
    <w:next w:val="1"/>
    <w:unhideWhenUsed/>
    <w:qFormat/>
    <w:uiPriority w:val="39"/>
    <w:pPr>
      <w:ind w:left="3360" w:leftChars="1600"/>
    </w:pPr>
    <w:rPr>
      <w:rFonts w:ascii="Calibri" w:hAnsi="Calibri"/>
      <w:szCs w:val="22"/>
    </w:rPr>
  </w:style>
  <w:style w:type="paragraph" w:styleId="41">
    <w:name w:val="Body Text 2"/>
    <w:basedOn w:val="1"/>
    <w:link w:val="156"/>
    <w:qFormat/>
    <w:uiPriority w:val="0"/>
    <w:pPr>
      <w:widowControl/>
      <w:snapToGrid w:val="0"/>
      <w:spacing w:before="50" w:afterLines="50" w:line="400" w:lineRule="exact"/>
      <w:jc w:val="left"/>
    </w:pPr>
    <w:rPr>
      <w:rFonts w:ascii="宋体" w:hAnsi="宋体"/>
      <w:color w:val="000000"/>
      <w:sz w:val="24"/>
    </w:rPr>
  </w:style>
  <w:style w:type="paragraph" w:styleId="4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3">
    <w:name w:val="Normal (Web)"/>
    <w:basedOn w:val="1"/>
    <w:link w:val="157"/>
    <w:qFormat/>
    <w:uiPriority w:val="0"/>
    <w:pPr>
      <w:widowControl/>
      <w:spacing w:before="100" w:beforeAutospacing="1" w:after="100" w:afterAutospacing="1"/>
      <w:jc w:val="left"/>
    </w:pPr>
    <w:rPr>
      <w:rFonts w:ascii="宋体" w:hAnsi="宋体"/>
      <w:kern w:val="0"/>
      <w:sz w:val="24"/>
    </w:rPr>
  </w:style>
  <w:style w:type="paragraph" w:styleId="44">
    <w:name w:val="Title"/>
    <w:basedOn w:val="1"/>
    <w:next w:val="1"/>
    <w:link w:val="158"/>
    <w:qFormat/>
    <w:uiPriority w:val="0"/>
    <w:pPr>
      <w:spacing w:before="240" w:after="60"/>
      <w:jc w:val="center"/>
      <w:outlineLvl w:val="0"/>
    </w:pPr>
    <w:rPr>
      <w:rFonts w:ascii="Cambria" w:hAnsi="Cambria"/>
      <w:b/>
      <w:bCs/>
      <w:sz w:val="32"/>
      <w:szCs w:val="32"/>
    </w:rPr>
  </w:style>
  <w:style w:type="paragraph" w:styleId="45">
    <w:name w:val="annotation subject"/>
    <w:basedOn w:val="20"/>
    <w:next w:val="20"/>
    <w:link w:val="159"/>
    <w:qFormat/>
    <w:uiPriority w:val="0"/>
    <w:rPr>
      <w:b/>
      <w:bCs/>
    </w:rPr>
  </w:style>
  <w:style w:type="paragraph" w:styleId="46">
    <w:name w:val="Body Text First Indent 2"/>
    <w:basedOn w:val="9"/>
    <w:link w:val="161"/>
    <w:unhideWhenUsed/>
    <w:qFormat/>
    <w:uiPriority w:val="0"/>
    <w:pPr>
      <w:spacing w:after="120" w:line="360" w:lineRule="auto"/>
      <w:ind w:left="420" w:leftChars="200" w:firstLine="420" w:firstLineChars="200"/>
    </w:pPr>
    <w:rPr>
      <w:sz w:val="24"/>
    </w:rPr>
  </w:style>
  <w:style w:type="table" w:styleId="48">
    <w:name w:val="Table Grid"/>
    <w:basedOn w:val="4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9">
    <w:name w:val="Table Grid 8"/>
    <w:basedOn w:val="47"/>
    <w:qFormat/>
    <w:uiPriority w:val="0"/>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character" w:styleId="51">
    <w:name w:val="Strong"/>
    <w:qFormat/>
    <w:uiPriority w:val="22"/>
    <w:rPr>
      <w:b/>
      <w:bCs/>
    </w:rPr>
  </w:style>
  <w:style w:type="character" w:styleId="52">
    <w:name w:val="page number"/>
    <w:basedOn w:val="50"/>
    <w:qFormat/>
    <w:uiPriority w:val="0"/>
  </w:style>
  <w:style w:type="character" w:styleId="53">
    <w:name w:val="FollowedHyperlink"/>
    <w:qFormat/>
    <w:uiPriority w:val="99"/>
    <w:rPr>
      <w:color w:val="800080"/>
      <w:u w:val="single"/>
    </w:rPr>
  </w:style>
  <w:style w:type="character" w:styleId="54">
    <w:name w:val="Hyperlink"/>
    <w:qFormat/>
    <w:uiPriority w:val="99"/>
    <w:rPr>
      <w:color w:val="0000FF"/>
      <w:u w:val="single"/>
    </w:rPr>
  </w:style>
  <w:style w:type="character" w:styleId="55">
    <w:name w:val="annotation reference"/>
    <w:basedOn w:val="50"/>
    <w:qFormat/>
    <w:uiPriority w:val="0"/>
    <w:rPr>
      <w:sz w:val="21"/>
      <w:szCs w:val="21"/>
    </w:rPr>
  </w:style>
  <w:style w:type="character" w:styleId="56">
    <w:name w:val="footnote reference"/>
    <w:qFormat/>
    <w:uiPriority w:val="0"/>
    <w:rPr>
      <w:position w:val="-2"/>
      <w:vertAlign w:val="superscript"/>
    </w:rPr>
  </w:style>
  <w:style w:type="paragraph" w:customStyle="1" w:styleId="57">
    <w:name w:val="正"/>
    <w:qFormat/>
    <w:uiPriority w:val="0"/>
    <w:pPr>
      <w:widowControl w:val="0"/>
      <w:spacing w:line="360" w:lineRule="auto"/>
      <w:ind w:firstLine="480" w:firstLineChars="200"/>
      <w:contextualSpacing/>
      <w:jc w:val="both"/>
    </w:pPr>
    <w:rPr>
      <w:rFonts w:ascii="Times New Roman" w:hAnsi="Times New Roman" w:eastAsia="宋体" w:cs="Times New Roman"/>
      <w:sz w:val="24"/>
      <w:szCs w:val="24"/>
      <w:lang w:val="en-US" w:eastAsia="zh-CN" w:bidi="ar-SA"/>
    </w:rPr>
  </w:style>
  <w:style w:type="paragraph" w:customStyle="1" w:styleId="58">
    <w:name w:val="_Style 3"/>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59">
    <w:name w:val="标准正文"/>
    <w:basedOn w:val="1"/>
    <w:qFormat/>
    <w:uiPriority w:val="0"/>
    <w:pPr>
      <w:spacing w:line="360" w:lineRule="auto"/>
      <w:ind w:firstLine="200" w:firstLineChars="200"/>
    </w:pPr>
    <w:rPr>
      <w:sz w:val="24"/>
      <w:szCs w:val="20"/>
    </w:rPr>
  </w:style>
  <w:style w:type="paragraph" w:customStyle="1" w:styleId="60">
    <w:name w:val="纯文本2"/>
    <w:basedOn w:val="1"/>
    <w:link w:val="182"/>
    <w:qFormat/>
    <w:uiPriority w:val="0"/>
    <w:pPr>
      <w:spacing w:afterLines="50"/>
    </w:pPr>
    <w:rPr>
      <w:rFonts w:ascii="宋体" w:hAnsi="Courier New"/>
      <w:kern w:val="0"/>
      <w:sz w:val="24"/>
    </w:rPr>
  </w:style>
  <w:style w:type="paragraph" w:customStyle="1" w:styleId="61">
    <w:name w:val="*正文"/>
    <w:basedOn w:val="1"/>
    <w:link w:val="185"/>
    <w:qFormat/>
    <w:uiPriority w:val="99"/>
    <w:pPr>
      <w:spacing w:line="360" w:lineRule="auto"/>
      <w:ind w:firstLine="482"/>
    </w:pPr>
    <w:rPr>
      <w:rFonts w:ascii="宋体" w:hAnsi="宋体"/>
      <w:kern w:val="0"/>
      <w:sz w:val="24"/>
      <w:szCs w:val="20"/>
    </w:rPr>
  </w:style>
  <w:style w:type="paragraph" w:customStyle="1" w:styleId="62">
    <w:name w:val="列出段落1"/>
    <w:basedOn w:val="1"/>
    <w:link w:val="194"/>
    <w:qFormat/>
    <w:uiPriority w:val="34"/>
    <w:pPr>
      <w:ind w:firstLine="420" w:firstLineChars="200"/>
    </w:pPr>
    <w:rPr>
      <w:szCs w:val="22"/>
    </w:rPr>
  </w:style>
  <w:style w:type="paragraph" w:customStyle="1" w:styleId="63">
    <w:name w:val="GW-正文"/>
    <w:link w:val="199"/>
    <w:qFormat/>
    <w:uiPriority w:val="0"/>
    <w:pPr>
      <w:spacing w:line="300" w:lineRule="auto"/>
      <w:ind w:firstLine="200" w:firstLineChars="200"/>
    </w:pPr>
    <w:rPr>
      <w:rFonts w:ascii="Times New Roman" w:hAnsi="Times New Roman" w:eastAsia="仿宋_GB2312" w:cs="Times New Roman"/>
      <w:sz w:val="24"/>
      <w:szCs w:val="24"/>
      <w:lang w:val="en-US" w:eastAsia="zh-CN" w:bidi="ar-SA"/>
    </w:rPr>
  </w:style>
  <w:style w:type="paragraph" w:customStyle="1" w:styleId="64">
    <w:name w:val="TOC 标题1"/>
    <w:basedOn w:val="5"/>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65">
    <w:name w:val="表头文本"/>
    <w:qFormat/>
    <w:uiPriority w:val="0"/>
    <w:pPr>
      <w:jc w:val="center"/>
    </w:pPr>
    <w:rPr>
      <w:rFonts w:ascii="Arial" w:hAnsi="Arial" w:eastAsia="宋体" w:cs="Times New Roman"/>
      <w:b/>
      <w:sz w:val="21"/>
      <w:szCs w:val="21"/>
      <w:lang w:val="en-US" w:eastAsia="zh-CN" w:bidi="ar-SA"/>
    </w:rPr>
  </w:style>
  <w:style w:type="paragraph" w:customStyle="1" w:styleId="66">
    <w:name w:val="节"/>
    <w:basedOn w:val="6"/>
    <w:qFormat/>
    <w:uiPriority w:val="99"/>
    <w:pPr>
      <w:tabs>
        <w:tab w:val="left" w:pos="432"/>
        <w:tab w:val="left" w:pos="576"/>
      </w:tabs>
      <w:adjustRightInd/>
      <w:snapToGrid/>
      <w:spacing w:beforeLines="100" w:afterLines="100" w:line="240" w:lineRule="auto"/>
      <w:ind w:left="576" w:hanging="576"/>
      <w:jc w:val="both"/>
      <w:textAlignment w:val="auto"/>
    </w:pPr>
    <w:rPr>
      <w:rFonts w:ascii="黑体" w:hAnsi="Arial" w:eastAsia="黑体"/>
      <w:kern w:val="2"/>
      <w:sz w:val="28"/>
      <w:szCs w:val="28"/>
      <w:lang w:val="zh-CN"/>
    </w:rPr>
  </w:style>
  <w:style w:type="paragraph" w:customStyle="1" w:styleId="67">
    <w:name w:val="正文段"/>
    <w:basedOn w:val="1"/>
    <w:qFormat/>
    <w:uiPriority w:val="0"/>
    <w:pPr>
      <w:widowControl/>
      <w:snapToGrid w:val="0"/>
      <w:spacing w:afterLines="50"/>
      <w:ind w:firstLine="200" w:firstLineChars="200"/>
    </w:pPr>
    <w:rPr>
      <w:kern w:val="0"/>
      <w:sz w:val="24"/>
      <w:szCs w:val="20"/>
    </w:rPr>
  </w:style>
  <w:style w:type="paragraph" w:customStyle="1" w:styleId="68">
    <w:name w:val="--规划正文"/>
    <w:basedOn w:val="1"/>
    <w:qFormat/>
    <w:uiPriority w:val="0"/>
    <w:pPr>
      <w:widowControl/>
      <w:suppressAutoHyphens/>
      <w:spacing w:line="360" w:lineRule="auto"/>
      <w:ind w:firstLine="200"/>
      <w:jc w:val="left"/>
    </w:pPr>
    <w:rPr>
      <w:kern w:val="1"/>
      <w:szCs w:val="20"/>
      <w:lang w:eastAsia="ar-SA"/>
    </w:rPr>
  </w:style>
  <w:style w:type="paragraph" w:customStyle="1" w:styleId="69">
    <w:name w:val="Char Char Char Char Char Char Char"/>
    <w:basedOn w:val="1"/>
    <w:qFormat/>
    <w:uiPriority w:val="0"/>
    <w:rPr>
      <w:szCs w:val="21"/>
    </w:rPr>
  </w:style>
  <w:style w:type="paragraph" w:customStyle="1" w:styleId="70">
    <w:name w:val="_Style 2"/>
    <w:basedOn w:val="1"/>
    <w:qFormat/>
    <w:uiPriority w:val="0"/>
    <w:pPr>
      <w:adjustRightInd w:val="0"/>
      <w:snapToGrid w:val="0"/>
      <w:spacing w:line="360" w:lineRule="auto"/>
      <w:ind w:firstLine="200" w:firstLineChars="200"/>
      <w:jc w:val="center"/>
    </w:pPr>
    <w:rPr>
      <w:rFonts w:ascii="Calibri" w:hAnsi="Calibri" w:eastAsia="微软雅黑"/>
      <w:sz w:val="30"/>
    </w:rPr>
  </w:style>
  <w:style w:type="paragraph" w:customStyle="1" w:styleId="71">
    <w:name w:val="【正文】"/>
    <w:basedOn w:val="1"/>
    <w:qFormat/>
    <w:uiPriority w:val="0"/>
    <w:pPr>
      <w:spacing w:beforeAutospacing="1" w:afterAutospacing="1" w:line="360" w:lineRule="auto"/>
      <w:ind w:firstLine="200" w:firstLineChars="200"/>
      <w:contextualSpacing/>
    </w:pPr>
    <w:rPr>
      <w:rFonts w:ascii="Calibri" w:hAnsi="Calibri" w:cs="黑体"/>
      <w:sz w:val="24"/>
      <w:szCs w:val="22"/>
    </w:rPr>
  </w:style>
  <w:style w:type="paragraph" w:customStyle="1" w:styleId="72">
    <w:name w:val="样式 正文1 + 段前: 0.1 行"/>
    <w:basedOn w:val="1"/>
    <w:qFormat/>
    <w:uiPriority w:val="0"/>
    <w:pPr>
      <w:snapToGrid w:val="0"/>
      <w:spacing w:beforeLines="10" w:line="440" w:lineRule="atLeast"/>
      <w:ind w:firstLine="510"/>
    </w:pPr>
    <w:rPr>
      <w:sz w:val="24"/>
    </w:rPr>
  </w:style>
  <w:style w:type="paragraph" w:customStyle="1" w:styleId="73">
    <w:name w:val="图样式"/>
    <w:basedOn w:val="1"/>
    <w:qFormat/>
    <w:uiPriority w:val="0"/>
    <w:pPr>
      <w:keepNext/>
      <w:widowControl/>
      <w:autoSpaceDE w:val="0"/>
      <w:autoSpaceDN w:val="0"/>
      <w:adjustRightInd w:val="0"/>
      <w:spacing w:before="80" w:after="80" w:line="360" w:lineRule="auto"/>
      <w:jc w:val="center"/>
    </w:pPr>
    <w:rPr>
      <w:snapToGrid w:val="0"/>
      <w:kern w:val="0"/>
      <w:sz w:val="24"/>
      <w:szCs w:val="21"/>
    </w:rPr>
  </w:style>
  <w:style w:type="paragraph" w:customStyle="1" w:styleId="74">
    <w:name w:val="正文2"/>
    <w:basedOn w:val="1"/>
    <w:link w:val="215"/>
    <w:qFormat/>
    <w:uiPriority w:val="0"/>
    <w:pPr>
      <w:spacing w:before="156" w:line="360" w:lineRule="auto"/>
      <w:ind w:firstLine="510" w:firstLineChars="200"/>
    </w:pPr>
    <w:rPr>
      <w:sz w:val="24"/>
      <w:szCs w:val="20"/>
    </w:rPr>
  </w:style>
  <w:style w:type="paragraph" w:customStyle="1" w:styleId="75">
    <w:name w:val="列出段落111"/>
    <w:basedOn w:val="1"/>
    <w:link w:val="211"/>
    <w:qFormat/>
    <w:uiPriority w:val="0"/>
    <w:pPr>
      <w:ind w:firstLine="420" w:firstLineChars="200"/>
    </w:pPr>
    <w:rPr>
      <w:szCs w:val="21"/>
    </w:rPr>
  </w:style>
  <w:style w:type="paragraph" w:customStyle="1" w:styleId="76">
    <w:name w:val="表格文本"/>
    <w:qFormat/>
    <w:uiPriority w:val="0"/>
    <w:pPr>
      <w:tabs>
        <w:tab w:val="decimal" w:pos="0"/>
      </w:tabs>
    </w:pPr>
    <w:rPr>
      <w:rFonts w:ascii="Arial" w:hAnsi="Arial" w:eastAsia="宋体" w:cs="Times New Roman"/>
      <w:sz w:val="21"/>
      <w:szCs w:val="21"/>
      <w:lang w:val="en-US" w:eastAsia="zh-CN" w:bidi="ar-SA"/>
    </w:rPr>
  </w:style>
  <w:style w:type="paragraph" w:customStyle="1" w:styleId="77">
    <w:name w:val="正文1"/>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78">
    <w:name w:val="Char Char Char Char Char Char Char Char Char Char Char Char Char"/>
    <w:basedOn w:val="1"/>
    <w:qFormat/>
    <w:uiPriority w:val="0"/>
    <w:pPr>
      <w:tabs>
        <w:tab w:val="left" w:pos="432"/>
      </w:tabs>
      <w:ind w:left="432" w:hanging="432"/>
    </w:pPr>
    <w:rPr>
      <w:rFonts w:ascii="Tahoma" w:hAnsi="Tahoma"/>
      <w:sz w:val="24"/>
      <w:szCs w:val="20"/>
    </w:rPr>
  </w:style>
  <w:style w:type="paragraph" w:customStyle="1" w:styleId="79">
    <w:name w:val="6级标题"/>
    <w:basedOn w:val="1"/>
    <w:qFormat/>
    <w:uiPriority w:val="0"/>
    <w:pPr>
      <w:keepNext/>
      <w:spacing w:line="360" w:lineRule="auto"/>
      <w:ind w:left="1151" w:hanging="431"/>
      <w:jc w:val="center"/>
      <w:outlineLvl w:val="5"/>
    </w:pPr>
    <w:rPr>
      <w:rFonts w:ascii="黑体" w:hAnsi="宋体" w:eastAsia="微软雅黑"/>
      <w:b/>
      <w:bCs/>
      <w:sz w:val="24"/>
      <w:szCs w:val="52"/>
    </w:rPr>
  </w:style>
  <w:style w:type="paragraph" w:customStyle="1" w:styleId="80">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81">
    <w:name w:val="_Style 58"/>
    <w:basedOn w:val="1"/>
    <w:next w:val="62"/>
    <w:qFormat/>
    <w:uiPriority w:val="0"/>
    <w:pPr>
      <w:ind w:firstLine="420" w:firstLineChars="200"/>
    </w:pPr>
    <w:rPr>
      <w:rFonts w:ascii="Calibri" w:hAnsi="Calibri"/>
      <w:szCs w:val="22"/>
    </w:rPr>
  </w:style>
  <w:style w:type="paragraph" w:customStyle="1" w:styleId="82">
    <w:name w:val="Body text|1"/>
    <w:basedOn w:val="1"/>
    <w:qFormat/>
    <w:uiPriority w:val="0"/>
    <w:pPr>
      <w:autoSpaceDE w:val="0"/>
      <w:autoSpaceDN w:val="0"/>
      <w:adjustRightInd w:val="0"/>
      <w:spacing w:after="200" w:line="314" w:lineRule="auto"/>
      <w:jc w:val="left"/>
    </w:pPr>
    <w:rPr>
      <w:rFonts w:ascii="MingLiU" w:hAnsi="MingLiU" w:eastAsia="MingLiU" w:cs="MingLiU"/>
      <w:snapToGrid w:val="0"/>
      <w:color w:val="000963"/>
      <w:kern w:val="0"/>
      <w:sz w:val="19"/>
      <w:szCs w:val="19"/>
      <w:lang w:val="zh-TW" w:eastAsia="zh-TW" w:bidi="zh-TW"/>
    </w:rPr>
  </w:style>
  <w:style w:type="paragraph" w:customStyle="1" w:styleId="83">
    <w:name w:val="纯文本1"/>
    <w:basedOn w:val="1"/>
    <w:qFormat/>
    <w:uiPriority w:val="0"/>
    <w:pPr>
      <w:adjustRightInd w:val="0"/>
      <w:textAlignment w:val="baseline"/>
    </w:pPr>
    <w:rPr>
      <w:rFonts w:ascii="宋体" w:hAnsi="Courier New" w:eastAsia="楷体_GB2312"/>
      <w:sz w:val="26"/>
      <w:szCs w:val="20"/>
    </w:rPr>
  </w:style>
  <w:style w:type="paragraph" w:customStyle="1" w:styleId="84">
    <w:name w:val="编写建议"/>
    <w:basedOn w:val="1"/>
    <w:qFormat/>
    <w:uiPriority w:val="0"/>
    <w:pPr>
      <w:autoSpaceDE w:val="0"/>
      <w:autoSpaceDN w:val="0"/>
      <w:adjustRightInd w:val="0"/>
      <w:spacing w:line="360" w:lineRule="auto"/>
      <w:ind w:firstLine="420"/>
      <w:jc w:val="left"/>
    </w:pPr>
    <w:rPr>
      <w:rFonts w:ascii="Arial" w:hAnsi="Arial" w:cs="Arial"/>
      <w:i/>
      <w:snapToGrid w:val="0"/>
      <w:color w:val="0000FF"/>
      <w:kern w:val="0"/>
      <w:sz w:val="24"/>
      <w:szCs w:val="21"/>
    </w:rPr>
  </w:style>
  <w:style w:type="paragraph" w:customStyle="1" w:styleId="85">
    <w:name w:val="CM11"/>
    <w:basedOn w:val="86"/>
    <w:next w:val="86"/>
    <w:unhideWhenUsed/>
    <w:qFormat/>
    <w:uiPriority w:val="99"/>
    <w:pPr>
      <w:spacing w:line="520" w:lineRule="atLeast"/>
    </w:pPr>
  </w:style>
  <w:style w:type="paragraph" w:customStyle="1" w:styleId="86">
    <w:name w:val="Default"/>
    <w:unhideWhenUsed/>
    <w:qFormat/>
    <w:uiPriority w:val="0"/>
    <w:pPr>
      <w:widowControl w:val="0"/>
      <w:autoSpaceDE w:val="0"/>
      <w:autoSpaceDN w:val="0"/>
      <w:adjustRightInd w:val="0"/>
    </w:pPr>
    <w:rPr>
      <w:rFonts w:hint="eastAsia" w:ascii="仿宋" w:hAnsi="Times New Roman" w:eastAsia="仿宋" w:cs="Times New Roman"/>
      <w:color w:val="000000"/>
      <w:sz w:val="24"/>
      <w:lang w:val="en-US" w:eastAsia="zh-CN" w:bidi="ar-SA"/>
    </w:rPr>
  </w:style>
  <w:style w:type="paragraph" w:customStyle="1" w:styleId="87">
    <w:name w:val="正文11"/>
    <w:basedOn w:val="1"/>
    <w:next w:val="1"/>
    <w:qFormat/>
    <w:uiPriority w:val="0"/>
    <w:pPr>
      <w:spacing w:before="120" w:line="360" w:lineRule="auto"/>
      <w:ind w:left="420" w:firstLine="527"/>
    </w:pPr>
    <w:rPr>
      <w:rFonts w:ascii="宋体" w:hAnsi="宋体"/>
    </w:rPr>
  </w:style>
  <w:style w:type="paragraph" w:customStyle="1" w:styleId="88">
    <w:name w:val="_Style 54"/>
    <w:basedOn w:val="1"/>
    <w:qFormat/>
    <w:uiPriority w:val="0"/>
    <w:pPr>
      <w:adjustRightInd w:val="0"/>
      <w:snapToGrid w:val="0"/>
      <w:spacing w:line="360" w:lineRule="auto"/>
      <w:ind w:firstLine="420" w:firstLineChars="200"/>
    </w:pPr>
    <w:rPr>
      <w:rFonts w:ascii="Calibri" w:hAnsi="Calibri"/>
      <w:sz w:val="24"/>
    </w:rPr>
  </w:style>
  <w:style w:type="paragraph" w:customStyle="1" w:styleId="89">
    <w:name w:val="注示头"/>
    <w:basedOn w:val="1"/>
    <w:qFormat/>
    <w:uiPriority w:val="0"/>
    <w:pPr>
      <w:pBdr>
        <w:top w:val="single" w:color="000000" w:sz="4" w:space="1"/>
      </w:pBdr>
      <w:autoSpaceDE w:val="0"/>
      <w:autoSpaceDN w:val="0"/>
      <w:adjustRightInd w:val="0"/>
      <w:spacing w:line="360" w:lineRule="auto"/>
    </w:pPr>
    <w:rPr>
      <w:rFonts w:ascii="Arial" w:hAnsi="Arial" w:eastAsia="黑体"/>
      <w:snapToGrid w:val="0"/>
      <w:kern w:val="0"/>
      <w:sz w:val="18"/>
      <w:szCs w:val="21"/>
    </w:rPr>
  </w:style>
  <w:style w:type="paragraph" w:customStyle="1" w:styleId="90">
    <w:name w:val="5级标题"/>
    <w:basedOn w:val="1"/>
    <w:qFormat/>
    <w:uiPriority w:val="0"/>
    <w:pPr>
      <w:keepNext/>
      <w:ind w:left="148" w:leftChars="-52" w:right="-7" w:rightChars="-7" w:hanging="200" w:hangingChars="200"/>
      <w:jc w:val="left"/>
      <w:outlineLvl w:val="4"/>
    </w:pPr>
    <w:rPr>
      <w:rFonts w:ascii="宋体" w:hAnsi="宋体"/>
      <w:bCs/>
      <w:sz w:val="24"/>
      <w:szCs w:val="30"/>
    </w:rPr>
  </w:style>
  <w:style w:type="paragraph" w:customStyle="1" w:styleId="91">
    <w:name w:val="表内文字"/>
    <w:basedOn w:val="1"/>
    <w:qFormat/>
    <w:uiPriority w:val="0"/>
    <w:pPr>
      <w:jc w:val="center"/>
    </w:pPr>
    <w:rPr>
      <w:rFonts w:ascii="仿宋_GB2312" w:eastAsia="仿宋_GB2312"/>
      <w:sz w:val="24"/>
    </w:rPr>
  </w:style>
  <w:style w:type="paragraph" w:customStyle="1" w:styleId="92">
    <w:name w:val="Char Char9 Char Char"/>
    <w:basedOn w:val="1"/>
    <w:qFormat/>
    <w:uiPriority w:val="0"/>
    <w:pPr>
      <w:tabs>
        <w:tab w:val="left" w:pos="360"/>
      </w:tabs>
    </w:pPr>
  </w:style>
  <w:style w:type="paragraph" w:customStyle="1" w:styleId="93">
    <w:name w:val="纯文本11"/>
    <w:basedOn w:val="1"/>
    <w:qFormat/>
    <w:uiPriority w:val="0"/>
    <w:pPr>
      <w:adjustRightInd w:val="0"/>
      <w:textAlignment w:val="baseline"/>
    </w:pPr>
    <w:rPr>
      <w:rFonts w:ascii="宋体" w:hAnsi="Courier New" w:eastAsia="楷体_GB2312"/>
      <w:sz w:val="26"/>
      <w:szCs w:val="20"/>
    </w:rPr>
  </w:style>
  <w:style w:type="paragraph" w:customStyle="1" w:styleId="94">
    <w:name w:val="正文（首行不缩进）"/>
    <w:basedOn w:val="1"/>
    <w:qFormat/>
    <w:uiPriority w:val="0"/>
    <w:pPr>
      <w:autoSpaceDE w:val="0"/>
      <w:autoSpaceDN w:val="0"/>
      <w:adjustRightInd w:val="0"/>
      <w:spacing w:line="360" w:lineRule="auto"/>
      <w:jc w:val="left"/>
    </w:pPr>
    <w:rPr>
      <w:snapToGrid w:val="0"/>
      <w:kern w:val="0"/>
      <w:sz w:val="24"/>
      <w:szCs w:val="21"/>
    </w:rPr>
  </w:style>
  <w:style w:type="paragraph" w:customStyle="1" w:styleId="95">
    <w:name w:val="封面标题"/>
    <w:qFormat/>
    <w:uiPriority w:val="0"/>
    <w:pPr>
      <w:spacing w:beforeLines="500" w:afterLines="300"/>
      <w:jc w:val="center"/>
    </w:pPr>
    <w:rPr>
      <w:rFonts w:ascii="Times New Roman" w:hAnsi="Times New Roman" w:eastAsia="黑体" w:cs="Times New Roman"/>
      <w:b/>
      <w:kern w:val="2"/>
      <w:sz w:val="52"/>
      <w:szCs w:val="22"/>
      <w:lang w:val="en-US" w:eastAsia="zh-CN" w:bidi="ar-SA"/>
    </w:rPr>
  </w:style>
  <w:style w:type="paragraph" w:customStyle="1" w:styleId="96">
    <w:name w:val="列出段落11"/>
    <w:basedOn w:val="1"/>
    <w:qFormat/>
    <w:uiPriority w:val="0"/>
    <w:pPr>
      <w:ind w:firstLine="420" w:firstLineChars="200"/>
    </w:pPr>
    <w:rPr>
      <w:rFonts w:ascii="Calibri" w:hAnsi="Calibri"/>
      <w:szCs w:val="20"/>
    </w:rPr>
  </w:style>
  <w:style w:type="paragraph" w:customStyle="1" w:styleId="97">
    <w:name w:val="FBY-表格文字"/>
    <w:basedOn w:val="1"/>
    <w:qFormat/>
    <w:uiPriority w:val="99"/>
    <w:pPr>
      <w:adjustRightInd w:val="0"/>
      <w:jc w:val="left"/>
      <w:textAlignment w:val="top"/>
    </w:pPr>
    <w:rPr>
      <w:szCs w:val="20"/>
    </w:rPr>
  </w:style>
  <w:style w:type="paragraph" w:customStyle="1" w:styleId="98">
    <w:name w:val="默认段落字体 Para Char Char Char Char Char Char Char Char Char1 Char Char Char Char"/>
    <w:basedOn w:val="1"/>
    <w:qFormat/>
    <w:uiPriority w:val="0"/>
    <w:rPr>
      <w:rFonts w:ascii="Tahoma" w:hAnsi="Tahoma"/>
      <w:sz w:val="24"/>
      <w:szCs w:val="20"/>
    </w:rPr>
  </w:style>
  <w:style w:type="paragraph" w:customStyle="1" w:styleId="99">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snapToGrid w:val="0"/>
      <w:kern w:val="0"/>
      <w:sz w:val="36"/>
      <w:szCs w:val="36"/>
    </w:rPr>
  </w:style>
  <w:style w:type="paragraph" w:customStyle="1" w:styleId="100">
    <w:name w:val="1 Char Char Char Char"/>
    <w:basedOn w:val="1"/>
    <w:qFormat/>
    <w:uiPriority w:val="0"/>
    <w:rPr>
      <w:rFonts w:ascii="Tahoma" w:hAnsi="Tahoma"/>
      <w:sz w:val="24"/>
      <w:szCs w:val="20"/>
    </w:rPr>
  </w:style>
  <w:style w:type="paragraph" w:customStyle="1" w:styleId="101">
    <w:name w:val="默认段落字体 Para Char Char Char Char"/>
    <w:basedOn w:val="1"/>
    <w:qFormat/>
    <w:uiPriority w:val="0"/>
    <w:rPr>
      <w:rFonts w:ascii="Arial" w:hAnsi="Arial" w:cs="Arial"/>
      <w:szCs w:val="21"/>
    </w:rPr>
  </w:style>
  <w:style w:type="paragraph" w:customStyle="1" w:styleId="102">
    <w:name w:val="注示文本"/>
    <w:basedOn w:val="1"/>
    <w:qFormat/>
    <w:uiPriority w:val="0"/>
    <w:pPr>
      <w:pBdr>
        <w:bottom w:val="single" w:color="000000" w:sz="4" w:space="1"/>
      </w:pBdr>
      <w:autoSpaceDE w:val="0"/>
      <w:autoSpaceDN w:val="0"/>
      <w:adjustRightInd w:val="0"/>
      <w:spacing w:line="360" w:lineRule="auto"/>
      <w:ind w:firstLine="360"/>
    </w:pPr>
    <w:rPr>
      <w:rFonts w:ascii="Arial" w:hAnsi="Arial" w:eastAsia="楷体_GB2312"/>
      <w:snapToGrid w:val="0"/>
      <w:kern w:val="0"/>
      <w:sz w:val="18"/>
      <w:szCs w:val="18"/>
    </w:rPr>
  </w:style>
  <w:style w:type="paragraph" w:customStyle="1" w:styleId="103">
    <w:name w:val="插图题注"/>
    <w:next w:val="1"/>
    <w:qFormat/>
    <w:uiPriority w:val="0"/>
    <w:pPr>
      <w:spacing w:afterLines="100"/>
      <w:ind w:left="1089" w:hanging="369"/>
      <w:jc w:val="center"/>
    </w:pPr>
    <w:rPr>
      <w:rFonts w:ascii="Arial" w:hAnsi="Arial" w:eastAsia="宋体" w:cs="Times New Roman"/>
      <w:sz w:val="18"/>
      <w:szCs w:val="18"/>
      <w:lang w:val="en-US" w:eastAsia="zh-CN" w:bidi="ar-SA"/>
    </w:rPr>
  </w:style>
  <w:style w:type="paragraph" w:customStyle="1" w:styleId="104">
    <w:name w:val="TOC 标题11"/>
    <w:basedOn w:val="5"/>
    <w:next w:val="1"/>
    <w:unhideWhenUsed/>
    <w:qFormat/>
    <w:uiPriority w:val="39"/>
    <w:pPr>
      <w:widowControl/>
      <w:spacing w:beforeLines="100" w:afterLines="100" w:line="259" w:lineRule="auto"/>
      <w:jc w:val="left"/>
      <w:outlineLvl w:val="9"/>
    </w:pPr>
    <w:rPr>
      <w:rFonts w:ascii="Cambria" w:hAnsi="Cambria"/>
      <w:b w:val="0"/>
      <w:bCs w:val="0"/>
      <w:color w:val="365F91"/>
      <w:kern w:val="0"/>
      <w:sz w:val="32"/>
      <w:szCs w:val="32"/>
    </w:rPr>
  </w:style>
  <w:style w:type="paragraph" w:customStyle="1" w:styleId="105">
    <w:name w:val="表格题注"/>
    <w:next w:val="1"/>
    <w:qFormat/>
    <w:uiPriority w:val="0"/>
    <w:pPr>
      <w:keepLines/>
      <w:spacing w:beforeLines="100"/>
      <w:ind w:left="1089" w:hanging="369"/>
      <w:jc w:val="center"/>
    </w:pPr>
    <w:rPr>
      <w:rFonts w:ascii="Arial" w:hAnsi="Arial" w:eastAsia="宋体" w:cs="Times New Roman"/>
      <w:sz w:val="18"/>
      <w:szCs w:val="18"/>
      <w:lang w:val="en-US" w:eastAsia="zh-CN" w:bidi="ar-SA"/>
    </w:rPr>
  </w:style>
  <w:style w:type="paragraph" w:customStyle="1" w:styleId="106">
    <w:name w:val="122222222"/>
    <w:basedOn w:val="8"/>
    <w:qFormat/>
    <w:uiPriority w:val="0"/>
    <w:pPr>
      <w:autoSpaceDE w:val="0"/>
      <w:autoSpaceDN w:val="0"/>
      <w:adjustRightInd w:val="0"/>
      <w:spacing w:line="360" w:lineRule="auto"/>
      <w:ind w:firstLine="552" w:firstLineChars="197"/>
      <w:textAlignment w:val="baseline"/>
    </w:pPr>
    <w:rPr>
      <w:rFonts w:ascii="Calibri" w:hAnsi="Calibri"/>
      <w:color w:val="000000"/>
    </w:rPr>
  </w:style>
  <w:style w:type="paragraph" w:customStyle="1" w:styleId="107">
    <w:name w:val="无间隔1"/>
    <w:link w:val="206"/>
    <w:qFormat/>
    <w:uiPriority w:val="1"/>
    <w:pPr>
      <w:widowControl w:val="0"/>
    </w:pPr>
    <w:rPr>
      <w:rFonts w:ascii="Times New Roman" w:hAnsi="Times New Roman" w:eastAsia="宋体" w:cs="Times New Roman"/>
      <w:kern w:val="2"/>
      <w:sz w:val="21"/>
      <w:szCs w:val="22"/>
      <w:lang w:val="en-US" w:eastAsia="zh-CN" w:bidi="ar-SA"/>
    </w:rPr>
  </w:style>
  <w:style w:type="paragraph" w:customStyle="1" w:styleId="108">
    <w:name w:val="表格文字"/>
    <w:basedOn w:val="1"/>
    <w:link w:val="207"/>
    <w:qFormat/>
    <w:uiPriority w:val="0"/>
    <w:pPr>
      <w:jc w:val="left"/>
      <w:textAlignment w:val="top"/>
    </w:pPr>
    <w:rPr>
      <w:sz w:val="18"/>
    </w:rPr>
  </w:style>
  <w:style w:type="paragraph" w:customStyle="1" w:styleId="109">
    <w:name w:val="金保标题2"/>
    <w:basedOn w:val="6"/>
    <w:next w:val="1"/>
    <w:link w:val="209"/>
    <w:qFormat/>
    <w:uiPriority w:val="0"/>
    <w:pPr>
      <w:tabs>
        <w:tab w:val="left" w:pos="709"/>
      </w:tabs>
      <w:adjustRightInd/>
      <w:snapToGrid/>
      <w:spacing w:before="240" w:after="0"/>
      <w:jc w:val="both"/>
      <w:textAlignment w:val="auto"/>
    </w:pPr>
    <w:rPr>
      <w:rFonts w:ascii="宋体" w:hAnsi="宋体" w:eastAsia="宋体"/>
      <w:sz w:val="24"/>
      <w:szCs w:val="24"/>
    </w:rPr>
  </w:style>
  <w:style w:type="paragraph" w:customStyle="1" w:styleId="110">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11">
    <w:name w:val="方案正文-样式 小四 行距: 1.5 倍行距"/>
    <w:basedOn w:val="1"/>
    <w:link w:val="212"/>
    <w:qFormat/>
    <w:uiPriority w:val="0"/>
    <w:pPr>
      <w:spacing w:line="360" w:lineRule="auto"/>
      <w:ind w:firstLine="480" w:firstLineChars="200"/>
    </w:pPr>
    <w:rPr>
      <w:sz w:val="24"/>
      <w:szCs w:val="20"/>
    </w:rPr>
  </w:style>
  <w:style w:type="paragraph" w:customStyle="1" w:styleId="112">
    <w:name w:val="正文JK"/>
    <w:basedOn w:val="1"/>
    <w:link w:val="213"/>
    <w:qFormat/>
    <w:uiPriority w:val="0"/>
    <w:pPr>
      <w:spacing w:line="360" w:lineRule="auto"/>
      <w:ind w:firstLine="200" w:firstLineChars="200"/>
    </w:pPr>
    <w:rPr>
      <w:rFonts w:ascii="Calibri" w:hAnsi="Calibri"/>
      <w:szCs w:val="21"/>
    </w:rPr>
  </w:style>
  <w:style w:type="paragraph" w:customStyle="1" w:styleId="113">
    <w:name w:val="投标书正文无序编号"/>
    <w:basedOn w:val="114"/>
    <w:link w:val="214"/>
    <w:qFormat/>
    <w:uiPriority w:val="0"/>
    <w:pPr>
      <w:tabs>
        <w:tab w:val="left" w:pos="780"/>
        <w:tab w:val="left" w:pos="902"/>
      </w:tabs>
      <w:adjustRightInd w:val="0"/>
      <w:ind w:left="1282" w:firstLine="0" w:firstLineChars="0"/>
    </w:pPr>
    <w:rPr>
      <w:rFonts w:eastAsia="宋体"/>
    </w:rPr>
  </w:style>
  <w:style w:type="paragraph" w:customStyle="1" w:styleId="114">
    <w:name w:val="投标书正文"/>
    <w:link w:val="216"/>
    <w:qFormat/>
    <w:uiPriority w:val="0"/>
    <w:pPr>
      <w:autoSpaceDE w:val="0"/>
      <w:spacing w:line="360" w:lineRule="auto"/>
      <w:ind w:firstLine="200" w:firstLineChars="200"/>
    </w:pPr>
    <w:rPr>
      <w:rFonts w:ascii="Times New Roman" w:hAnsi="Times New Roman" w:eastAsia="Times New Roman" w:cs="Times New Roman"/>
      <w:kern w:val="2"/>
      <w:sz w:val="24"/>
      <w:szCs w:val="24"/>
      <w:lang w:val="en-US" w:eastAsia="zh-CN" w:bidi="ar-SA"/>
    </w:rPr>
  </w:style>
  <w:style w:type="paragraph" w:customStyle="1" w:styleId="115">
    <w:name w:val="_Style 19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6">
    <w:name w:val="p16"/>
    <w:basedOn w:val="1"/>
    <w:qFormat/>
    <w:uiPriority w:val="0"/>
    <w:pPr>
      <w:widowControl/>
    </w:pPr>
    <w:rPr>
      <w:rFonts w:ascii="Calibri" w:hAnsi="Calibri"/>
      <w:kern w:val="0"/>
      <w:szCs w:val="21"/>
    </w:rPr>
  </w:style>
  <w:style w:type="paragraph" w:customStyle="1" w:styleId="117">
    <w:name w:val="z-窗体顶端1"/>
    <w:basedOn w:val="1"/>
    <w:next w:val="1"/>
    <w:link w:val="217"/>
    <w:qFormat/>
    <w:uiPriority w:val="0"/>
    <w:pPr>
      <w:pBdr>
        <w:bottom w:val="single" w:color="auto" w:sz="6" w:space="1"/>
      </w:pBdr>
      <w:jc w:val="center"/>
    </w:pPr>
    <w:rPr>
      <w:rFonts w:ascii="Arial" w:hAnsi="Calibri"/>
      <w:vanish/>
      <w:sz w:val="16"/>
    </w:rPr>
  </w:style>
  <w:style w:type="paragraph" w:customStyle="1" w:styleId="118">
    <w:name w:val="Char"/>
    <w:basedOn w:val="1"/>
    <w:qFormat/>
    <w:uiPriority w:val="0"/>
    <w:pPr>
      <w:tabs>
        <w:tab w:val="left" w:pos="360"/>
      </w:tabs>
    </w:pPr>
    <w:rPr>
      <w:rFonts w:ascii="Calibri" w:hAnsi="Calibri"/>
      <w:sz w:val="24"/>
    </w:rPr>
  </w:style>
  <w:style w:type="paragraph" w:customStyle="1" w:styleId="119">
    <w:name w:val="样式 标题 3 + 小三"/>
    <w:basedOn w:val="7"/>
    <w:next w:val="1"/>
    <w:qFormat/>
    <w:uiPriority w:val="0"/>
    <w:pPr>
      <w:tabs>
        <w:tab w:val="left" w:pos="540"/>
      </w:tabs>
      <w:ind w:firstLine="0" w:firstLineChars="0"/>
    </w:pPr>
    <w:rPr>
      <w:rFonts w:ascii="宋体" w:hAnsi="宋体" w:eastAsia="宋体"/>
      <w:sz w:val="28"/>
      <w:szCs w:val="28"/>
    </w:rPr>
  </w:style>
  <w:style w:type="paragraph" w:customStyle="1" w:styleId="120">
    <w:name w:val="TOC 标题2"/>
    <w:basedOn w:val="5"/>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21">
    <w:name w:val="Char Char Char Char Char Char Char Char Char Char Char Char Char Char Char1 Char"/>
    <w:basedOn w:val="1"/>
    <w:qFormat/>
    <w:uiPriority w:val="0"/>
    <w:rPr>
      <w:rFonts w:ascii="Calibri" w:hAnsi="Calibri"/>
      <w:sz w:val="28"/>
      <w:szCs w:val="20"/>
    </w:rPr>
  </w:style>
  <w:style w:type="paragraph" w:customStyle="1" w:styleId="122">
    <w:name w:val="p17"/>
    <w:basedOn w:val="1"/>
    <w:qFormat/>
    <w:uiPriority w:val="0"/>
    <w:pPr>
      <w:widowControl/>
    </w:pPr>
    <w:rPr>
      <w:rFonts w:ascii="Calibri" w:hAnsi="Calibri"/>
      <w:kern w:val="0"/>
      <w:szCs w:val="21"/>
    </w:rPr>
  </w:style>
  <w:style w:type="paragraph" w:customStyle="1" w:styleId="123">
    <w:name w:val="无间隔111"/>
    <w:qFormat/>
    <w:uiPriority w:val="0"/>
    <w:rPr>
      <w:rFonts w:ascii="Calibri" w:hAnsi="Calibri" w:eastAsia="??" w:cs="宋体"/>
      <w:sz w:val="22"/>
      <w:szCs w:val="22"/>
      <w:lang w:val="en-US" w:eastAsia="en-US" w:bidi="ar-SA"/>
    </w:rPr>
  </w:style>
  <w:style w:type="paragraph" w:customStyle="1" w:styleId="124">
    <w:name w:val="z-窗体底端1"/>
    <w:basedOn w:val="1"/>
    <w:next w:val="1"/>
    <w:link w:val="218"/>
    <w:qFormat/>
    <w:uiPriority w:val="0"/>
    <w:pPr>
      <w:pBdr>
        <w:top w:val="single" w:color="auto" w:sz="6" w:space="1"/>
      </w:pBdr>
      <w:jc w:val="center"/>
    </w:pPr>
    <w:rPr>
      <w:rFonts w:ascii="Arial" w:hAnsi="Calibri"/>
      <w:vanish/>
      <w:sz w:val="16"/>
    </w:rPr>
  </w:style>
  <w:style w:type="paragraph" w:customStyle="1" w:styleId="125">
    <w:name w:val="无间隔11"/>
    <w:qFormat/>
    <w:uiPriority w:val="0"/>
    <w:rPr>
      <w:rFonts w:ascii="Calibri" w:hAnsi="Calibri" w:eastAsia="宋体" w:cs="Times New Roman"/>
      <w:sz w:val="22"/>
      <w:szCs w:val="22"/>
      <w:lang w:val="en-US" w:eastAsia="en-US" w:bidi="ar-SA"/>
    </w:rPr>
  </w:style>
  <w:style w:type="paragraph" w:customStyle="1" w:styleId="126">
    <w:name w:val="TableTitle"/>
    <w:basedOn w:val="3"/>
    <w:qFormat/>
    <w:uiPriority w:val="0"/>
    <w:pPr>
      <w:keepNext/>
      <w:widowControl/>
      <w:tabs>
        <w:tab w:val="left" w:pos="2558"/>
      </w:tabs>
      <w:spacing w:before="120"/>
      <w:jc w:val="center"/>
    </w:pPr>
    <w:rPr>
      <w:rFonts w:ascii="Calibri" w:hAnsi="Calibri"/>
      <w:b/>
      <w:kern w:val="0"/>
      <w:sz w:val="24"/>
      <w:szCs w:val="20"/>
    </w:rPr>
  </w:style>
  <w:style w:type="paragraph" w:customStyle="1" w:styleId="127">
    <w:name w:val="ParaAttribute6"/>
    <w:qFormat/>
    <w:uiPriority w:val="0"/>
    <w:pPr>
      <w:wordWrap w:val="0"/>
      <w:ind w:firstLine="941"/>
    </w:pPr>
    <w:rPr>
      <w:rFonts w:ascii="Calibri" w:hAnsi="Calibri" w:eastAsia="Batang" w:cs="Times New Roman"/>
      <w:sz w:val="21"/>
      <w:szCs w:val="22"/>
      <w:lang w:val="en-US" w:eastAsia="zh-CN" w:bidi="ar-SA"/>
    </w:rPr>
  </w:style>
  <w:style w:type="paragraph" w:customStyle="1" w:styleId="128">
    <w:name w:val="条款正文"/>
    <w:basedOn w:val="1"/>
    <w:qFormat/>
    <w:uiPriority w:val="0"/>
    <w:pPr>
      <w:adjustRightInd w:val="0"/>
      <w:snapToGrid w:val="0"/>
      <w:spacing w:line="360" w:lineRule="auto"/>
      <w:jc w:val="left"/>
    </w:pPr>
    <w:rPr>
      <w:sz w:val="28"/>
    </w:rPr>
  </w:style>
  <w:style w:type="paragraph" w:customStyle="1" w:styleId="129">
    <w:name w:val="列出段落2"/>
    <w:basedOn w:val="1"/>
    <w:qFormat/>
    <w:uiPriority w:val="99"/>
    <w:pPr>
      <w:ind w:firstLine="420" w:firstLineChars="200"/>
    </w:pPr>
  </w:style>
  <w:style w:type="paragraph" w:customStyle="1" w:styleId="130">
    <w:name w:val="正文_17"/>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1">
    <w:name w:val="标题 1 Char"/>
    <w:link w:val="5"/>
    <w:qFormat/>
    <w:uiPriority w:val="0"/>
    <w:rPr>
      <w:b/>
      <w:bCs/>
      <w:kern w:val="44"/>
      <w:sz w:val="44"/>
      <w:szCs w:val="44"/>
    </w:rPr>
  </w:style>
  <w:style w:type="character" w:customStyle="1" w:styleId="132">
    <w:name w:val="标题 2 Char"/>
    <w:link w:val="6"/>
    <w:qFormat/>
    <w:uiPriority w:val="9"/>
    <w:rPr>
      <w:rFonts w:ascii="仿宋_GB2312" w:eastAsia="仿宋_GB2312"/>
      <w:b/>
      <w:sz w:val="36"/>
    </w:rPr>
  </w:style>
  <w:style w:type="character" w:customStyle="1" w:styleId="133">
    <w:name w:val="正文缩进 Char"/>
    <w:link w:val="8"/>
    <w:qFormat/>
    <w:uiPriority w:val="0"/>
    <w:rPr>
      <w:kern w:val="2"/>
      <w:sz w:val="21"/>
    </w:rPr>
  </w:style>
  <w:style w:type="character" w:customStyle="1" w:styleId="134">
    <w:name w:val="标题 3 Char"/>
    <w:link w:val="7"/>
    <w:qFormat/>
    <w:uiPriority w:val="0"/>
    <w:rPr>
      <w:rFonts w:ascii="仿宋_GB2312" w:eastAsia="仿宋_GB2312"/>
      <w:b/>
      <w:bCs/>
      <w:kern w:val="2"/>
      <w:sz w:val="30"/>
    </w:rPr>
  </w:style>
  <w:style w:type="character" w:customStyle="1" w:styleId="135">
    <w:name w:val="标题 4 Char"/>
    <w:link w:val="10"/>
    <w:qFormat/>
    <w:uiPriority w:val="0"/>
    <w:rPr>
      <w:rFonts w:ascii="Cambria" w:hAnsi="Cambria" w:eastAsia="宋体" w:cs="Times New Roman"/>
      <w:b/>
      <w:bCs/>
      <w:kern w:val="2"/>
      <w:sz w:val="28"/>
      <w:szCs w:val="28"/>
    </w:rPr>
  </w:style>
  <w:style w:type="character" w:customStyle="1" w:styleId="136">
    <w:name w:val="标题 5 Char"/>
    <w:link w:val="11"/>
    <w:qFormat/>
    <w:uiPriority w:val="0"/>
    <w:rPr>
      <w:rFonts w:eastAsia="宋体"/>
      <w:b/>
      <w:bCs/>
      <w:kern w:val="2"/>
      <w:sz w:val="28"/>
      <w:szCs w:val="28"/>
    </w:rPr>
  </w:style>
  <w:style w:type="character" w:customStyle="1" w:styleId="137">
    <w:name w:val="标题 6 Char"/>
    <w:link w:val="12"/>
    <w:qFormat/>
    <w:uiPriority w:val="0"/>
    <w:rPr>
      <w:rFonts w:ascii="Cambria" w:hAnsi="Cambria" w:eastAsia="宋体" w:cs="Times New Roman"/>
      <w:b/>
      <w:bCs/>
      <w:kern w:val="2"/>
      <w:sz w:val="24"/>
      <w:szCs w:val="24"/>
    </w:rPr>
  </w:style>
  <w:style w:type="character" w:customStyle="1" w:styleId="138">
    <w:name w:val="标题 7 Char"/>
    <w:link w:val="13"/>
    <w:qFormat/>
    <w:uiPriority w:val="0"/>
    <w:rPr>
      <w:rFonts w:eastAsia="宋体"/>
      <w:b/>
      <w:bCs/>
      <w:kern w:val="2"/>
      <w:sz w:val="24"/>
      <w:szCs w:val="24"/>
    </w:rPr>
  </w:style>
  <w:style w:type="character" w:customStyle="1" w:styleId="139">
    <w:name w:val="标题 8 Char"/>
    <w:link w:val="14"/>
    <w:qFormat/>
    <w:uiPriority w:val="0"/>
    <w:rPr>
      <w:rFonts w:ascii="Cambria" w:hAnsi="Cambria" w:eastAsia="宋体" w:cs="Times New Roman"/>
      <w:b/>
      <w:kern w:val="2"/>
      <w:sz w:val="24"/>
      <w:szCs w:val="24"/>
    </w:rPr>
  </w:style>
  <w:style w:type="character" w:customStyle="1" w:styleId="140">
    <w:name w:val="标题 9 Char"/>
    <w:link w:val="15"/>
    <w:qFormat/>
    <w:uiPriority w:val="0"/>
    <w:rPr>
      <w:rFonts w:ascii="Cambria" w:hAnsi="Cambria" w:eastAsia="宋体" w:cs="Times New Roman"/>
      <w:b/>
      <w:kern w:val="2"/>
      <w:sz w:val="24"/>
      <w:szCs w:val="21"/>
    </w:rPr>
  </w:style>
  <w:style w:type="character" w:customStyle="1" w:styleId="141">
    <w:name w:val="题注 Char"/>
    <w:link w:val="18"/>
    <w:qFormat/>
    <w:locked/>
    <w:uiPriority w:val="0"/>
    <w:rPr>
      <w:rFonts w:ascii="Arial" w:hAnsi="Arial" w:eastAsia="黑体" w:cs="Arial"/>
      <w:kern w:val="2"/>
    </w:rPr>
  </w:style>
  <w:style w:type="character" w:customStyle="1" w:styleId="142">
    <w:name w:val="文档结构图 Char"/>
    <w:link w:val="19"/>
    <w:qFormat/>
    <w:uiPriority w:val="0"/>
    <w:rPr>
      <w:kern w:val="2"/>
      <w:sz w:val="21"/>
      <w:szCs w:val="24"/>
      <w:shd w:val="clear" w:color="auto" w:fill="000080"/>
    </w:rPr>
  </w:style>
  <w:style w:type="character" w:customStyle="1" w:styleId="143">
    <w:name w:val="批注文字 Char1"/>
    <w:link w:val="20"/>
    <w:qFormat/>
    <w:uiPriority w:val="0"/>
    <w:rPr>
      <w:kern w:val="2"/>
      <w:sz w:val="21"/>
      <w:szCs w:val="24"/>
    </w:rPr>
  </w:style>
  <w:style w:type="character" w:customStyle="1" w:styleId="144">
    <w:name w:val="正文文本 3 Char"/>
    <w:link w:val="21"/>
    <w:qFormat/>
    <w:uiPriority w:val="0"/>
    <w:rPr>
      <w:kern w:val="2"/>
      <w:sz w:val="16"/>
      <w:szCs w:val="16"/>
    </w:rPr>
  </w:style>
  <w:style w:type="character" w:customStyle="1" w:styleId="145">
    <w:name w:val="正文文本 Char"/>
    <w:link w:val="3"/>
    <w:qFormat/>
    <w:uiPriority w:val="0"/>
    <w:rPr>
      <w:kern w:val="2"/>
      <w:sz w:val="21"/>
      <w:szCs w:val="24"/>
    </w:rPr>
  </w:style>
  <w:style w:type="character" w:customStyle="1" w:styleId="146">
    <w:name w:val="正文文本缩进 Char"/>
    <w:link w:val="9"/>
    <w:qFormat/>
    <w:uiPriority w:val="0"/>
    <w:rPr>
      <w:rFonts w:ascii="宋体" w:hAnsi="Courier New"/>
      <w:spacing w:val="-4"/>
      <w:kern w:val="2"/>
      <w:sz w:val="18"/>
    </w:rPr>
  </w:style>
  <w:style w:type="character" w:customStyle="1" w:styleId="147">
    <w:name w:val="纯文本 Char"/>
    <w:link w:val="26"/>
    <w:qFormat/>
    <w:uiPriority w:val="0"/>
    <w:rPr>
      <w:rFonts w:ascii="宋体" w:hAnsi="Courier New"/>
      <w:kern w:val="2"/>
      <w:sz w:val="21"/>
    </w:rPr>
  </w:style>
  <w:style w:type="character" w:customStyle="1" w:styleId="148">
    <w:name w:val="日期 Char"/>
    <w:link w:val="4"/>
    <w:qFormat/>
    <w:uiPriority w:val="0"/>
    <w:rPr>
      <w:rFonts w:eastAsia="楷体_GB2312"/>
      <w:kern w:val="2"/>
      <w:sz w:val="32"/>
    </w:rPr>
  </w:style>
  <w:style w:type="character" w:customStyle="1" w:styleId="149">
    <w:name w:val="正文文本缩进 2 Char"/>
    <w:link w:val="28"/>
    <w:qFormat/>
    <w:uiPriority w:val="0"/>
    <w:rPr>
      <w:rFonts w:ascii="仿宋_GB2312" w:hAnsi="宋体" w:cs="Arial"/>
      <w:b/>
      <w:bCs/>
      <w:color w:val="000000"/>
      <w:kern w:val="2"/>
      <w:sz w:val="24"/>
      <w:szCs w:val="24"/>
    </w:rPr>
  </w:style>
  <w:style w:type="character" w:customStyle="1" w:styleId="150">
    <w:name w:val="批注框文本 Char"/>
    <w:link w:val="29"/>
    <w:qFormat/>
    <w:uiPriority w:val="0"/>
    <w:rPr>
      <w:kern w:val="2"/>
      <w:sz w:val="18"/>
      <w:szCs w:val="18"/>
    </w:rPr>
  </w:style>
  <w:style w:type="character" w:customStyle="1" w:styleId="151">
    <w:name w:val="页脚 Char"/>
    <w:link w:val="30"/>
    <w:qFormat/>
    <w:locked/>
    <w:uiPriority w:val="99"/>
    <w:rPr>
      <w:kern w:val="2"/>
      <w:sz w:val="18"/>
      <w:szCs w:val="18"/>
    </w:rPr>
  </w:style>
  <w:style w:type="character" w:customStyle="1" w:styleId="152">
    <w:name w:val="页眉 Char"/>
    <w:link w:val="31"/>
    <w:qFormat/>
    <w:uiPriority w:val="0"/>
    <w:rPr>
      <w:rFonts w:eastAsia="宋体"/>
      <w:kern w:val="2"/>
      <w:sz w:val="18"/>
      <w:szCs w:val="18"/>
      <w:lang w:val="en-US" w:eastAsia="zh-CN" w:bidi="ar-SA"/>
    </w:rPr>
  </w:style>
  <w:style w:type="character" w:customStyle="1" w:styleId="153">
    <w:name w:val="副标题 Char"/>
    <w:link w:val="34"/>
    <w:qFormat/>
    <w:uiPriority w:val="0"/>
    <w:rPr>
      <w:rFonts w:ascii="Cambria" w:hAnsi="Cambria"/>
      <w:b/>
      <w:bCs/>
      <w:kern w:val="28"/>
      <w:sz w:val="32"/>
      <w:szCs w:val="32"/>
    </w:rPr>
  </w:style>
  <w:style w:type="character" w:customStyle="1" w:styleId="154">
    <w:name w:val="脚注文本 Char"/>
    <w:basedOn w:val="50"/>
    <w:link w:val="36"/>
    <w:qFormat/>
    <w:uiPriority w:val="99"/>
    <w:rPr>
      <w:kern w:val="1"/>
      <w:sz w:val="18"/>
      <w:szCs w:val="18"/>
    </w:rPr>
  </w:style>
  <w:style w:type="character" w:customStyle="1" w:styleId="155">
    <w:name w:val="正文文本缩进 3 Char"/>
    <w:link w:val="38"/>
    <w:qFormat/>
    <w:uiPriority w:val="0"/>
    <w:rPr>
      <w:rFonts w:ascii="仿宋_GB2312" w:hAnsi="宋体" w:eastAsia="仿宋_GB2312"/>
      <w:color w:val="000000"/>
      <w:kern w:val="2"/>
      <w:sz w:val="24"/>
      <w:szCs w:val="24"/>
    </w:rPr>
  </w:style>
  <w:style w:type="character" w:customStyle="1" w:styleId="156">
    <w:name w:val="正文文本 2 Char"/>
    <w:link w:val="41"/>
    <w:qFormat/>
    <w:uiPriority w:val="0"/>
    <w:rPr>
      <w:rFonts w:ascii="宋体" w:hAnsi="宋体"/>
      <w:color w:val="000000"/>
      <w:kern w:val="2"/>
      <w:sz w:val="24"/>
      <w:szCs w:val="24"/>
    </w:rPr>
  </w:style>
  <w:style w:type="character" w:customStyle="1" w:styleId="157">
    <w:name w:val="普通(网站) Char"/>
    <w:link w:val="43"/>
    <w:qFormat/>
    <w:locked/>
    <w:uiPriority w:val="0"/>
    <w:rPr>
      <w:rFonts w:ascii="宋体" w:hAnsi="宋体" w:cs="宋体"/>
      <w:sz w:val="24"/>
      <w:szCs w:val="24"/>
    </w:rPr>
  </w:style>
  <w:style w:type="character" w:customStyle="1" w:styleId="158">
    <w:name w:val="标题 Char"/>
    <w:link w:val="44"/>
    <w:qFormat/>
    <w:uiPriority w:val="0"/>
    <w:rPr>
      <w:rFonts w:ascii="Cambria" w:hAnsi="Cambria"/>
      <w:b/>
      <w:bCs/>
      <w:kern w:val="2"/>
      <w:sz w:val="32"/>
      <w:szCs w:val="32"/>
    </w:rPr>
  </w:style>
  <w:style w:type="character" w:customStyle="1" w:styleId="159">
    <w:name w:val="批注主题 Char"/>
    <w:link w:val="45"/>
    <w:qFormat/>
    <w:uiPriority w:val="0"/>
    <w:rPr>
      <w:b/>
      <w:bCs/>
      <w:kern w:val="2"/>
      <w:sz w:val="21"/>
      <w:szCs w:val="24"/>
    </w:rPr>
  </w:style>
  <w:style w:type="character" w:customStyle="1" w:styleId="160">
    <w:name w:val="正文首行缩进 Char"/>
    <w:basedOn w:val="145"/>
    <w:link w:val="2"/>
    <w:qFormat/>
    <w:uiPriority w:val="0"/>
    <w:rPr>
      <w:kern w:val="2"/>
      <w:sz w:val="21"/>
      <w:szCs w:val="24"/>
    </w:rPr>
  </w:style>
  <w:style w:type="character" w:customStyle="1" w:styleId="161">
    <w:name w:val="正文首行缩进 2 Char"/>
    <w:link w:val="46"/>
    <w:qFormat/>
    <w:uiPriority w:val="0"/>
    <w:rPr>
      <w:rFonts w:ascii="宋体" w:hAnsi="Courier New"/>
      <w:spacing w:val="-4"/>
      <w:kern w:val="2"/>
      <w:sz w:val="24"/>
    </w:rPr>
  </w:style>
  <w:style w:type="character" w:customStyle="1" w:styleId="162">
    <w:name w:val="页眉 Char1"/>
    <w:qFormat/>
    <w:uiPriority w:val="0"/>
    <w:rPr>
      <w:kern w:val="2"/>
      <w:sz w:val="18"/>
      <w:szCs w:val="18"/>
    </w:rPr>
  </w:style>
  <w:style w:type="character" w:customStyle="1" w:styleId="163">
    <w:name w:val="hover"/>
    <w:qFormat/>
    <w:uiPriority w:val="0"/>
    <w:rPr>
      <w:color w:val="4178BE"/>
    </w:rPr>
  </w:style>
  <w:style w:type="character" w:customStyle="1" w:styleId="164">
    <w:name w:val="页眉 字符1"/>
    <w:qFormat/>
    <w:uiPriority w:val="99"/>
    <w:rPr>
      <w:rFonts w:eastAsia="宋体"/>
      <w:sz w:val="18"/>
      <w:szCs w:val="18"/>
    </w:rPr>
  </w:style>
  <w:style w:type="character" w:customStyle="1" w:styleId="165">
    <w:name w:val="font111"/>
    <w:qFormat/>
    <w:uiPriority w:val="0"/>
    <w:rPr>
      <w:rFonts w:ascii="宋体" w:hAnsi="宋体" w:eastAsia="宋体" w:cs="宋体"/>
      <w:color w:val="FF0000"/>
      <w:sz w:val="18"/>
      <w:szCs w:val="18"/>
      <w:u w:val="none"/>
    </w:rPr>
  </w:style>
  <w:style w:type="character" w:customStyle="1" w:styleId="166">
    <w:name w:val="页脚 字符1"/>
    <w:qFormat/>
    <w:locked/>
    <w:uiPriority w:val="99"/>
    <w:rPr>
      <w:sz w:val="18"/>
      <w:szCs w:val="18"/>
    </w:rPr>
  </w:style>
  <w:style w:type="character" w:customStyle="1" w:styleId="167">
    <w:name w:val="font21"/>
    <w:qFormat/>
    <w:uiPriority w:val="0"/>
    <w:rPr>
      <w:rFonts w:hint="eastAsia" w:ascii="微软雅黑" w:hAnsi="微软雅黑" w:eastAsia="微软雅黑" w:cs="微软雅黑"/>
      <w:color w:val="000000"/>
      <w:sz w:val="18"/>
      <w:szCs w:val="18"/>
      <w:u w:val="none"/>
    </w:rPr>
  </w:style>
  <w:style w:type="character" w:customStyle="1" w:styleId="168">
    <w:name w:val="样式一"/>
    <w:qFormat/>
    <w:uiPriority w:val="0"/>
    <w:rPr>
      <w:rFonts w:ascii="宋体" w:hAnsi="宋体"/>
      <w:b/>
      <w:bCs/>
      <w:color w:val="000000"/>
      <w:sz w:val="36"/>
    </w:rPr>
  </w:style>
  <w:style w:type="character" w:customStyle="1" w:styleId="169">
    <w:name w:val="optnmoresets"/>
    <w:qFormat/>
    <w:uiPriority w:val="0"/>
    <w:rPr>
      <w:color w:val="5596E6"/>
    </w:rPr>
  </w:style>
  <w:style w:type="character" w:customStyle="1" w:styleId="170">
    <w:name w:val="ca-92"/>
    <w:basedOn w:val="50"/>
    <w:qFormat/>
    <w:uiPriority w:val="0"/>
  </w:style>
  <w:style w:type="character" w:customStyle="1" w:styleId="171">
    <w:name w:val="font91"/>
    <w:qFormat/>
    <w:uiPriority w:val="0"/>
    <w:rPr>
      <w:rFonts w:ascii="宋体" w:hAnsi="宋体" w:eastAsia="宋体" w:cs="宋体"/>
      <w:color w:val="auto"/>
      <w:sz w:val="18"/>
      <w:szCs w:val="18"/>
      <w:u w:val="none"/>
    </w:rPr>
  </w:style>
  <w:style w:type="character" w:customStyle="1" w:styleId="172">
    <w:name w:val="纯文本 Char3"/>
    <w:qFormat/>
    <w:uiPriority w:val="0"/>
    <w:rPr>
      <w:rFonts w:ascii="宋体" w:hAnsi="Courier New" w:eastAsia="宋体"/>
      <w:kern w:val="2"/>
      <w:sz w:val="24"/>
      <w:szCs w:val="24"/>
      <w:lang w:val="en-US" w:eastAsia="zh-CN" w:bidi="ar-SA"/>
    </w:rPr>
  </w:style>
  <w:style w:type="character" w:customStyle="1" w:styleId="173">
    <w:name w:val="列出段落 Char1"/>
    <w:qFormat/>
    <w:uiPriority w:val="34"/>
    <w:rPr>
      <w:sz w:val="24"/>
    </w:rPr>
  </w:style>
  <w:style w:type="character" w:customStyle="1" w:styleId="174">
    <w:name w:val="标题字符1"/>
    <w:qFormat/>
    <w:uiPriority w:val="0"/>
    <w:rPr>
      <w:rFonts w:ascii="Cambria" w:hAnsi="Cambria" w:cs="Times New Roman"/>
      <w:b/>
      <w:bCs/>
      <w:snapToGrid w:val="0"/>
      <w:sz w:val="32"/>
      <w:szCs w:val="32"/>
    </w:rPr>
  </w:style>
  <w:style w:type="character" w:customStyle="1" w:styleId="175">
    <w:name w:val="sub"/>
    <w:basedOn w:val="50"/>
    <w:qFormat/>
    <w:uiPriority w:val="0"/>
  </w:style>
  <w:style w:type="character" w:customStyle="1" w:styleId="176">
    <w:name w:val="lotusbtndisabled2"/>
    <w:basedOn w:val="50"/>
    <w:qFormat/>
    <w:uiPriority w:val="0"/>
  </w:style>
  <w:style w:type="character" w:customStyle="1" w:styleId="177">
    <w:name w:val="列出段落 Char"/>
    <w:qFormat/>
    <w:uiPriority w:val="34"/>
    <w:rPr>
      <w:kern w:val="2"/>
      <w:sz w:val="21"/>
      <w:szCs w:val="22"/>
    </w:rPr>
  </w:style>
  <w:style w:type="character" w:customStyle="1" w:styleId="178">
    <w:name w:val="dijitarrowbuttoninner"/>
    <w:qFormat/>
    <w:uiPriority w:val="0"/>
    <w:rPr>
      <w:vanish/>
    </w:rPr>
  </w:style>
  <w:style w:type="character" w:customStyle="1" w:styleId="179">
    <w:name w:val="hover21"/>
    <w:qFormat/>
    <w:uiPriority w:val="0"/>
    <w:rPr>
      <w:color w:val="4178BE"/>
    </w:rPr>
  </w:style>
  <w:style w:type="character" w:customStyle="1" w:styleId="180">
    <w:name w:val="普通文字 Char Char2"/>
    <w:qFormat/>
    <w:uiPriority w:val="0"/>
    <w:rPr>
      <w:rFonts w:ascii="宋体" w:hAnsi="Courier New" w:eastAsia="宋体"/>
      <w:kern w:val="2"/>
      <w:sz w:val="24"/>
      <w:szCs w:val="24"/>
      <w:lang w:val="en-US" w:eastAsia="zh-CN" w:bidi="ar-SA"/>
    </w:rPr>
  </w:style>
  <w:style w:type="character" w:customStyle="1" w:styleId="181">
    <w:name w:val="font11"/>
    <w:qFormat/>
    <w:uiPriority w:val="0"/>
    <w:rPr>
      <w:rFonts w:hint="eastAsia" w:ascii="微软雅黑" w:hAnsi="微软雅黑" w:eastAsia="微软雅黑" w:cs="微软雅黑"/>
      <w:color w:val="FF0000"/>
      <w:sz w:val="18"/>
      <w:szCs w:val="18"/>
      <w:u w:val="none"/>
    </w:rPr>
  </w:style>
  <w:style w:type="character" w:customStyle="1" w:styleId="182">
    <w:name w:val="纯文本 Char1"/>
    <w:link w:val="60"/>
    <w:qFormat/>
    <w:uiPriority w:val="99"/>
    <w:rPr>
      <w:rFonts w:ascii="宋体" w:hAnsi="Courier New" w:eastAsia="宋体" w:cs="Times New Roman"/>
      <w:sz w:val="24"/>
      <w:szCs w:val="24"/>
    </w:rPr>
  </w:style>
  <w:style w:type="character" w:customStyle="1" w:styleId="183">
    <w:name w:val="lotusalttext10"/>
    <w:basedOn w:val="50"/>
    <w:qFormat/>
    <w:uiPriority w:val="0"/>
  </w:style>
  <w:style w:type="character" w:customStyle="1" w:styleId="184">
    <w:name w:val="纯文本 字符"/>
    <w:qFormat/>
    <w:uiPriority w:val="0"/>
    <w:rPr>
      <w:rFonts w:ascii="宋体" w:hAnsi="Courier New" w:eastAsia="宋体" w:cs="Courier New"/>
      <w:kern w:val="2"/>
      <w:sz w:val="21"/>
      <w:szCs w:val="24"/>
    </w:rPr>
  </w:style>
  <w:style w:type="character" w:customStyle="1" w:styleId="185">
    <w:name w:val="*正文 Char"/>
    <w:link w:val="61"/>
    <w:qFormat/>
    <w:uiPriority w:val="99"/>
    <w:rPr>
      <w:rFonts w:ascii="宋体" w:hAnsi="宋体"/>
      <w:sz w:val="24"/>
    </w:rPr>
  </w:style>
  <w:style w:type="character" w:customStyle="1" w:styleId="186">
    <w:name w:val="before"/>
    <w:basedOn w:val="50"/>
    <w:qFormat/>
    <w:uiPriority w:val="0"/>
  </w:style>
  <w:style w:type="character" w:customStyle="1" w:styleId="187">
    <w:name w:val="font101"/>
    <w:qFormat/>
    <w:uiPriority w:val="0"/>
    <w:rPr>
      <w:rFonts w:ascii="Times New Roman" w:hAnsi="Times New Roman" w:cs="Times New Roman"/>
      <w:color w:val="auto"/>
      <w:sz w:val="24"/>
      <w:szCs w:val="24"/>
      <w:u w:val="none"/>
    </w:rPr>
  </w:style>
  <w:style w:type="character" w:customStyle="1" w:styleId="188">
    <w:name w:val="font81"/>
    <w:qFormat/>
    <w:uiPriority w:val="0"/>
    <w:rPr>
      <w:rFonts w:ascii="Times New Roman" w:hAnsi="Times New Roman" w:cs="Times New Roman"/>
      <w:color w:val="FF0000"/>
      <w:sz w:val="18"/>
      <w:szCs w:val="18"/>
      <w:u w:val="none"/>
    </w:rPr>
  </w:style>
  <w:style w:type="character" w:customStyle="1" w:styleId="189">
    <w:name w:val="正文文本缩进字符1"/>
    <w:semiHidden/>
    <w:qFormat/>
    <w:uiPriority w:val="0"/>
    <w:rPr>
      <w:snapToGrid w:val="0"/>
      <w:sz w:val="21"/>
      <w:szCs w:val="21"/>
    </w:rPr>
  </w:style>
  <w:style w:type="character" w:customStyle="1" w:styleId="190">
    <w:name w:val="before1"/>
    <w:qFormat/>
    <w:uiPriority w:val="0"/>
    <w:rPr>
      <w:shd w:val="clear" w:color="auto" w:fill="4178BE"/>
    </w:rPr>
  </w:style>
  <w:style w:type="character" w:customStyle="1" w:styleId="191">
    <w:name w:val="font51"/>
    <w:qFormat/>
    <w:uiPriority w:val="0"/>
    <w:rPr>
      <w:rFonts w:hint="eastAsia" w:ascii="微软雅黑" w:hAnsi="微软雅黑" w:eastAsia="微软雅黑" w:cs="微软雅黑"/>
      <w:i/>
      <w:color w:val="FF0000"/>
      <w:sz w:val="18"/>
      <w:szCs w:val="18"/>
      <w:u w:val="none"/>
    </w:rPr>
  </w:style>
  <w:style w:type="character" w:customStyle="1" w:styleId="192">
    <w:name w:val="optnless"/>
    <w:qFormat/>
    <w:uiPriority w:val="0"/>
    <w:rPr>
      <w:color w:val="5596E6"/>
    </w:rPr>
  </w:style>
  <w:style w:type="character" w:customStyle="1" w:styleId="193">
    <w:name w:val="font01"/>
    <w:qFormat/>
    <w:uiPriority w:val="0"/>
    <w:rPr>
      <w:rFonts w:hint="eastAsia" w:ascii="微软雅黑" w:hAnsi="微软雅黑" w:eastAsia="微软雅黑" w:cs="微软雅黑"/>
      <w:color w:val="000000"/>
      <w:sz w:val="18"/>
      <w:szCs w:val="18"/>
      <w:u w:val="none"/>
    </w:rPr>
  </w:style>
  <w:style w:type="character" w:customStyle="1" w:styleId="194">
    <w:name w:val="列出段落 Char2"/>
    <w:link w:val="62"/>
    <w:qFormat/>
    <w:uiPriority w:val="34"/>
    <w:rPr>
      <w:kern w:val="2"/>
      <w:sz w:val="21"/>
      <w:szCs w:val="22"/>
    </w:rPr>
  </w:style>
  <w:style w:type="character" w:customStyle="1" w:styleId="195">
    <w:name w:val="bookmark-item"/>
    <w:basedOn w:val="50"/>
    <w:qFormat/>
    <w:uiPriority w:val="0"/>
  </w:style>
  <w:style w:type="character" w:customStyle="1" w:styleId="196">
    <w:name w:val="lotusalttext"/>
    <w:basedOn w:val="50"/>
    <w:qFormat/>
    <w:uiPriority w:val="0"/>
  </w:style>
  <w:style w:type="character" w:customStyle="1" w:styleId="197">
    <w:name w:val="optnmore"/>
    <w:qFormat/>
    <w:uiPriority w:val="0"/>
    <w:rPr>
      <w:color w:val="5596E6"/>
    </w:rPr>
  </w:style>
  <w:style w:type="character" w:customStyle="1" w:styleId="198">
    <w:name w:val="纯文本字符1"/>
    <w:semiHidden/>
    <w:qFormat/>
    <w:uiPriority w:val="0"/>
    <w:rPr>
      <w:rFonts w:ascii="宋体" w:hAnsi="Courier"/>
      <w:snapToGrid w:val="0"/>
      <w:sz w:val="24"/>
      <w:szCs w:val="24"/>
    </w:rPr>
  </w:style>
  <w:style w:type="character" w:customStyle="1" w:styleId="199">
    <w:name w:val="GW-正文 Char"/>
    <w:link w:val="63"/>
    <w:qFormat/>
    <w:uiPriority w:val="0"/>
    <w:rPr>
      <w:rFonts w:eastAsia="仿宋_GB2312"/>
      <w:sz w:val="24"/>
      <w:szCs w:val="24"/>
      <w:lang w:val="en-US" w:eastAsia="zh-CN" w:bidi="ar-SA"/>
    </w:rPr>
  </w:style>
  <w:style w:type="character" w:customStyle="1" w:styleId="200">
    <w:name w:val="optnsets"/>
    <w:qFormat/>
    <w:uiPriority w:val="0"/>
    <w:rPr>
      <w:color w:val="5596E6"/>
    </w:rPr>
  </w:style>
  <w:style w:type="character" w:customStyle="1" w:styleId="201">
    <w:name w:val="批注文字 Char"/>
    <w:qFormat/>
    <w:uiPriority w:val="99"/>
    <w:rPr>
      <w:kern w:val="2"/>
      <w:sz w:val="21"/>
      <w:szCs w:val="24"/>
    </w:rPr>
  </w:style>
  <w:style w:type="character" w:customStyle="1" w:styleId="202">
    <w:name w:val="标题 Char3"/>
    <w:qFormat/>
    <w:uiPriority w:val="0"/>
    <w:rPr>
      <w:rFonts w:ascii="Calibri Light" w:hAnsi="Calibri Light"/>
      <w:b/>
      <w:bCs/>
      <w:kern w:val="2"/>
      <w:sz w:val="32"/>
      <w:szCs w:val="32"/>
    </w:rPr>
  </w:style>
  <w:style w:type="character" w:customStyle="1" w:styleId="203">
    <w:name w:val="样式二"/>
    <w:basedOn w:val="168"/>
    <w:qFormat/>
    <w:uiPriority w:val="0"/>
    <w:rPr>
      <w:rFonts w:ascii="宋体" w:hAnsi="宋体"/>
      <w:color w:val="000000"/>
      <w:sz w:val="36"/>
    </w:rPr>
  </w:style>
  <w:style w:type="character" w:customStyle="1" w:styleId="204">
    <w:name w:val="after1"/>
    <w:basedOn w:val="50"/>
    <w:qFormat/>
    <w:uiPriority w:val="0"/>
  </w:style>
  <w:style w:type="character" w:customStyle="1" w:styleId="205">
    <w:name w:val="after"/>
    <w:qFormat/>
    <w:uiPriority w:val="0"/>
    <w:rPr>
      <w:shd w:val="clear" w:color="auto" w:fill="008571"/>
    </w:rPr>
  </w:style>
  <w:style w:type="character" w:customStyle="1" w:styleId="206">
    <w:name w:val="无间隔 Char"/>
    <w:link w:val="107"/>
    <w:qFormat/>
    <w:uiPriority w:val="1"/>
    <w:rPr>
      <w:kern w:val="2"/>
      <w:sz w:val="21"/>
      <w:szCs w:val="22"/>
    </w:rPr>
  </w:style>
  <w:style w:type="character" w:customStyle="1" w:styleId="207">
    <w:name w:val="表格文字 Char"/>
    <w:link w:val="108"/>
    <w:qFormat/>
    <w:uiPriority w:val="0"/>
    <w:rPr>
      <w:kern w:val="2"/>
      <w:sz w:val="18"/>
      <w:szCs w:val="24"/>
    </w:rPr>
  </w:style>
  <w:style w:type="character" w:customStyle="1" w:styleId="208">
    <w:name w:val="纯文本 Char4"/>
    <w:qFormat/>
    <w:uiPriority w:val="0"/>
    <w:rPr>
      <w:rFonts w:ascii="宋体" w:hAnsi="Courier New" w:eastAsia="宋体" w:cs="Times New Roman"/>
      <w:kern w:val="2"/>
      <w:sz w:val="24"/>
      <w:szCs w:val="24"/>
      <w:lang w:val="en-US" w:eastAsia="zh-CN" w:bidi="ar-SA"/>
    </w:rPr>
  </w:style>
  <w:style w:type="character" w:customStyle="1" w:styleId="209">
    <w:name w:val="金保标题2 Char"/>
    <w:link w:val="109"/>
    <w:qFormat/>
    <w:uiPriority w:val="0"/>
    <w:rPr>
      <w:rFonts w:ascii="宋体" w:hAnsi="宋体"/>
      <w:b/>
      <w:sz w:val="24"/>
      <w:szCs w:val="24"/>
    </w:rPr>
  </w:style>
  <w:style w:type="character" w:customStyle="1" w:styleId="210">
    <w:name w:val="long_text1"/>
    <w:qFormat/>
    <w:uiPriority w:val="0"/>
    <w:rPr>
      <w:sz w:val="15"/>
      <w:szCs w:val="15"/>
    </w:rPr>
  </w:style>
  <w:style w:type="character" w:customStyle="1" w:styleId="211">
    <w:name w:val="List Paragraph Char"/>
    <w:link w:val="75"/>
    <w:qFormat/>
    <w:uiPriority w:val="0"/>
    <w:rPr>
      <w:kern w:val="2"/>
      <w:sz w:val="21"/>
      <w:szCs w:val="21"/>
    </w:rPr>
  </w:style>
  <w:style w:type="character" w:customStyle="1" w:styleId="212">
    <w:name w:val="方案正文-样式 小四 行距: 1.5 倍行距 Char Char"/>
    <w:link w:val="111"/>
    <w:qFormat/>
    <w:uiPriority w:val="0"/>
    <w:rPr>
      <w:kern w:val="2"/>
      <w:sz w:val="24"/>
    </w:rPr>
  </w:style>
  <w:style w:type="character" w:customStyle="1" w:styleId="213">
    <w:name w:val="正文JK Char"/>
    <w:link w:val="112"/>
    <w:qFormat/>
    <w:uiPriority w:val="0"/>
    <w:rPr>
      <w:rFonts w:ascii="Calibri" w:hAnsi="Calibri"/>
      <w:kern w:val="2"/>
      <w:sz w:val="21"/>
      <w:szCs w:val="21"/>
    </w:rPr>
  </w:style>
  <w:style w:type="character" w:customStyle="1" w:styleId="214">
    <w:name w:val="投标书正文无序编号 Char Char"/>
    <w:link w:val="113"/>
    <w:qFormat/>
    <w:uiPriority w:val="0"/>
    <w:rPr>
      <w:kern w:val="2"/>
      <w:sz w:val="24"/>
      <w:szCs w:val="24"/>
    </w:rPr>
  </w:style>
  <w:style w:type="character" w:customStyle="1" w:styleId="215">
    <w:name w:val="正文2 Char Char"/>
    <w:link w:val="74"/>
    <w:qFormat/>
    <w:uiPriority w:val="0"/>
    <w:rPr>
      <w:kern w:val="2"/>
      <w:sz w:val="24"/>
    </w:rPr>
  </w:style>
  <w:style w:type="character" w:customStyle="1" w:styleId="216">
    <w:name w:val="投标书正文 Char Char"/>
    <w:link w:val="114"/>
    <w:qFormat/>
    <w:uiPriority w:val="0"/>
    <w:rPr>
      <w:rFonts w:eastAsia="Times New Roman"/>
      <w:kern w:val="2"/>
      <w:sz w:val="24"/>
      <w:szCs w:val="24"/>
    </w:rPr>
  </w:style>
  <w:style w:type="character" w:customStyle="1" w:styleId="217">
    <w:name w:val="z-窗体顶端 Char"/>
    <w:basedOn w:val="50"/>
    <w:link w:val="117"/>
    <w:qFormat/>
    <w:uiPriority w:val="0"/>
    <w:rPr>
      <w:rFonts w:ascii="Arial" w:hAnsi="Calibri"/>
      <w:vanish/>
      <w:kern w:val="2"/>
      <w:sz w:val="16"/>
      <w:szCs w:val="24"/>
    </w:rPr>
  </w:style>
  <w:style w:type="character" w:customStyle="1" w:styleId="218">
    <w:name w:val="z-窗体底端 Char"/>
    <w:basedOn w:val="50"/>
    <w:link w:val="124"/>
    <w:qFormat/>
    <w:uiPriority w:val="0"/>
    <w:rPr>
      <w:rFonts w:ascii="Arial" w:hAnsi="Calibri"/>
      <w:vanish/>
      <w:kern w:val="2"/>
      <w:sz w:val="16"/>
      <w:szCs w:val="24"/>
    </w:rPr>
  </w:style>
  <w:style w:type="character" w:customStyle="1" w:styleId="219">
    <w:name w:val="正文2 Char"/>
    <w:qFormat/>
    <w:uiPriority w:val="0"/>
    <w:rPr>
      <w:rFonts w:eastAsia="宋体"/>
      <w:kern w:val="2"/>
      <w:sz w:val="24"/>
      <w:lang w:val="en-US" w:eastAsia="zh-CN" w:bidi="ar-SA"/>
    </w:rPr>
  </w:style>
  <w:style w:type="table" w:customStyle="1" w:styleId="220">
    <w:name w:val="表样式"/>
    <w:basedOn w:val="47"/>
    <w:qFormat/>
    <w:uiPriority w:val="0"/>
    <w:pPr>
      <w:jc w:val="both"/>
    </w:pPr>
    <w:rPr>
      <w:sz w:val="18"/>
      <w:szCs w:val="1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shd w:val="clear" w:color="auto" w:fill="auto"/>
      <w:vAlign w:val="center"/>
    </w:tcPr>
  </w:style>
  <w:style w:type="table" w:customStyle="1" w:styleId="221">
    <w:name w:val="浅色列表1"/>
    <w:basedOn w:val="47"/>
    <w:qFormat/>
    <w:uiPriority w:val="61"/>
    <w:tblPr>
      <w:tblBorders>
        <w:top w:val="single" w:color="000000" w:sz="8" w:space="0"/>
        <w:left w:val="single" w:color="000000" w:sz="8" w:space="0"/>
        <w:bottom w:val="single" w:color="000000" w:sz="8" w:space="0"/>
        <w:right w:val="single" w:color="000000" w:sz="8" w:space="0"/>
      </w:tblBorders>
      <w:tblCellMar>
        <w:top w:w="0" w:type="dxa"/>
        <w:left w:w="108" w:type="dxa"/>
        <w:bottom w:w="0" w:type="dxa"/>
        <w:right w:w="108" w:type="dxa"/>
      </w:tblCellMar>
    </w:tblPr>
    <w:tblStylePr w:type="firstRow">
      <w:pPr>
        <w:spacing w:before="0" w:after="0" w:line="240" w:lineRule="auto"/>
      </w:pPr>
      <w:rPr>
        <w:b/>
        <w:bCs/>
        <w:color w:val="FFFFFF"/>
      </w:rPr>
      <w:tcPr>
        <w:shd w:val="clear" w:color="auto" w:fill="000000"/>
      </w:tcPr>
    </w:tblStylePr>
    <w:tblStylePr w:type="lastRow">
      <w:pPr>
        <w:spacing w:before="0" w:after="0" w:line="240" w:lineRule="auto"/>
      </w:pPr>
      <w:rPr>
        <w:b/>
        <w:bCs/>
      </w:rPr>
      <w:tcPr>
        <w:tcBorders>
          <w:top w:val="double" w:color="000000" w:sz="6" w:space="0"/>
          <w:left w:val="single" w:color="000000" w:sz="8" w:space="0"/>
          <w:bottom w:val="single" w:color="000000" w:sz="8" w:space="0"/>
          <w:right w:val="single" w:color="000000"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Horz">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style>
  <w:style w:type="table" w:customStyle="1" w:styleId="222">
    <w:name w:val="Table Normal"/>
    <w:qFormat/>
    <w:uiPriority w:val="0"/>
    <w:tblPr>
      <w:tblCellMar>
        <w:top w:w="0" w:type="dxa"/>
        <w:left w:w="0" w:type="dxa"/>
        <w:bottom w:w="0" w:type="dxa"/>
        <w:right w:w="0" w:type="dxa"/>
      </w:tblCellMar>
    </w:tblPr>
  </w:style>
  <w:style w:type="paragraph" w:styleId="223">
    <w:name w:val="List Paragraph"/>
    <w:basedOn w:val="1"/>
    <w:qFormat/>
    <w:uiPriority w:val="99"/>
    <w:pPr>
      <w:spacing w:line="360" w:lineRule="auto"/>
      <w:ind w:firstLine="420" w:firstLineChars="200"/>
    </w:pPr>
    <w:rPr>
      <w:rFonts w:eastAsiaTheme="minorEastAsia" w:cstheme="minorBidi"/>
      <w:sz w:val="24"/>
      <w:szCs w:val="22"/>
    </w:rPr>
  </w:style>
  <w:style w:type="paragraph" w:customStyle="1" w:styleId="224">
    <w:name w:val="正文缩进2格"/>
    <w:basedOn w:val="1"/>
    <w:qFormat/>
    <w:uiPriority w:val="0"/>
    <w:pPr>
      <w:widowControl/>
      <w:spacing w:line="600" w:lineRule="exact"/>
      <w:ind w:firstLine="639" w:firstLineChars="206"/>
      <w:jc w:val="left"/>
    </w:pPr>
    <w:rPr>
      <w:rFonts w:ascii="仿宋_GB2312" w:hAnsi="宋体" w:eastAsia="仿宋_GB2312"/>
      <w:kern w:val="0"/>
      <w:sz w:val="31"/>
      <w:szCs w:val="28"/>
    </w:rPr>
  </w:style>
  <w:style w:type="paragraph" w:customStyle="1" w:styleId="225">
    <w:name w:val="正文 A"/>
    <w:qFormat/>
    <w:uiPriority w:val="0"/>
    <w:pPr>
      <w:widowControl w:val="0"/>
      <w:jc w:val="both"/>
    </w:pPr>
    <w:rPr>
      <w:rFonts w:ascii="Times New Roman" w:hAnsi="Times New Roman" w:eastAsia="宋体" w:cs="Times New Roman"/>
      <w:color w:val="000000"/>
      <w:kern w:val="2"/>
      <w:sz w:val="28"/>
      <w:szCs w:val="28"/>
      <w:u w:color="000000"/>
      <w:lang w:val="en-US" w:eastAsia="zh-CN" w:bidi="ar-SA"/>
    </w:rPr>
  </w:style>
  <w:style w:type="paragraph" w:customStyle="1" w:styleId="226">
    <w:name w:val="纯文本3"/>
    <w:basedOn w:val="1"/>
    <w:qFormat/>
    <w:uiPriority w:val="0"/>
    <w:pPr>
      <w:adjustRightInd w:val="0"/>
      <w:textAlignment w:val="baseline"/>
    </w:pPr>
    <w:rPr>
      <w:rFonts w:ascii="宋体" w:hAnsi="Courier New" w:eastAsia="楷体_GB2312"/>
      <w:sz w:val="26"/>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4EA39F-7E29-4F36-ABA9-D89293D02FD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64</Pages>
  <Words>37144</Words>
  <Characters>38854</Characters>
  <Lines>306</Lines>
  <Paragraphs>86</Paragraphs>
  <TotalTime>5</TotalTime>
  <ScaleCrop>false</ScaleCrop>
  <LinksUpToDate>false</LinksUpToDate>
  <CharactersWithSpaces>40820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2024-09-18T07:34:00Z</dcterms:created>
  <dc:creator>微软用户</dc:creator>
  <cp:lastModifiedBy>单利策</cp:lastModifiedBy>
  <cp:lastPrinted>2022-06-17T07:39:00Z</cp:lastPrinted>
  <dcterms:modified xsi:type="dcterms:W3CDTF">2024-09-20T09:33:32Z</dcterms:modified>
  <dc:titl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5EC8FD6131D3476FA43CEAF73FFFD1F8_13</vt:lpwstr>
  </property>
</Properties>
</file>