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500" w:lineRule="exact"/>
        <w:jc w:val="center"/>
        <w:rPr>
          <w:rFonts w:ascii="Times New Roman" w:hAnsi="Times New Roman"/>
          <w:b/>
          <w:sz w:val="36"/>
          <w:szCs w:val="36"/>
        </w:rPr>
      </w:pPr>
    </w:p>
    <w:p>
      <w:pPr>
        <w:adjustRightInd w:val="0"/>
        <w:snapToGrid w:val="0"/>
        <w:spacing w:line="500" w:lineRule="exact"/>
        <w:jc w:val="center"/>
        <w:rPr>
          <w:rFonts w:ascii="Times New Roman" w:hAnsi="Times New Roman"/>
          <w:b/>
          <w:sz w:val="36"/>
          <w:szCs w:val="36"/>
        </w:rPr>
      </w:pPr>
    </w:p>
    <w:p>
      <w:pPr>
        <w:adjustRightInd w:val="0"/>
        <w:snapToGrid w:val="0"/>
        <w:spacing w:line="500" w:lineRule="exact"/>
        <w:jc w:val="center"/>
        <w:rPr>
          <w:rFonts w:ascii="Times New Roman" w:hAnsi="Times New Roman"/>
          <w:b/>
          <w:sz w:val="36"/>
          <w:szCs w:val="36"/>
        </w:rPr>
      </w:pPr>
      <w:r>
        <w:rPr>
          <w:sz w:val="30"/>
          <w:szCs w:val="30"/>
        </w:rPr>
        <w:pict>
          <v:rect id="_x0000_s1026" o:spid="_x0000_s1026" o:spt="1" style="position:absolute;left:0pt;margin-left:20.85pt;margin-top:19.1pt;height:174.75pt;width:432.65pt;z-index:251659264;mso-width-relative:page;mso-height-relative:page;" fillcolor="#FFFFFF" filled="t" stroked="t" coordsize="21600,21600" o:gfxdata="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JufGYDXAAAACQEAAA8AAAAAAAAAAQAgAAAAIgAAAGRycy9kb3ducmV2LnhtbFBLAQIU&#10;ABQAAAAIAIdO4kB+Ebxi9AEAAPYDAAAOAAAAAAAAAAEAIAAAACYBAABkcnMvZTJvRG9jLnhtbFBL&#10;BQYAAAAABgAGAFkBAACMBQAAAAA=&#10;">
            <v:path/>
            <v:fill on="t" color2="#FFFFFF" focussize="0,0"/>
            <v:stroke color="#FFFFFF" joinstyle="miter"/>
            <v:imagedata o:title=""/>
            <o:lock v:ext="edit" aspectratio="f"/>
            <v:textbox>
              <w:txbxContent>
                <w:p>
                  <w:pPr>
                    <w:pStyle w:val="3"/>
                    <w:widowControl/>
                    <w:spacing w:before="0" w:beforeAutospacing="0" w:after="0" w:afterAutospacing="0" w:line="600" w:lineRule="exact"/>
                    <w:jc w:val="both"/>
                    <w:rPr>
                      <w:rFonts w:ascii="宋体" w:hAnsi="宋体" w:cs="宋体"/>
                      <w:b/>
                      <w:spacing w:val="-20"/>
                      <w:sz w:val="36"/>
                      <w:szCs w:val="36"/>
                    </w:rPr>
                  </w:pPr>
                </w:p>
                <w:p>
                  <w:pPr>
                    <w:pStyle w:val="3"/>
                    <w:widowControl/>
                    <w:spacing w:before="0" w:beforeAutospacing="0" w:after="0" w:afterAutospacing="0" w:line="700" w:lineRule="exact"/>
                    <w:jc w:val="center"/>
                    <w:rPr>
                      <w:rFonts w:hint="eastAsia"/>
                      <w:b/>
                      <w:sz w:val="36"/>
                      <w:szCs w:val="36"/>
                      <w:lang w:val="en-US" w:eastAsia="zh-CN"/>
                    </w:rPr>
                  </w:pPr>
                  <w:r>
                    <w:rPr>
                      <w:rFonts w:hint="eastAsia"/>
                      <w:b/>
                      <w:sz w:val="36"/>
                      <w:szCs w:val="36"/>
                      <w:lang w:val="en-US" w:eastAsia="zh-CN"/>
                    </w:rPr>
                    <w:t>市体校教学楼及学生公寓给水管更换项目</w:t>
                  </w:r>
                </w:p>
                <w:p>
                  <w:pPr>
                    <w:pStyle w:val="3"/>
                    <w:widowControl/>
                    <w:spacing w:before="0" w:beforeAutospacing="0" w:after="0" w:afterAutospacing="0" w:line="700" w:lineRule="exact"/>
                    <w:jc w:val="center"/>
                    <w:rPr>
                      <w:rFonts w:ascii="宋体" w:hAnsi="宋体" w:cs="宋体"/>
                      <w:b/>
                      <w:spacing w:val="-20"/>
                      <w:sz w:val="44"/>
                      <w:szCs w:val="44"/>
                    </w:rPr>
                  </w:pPr>
                  <w:r>
                    <w:rPr>
                      <w:rFonts w:hint="eastAsia"/>
                      <w:b/>
                      <w:sz w:val="36"/>
                      <w:szCs w:val="36"/>
                    </w:rPr>
                    <w:t>工程量清单</w:t>
                  </w:r>
                </w:p>
                <w:p>
                  <w:pPr>
                    <w:pStyle w:val="3"/>
                    <w:widowControl/>
                    <w:spacing w:before="0" w:beforeAutospacing="0" w:after="0" w:afterAutospacing="0" w:line="700" w:lineRule="exact"/>
                    <w:jc w:val="center"/>
                    <w:rPr>
                      <w:rFonts w:ascii="宋体" w:hAnsi="宋体" w:cs="宋体"/>
                      <w:b/>
                      <w:spacing w:val="-20"/>
                      <w:sz w:val="36"/>
                      <w:szCs w:val="36"/>
                    </w:rPr>
                  </w:pPr>
                  <w:r>
                    <w:rPr>
                      <w:rFonts w:hint="eastAsia" w:ascii="宋体" w:hAnsi="宋体" w:cs="宋体"/>
                      <w:b/>
                      <w:spacing w:val="-20"/>
                      <w:sz w:val="36"/>
                      <w:szCs w:val="36"/>
                    </w:rPr>
                    <w:t>HBT-B预字[202</w:t>
                  </w:r>
                  <w:r>
                    <w:rPr>
                      <w:rFonts w:hint="eastAsia" w:ascii="宋体" w:hAnsi="宋体" w:cs="宋体"/>
                      <w:b/>
                      <w:spacing w:val="-20"/>
                      <w:sz w:val="36"/>
                      <w:szCs w:val="36"/>
                      <w:lang w:val="en-US" w:eastAsia="zh-CN"/>
                    </w:rPr>
                    <w:t>4</w:t>
                  </w:r>
                  <w:r>
                    <w:rPr>
                      <w:rFonts w:hint="eastAsia" w:ascii="宋体" w:hAnsi="宋体" w:cs="宋体"/>
                      <w:b/>
                      <w:spacing w:val="-20"/>
                      <w:sz w:val="36"/>
                      <w:szCs w:val="36"/>
                    </w:rPr>
                    <w:t>]</w:t>
                  </w:r>
                  <w:r>
                    <w:rPr>
                      <w:rFonts w:hint="eastAsia" w:ascii="宋体" w:hAnsi="宋体" w:cs="宋体"/>
                      <w:b/>
                      <w:spacing w:val="-20"/>
                      <w:sz w:val="36"/>
                      <w:szCs w:val="36"/>
                      <w:u w:val="single"/>
                      <w:lang w:val="en-US" w:eastAsia="zh-CN"/>
                    </w:rPr>
                    <w:t xml:space="preserve">   057  </w:t>
                  </w:r>
                  <w:r>
                    <w:rPr>
                      <w:rFonts w:hint="eastAsia" w:ascii="宋体" w:hAnsi="宋体" w:cs="宋体"/>
                      <w:b/>
                      <w:spacing w:val="-20"/>
                      <w:sz w:val="36"/>
                      <w:szCs w:val="36"/>
                    </w:rPr>
                    <w:t>号</w:t>
                  </w:r>
                </w:p>
                <w:p>
                  <w:pPr>
                    <w:rPr>
                      <w:rFonts w:ascii="隶书" w:hAnsi="新宋体" w:eastAsia="隶书"/>
                      <w:b/>
                      <w:sz w:val="30"/>
                      <w:szCs w:val="30"/>
                    </w:rPr>
                  </w:pPr>
                </w:p>
              </w:txbxContent>
            </v:textbox>
          </v:rect>
        </w:pict>
      </w:r>
    </w:p>
    <w:p>
      <w:pPr>
        <w:adjustRightInd w:val="0"/>
        <w:snapToGrid w:val="0"/>
        <w:spacing w:line="500" w:lineRule="exact"/>
        <w:jc w:val="center"/>
        <w:rPr>
          <w:rFonts w:ascii="Times New Roman" w:hAnsi="Times New Roman"/>
          <w:b/>
          <w:sz w:val="36"/>
          <w:szCs w:val="36"/>
        </w:rPr>
      </w:pPr>
    </w:p>
    <w:p>
      <w:pPr>
        <w:adjustRightInd w:val="0"/>
        <w:snapToGrid w:val="0"/>
        <w:spacing w:line="500" w:lineRule="exact"/>
        <w:jc w:val="center"/>
        <w:rPr>
          <w:rFonts w:ascii="Times New Roman" w:hAnsi="Times New Roman"/>
          <w:b/>
          <w:sz w:val="36"/>
          <w:szCs w:val="36"/>
        </w:rPr>
      </w:pPr>
    </w:p>
    <w:p>
      <w:pPr>
        <w:adjustRightInd w:val="0"/>
        <w:snapToGrid w:val="0"/>
        <w:spacing w:line="500" w:lineRule="exact"/>
        <w:jc w:val="center"/>
        <w:rPr>
          <w:rFonts w:ascii="Times New Roman" w:hAnsi="Times New Roman"/>
          <w:b/>
          <w:sz w:val="36"/>
          <w:szCs w:val="36"/>
        </w:rPr>
      </w:pPr>
    </w:p>
    <w:p>
      <w:pPr>
        <w:adjustRightInd w:val="0"/>
        <w:snapToGrid w:val="0"/>
        <w:spacing w:line="500" w:lineRule="exact"/>
        <w:jc w:val="center"/>
        <w:rPr>
          <w:rFonts w:ascii="Times New Roman" w:hAnsi="Times New Roman"/>
          <w:b/>
          <w:sz w:val="36"/>
          <w:szCs w:val="36"/>
        </w:rPr>
      </w:pPr>
    </w:p>
    <w:p>
      <w:pPr>
        <w:adjustRightInd w:val="0"/>
        <w:snapToGrid w:val="0"/>
        <w:spacing w:line="500" w:lineRule="exact"/>
        <w:jc w:val="center"/>
        <w:rPr>
          <w:rFonts w:ascii="Times New Roman" w:hAnsi="Times New Roman"/>
          <w:b/>
          <w:sz w:val="36"/>
          <w:szCs w:val="36"/>
        </w:rPr>
      </w:pPr>
    </w:p>
    <w:p>
      <w:pPr>
        <w:adjustRightInd w:val="0"/>
        <w:snapToGrid w:val="0"/>
        <w:spacing w:line="500" w:lineRule="exact"/>
        <w:jc w:val="center"/>
        <w:rPr>
          <w:rFonts w:ascii="Times New Roman" w:hAnsi="Times New Roman"/>
          <w:b/>
          <w:sz w:val="36"/>
          <w:szCs w:val="36"/>
        </w:rPr>
      </w:pPr>
    </w:p>
    <w:p>
      <w:pPr>
        <w:adjustRightInd w:val="0"/>
        <w:snapToGrid w:val="0"/>
        <w:spacing w:line="500" w:lineRule="exact"/>
        <w:rPr>
          <w:rFonts w:ascii="Times New Roman" w:hAnsi="Times New Roman"/>
          <w:b/>
          <w:sz w:val="36"/>
          <w:szCs w:val="36"/>
        </w:rPr>
      </w:pPr>
    </w:p>
    <w:p>
      <w:pPr>
        <w:adjustRightInd w:val="0"/>
        <w:snapToGrid w:val="0"/>
        <w:spacing w:line="500" w:lineRule="exact"/>
        <w:rPr>
          <w:rFonts w:ascii="Times New Roman" w:hAnsi="Times New Roman"/>
          <w:b/>
          <w:sz w:val="36"/>
          <w:szCs w:val="36"/>
        </w:rPr>
      </w:pPr>
    </w:p>
    <w:p>
      <w:pPr>
        <w:adjustRightInd w:val="0"/>
        <w:snapToGrid w:val="0"/>
        <w:spacing w:line="500" w:lineRule="exact"/>
        <w:rPr>
          <w:rFonts w:ascii="Times New Roman" w:hAnsi="Times New Roman"/>
          <w:b/>
          <w:sz w:val="36"/>
          <w:szCs w:val="36"/>
        </w:rPr>
      </w:pPr>
    </w:p>
    <w:p>
      <w:pPr>
        <w:adjustRightInd w:val="0"/>
        <w:snapToGrid w:val="0"/>
        <w:spacing w:line="500" w:lineRule="exact"/>
        <w:rPr>
          <w:rFonts w:ascii="Times New Roman" w:hAnsi="Times New Roman"/>
          <w:b/>
          <w:sz w:val="36"/>
          <w:szCs w:val="36"/>
        </w:rPr>
      </w:pPr>
    </w:p>
    <w:p>
      <w:pPr>
        <w:adjustRightInd w:val="0"/>
        <w:snapToGrid w:val="0"/>
        <w:spacing w:line="500" w:lineRule="exact"/>
        <w:rPr>
          <w:rFonts w:ascii="Times New Roman" w:hAnsi="Times New Roman"/>
          <w:b/>
          <w:sz w:val="36"/>
          <w:szCs w:val="36"/>
        </w:rPr>
      </w:pPr>
    </w:p>
    <w:p>
      <w:pPr>
        <w:adjustRightInd w:val="0"/>
        <w:snapToGrid w:val="0"/>
        <w:spacing w:line="500" w:lineRule="exact"/>
        <w:rPr>
          <w:rFonts w:ascii="Times New Roman" w:hAnsi="Times New Roman"/>
          <w:b/>
          <w:sz w:val="36"/>
          <w:szCs w:val="36"/>
        </w:rPr>
      </w:pPr>
    </w:p>
    <w:p>
      <w:pPr>
        <w:adjustRightInd w:val="0"/>
        <w:snapToGrid w:val="0"/>
        <w:spacing w:line="500" w:lineRule="exact"/>
        <w:rPr>
          <w:rFonts w:ascii="Times New Roman" w:hAnsi="Times New Roman"/>
          <w:b/>
          <w:sz w:val="36"/>
          <w:szCs w:val="36"/>
        </w:rPr>
      </w:pPr>
    </w:p>
    <w:p>
      <w:pPr>
        <w:adjustRightInd w:val="0"/>
        <w:snapToGrid w:val="0"/>
        <w:spacing w:line="500" w:lineRule="exact"/>
        <w:rPr>
          <w:rFonts w:ascii="Times New Roman" w:hAnsi="Times New Roman"/>
          <w:b/>
          <w:sz w:val="36"/>
          <w:szCs w:val="36"/>
        </w:rPr>
      </w:pPr>
    </w:p>
    <w:p>
      <w:pPr>
        <w:adjustRightInd w:val="0"/>
        <w:snapToGrid w:val="0"/>
        <w:spacing w:line="500" w:lineRule="exact"/>
        <w:rPr>
          <w:rFonts w:ascii="Times New Roman" w:hAnsi="Times New Roman"/>
          <w:b/>
          <w:sz w:val="36"/>
          <w:szCs w:val="36"/>
        </w:rPr>
      </w:pPr>
    </w:p>
    <w:p>
      <w:pPr>
        <w:adjustRightInd w:val="0"/>
        <w:snapToGrid w:val="0"/>
        <w:spacing w:line="500" w:lineRule="exact"/>
        <w:rPr>
          <w:rFonts w:ascii="Times New Roman" w:hAnsi="Times New Roman"/>
          <w:b/>
          <w:sz w:val="36"/>
          <w:szCs w:val="36"/>
        </w:rPr>
      </w:pPr>
    </w:p>
    <w:p>
      <w:pPr>
        <w:adjustRightInd w:val="0"/>
        <w:snapToGrid w:val="0"/>
        <w:spacing w:line="500" w:lineRule="exact"/>
        <w:rPr>
          <w:rFonts w:ascii="Times New Roman" w:hAnsi="Times New Roman"/>
          <w:b/>
          <w:sz w:val="36"/>
          <w:szCs w:val="36"/>
        </w:rPr>
      </w:pPr>
    </w:p>
    <w:p>
      <w:pPr>
        <w:adjustRightInd w:val="0"/>
        <w:snapToGrid w:val="0"/>
        <w:spacing w:line="500" w:lineRule="exact"/>
        <w:rPr>
          <w:rFonts w:ascii="Times New Roman" w:hAnsi="Times New Roman"/>
          <w:b/>
          <w:sz w:val="36"/>
          <w:szCs w:val="36"/>
        </w:rPr>
      </w:pPr>
    </w:p>
    <w:p>
      <w:pPr>
        <w:adjustRightInd w:val="0"/>
        <w:snapToGrid w:val="0"/>
        <w:spacing w:line="500" w:lineRule="exact"/>
        <w:rPr>
          <w:rFonts w:ascii="Times New Roman" w:hAnsi="Times New Roman"/>
          <w:b/>
          <w:sz w:val="36"/>
          <w:szCs w:val="36"/>
        </w:rPr>
      </w:pPr>
    </w:p>
    <w:p>
      <w:pPr>
        <w:adjustRightInd w:val="0"/>
        <w:snapToGrid w:val="0"/>
        <w:spacing w:line="500" w:lineRule="exact"/>
        <w:rPr>
          <w:rFonts w:ascii="Times New Roman" w:hAnsi="Times New Roman"/>
          <w:b/>
          <w:sz w:val="36"/>
          <w:szCs w:val="36"/>
        </w:rPr>
      </w:pPr>
    </w:p>
    <w:p>
      <w:pPr>
        <w:jc w:val="center"/>
        <w:rPr>
          <w:b/>
          <w:sz w:val="32"/>
          <w:szCs w:val="32"/>
        </w:rPr>
      </w:pPr>
      <w:r>
        <w:rPr>
          <w:rFonts w:hint="eastAsia"/>
          <w:b/>
          <w:sz w:val="32"/>
          <w:szCs w:val="32"/>
        </w:rPr>
        <w:t>湖北省招标股份有限公司</w:t>
      </w:r>
    </w:p>
    <w:p>
      <w:pPr>
        <w:jc w:val="center"/>
        <w:rPr>
          <w:b/>
          <w:sz w:val="32"/>
          <w:szCs w:val="32"/>
        </w:rPr>
      </w:pPr>
      <w:r>
        <w:rPr>
          <w:rFonts w:hint="eastAsia"/>
          <w:b/>
          <w:sz w:val="32"/>
          <w:szCs w:val="32"/>
        </w:rPr>
        <w:t>二〇二</w:t>
      </w:r>
      <w:r>
        <w:rPr>
          <w:rFonts w:hint="eastAsia"/>
          <w:b/>
          <w:sz w:val="32"/>
          <w:szCs w:val="32"/>
          <w:lang w:val="en-US" w:eastAsia="zh-CN"/>
        </w:rPr>
        <w:t>四</w:t>
      </w:r>
      <w:r>
        <w:rPr>
          <w:rFonts w:hint="eastAsia"/>
          <w:b/>
          <w:sz w:val="32"/>
          <w:szCs w:val="32"/>
        </w:rPr>
        <w:t xml:space="preserve"> 年</w:t>
      </w:r>
      <w:r>
        <w:rPr>
          <w:rFonts w:hint="eastAsia"/>
          <w:b/>
          <w:sz w:val="32"/>
          <w:szCs w:val="32"/>
          <w:lang w:val="en-US" w:eastAsia="zh-CN"/>
        </w:rPr>
        <w:t xml:space="preserve"> 九 </w:t>
      </w:r>
      <w:r>
        <w:rPr>
          <w:rFonts w:hint="eastAsia"/>
          <w:b/>
          <w:sz w:val="32"/>
          <w:szCs w:val="32"/>
        </w:rPr>
        <w:t>月</w:t>
      </w:r>
    </w:p>
    <w:p/>
    <w:p>
      <w:pPr>
        <w:pStyle w:val="3"/>
        <w:widowControl/>
        <w:spacing w:before="0" w:beforeAutospacing="0" w:after="0" w:afterAutospacing="0" w:line="700" w:lineRule="exact"/>
        <w:jc w:val="center"/>
        <w:rPr>
          <w:rFonts w:ascii="Times New Roman" w:hAnsi="Times New Roman"/>
          <w:b/>
          <w:sz w:val="36"/>
          <w:szCs w:val="36"/>
        </w:rPr>
      </w:pPr>
    </w:p>
    <w:p>
      <w:pPr>
        <w:pStyle w:val="3"/>
        <w:widowControl/>
        <w:spacing w:before="0" w:beforeAutospacing="0" w:after="0" w:afterAutospacing="0" w:line="700" w:lineRule="exact"/>
        <w:jc w:val="center"/>
        <w:rPr>
          <w:rFonts w:ascii="Times New Roman" w:hAnsi="Times New Roman"/>
          <w:b/>
          <w:sz w:val="36"/>
          <w:szCs w:val="36"/>
        </w:rPr>
      </w:pPr>
    </w:p>
    <w:p>
      <w:pPr>
        <w:pStyle w:val="3"/>
        <w:widowControl/>
        <w:spacing w:before="0" w:beforeAutospacing="0" w:after="0" w:afterAutospacing="0" w:line="700" w:lineRule="exact"/>
        <w:jc w:val="center"/>
        <w:rPr>
          <w:b/>
          <w:sz w:val="36"/>
          <w:szCs w:val="36"/>
        </w:rPr>
      </w:pPr>
      <w:r>
        <w:rPr>
          <w:rFonts w:hint="eastAsia"/>
          <w:b/>
          <w:sz w:val="36"/>
          <w:szCs w:val="36"/>
        </w:rPr>
        <w:t>清单编制说明</w:t>
      </w:r>
    </w:p>
    <w:p>
      <w:pPr>
        <w:rPr>
          <w:rFonts w:ascii="仿宋" w:hAnsi="仿宋" w:eastAsia="仿宋" w:cs="仿宋"/>
          <w:b/>
          <w:bCs/>
          <w:sz w:val="32"/>
          <w:szCs w:val="40"/>
        </w:rPr>
      </w:pPr>
      <w:r>
        <w:rPr>
          <w:rFonts w:hint="eastAsia" w:ascii="仿宋" w:hAnsi="仿宋" w:eastAsia="仿宋" w:cs="仿宋"/>
          <w:b/>
          <w:bCs/>
          <w:sz w:val="32"/>
          <w:szCs w:val="40"/>
        </w:rPr>
        <w:t>一、工程概况</w:t>
      </w:r>
    </w:p>
    <w:p>
      <w:pPr>
        <w:pStyle w:val="3"/>
        <w:widowControl/>
        <w:spacing w:before="0" w:beforeAutospacing="0" w:after="0" w:afterAutospacing="0" w:line="700" w:lineRule="exact"/>
        <w:ind w:firstLine="560" w:firstLineChars="200"/>
        <w:jc w:val="left"/>
        <w:rPr>
          <w:rFonts w:hint="default" w:ascii="宋体" w:hAnsi="宋体" w:eastAsia="宋体" w:cs="宋体"/>
          <w:sz w:val="28"/>
          <w:szCs w:val="36"/>
          <w:lang w:val="en-US" w:eastAsia="zh-CN"/>
        </w:rPr>
      </w:pPr>
      <w:r>
        <w:rPr>
          <w:rFonts w:hint="eastAsia" w:ascii="宋体" w:hAnsi="宋体" w:cs="宋体"/>
          <w:sz w:val="28"/>
          <w:szCs w:val="36"/>
        </w:rPr>
        <w:t>本项</w:t>
      </w:r>
      <w:r>
        <w:rPr>
          <w:rFonts w:hint="eastAsia" w:ascii="宋体" w:hAnsi="宋体" w:cs="宋体"/>
          <w:sz w:val="28"/>
          <w:szCs w:val="36"/>
          <w:lang w:val="en-US" w:eastAsia="zh-CN"/>
        </w:rPr>
        <w:t>目为</w:t>
      </w:r>
      <w:r>
        <w:rPr>
          <w:rFonts w:hint="eastAsia" w:ascii="Times New Roman" w:hAnsi="Times New Roman" w:eastAsia="宋体" w:cs="Times New Roman"/>
          <w:kern w:val="2"/>
          <w:sz w:val="28"/>
          <w:szCs w:val="28"/>
          <w:lang w:val="en-US" w:eastAsia="zh-CN" w:bidi="ar-SA"/>
        </w:rPr>
        <w:t>市体校教学楼及学生公寓给水管更换项目</w:t>
      </w:r>
      <w:r>
        <w:rPr>
          <w:rFonts w:hint="eastAsia" w:ascii="宋体" w:hAnsi="宋体" w:cs="宋体"/>
          <w:sz w:val="28"/>
          <w:szCs w:val="36"/>
          <w:lang w:val="en-US" w:eastAsia="zh-CN"/>
        </w:rPr>
        <w:t>，对建筑主体施工的金属管道进行拆改更换，具体范围详见招标文件</w:t>
      </w:r>
      <w:r>
        <w:rPr>
          <w:rFonts w:hint="eastAsia" w:ascii="宋体" w:hAnsi="宋体" w:eastAsia="宋体" w:cs="宋体"/>
          <w:sz w:val="28"/>
          <w:szCs w:val="36"/>
          <w:lang w:val="en-US" w:eastAsia="zh-CN"/>
        </w:rPr>
        <w:t>。</w:t>
      </w:r>
      <w:bookmarkStart w:id="0" w:name="_GoBack"/>
      <w:bookmarkEnd w:id="0"/>
    </w:p>
    <w:p>
      <w:pPr>
        <w:rPr>
          <w:rFonts w:ascii="仿宋" w:hAnsi="仿宋" w:eastAsia="仿宋" w:cs="仿宋"/>
          <w:b/>
          <w:bCs/>
          <w:sz w:val="32"/>
          <w:szCs w:val="40"/>
        </w:rPr>
      </w:pPr>
      <w:r>
        <w:rPr>
          <w:rFonts w:hint="eastAsia" w:ascii="仿宋" w:hAnsi="仿宋" w:eastAsia="仿宋" w:cs="仿宋"/>
          <w:b/>
          <w:bCs/>
          <w:sz w:val="32"/>
          <w:szCs w:val="40"/>
        </w:rPr>
        <w:t xml:space="preserve">二、编制依据 </w:t>
      </w:r>
    </w:p>
    <w:p>
      <w:pPr>
        <w:ind w:firstLine="560" w:firstLineChars="200"/>
        <w:rPr>
          <w:rFonts w:ascii="宋体" w:hAnsi="宋体" w:cs="宋体"/>
          <w:sz w:val="28"/>
          <w:szCs w:val="36"/>
        </w:rPr>
      </w:pPr>
      <w:r>
        <w:rPr>
          <w:rFonts w:hint="eastAsia" w:ascii="宋体" w:hAnsi="宋体" w:cs="宋体"/>
          <w:sz w:val="28"/>
          <w:szCs w:val="36"/>
        </w:rPr>
        <w:t>1.本项目招标文件；</w:t>
      </w:r>
    </w:p>
    <w:p>
      <w:pPr>
        <w:ind w:firstLine="560" w:firstLineChars="200"/>
        <w:rPr>
          <w:rFonts w:ascii="宋体" w:hAnsi="宋体" w:cs="宋体"/>
          <w:sz w:val="28"/>
          <w:szCs w:val="36"/>
        </w:rPr>
      </w:pPr>
      <w:r>
        <w:rPr>
          <w:rFonts w:hint="eastAsia" w:ascii="宋体" w:hAnsi="宋体" w:cs="宋体"/>
          <w:sz w:val="28"/>
          <w:szCs w:val="36"/>
        </w:rPr>
        <w:t>2.《建设工程工程量清单计价规范》（GB50500-2013）、《房屋建筑与装饰工程工程量计算规范》（GB50854－2013）、《通用安装工程工程量计算规范》（GB50856－2013）、《市政工程工程量计算规范》（GB50857－2013）、《园林绿化工程工程量计算规范》（GB50858－2013）</w:t>
      </w:r>
      <w:r>
        <w:rPr>
          <w:rFonts w:hint="eastAsia" w:ascii="宋体" w:hAnsi="宋体" w:cs="宋体"/>
          <w:sz w:val="28"/>
          <w:szCs w:val="36"/>
          <w:lang w:eastAsia="zh-CN"/>
        </w:rPr>
        <w:t>、</w:t>
      </w:r>
      <w:r>
        <w:rPr>
          <w:rFonts w:hint="eastAsia" w:cs="宋体"/>
          <w:sz w:val="28"/>
          <w:szCs w:val="28"/>
          <w:lang w:eastAsia="zh-CN"/>
        </w:rPr>
        <w:t>《</w:t>
      </w:r>
      <w:r>
        <w:rPr>
          <w:rFonts w:hint="eastAsia" w:cs="宋体"/>
          <w:sz w:val="28"/>
          <w:szCs w:val="28"/>
        </w:rPr>
        <w:t>湖北省房屋</w:t>
      </w:r>
      <w:r>
        <w:rPr>
          <w:rFonts w:hint="eastAsia" w:cs="宋体"/>
          <w:sz w:val="28"/>
          <w:szCs w:val="28"/>
          <w:lang w:val="en-US" w:eastAsia="zh-CN"/>
        </w:rPr>
        <w:t>修缮</w:t>
      </w:r>
      <w:r>
        <w:rPr>
          <w:rFonts w:hint="eastAsia" w:cs="宋体"/>
          <w:sz w:val="28"/>
          <w:szCs w:val="28"/>
        </w:rPr>
        <w:t>工程消耗量定额及全费用基价表</w:t>
      </w:r>
      <w:r>
        <w:rPr>
          <w:rFonts w:hint="eastAsia" w:ascii="宋体" w:hAnsi="宋体" w:cs="宋体"/>
          <w:sz w:val="28"/>
          <w:szCs w:val="36"/>
          <w:lang w:eastAsia="zh-CN"/>
        </w:rPr>
        <w:t>（</w:t>
      </w:r>
      <w:r>
        <w:rPr>
          <w:rFonts w:hint="eastAsia" w:ascii="宋体" w:hAnsi="宋体" w:cs="宋体"/>
          <w:sz w:val="28"/>
          <w:szCs w:val="36"/>
          <w:lang w:val="en-US" w:eastAsia="zh-CN"/>
        </w:rPr>
        <w:t>2019</w:t>
      </w:r>
      <w:r>
        <w:rPr>
          <w:rFonts w:hint="eastAsia" w:ascii="宋体" w:hAnsi="宋体" w:cs="宋体"/>
          <w:sz w:val="28"/>
          <w:szCs w:val="36"/>
          <w:lang w:eastAsia="zh-CN"/>
        </w:rPr>
        <w:t>）</w:t>
      </w:r>
      <w:r>
        <w:rPr>
          <w:rFonts w:hint="eastAsia" w:cs="宋体"/>
          <w:sz w:val="28"/>
          <w:szCs w:val="28"/>
        </w:rPr>
        <w:t>》</w:t>
      </w:r>
      <w:r>
        <w:rPr>
          <w:rFonts w:hint="eastAsia" w:ascii="宋体" w:hAnsi="宋体" w:cs="宋体"/>
          <w:sz w:val="28"/>
          <w:szCs w:val="36"/>
        </w:rPr>
        <w:t>；</w:t>
      </w:r>
    </w:p>
    <w:p>
      <w:pPr>
        <w:ind w:firstLine="560" w:firstLineChars="200"/>
        <w:rPr>
          <w:rFonts w:hint="eastAsia" w:ascii="宋体" w:hAnsi="宋体" w:cs="宋体"/>
          <w:sz w:val="28"/>
          <w:szCs w:val="36"/>
        </w:rPr>
      </w:pPr>
      <w:r>
        <w:rPr>
          <w:rFonts w:hint="eastAsia" w:ascii="宋体" w:hAnsi="宋体" w:cs="宋体"/>
          <w:sz w:val="28"/>
          <w:szCs w:val="36"/>
        </w:rPr>
        <w:t>3.</w:t>
      </w:r>
      <w:r>
        <w:rPr>
          <w:rFonts w:hint="eastAsia" w:ascii="宋体" w:hAnsi="宋体" w:cs="宋体"/>
          <w:sz w:val="28"/>
          <w:szCs w:val="36"/>
          <w:lang w:val="en-US" w:eastAsia="zh-CN"/>
        </w:rPr>
        <w:t>委托方提供的由中塍勘察设计有限公司设计</w:t>
      </w:r>
      <w:r>
        <w:rPr>
          <w:rFonts w:hint="eastAsia" w:ascii="宋体" w:hAnsi="宋体" w:cs="宋体"/>
          <w:sz w:val="28"/>
          <w:szCs w:val="36"/>
        </w:rPr>
        <w:t>施工</w:t>
      </w:r>
      <w:r>
        <w:rPr>
          <w:rFonts w:hint="eastAsia" w:ascii="宋体" w:hAnsi="宋体" w:cs="宋体"/>
          <w:sz w:val="28"/>
          <w:szCs w:val="36"/>
          <w:lang w:val="en-US" w:eastAsia="zh-CN"/>
        </w:rPr>
        <w:t>图纸《市体校教学楼、公寓楼给水管维修》2024.09第一版</w:t>
      </w:r>
      <w:r>
        <w:rPr>
          <w:rFonts w:hint="eastAsia" w:ascii="宋体" w:hAnsi="宋体" w:cs="宋体"/>
          <w:sz w:val="28"/>
          <w:szCs w:val="36"/>
        </w:rPr>
        <w:t>；</w:t>
      </w:r>
    </w:p>
    <w:p>
      <w:pPr>
        <w:ind w:firstLine="560" w:firstLineChars="200"/>
        <w:rPr>
          <w:rFonts w:ascii="宋体" w:hAnsi="宋体" w:cs="宋体"/>
          <w:sz w:val="28"/>
          <w:szCs w:val="36"/>
        </w:rPr>
      </w:pPr>
      <w:r>
        <w:rPr>
          <w:rFonts w:hint="eastAsia" w:ascii="宋体" w:hAnsi="宋体" w:cs="宋体"/>
          <w:sz w:val="28"/>
          <w:szCs w:val="36"/>
        </w:rPr>
        <w:t>4.安全文明施工费按</w:t>
      </w:r>
      <w:r>
        <w:rPr>
          <w:rFonts w:hint="eastAsia" w:ascii="宋体" w:hAnsi="宋体" w:cs="宋体"/>
          <w:sz w:val="28"/>
          <w:szCs w:val="36"/>
          <w:lang w:val="en-US" w:eastAsia="zh-CN"/>
        </w:rPr>
        <w:t>武城建〔2023〕9号</w:t>
      </w:r>
      <w:r>
        <w:rPr>
          <w:rFonts w:hint="eastAsia" w:ascii="宋体" w:hAnsi="宋体" w:cs="宋体"/>
          <w:sz w:val="28"/>
          <w:szCs w:val="36"/>
        </w:rPr>
        <w:t>文件规定执行；</w:t>
      </w:r>
    </w:p>
    <w:p>
      <w:pPr>
        <w:ind w:firstLine="560" w:firstLineChars="200"/>
        <w:rPr>
          <w:rFonts w:ascii="宋体" w:hAnsi="宋体" w:cs="宋体"/>
          <w:sz w:val="28"/>
          <w:szCs w:val="36"/>
        </w:rPr>
      </w:pPr>
      <w:r>
        <w:rPr>
          <w:rFonts w:hint="eastAsia" w:ascii="宋体" w:hAnsi="宋体" w:cs="宋体"/>
          <w:sz w:val="28"/>
          <w:szCs w:val="36"/>
        </w:rPr>
        <w:t>5.税金按鄂建办〔2019〕93号文件规定执行；</w:t>
      </w:r>
    </w:p>
    <w:p>
      <w:pPr>
        <w:ind w:firstLine="560" w:firstLineChars="200"/>
        <w:rPr>
          <w:rFonts w:ascii="宋体" w:hAnsi="宋体" w:cs="宋体"/>
          <w:sz w:val="28"/>
          <w:szCs w:val="36"/>
        </w:rPr>
      </w:pPr>
      <w:r>
        <w:rPr>
          <w:rFonts w:hint="eastAsia" w:ascii="宋体" w:hAnsi="宋体" w:cs="宋体"/>
          <w:sz w:val="28"/>
          <w:szCs w:val="36"/>
        </w:rPr>
        <w:t>6.建筑工程施工及验收规范、技术操作规程、安全操作规程、文明施工的有关政策性法规、施工资料和其它参考资料。</w:t>
      </w:r>
    </w:p>
    <w:p>
      <w:pPr>
        <w:ind w:firstLine="560" w:firstLineChars="200"/>
        <w:rPr>
          <w:rFonts w:ascii="宋体" w:hAnsi="宋体" w:cs="宋体"/>
          <w:sz w:val="28"/>
          <w:szCs w:val="36"/>
        </w:rPr>
      </w:pPr>
      <w:r>
        <w:rPr>
          <w:rFonts w:hint="eastAsia" w:ascii="宋体" w:hAnsi="宋体" w:cs="宋体"/>
          <w:sz w:val="28"/>
          <w:szCs w:val="36"/>
        </w:rPr>
        <w:t>7.清单编制过程中组织的相关会议的会议纪要、往来函件等。</w:t>
      </w:r>
    </w:p>
    <w:p>
      <w:pPr>
        <w:rPr>
          <w:rFonts w:ascii="仿宋" w:hAnsi="仿宋" w:eastAsia="仿宋" w:cs="仿宋"/>
          <w:b/>
          <w:bCs/>
          <w:sz w:val="32"/>
          <w:szCs w:val="40"/>
        </w:rPr>
      </w:pPr>
      <w:r>
        <w:rPr>
          <w:rFonts w:hint="eastAsia" w:ascii="仿宋" w:hAnsi="仿宋" w:eastAsia="仿宋" w:cs="仿宋"/>
          <w:b/>
          <w:bCs/>
          <w:sz w:val="32"/>
          <w:szCs w:val="40"/>
        </w:rPr>
        <w:t>三、填写说明</w:t>
      </w:r>
    </w:p>
    <w:p>
      <w:pPr>
        <w:ind w:firstLine="560" w:firstLineChars="200"/>
        <w:rPr>
          <w:rFonts w:ascii="宋体" w:hAnsi="宋体" w:cs="宋体"/>
          <w:sz w:val="28"/>
          <w:szCs w:val="36"/>
        </w:rPr>
      </w:pPr>
      <w:r>
        <w:rPr>
          <w:rFonts w:hint="eastAsia" w:ascii="宋体" w:hAnsi="宋体" w:cs="宋体"/>
          <w:sz w:val="28"/>
          <w:szCs w:val="36"/>
        </w:rPr>
        <w:t>1、本[工程量清单]为招标文件的组成部分，一经中标且签订合同，即成为合同的组成部分。</w:t>
      </w:r>
    </w:p>
    <w:p>
      <w:pPr>
        <w:ind w:firstLine="560" w:firstLineChars="200"/>
        <w:rPr>
          <w:rFonts w:ascii="宋体" w:hAnsi="宋体" w:cs="宋体"/>
          <w:sz w:val="28"/>
          <w:szCs w:val="36"/>
        </w:rPr>
      </w:pPr>
      <w:r>
        <w:rPr>
          <w:rFonts w:hint="eastAsia" w:ascii="宋体" w:hAnsi="宋体" w:cs="宋体"/>
          <w:sz w:val="28"/>
          <w:szCs w:val="36"/>
        </w:rPr>
        <w:t>2、本[工程量清单]应与投标人须知及前附表、合同通用条款、合同专用条款、技术规范、图纸、对招标文件的答疑补遗文件结合起来仔细阅读、理解、或解释。</w:t>
      </w:r>
    </w:p>
    <w:p>
      <w:pPr>
        <w:ind w:firstLine="560" w:firstLineChars="200"/>
        <w:rPr>
          <w:rFonts w:ascii="宋体" w:hAnsi="宋体" w:cs="宋体"/>
          <w:sz w:val="28"/>
          <w:szCs w:val="36"/>
        </w:rPr>
      </w:pPr>
      <w:r>
        <w:rPr>
          <w:rFonts w:hint="eastAsia" w:ascii="宋体" w:hAnsi="宋体" w:cs="宋体"/>
          <w:sz w:val="28"/>
          <w:szCs w:val="36"/>
        </w:rPr>
        <w:t>3、本[工程量清单]遵循GB50500-2013《建设工程工程量清单计价规范》进行编制，不经特别说明其各细目计量单位、工程量计算规则、包含的内容均与上述计价规范相一致。</w:t>
      </w:r>
    </w:p>
    <w:p>
      <w:pPr>
        <w:ind w:firstLine="560" w:firstLineChars="200"/>
        <w:rPr>
          <w:rFonts w:ascii="宋体" w:hAnsi="宋体" w:cs="宋体"/>
          <w:sz w:val="28"/>
          <w:szCs w:val="36"/>
        </w:rPr>
      </w:pPr>
      <w:r>
        <w:rPr>
          <w:rFonts w:hint="eastAsia" w:ascii="宋体" w:hAnsi="宋体" w:cs="宋体"/>
          <w:sz w:val="28"/>
          <w:szCs w:val="36"/>
        </w:rPr>
        <w:t>4、无论工程量是否列明，[工程量清单]中的每一单项均须填写单价或合价，对投标人没有填写单价或合价的项目费用，应视为已包含在[工程量清单]的其它单价或合价之中。没有列出项目的工程费用应分配到已列出项目的单价和合价中。</w:t>
      </w:r>
    </w:p>
    <w:p>
      <w:pPr>
        <w:ind w:firstLine="560" w:firstLineChars="200"/>
        <w:rPr>
          <w:rFonts w:ascii="宋体" w:hAnsi="宋体" w:cs="宋体"/>
          <w:sz w:val="28"/>
          <w:szCs w:val="36"/>
        </w:rPr>
      </w:pPr>
      <w:r>
        <w:rPr>
          <w:rFonts w:hint="eastAsia" w:ascii="宋体" w:hAnsi="宋体" w:cs="宋体"/>
          <w:sz w:val="28"/>
          <w:szCs w:val="36"/>
        </w:rPr>
        <w:t>5、投标人应将[工程量清单]后附表填写完整，分部分项[工程量清单]分析表中应列明单价组成内容及单价，各细目报价应与单价分析表单价相同。安全防护、文明施工与环境保护费用按鄂建办[2018]27号文件及按</w:t>
      </w:r>
      <w:r>
        <w:rPr>
          <w:rFonts w:hint="eastAsia" w:ascii="宋体" w:hAnsi="宋体" w:cs="宋体"/>
          <w:sz w:val="28"/>
          <w:szCs w:val="36"/>
          <w:lang w:val="en-US" w:eastAsia="zh-CN"/>
        </w:rPr>
        <w:t>武城建〔2023〕9号</w:t>
      </w:r>
      <w:r>
        <w:rPr>
          <w:rFonts w:hint="eastAsia" w:ascii="宋体" w:hAnsi="宋体" w:cs="宋体"/>
          <w:sz w:val="28"/>
          <w:szCs w:val="36"/>
        </w:rPr>
        <w:t>文计取和实施。</w:t>
      </w:r>
    </w:p>
    <w:p>
      <w:pPr>
        <w:ind w:firstLine="560" w:firstLineChars="200"/>
        <w:rPr>
          <w:rFonts w:ascii="宋体" w:hAnsi="宋体" w:cs="宋体"/>
          <w:sz w:val="28"/>
          <w:szCs w:val="36"/>
        </w:rPr>
      </w:pPr>
      <w:r>
        <w:rPr>
          <w:rFonts w:hint="eastAsia" w:ascii="宋体" w:hAnsi="宋体" w:cs="宋体"/>
          <w:sz w:val="28"/>
          <w:szCs w:val="36"/>
        </w:rPr>
        <w:t>6、分部分项工程量清单说明：</w:t>
      </w:r>
    </w:p>
    <w:p>
      <w:pPr>
        <w:ind w:firstLine="560" w:firstLineChars="200"/>
        <w:rPr>
          <w:rFonts w:ascii="宋体" w:hAnsi="宋体" w:cs="宋体"/>
          <w:sz w:val="28"/>
          <w:szCs w:val="36"/>
        </w:rPr>
      </w:pPr>
      <w:r>
        <w:rPr>
          <w:rFonts w:hint="eastAsia" w:ascii="宋体" w:hAnsi="宋体" w:cs="宋体"/>
          <w:sz w:val="28"/>
          <w:szCs w:val="36"/>
        </w:rPr>
        <w:t>（1）本[工程量清单][项目名称]中所描述的项目特征是为了方便投标人报价根据设计图纸要求列出的，如与设计图纸有矛盾以设计图纸为准。其描述的工作内容为主要工作内容，凡工作内容中未描述的其它具体内容，由投标人按招标文件或图纸要求编制，以完成清单项目为准，综合考虑到投标报价中，将来有清单中未列的工作内容发生时，投标人不得以任何理由或借口提供索赔与调整。</w:t>
      </w:r>
    </w:p>
    <w:p>
      <w:pPr>
        <w:ind w:firstLine="560" w:firstLineChars="200"/>
        <w:rPr>
          <w:rFonts w:ascii="宋体" w:hAnsi="宋体" w:cs="宋体"/>
          <w:sz w:val="28"/>
          <w:szCs w:val="36"/>
        </w:rPr>
      </w:pPr>
      <w:r>
        <w:rPr>
          <w:rFonts w:hint="eastAsia" w:ascii="宋体" w:hAnsi="宋体" w:cs="宋体"/>
          <w:sz w:val="28"/>
          <w:szCs w:val="36"/>
        </w:rPr>
        <w:t>（2）本项目砂浆全部按预拌砂浆考虑，混凝土按商品混凝土考虑，砂浆及混凝土运距由投标人自行考虑，结算时不作调整。</w:t>
      </w:r>
    </w:p>
    <w:p>
      <w:pPr>
        <w:ind w:firstLine="560" w:firstLineChars="200"/>
        <w:rPr>
          <w:rFonts w:ascii="宋体" w:hAnsi="宋体" w:cs="宋体"/>
          <w:sz w:val="28"/>
          <w:szCs w:val="36"/>
        </w:rPr>
      </w:pPr>
      <w:r>
        <w:rPr>
          <w:rFonts w:hint="eastAsia" w:ascii="宋体" w:hAnsi="宋体" w:cs="宋体"/>
          <w:sz w:val="28"/>
          <w:szCs w:val="36"/>
        </w:rPr>
        <w:t>7、金额（价格）均应以人民币表示。</w:t>
      </w:r>
    </w:p>
    <w:p>
      <w:pPr>
        <w:rPr>
          <w:rFonts w:ascii="仿宋" w:hAnsi="仿宋" w:eastAsia="仿宋" w:cs="仿宋"/>
          <w:b/>
          <w:bCs/>
          <w:sz w:val="32"/>
          <w:szCs w:val="40"/>
        </w:rPr>
      </w:pPr>
      <w:r>
        <w:rPr>
          <w:rFonts w:hint="eastAsia" w:ascii="仿宋" w:hAnsi="仿宋" w:eastAsia="仿宋" w:cs="仿宋"/>
          <w:b/>
          <w:bCs/>
          <w:sz w:val="32"/>
          <w:szCs w:val="40"/>
        </w:rPr>
        <w:t>四、其他说明：</w:t>
      </w:r>
    </w:p>
    <w:p>
      <w:pPr>
        <w:numPr>
          <w:ilvl w:val="0"/>
          <w:numId w:val="1"/>
        </w:numPr>
        <w:spacing w:line="700" w:lineRule="exact"/>
        <w:ind w:firstLine="560"/>
        <w:rPr>
          <w:rFonts w:ascii="宋体" w:hAnsi="宋体" w:cs="宋体"/>
          <w:sz w:val="28"/>
          <w:szCs w:val="28"/>
        </w:rPr>
      </w:pPr>
      <w:r>
        <w:rPr>
          <w:rFonts w:hint="eastAsia" w:ascii="宋体" w:hAnsi="宋体" w:cs="宋体"/>
          <w:sz w:val="28"/>
          <w:szCs w:val="28"/>
        </w:rPr>
        <w:t>本项目采取综合单价计价模式；</w:t>
      </w:r>
    </w:p>
    <w:p>
      <w:pPr>
        <w:numPr>
          <w:ilvl w:val="0"/>
          <w:numId w:val="1"/>
        </w:numPr>
        <w:spacing w:line="700" w:lineRule="exact"/>
        <w:ind w:firstLine="560" w:firstLineChars="200"/>
        <w:rPr>
          <w:rFonts w:ascii="宋体" w:hAnsi="宋体" w:cs="宋体"/>
          <w:sz w:val="28"/>
          <w:szCs w:val="28"/>
        </w:rPr>
      </w:pPr>
      <w:r>
        <w:rPr>
          <w:rFonts w:hint="eastAsia" w:ascii="Arial" w:hAnsi="宋体" w:cs="Arial"/>
          <w:sz w:val="28"/>
          <w:szCs w:val="28"/>
        </w:rPr>
        <w:t>安全防护、文明施工与环境保护为工程开工至竣工验收期间的全部费用；包含因受业</w:t>
      </w:r>
      <w:r>
        <w:rPr>
          <w:rFonts w:hint="eastAsia"/>
          <w:sz w:val="28"/>
          <w:szCs w:val="28"/>
        </w:rPr>
        <w:t>主拆迁影响局部工程进度所增加的安全防护、文明施工</w:t>
      </w:r>
      <w:r>
        <w:rPr>
          <w:rFonts w:hint="eastAsia" w:ascii="Arial" w:hAnsi="宋体" w:cs="Arial"/>
          <w:sz w:val="28"/>
          <w:szCs w:val="28"/>
        </w:rPr>
        <w:t>与环境保护费用</w:t>
      </w:r>
      <w:r>
        <w:rPr>
          <w:rFonts w:hint="eastAsia" w:ascii="宋体" w:hAnsi="宋体" w:cs="宋体"/>
          <w:sz w:val="28"/>
          <w:szCs w:val="28"/>
        </w:rPr>
        <w:t>；</w:t>
      </w:r>
    </w:p>
    <w:p>
      <w:pPr>
        <w:numPr>
          <w:ilvl w:val="0"/>
          <w:numId w:val="1"/>
        </w:numPr>
        <w:spacing w:line="700" w:lineRule="exact"/>
        <w:ind w:firstLine="560"/>
        <w:rPr>
          <w:rFonts w:hint="eastAsia" w:ascii="宋体" w:hAnsi="宋体" w:cs="宋体"/>
          <w:sz w:val="28"/>
          <w:szCs w:val="28"/>
        </w:rPr>
      </w:pPr>
      <w:r>
        <w:rPr>
          <w:rFonts w:hint="eastAsia" w:ascii="宋体" w:hAnsi="宋体" w:cs="宋体"/>
          <w:sz w:val="28"/>
          <w:szCs w:val="28"/>
        </w:rPr>
        <w:t>施工临时用水、电费用</w:t>
      </w:r>
      <w:r>
        <w:rPr>
          <w:rFonts w:hint="eastAsia" w:ascii="宋体" w:hAnsi="宋体" w:cs="宋体"/>
          <w:sz w:val="28"/>
          <w:szCs w:val="28"/>
          <w:lang w:eastAsia="zh-CN"/>
        </w:rPr>
        <w:t>、</w:t>
      </w:r>
      <w:r>
        <w:rPr>
          <w:rFonts w:hint="eastAsia" w:ascii="宋体" w:hAnsi="宋体" w:cs="宋体"/>
          <w:sz w:val="28"/>
          <w:szCs w:val="28"/>
          <w:lang w:val="en-US" w:eastAsia="zh-CN"/>
        </w:rPr>
        <w:t>材料二次搬运及</w:t>
      </w:r>
      <w:r>
        <w:rPr>
          <w:rFonts w:hint="eastAsia" w:ascii="宋体" w:hAnsi="宋体" w:cs="宋体"/>
          <w:sz w:val="28"/>
          <w:szCs w:val="28"/>
        </w:rPr>
        <w:t>施工成品保护费用由投标人自行考虑，</w:t>
      </w:r>
      <w:r>
        <w:rPr>
          <w:rFonts w:hint="eastAsia" w:ascii="宋体" w:hAnsi="宋体" w:cs="宋体"/>
          <w:sz w:val="28"/>
          <w:szCs w:val="28"/>
          <w:lang w:val="en-US" w:eastAsia="zh-CN"/>
        </w:rPr>
        <w:t>除已列明的措施项外，其余各类措施等，</w:t>
      </w:r>
      <w:r>
        <w:rPr>
          <w:rFonts w:hint="eastAsia" w:ascii="宋体" w:hAnsi="宋体" w:cs="宋体"/>
          <w:sz w:val="28"/>
          <w:szCs w:val="28"/>
        </w:rPr>
        <w:t>费用</w:t>
      </w:r>
      <w:r>
        <w:rPr>
          <w:rFonts w:hint="eastAsia" w:ascii="宋体" w:hAnsi="宋体" w:cs="宋体"/>
          <w:sz w:val="28"/>
          <w:szCs w:val="28"/>
          <w:lang w:val="en-US" w:eastAsia="zh-CN"/>
        </w:rPr>
        <w:t>均</w:t>
      </w:r>
      <w:r>
        <w:rPr>
          <w:rFonts w:hint="eastAsia" w:ascii="宋体" w:hAnsi="宋体" w:cs="宋体"/>
          <w:sz w:val="28"/>
          <w:szCs w:val="28"/>
        </w:rPr>
        <w:t>包括在相应的清单子目中</w:t>
      </w:r>
      <w:r>
        <w:rPr>
          <w:rFonts w:hint="eastAsia" w:ascii="宋体" w:hAnsi="宋体" w:cs="宋体"/>
          <w:sz w:val="28"/>
          <w:szCs w:val="28"/>
          <w:lang w:val="en-US" w:eastAsia="zh-CN"/>
        </w:rPr>
        <w:t>考虑</w:t>
      </w:r>
      <w:r>
        <w:rPr>
          <w:rFonts w:hint="eastAsia" w:ascii="宋体" w:hAnsi="宋体" w:cs="宋体"/>
          <w:sz w:val="28"/>
          <w:szCs w:val="28"/>
        </w:rPr>
        <w:t>，招标人不再单独计价，结算时亦不予调整；</w:t>
      </w:r>
    </w:p>
    <w:p>
      <w:pPr>
        <w:numPr>
          <w:ilvl w:val="0"/>
          <w:numId w:val="1"/>
        </w:numPr>
        <w:spacing w:line="700" w:lineRule="exact"/>
        <w:ind w:firstLine="560"/>
        <w:rPr>
          <w:rFonts w:hint="eastAsia" w:ascii="宋体" w:hAnsi="宋体" w:cs="宋体"/>
          <w:sz w:val="28"/>
          <w:szCs w:val="28"/>
        </w:rPr>
      </w:pPr>
      <w:r>
        <w:rPr>
          <w:rFonts w:hint="eastAsia" w:ascii="宋体" w:hAnsi="宋体" w:cs="宋体"/>
          <w:sz w:val="28"/>
          <w:szCs w:val="28"/>
        </w:rPr>
        <w:t>本工程</w:t>
      </w:r>
      <w:r>
        <w:rPr>
          <w:rFonts w:hint="eastAsia" w:ascii="宋体" w:hAnsi="宋体" w:cs="宋体"/>
          <w:sz w:val="28"/>
          <w:szCs w:val="28"/>
          <w:lang w:val="en-US" w:eastAsia="zh-CN"/>
        </w:rPr>
        <w:t>不计取工程排污费；</w:t>
      </w:r>
    </w:p>
    <w:p>
      <w:pPr>
        <w:numPr>
          <w:ilvl w:val="0"/>
          <w:numId w:val="1"/>
        </w:numPr>
        <w:spacing w:line="700" w:lineRule="exact"/>
        <w:ind w:firstLine="560"/>
        <w:rPr>
          <w:rFonts w:hint="eastAsia" w:ascii="宋体" w:hAnsi="宋体" w:cs="宋体"/>
          <w:sz w:val="28"/>
          <w:szCs w:val="28"/>
        </w:rPr>
      </w:pPr>
      <w:r>
        <w:rPr>
          <w:rFonts w:hint="eastAsia" w:ascii="宋体" w:hAnsi="宋体" w:cs="宋体"/>
          <w:sz w:val="28"/>
          <w:szCs w:val="28"/>
        </w:rPr>
        <w:t>本工程</w:t>
      </w:r>
      <w:r>
        <w:rPr>
          <w:rFonts w:hint="eastAsia" w:ascii="宋体" w:hAnsi="宋体" w:cs="宋体"/>
          <w:sz w:val="28"/>
          <w:szCs w:val="28"/>
          <w:lang w:val="en-US" w:eastAsia="zh-CN"/>
        </w:rPr>
        <w:t>未</w:t>
      </w:r>
      <w:r>
        <w:rPr>
          <w:rFonts w:hint="eastAsia" w:ascii="宋体" w:hAnsi="宋体" w:cs="宋体"/>
          <w:sz w:val="28"/>
          <w:szCs w:val="28"/>
        </w:rPr>
        <w:t>设置专业工程暂估价</w:t>
      </w:r>
      <w:r>
        <w:rPr>
          <w:rFonts w:hint="eastAsia" w:ascii="宋体" w:hAnsi="宋体" w:cs="宋体"/>
          <w:sz w:val="28"/>
          <w:szCs w:val="28"/>
          <w:lang w:eastAsia="zh-CN"/>
        </w:rPr>
        <w:t>；</w:t>
      </w:r>
      <w:r>
        <w:rPr>
          <w:rFonts w:hint="eastAsia" w:ascii="宋体" w:hAnsi="宋体" w:cs="宋体"/>
          <w:sz w:val="28"/>
          <w:szCs w:val="28"/>
          <w:lang w:val="en-US" w:eastAsia="zh-CN"/>
        </w:rPr>
        <w:t xml:space="preserve"> </w:t>
      </w:r>
    </w:p>
    <w:p>
      <w:pPr>
        <w:numPr>
          <w:ilvl w:val="0"/>
          <w:numId w:val="1"/>
        </w:numPr>
        <w:spacing w:line="700" w:lineRule="exact"/>
        <w:ind w:firstLine="560"/>
        <w:rPr>
          <w:rFonts w:hint="eastAsia" w:ascii="宋体" w:hAnsi="宋体" w:cs="宋体"/>
          <w:sz w:val="28"/>
          <w:szCs w:val="28"/>
        </w:rPr>
      </w:pPr>
      <w:r>
        <w:rPr>
          <w:rFonts w:hint="eastAsia" w:ascii="宋体" w:hAnsi="宋体" w:cs="宋体"/>
          <w:sz w:val="28"/>
          <w:szCs w:val="28"/>
        </w:rPr>
        <w:t>本工程</w:t>
      </w:r>
      <w:r>
        <w:rPr>
          <w:rFonts w:hint="eastAsia" w:ascii="宋体" w:hAnsi="宋体" w:cs="宋体"/>
          <w:sz w:val="28"/>
          <w:szCs w:val="28"/>
          <w:lang w:val="en-US" w:eastAsia="zh-CN"/>
        </w:rPr>
        <w:t>未</w:t>
      </w:r>
      <w:r>
        <w:rPr>
          <w:rFonts w:hint="eastAsia" w:ascii="宋体" w:hAnsi="宋体" w:cs="宋体"/>
          <w:sz w:val="28"/>
          <w:szCs w:val="28"/>
        </w:rPr>
        <w:t>设置暂列金；</w:t>
      </w:r>
    </w:p>
    <w:p>
      <w:pPr>
        <w:numPr>
          <w:ilvl w:val="0"/>
          <w:numId w:val="1"/>
        </w:numPr>
        <w:spacing w:line="700" w:lineRule="exact"/>
        <w:ind w:firstLine="560"/>
        <w:rPr>
          <w:rFonts w:hint="eastAsia" w:ascii="宋体" w:hAnsi="宋体" w:cs="宋体"/>
          <w:sz w:val="28"/>
          <w:szCs w:val="28"/>
          <w:lang w:val="en-US" w:eastAsia="zh-CN"/>
        </w:rPr>
      </w:pPr>
      <w:r>
        <w:rPr>
          <w:rFonts w:hint="eastAsia" w:ascii="宋体" w:hAnsi="宋体" w:cs="宋体"/>
          <w:sz w:val="28"/>
          <w:szCs w:val="28"/>
          <w:lang w:val="en-US" w:eastAsia="zh-CN"/>
        </w:rPr>
        <w:t>未尽事宜参照本项目清单。</w:t>
      </w:r>
    </w:p>
    <w:p>
      <w:pPr>
        <w:numPr>
          <w:ilvl w:val="0"/>
          <w:numId w:val="0"/>
        </w:numPr>
        <w:spacing w:line="700" w:lineRule="exact"/>
        <w:ind w:left="630" w:leftChars="0"/>
        <w:rPr>
          <w:rFonts w:hint="eastAsia" w:ascii="Arial" w:hAnsi="宋体" w:eastAsia="宋体" w:cs="Arial"/>
          <w:sz w:val="28"/>
          <w:szCs w:val="28"/>
          <w:lang w:val="en-US" w:eastAsia="zh-CN"/>
        </w:rPr>
      </w:pPr>
    </w:p>
    <w:p>
      <w:pPr>
        <w:spacing w:line="578" w:lineRule="exact"/>
        <w:jc w:val="right"/>
        <w:rPr>
          <w:rFonts w:hint="eastAsia" w:ascii="仿宋" w:hAnsi="仿宋" w:eastAsia="仿宋" w:cs="仿宋"/>
          <w:b/>
          <w:bCs/>
          <w:sz w:val="32"/>
          <w:szCs w:val="40"/>
          <w:lang w:val="en-US" w:eastAsia="zh-CN"/>
        </w:rPr>
      </w:pPr>
      <w:r>
        <w:rPr>
          <w:rFonts w:hint="eastAsia" w:ascii="宋体" w:hAnsi="宋体" w:eastAsia="仿宋" w:cs="宋体"/>
          <w:sz w:val="28"/>
          <w:szCs w:val="28"/>
          <w:lang w:val="en-US" w:eastAsia="zh-CN"/>
        </w:rPr>
        <w:t xml:space="preserve"> </w:t>
      </w:r>
    </w:p>
    <w:sectPr>
      <w:pgSz w:w="11906" w:h="16838"/>
      <w:pgMar w:top="1157" w:right="1800" w:bottom="1157"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隶书">
    <w:panose1 w:val="02010509060101010101"/>
    <w:charset w:val="86"/>
    <w:family w:val="modern"/>
    <w:pitch w:val="default"/>
    <w:sig w:usb0="00000001" w:usb1="080E0000" w:usb2="00000000" w:usb3="00000000" w:csb0="00040000" w:csb1="00000000"/>
  </w:font>
  <w:font w:name="新宋体">
    <w:panose1 w:val="02010609030101010101"/>
    <w:charset w:val="86"/>
    <w:family w:val="modern"/>
    <w:pitch w:val="default"/>
    <w:sig w:usb0="00000203" w:usb1="288F0000" w:usb2="00000006" w:usb3="00000000" w:csb0="00040001"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CCB0695"/>
    <w:multiLevelType w:val="singleLevel"/>
    <w:tmpl w:val="9CCB0695"/>
    <w:lvl w:ilvl="0" w:tentative="0">
      <w:start w:val="1"/>
      <w:numFmt w:val="decimal"/>
      <w:suff w:val="nothing"/>
      <w:lvlText w:val="%1、"/>
      <w:lvlJc w:val="left"/>
      <w:pPr>
        <w:ind w:left="7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ZTY4ZDdjZmM0MjdkYzdjNWY1ZmJiN2M2OWJjYjI5OGEifQ=="/>
    <w:docVar w:name="KSO_WPS_MARK_KEY" w:val="c5f19ce2-5b76-41b3-a17d-1eadaabe96d8"/>
  </w:docVars>
  <w:rsids>
    <w:rsidRoot w:val="77990E30"/>
    <w:rsid w:val="002B5239"/>
    <w:rsid w:val="006B6F98"/>
    <w:rsid w:val="006D707E"/>
    <w:rsid w:val="00EE4BFF"/>
    <w:rsid w:val="01487061"/>
    <w:rsid w:val="03147471"/>
    <w:rsid w:val="0353588E"/>
    <w:rsid w:val="03553573"/>
    <w:rsid w:val="036F7956"/>
    <w:rsid w:val="04502786"/>
    <w:rsid w:val="057769B6"/>
    <w:rsid w:val="064207D2"/>
    <w:rsid w:val="070A14EB"/>
    <w:rsid w:val="07422776"/>
    <w:rsid w:val="0788465B"/>
    <w:rsid w:val="07A67051"/>
    <w:rsid w:val="07B96DAC"/>
    <w:rsid w:val="089533C5"/>
    <w:rsid w:val="089912FD"/>
    <w:rsid w:val="08C713A2"/>
    <w:rsid w:val="08F038D9"/>
    <w:rsid w:val="099472E7"/>
    <w:rsid w:val="099E225B"/>
    <w:rsid w:val="0A850688"/>
    <w:rsid w:val="0B8A723A"/>
    <w:rsid w:val="0CF1404F"/>
    <w:rsid w:val="0D725D7E"/>
    <w:rsid w:val="0E67577A"/>
    <w:rsid w:val="10717306"/>
    <w:rsid w:val="10A10639"/>
    <w:rsid w:val="10B07C8E"/>
    <w:rsid w:val="110F7B9B"/>
    <w:rsid w:val="121960D7"/>
    <w:rsid w:val="122F6430"/>
    <w:rsid w:val="13F75933"/>
    <w:rsid w:val="16F5513D"/>
    <w:rsid w:val="17A50777"/>
    <w:rsid w:val="17C14B5E"/>
    <w:rsid w:val="198B3006"/>
    <w:rsid w:val="19A82C63"/>
    <w:rsid w:val="1A947142"/>
    <w:rsid w:val="1DAC1848"/>
    <w:rsid w:val="1DAE06C0"/>
    <w:rsid w:val="1DF779ED"/>
    <w:rsid w:val="1EF60EC5"/>
    <w:rsid w:val="1EFB7163"/>
    <w:rsid w:val="1F130856"/>
    <w:rsid w:val="1FB65DB1"/>
    <w:rsid w:val="206A21FD"/>
    <w:rsid w:val="209E0AFE"/>
    <w:rsid w:val="20C4530B"/>
    <w:rsid w:val="2129151B"/>
    <w:rsid w:val="21AC317A"/>
    <w:rsid w:val="21FF76FA"/>
    <w:rsid w:val="22291C97"/>
    <w:rsid w:val="22BD7457"/>
    <w:rsid w:val="22C57AF1"/>
    <w:rsid w:val="22F03876"/>
    <w:rsid w:val="23683569"/>
    <w:rsid w:val="23D51D8C"/>
    <w:rsid w:val="240D1FDA"/>
    <w:rsid w:val="240E0895"/>
    <w:rsid w:val="24D339AE"/>
    <w:rsid w:val="2567226A"/>
    <w:rsid w:val="25DC68F5"/>
    <w:rsid w:val="263D055F"/>
    <w:rsid w:val="26E12239"/>
    <w:rsid w:val="27422CAC"/>
    <w:rsid w:val="27AD42A5"/>
    <w:rsid w:val="27E51E41"/>
    <w:rsid w:val="285C326E"/>
    <w:rsid w:val="28940A08"/>
    <w:rsid w:val="2927509F"/>
    <w:rsid w:val="2A0E191B"/>
    <w:rsid w:val="2A263D01"/>
    <w:rsid w:val="2A77613D"/>
    <w:rsid w:val="2ACF5F1F"/>
    <w:rsid w:val="2ADF10D7"/>
    <w:rsid w:val="2B083DD4"/>
    <w:rsid w:val="2BD93741"/>
    <w:rsid w:val="2C5355B1"/>
    <w:rsid w:val="2E973093"/>
    <w:rsid w:val="2F025EC6"/>
    <w:rsid w:val="2FDF296B"/>
    <w:rsid w:val="317E24A7"/>
    <w:rsid w:val="32DD79F5"/>
    <w:rsid w:val="33492641"/>
    <w:rsid w:val="335B7854"/>
    <w:rsid w:val="341F2F98"/>
    <w:rsid w:val="35DD6E91"/>
    <w:rsid w:val="364A01CA"/>
    <w:rsid w:val="374B3053"/>
    <w:rsid w:val="375515D6"/>
    <w:rsid w:val="37E961A0"/>
    <w:rsid w:val="37FA4C9E"/>
    <w:rsid w:val="38197521"/>
    <w:rsid w:val="383A225C"/>
    <w:rsid w:val="38A72A49"/>
    <w:rsid w:val="3B0A6652"/>
    <w:rsid w:val="3B985273"/>
    <w:rsid w:val="3BA22F0D"/>
    <w:rsid w:val="3C027831"/>
    <w:rsid w:val="3D57121A"/>
    <w:rsid w:val="3E1A70B4"/>
    <w:rsid w:val="3E814C1B"/>
    <w:rsid w:val="3E8B1D5F"/>
    <w:rsid w:val="3EF6655D"/>
    <w:rsid w:val="3FFD0A3B"/>
    <w:rsid w:val="40640ABA"/>
    <w:rsid w:val="40DB6D40"/>
    <w:rsid w:val="40DE4D0F"/>
    <w:rsid w:val="40F939CB"/>
    <w:rsid w:val="41013E5A"/>
    <w:rsid w:val="42995231"/>
    <w:rsid w:val="42ED2FE9"/>
    <w:rsid w:val="453F7E94"/>
    <w:rsid w:val="460E78AE"/>
    <w:rsid w:val="46A80619"/>
    <w:rsid w:val="47837A9B"/>
    <w:rsid w:val="47867FCE"/>
    <w:rsid w:val="49BF02CB"/>
    <w:rsid w:val="4C1E7AC5"/>
    <w:rsid w:val="4C901A87"/>
    <w:rsid w:val="4E616B17"/>
    <w:rsid w:val="4EC866B8"/>
    <w:rsid w:val="4ED10F45"/>
    <w:rsid w:val="4F8545A9"/>
    <w:rsid w:val="50331BA7"/>
    <w:rsid w:val="52892CF5"/>
    <w:rsid w:val="52A631B4"/>
    <w:rsid w:val="52BA55E1"/>
    <w:rsid w:val="535F29EA"/>
    <w:rsid w:val="53DB61D6"/>
    <w:rsid w:val="554F368F"/>
    <w:rsid w:val="55545149"/>
    <w:rsid w:val="563F1955"/>
    <w:rsid w:val="577F432C"/>
    <w:rsid w:val="578541E1"/>
    <w:rsid w:val="582038F6"/>
    <w:rsid w:val="58A32001"/>
    <w:rsid w:val="59390251"/>
    <w:rsid w:val="596D67DA"/>
    <w:rsid w:val="59955795"/>
    <w:rsid w:val="5A831027"/>
    <w:rsid w:val="5B0F6659"/>
    <w:rsid w:val="5B202C8F"/>
    <w:rsid w:val="5B651E41"/>
    <w:rsid w:val="5BC008DF"/>
    <w:rsid w:val="5C9A322F"/>
    <w:rsid w:val="5D3844AF"/>
    <w:rsid w:val="5E24732F"/>
    <w:rsid w:val="5EBF1885"/>
    <w:rsid w:val="5F7664AA"/>
    <w:rsid w:val="5F940401"/>
    <w:rsid w:val="5FA30F80"/>
    <w:rsid w:val="5FD53367"/>
    <w:rsid w:val="5FE0580B"/>
    <w:rsid w:val="6129286B"/>
    <w:rsid w:val="624A338B"/>
    <w:rsid w:val="626F46D2"/>
    <w:rsid w:val="630D62FE"/>
    <w:rsid w:val="64A2063F"/>
    <w:rsid w:val="675065D4"/>
    <w:rsid w:val="676440CC"/>
    <w:rsid w:val="67732E00"/>
    <w:rsid w:val="67B60CEB"/>
    <w:rsid w:val="67FA5311"/>
    <w:rsid w:val="68785923"/>
    <w:rsid w:val="687F1860"/>
    <w:rsid w:val="68DC1ACC"/>
    <w:rsid w:val="69F26881"/>
    <w:rsid w:val="6B522E4A"/>
    <w:rsid w:val="6C24428D"/>
    <w:rsid w:val="6E9817AB"/>
    <w:rsid w:val="6F72024E"/>
    <w:rsid w:val="70A304B0"/>
    <w:rsid w:val="71772BD3"/>
    <w:rsid w:val="71F25676"/>
    <w:rsid w:val="73832A2A"/>
    <w:rsid w:val="73AA26AC"/>
    <w:rsid w:val="741B36AD"/>
    <w:rsid w:val="743B64E6"/>
    <w:rsid w:val="74AC3EDE"/>
    <w:rsid w:val="75946DDA"/>
    <w:rsid w:val="75A55FD8"/>
    <w:rsid w:val="75E740AD"/>
    <w:rsid w:val="75F43D6A"/>
    <w:rsid w:val="767E6537"/>
    <w:rsid w:val="76A358A2"/>
    <w:rsid w:val="76CB1240"/>
    <w:rsid w:val="77813D18"/>
    <w:rsid w:val="779901DB"/>
    <w:rsid w:val="77990E30"/>
    <w:rsid w:val="781D1B7B"/>
    <w:rsid w:val="785C1A9B"/>
    <w:rsid w:val="78DA7896"/>
    <w:rsid w:val="792C32EC"/>
    <w:rsid w:val="797F3C93"/>
    <w:rsid w:val="79B4152D"/>
    <w:rsid w:val="79F66C26"/>
    <w:rsid w:val="7AD97898"/>
    <w:rsid w:val="7B2005B3"/>
    <w:rsid w:val="7B696C24"/>
    <w:rsid w:val="7B886B8E"/>
    <w:rsid w:val="7BC51A91"/>
    <w:rsid w:val="7C7E6484"/>
    <w:rsid w:val="7CC4457F"/>
    <w:rsid w:val="7D367352"/>
    <w:rsid w:val="7E186724"/>
    <w:rsid w:val="7EF42A2E"/>
    <w:rsid w:val="7F70026C"/>
    <w:rsid w:val="7F74591C"/>
    <w:rsid w:val="7FE61AE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3"/>
    <w:basedOn w:val="1"/>
    <w:next w:val="1"/>
    <w:unhideWhenUsed/>
    <w:qFormat/>
    <w:uiPriority w:val="9"/>
    <w:pPr>
      <w:keepNext/>
      <w:keepLines/>
      <w:outlineLvl w:val="2"/>
    </w:pPr>
    <w:rPr>
      <w:b/>
      <w:bCs/>
      <w:szCs w:val="32"/>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jc w:val="left"/>
    </w:pPr>
    <w:rPr>
      <w:kern w:val="0"/>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1320</Words>
  <Characters>1412</Characters>
  <Lines>10</Lines>
  <Paragraphs>2</Paragraphs>
  <TotalTime>8</TotalTime>
  <ScaleCrop>false</ScaleCrop>
  <LinksUpToDate>false</LinksUpToDate>
  <CharactersWithSpaces>1418</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2020-08-12T12:39:00Z</dcterms:created>
  <dc:creator>1</dc:creator>
  <cp:lastModifiedBy>阿拉丁丁</cp:lastModifiedBy>
  <dcterms:modified xsi:type="dcterms:W3CDTF">2024-09-27T10:39:44Z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9407122305D149F7A058BE9514EFBD8B</vt:lpwstr>
  </property>
</Properties>
</file>