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5A57F">
      <w:pPr>
        <w:pStyle w:val="2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AC2D48F">
      <w:pPr>
        <w:pStyle w:val="28"/>
        <w:pageBreakBefore w:val="0"/>
        <w:kinsoku/>
        <w:wordWrap/>
        <w:overflowPunct/>
        <w:topLinePunct w:val="0"/>
        <w:bidi w:val="0"/>
        <w:spacing w:beforeAutospacing="0" w:afterAutospacing="0" w:line="360" w:lineRule="auto"/>
        <w:textAlignment w:val="auto"/>
        <w:rPr>
          <w:rFonts w:hint="eastAsia" w:ascii="宋体" w:hAnsi="宋体" w:eastAsia="宋体" w:cs="宋体"/>
          <w:sz w:val="28"/>
          <w:szCs w:val="28"/>
        </w:rPr>
      </w:pPr>
    </w:p>
    <w:p w14:paraId="1EA85F00">
      <w:pPr>
        <w:pStyle w:val="28"/>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36"/>
          <w:szCs w:val="36"/>
        </w:rPr>
      </w:pPr>
      <w:r>
        <w:rPr>
          <w:rFonts w:hint="eastAsia" w:eastAsia="宋体" w:cs="宋体"/>
          <w:sz w:val="36"/>
          <w:szCs w:val="36"/>
          <w:highlight w:val="none"/>
          <w:lang w:eastAsia="zh-CN"/>
        </w:rPr>
        <w:t>吉林大学口腔医院</w:t>
      </w:r>
      <w:r>
        <w:rPr>
          <w:rFonts w:hint="eastAsia" w:ascii="宋体" w:hAnsi="宋体" w:eastAsia="宋体" w:cs="宋体"/>
          <w:sz w:val="36"/>
          <w:szCs w:val="36"/>
          <w:highlight w:val="none"/>
        </w:rPr>
        <w:t>诊疗环境修缮改造项目——加压调蓄设施及医用</w:t>
      </w:r>
      <w:r>
        <w:rPr>
          <w:rFonts w:hint="eastAsia" w:ascii="宋体" w:hAnsi="宋体" w:eastAsia="宋体" w:cs="宋体"/>
          <w:sz w:val="36"/>
          <w:szCs w:val="36"/>
        </w:rPr>
        <w:t>电梯购置</w:t>
      </w:r>
    </w:p>
    <w:p w14:paraId="597D131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8"/>
          <w:szCs w:val="28"/>
        </w:rPr>
      </w:pPr>
    </w:p>
    <w:p w14:paraId="01D7D2C5">
      <w:pPr>
        <w:pStyle w:val="28"/>
        <w:pageBreakBefore w:val="0"/>
        <w:kinsoku/>
        <w:wordWrap/>
        <w:overflowPunct/>
        <w:topLinePunct w:val="0"/>
        <w:bidi w:val="0"/>
        <w:spacing w:beforeAutospacing="0" w:afterAutospacing="0" w:line="360" w:lineRule="auto"/>
        <w:textAlignment w:val="auto"/>
        <w:rPr>
          <w:rFonts w:hint="eastAsia" w:ascii="宋体" w:hAnsi="宋体" w:eastAsia="宋体" w:cs="宋体"/>
          <w:sz w:val="28"/>
          <w:szCs w:val="28"/>
        </w:rPr>
      </w:pPr>
    </w:p>
    <w:p w14:paraId="435DF7B3">
      <w:pPr>
        <w:pStyle w:val="28"/>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8"/>
          <w:szCs w:val="28"/>
          <w:lang w:eastAsia="zh-CN"/>
        </w:rPr>
      </w:pPr>
      <w:r>
        <w:rPr>
          <w:rFonts w:hint="eastAsia" w:eastAsia="宋体" w:cs="宋体"/>
          <w:sz w:val="28"/>
          <w:szCs w:val="28"/>
          <w:lang w:eastAsia="zh-CN"/>
        </w:rPr>
        <w:t>（</w:t>
      </w:r>
      <w:r>
        <w:rPr>
          <w:rFonts w:hint="eastAsia" w:eastAsia="宋体" w:cs="宋体"/>
          <w:sz w:val="28"/>
          <w:szCs w:val="28"/>
          <w:lang w:val="en-US" w:eastAsia="zh-CN"/>
        </w:rPr>
        <w:t>包1</w:t>
      </w:r>
      <w:r>
        <w:rPr>
          <w:rFonts w:hint="eastAsia" w:eastAsia="宋体" w:cs="宋体"/>
          <w:sz w:val="28"/>
          <w:szCs w:val="28"/>
          <w:lang w:eastAsia="zh-CN"/>
        </w:rPr>
        <w:t>）</w:t>
      </w:r>
    </w:p>
    <w:p w14:paraId="685C888F">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144"/>
          <w:szCs w:val="144"/>
        </w:rPr>
        <w:t>招标文件</w:t>
      </w:r>
    </w:p>
    <w:p w14:paraId="75AA4627">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rPr>
      </w:pPr>
    </w:p>
    <w:p w14:paraId="142CA6F6">
      <w:pPr>
        <w:pageBreakBefore w:val="0"/>
        <w:kinsoku/>
        <w:wordWrap/>
        <w:overflowPunct/>
        <w:topLinePunct w:val="0"/>
        <w:bidi w:val="0"/>
        <w:spacing w:beforeAutospacing="0" w:afterAutospacing="0" w:line="360" w:lineRule="auto"/>
        <w:jc w:val="center"/>
        <w:textAlignment w:val="auto"/>
        <w:rPr>
          <w:rFonts w:hint="eastAsia" w:cs="宋体"/>
          <w:kern w:val="1"/>
          <w:sz w:val="28"/>
          <w:szCs w:val="28"/>
          <w:lang w:val="en-US" w:eastAsia="zh-CN"/>
        </w:rPr>
      </w:pPr>
      <w:r>
        <w:rPr>
          <w:rFonts w:hint="eastAsia" w:ascii="宋体" w:hAnsi="宋体" w:eastAsia="宋体" w:cs="宋体"/>
          <w:kern w:val="1"/>
          <w:sz w:val="28"/>
          <w:szCs w:val="28"/>
        </w:rPr>
        <w:t>项目编号：JLZH-2026-0601</w:t>
      </w:r>
    </w:p>
    <w:p w14:paraId="42F80103">
      <w:pPr>
        <w:pageBreakBefore w:val="0"/>
        <w:kinsoku/>
        <w:wordWrap/>
        <w:overflowPunct/>
        <w:topLinePunct w:val="0"/>
        <w:bidi w:val="0"/>
        <w:spacing w:beforeAutospacing="0" w:afterAutospacing="0" w:line="360" w:lineRule="auto"/>
        <w:jc w:val="center"/>
        <w:textAlignment w:val="auto"/>
        <w:rPr>
          <w:rFonts w:hint="default" w:ascii="宋体" w:hAnsi="宋体" w:eastAsia="宋体" w:cs="宋体"/>
          <w:kern w:val="1"/>
          <w:sz w:val="28"/>
          <w:szCs w:val="28"/>
          <w:lang w:val="en-US" w:eastAsia="zh-CN"/>
        </w:rPr>
      </w:pPr>
      <w:r>
        <w:rPr>
          <w:rFonts w:hint="eastAsia" w:cs="宋体"/>
          <w:kern w:val="1"/>
          <w:sz w:val="28"/>
          <w:szCs w:val="28"/>
          <w:lang w:val="en-US" w:eastAsia="zh-CN"/>
        </w:rPr>
        <w:t xml:space="preserve">  标段编号：</w:t>
      </w:r>
      <w:r>
        <w:rPr>
          <w:rFonts w:hint="eastAsia" w:ascii="宋体" w:hAnsi="宋体" w:eastAsia="宋体" w:cs="宋体"/>
          <w:kern w:val="1"/>
          <w:sz w:val="28"/>
          <w:szCs w:val="28"/>
        </w:rPr>
        <w:t>JLZH-2026-0601</w:t>
      </w:r>
      <w:r>
        <w:rPr>
          <w:rFonts w:hint="eastAsia" w:cs="宋体"/>
          <w:kern w:val="1"/>
          <w:sz w:val="28"/>
          <w:szCs w:val="28"/>
          <w:lang w:val="en-US" w:eastAsia="zh-CN"/>
        </w:rPr>
        <w:t>-1</w:t>
      </w:r>
    </w:p>
    <w:p w14:paraId="7A47727E">
      <w:pPr>
        <w:pStyle w:val="28"/>
        <w:pageBreakBefore w:val="0"/>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sz w:val="28"/>
          <w:szCs w:val="28"/>
        </w:rPr>
      </w:pPr>
    </w:p>
    <w:p w14:paraId="7DB2CCF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8"/>
          <w:szCs w:val="28"/>
        </w:rPr>
      </w:pPr>
    </w:p>
    <w:p w14:paraId="5548AEEE">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采购人：吉林大学口腔医院</w:t>
      </w:r>
    </w:p>
    <w:p w14:paraId="5B894D8C">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rPr>
      </w:pPr>
    </w:p>
    <w:p w14:paraId="36D16D5B">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采购代理机构：吉林省中寰工程项目管理有限公司</w:t>
      </w:r>
    </w:p>
    <w:p w14:paraId="40DED041">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rPr>
      </w:pPr>
    </w:p>
    <w:p w14:paraId="0BBFE889">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kern w:val="1"/>
          <w:sz w:val="28"/>
          <w:szCs w:val="28"/>
        </w:rPr>
      </w:pPr>
      <w:r>
        <w:rPr>
          <w:rFonts w:hint="eastAsia" w:ascii="宋体" w:hAnsi="宋体" w:eastAsia="宋体" w:cs="宋体"/>
          <w:kern w:val="1"/>
          <w:sz w:val="28"/>
          <w:szCs w:val="28"/>
        </w:rPr>
        <w:t>2026年6月</w:t>
      </w:r>
    </w:p>
    <w:p w14:paraId="497DE45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8"/>
          <w:szCs w:val="28"/>
        </w:rPr>
      </w:pPr>
    </w:p>
    <w:p w14:paraId="5B4AFA14">
      <w:pPr>
        <w:pageBreakBefore w:val="0"/>
        <w:kinsoku/>
        <w:wordWrap/>
        <w:overflowPunct/>
        <w:topLinePunct w:val="0"/>
        <w:bidi w:val="0"/>
        <w:spacing w:beforeAutospacing="0" w:afterAutospacing="0" w:line="360" w:lineRule="auto"/>
        <w:textAlignment w:val="auto"/>
        <w:rPr>
          <w:rFonts w:hint="eastAsia" w:ascii="宋体" w:hAnsi="宋体" w:eastAsia="宋体" w:cs="宋体"/>
          <w:sz w:val="28"/>
          <w:szCs w:val="28"/>
        </w:rPr>
      </w:pPr>
      <w:r>
        <w:rPr>
          <w:rFonts w:hint="eastAsia" w:ascii="宋体" w:hAnsi="宋体" w:eastAsia="宋体" w:cs="宋体"/>
          <w:sz w:val="28"/>
          <w:szCs w:val="28"/>
        </w:rPr>
        <w:br w:type="page"/>
      </w:r>
    </w:p>
    <w:p w14:paraId="6BF4913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1335EDD">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目  录</w:t>
      </w:r>
    </w:p>
    <w:p w14:paraId="461D0C9B">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p>
    <w:p w14:paraId="6C57B2C1">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p>
    <w:p w14:paraId="7BDFA2B5">
      <w:pPr>
        <w:pStyle w:val="24"/>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b/>
          <w:sz w:val="24"/>
          <w:szCs w:val="24"/>
          <w:lang w:val="zh-CN"/>
        </w:rPr>
        <w:fldChar w:fldCharType="begin"/>
      </w:r>
      <w:r>
        <w:rPr>
          <w:rFonts w:hint="eastAsia" w:ascii="宋体" w:hAnsi="宋体" w:eastAsia="宋体" w:cs="宋体"/>
          <w:b/>
          <w:sz w:val="24"/>
          <w:szCs w:val="24"/>
          <w:lang w:val="zh-CN"/>
        </w:rPr>
        <w:instrText xml:space="preserve">TOC \o "1-1" \h \u </w:instrText>
      </w:r>
      <w:r>
        <w:rPr>
          <w:rFonts w:hint="eastAsia" w:ascii="宋体" w:hAnsi="宋体" w:eastAsia="宋体" w:cs="宋体"/>
          <w:b/>
          <w:sz w:val="24"/>
          <w:szCs w:val="24"/>
          <w:lang w:val="zh-CN"/>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"_Toc21888"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第一章招标公告</w:t>
      </w:r>
      <w:r>
        <w:rPr>
          <w:rFonts w:hint="eastAsia" w:ascii="宋体" w:hAnsi="宋体" w:eastAsia="宋体" w:cs="宋体"/>
          <w:sz w:val="24"/>
          <w:szCs w:val="24"/>
        </w:rPr>
        <w:tab/>
      </w:r>
      <w:r>
        <w:rPr>
          <w:rFonts w:hint="eastAsia" w:ascii="宋体" w:hAnsi="宋体" w:eastAsia="宋体" w:cs="宋体"/>
          <w:sz w:val="24"/>
          <w:szCs w:val="24"/>
        </w:rPr>
        <w:fldChar w:fldCharType="end"/>
      </w:r>
    </w:p>
    <w:p w14:paraId="24B00251">
      <w:pPr>
        <w:pStyle w:val="24"/>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"_Toc18925"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end"/>
      </w:r>
    </w:p>
    <w:p w14:paraId="3F4E3DF9">
      <w:pPr>
        <w:pStyle w:val="24"/>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"_Toc17239"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第三章  技术参数</w:t>
      </w:r>
      <w:r>
        <w:rPr>
          <w:rFonts w:hint="eastAsia" w:ascii="宋体" w:hAnsi="宋体" w:eastAsia="宋体" w:cs="宋体"/>
          <w:sz w:val="24"/>
          <w:szCs w:val="24"/>
        </w:rPr>
        <w:tab/>
      </w:r>
      <w:r>
        <w:rPr>
          <w:rFonts w:hint="eastAsia" w:ascii="宋体" w:hAnsi="宋体" w:eastAsia="宋体" w:cs="宋体"/>
          <w:sz w:val="24"/>
          <w:szCs w:val="24"/>
        </w:rPr>
        <w:fldChar w:fldCharType="end"/>
      </w:r>
    </w:p>
    <w:p w14:paraId="787C5A96">
      <w:pPr>
        <w:pStyle w:val="24"/>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"_Toc14262"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第四章  评标标准和方法</w:t>
      </w:r>
      <w:r>
        <w:rPr>
          <w:rFonts w:hint="eastAsia" w:ascii="宋体" w:hAnsi="宋体" w:eastAsia="宋体" w:cs="宋体"/>
          <w:sz w:val="24"/>
          <w:szCs w:val="24"/>
        </w:rPr>
        <w:tab/>
      </w:r>
      <w:r>
        <w:rPr>
          <w:rFonts w:hint="eastAsia" w:ascii="宋体" w:hAnsi="宋体" w:eastAsia="宋体" w:cs="宋体"/>
          <w:sz w:val="24"/>
          <w:szCs w:val="24"/>
        </w:rPr>
        <w:fldChar w:fldCharType="end"/>
      </w:r>
    </w:p>
    <w:p w14:paraId="6F3915EB">
      <w:pPr>
        <w:pStyle w:val="24"/>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"_Toc19343"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第五章 合同条款</w:t>
      </w:r>
      <w:r>
        <w:rPr>
          <w:rFonts w:hint="eastAsia" w:ascii="宋体" w:hAnsi="宋体" w:eastAsia="宋体" w:cs="宋体"/>
          <w:sz w:val="24"/>
          <w:szCs w:val="24"/>
        </w:rPr>
        <w:tab/>
      </w:r>
      <w:r>
        <w:rPr>
          <w:rFonts w:hint="eastAsia" w:ascii="宋体" w:hAnsi="宋体" w:eastAsia="宋体" w:cs="宋体"/>
          <w:sz w:val="24"/>
          <w:szCs w:val="24"/>
        </w:rPr>
        <w:fldChar w:fldCharType="end"/>
      </w:r>
    </w:p>
    <w:p w14:paraId="63765728">
      <w:pPr>
        <w:pStyle w:val="24"/>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"_Toc15590"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end"/>
      </w:r>
    </w:p>
    <w:p w14:paraId="03B523F6">
      <w:pPr>
        <w:pStyle w:val="24"/>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p>
    <w:p w14:paraId="5BCE6B72">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fldChar w:fldCharType="end"/>
      </w:r>
    </w:p>
    <w:p w14:paraId="6ED465A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p w14:paraId="32B723C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p w14:paraId="54115BA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sectPr>
          <w:pgSz w:w="11906" w:h="16838"/>
          <w:pgMar w:top="1440" w:right="1080" w:bottom="1440" w:left="1080" w:header="720" w:footer="737" w:gutter="0"/>
          <w:pgNumType w:start="1"/>
          <w:cols w:space="720" w:num="1"/>
          <w:titlePg/>
        </w:sectPr>
      </w:pPr>
    </w:p>
    <w:p w14:paraId="6EE4AB7E">
      <w:pPr>
        <w:pStyle w:val="3"/>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sz w:val="28"/>
          <w:szCs w:val="28"/>
          <w:lang w:val="zh-CN"/>
        </w:rPr>
      </w:pPr>
      <w:bookmarkStart w:id="0" w:name="_Toc21888"/>
      <w:r>
        <w:rPr>
          <w:rStyle w:val="57"/>
          <w:rFonts w:hint="eastAsia" w:ascii="宋体" w:hAnsi="宋体" w:eastAsia="宋体" w:cs="宋体"/>
          <w:b/>
          <w:sz w:val="28"/>
          <w:szCs w:val="28"/>
          <w:lang w:val="zh-CN"/>
        </w:rPr>
        <w:t>第一章</w:t>
      </w:r>
      <w:r>
        <w:rPr>
          <w:rStyle w:val="57"/>
          <w:rFonts w:hint="eastAsia" w:cs="宋体"/>
          <w:b/>
          <w:sz w:val="28"/>
          <w:szCs w:val="28"/>
          <w:lang w:val="en-US" w:eastAsia="zh-CN"/>
        </w:rPr>
        <w:t xml:space="preserve"> </w:t>
      </w:r>
      <w:r>
        <w:rPr>
          <w:rStyle w:val="57"/>
          <w:rFonts w:hint="eastAsia" w:ascii="宋体" w:hAnsi="宋体" w:eastAsia="宋体" w:cs="宋体"/>
          <w:b/>
          <w:sz w:val="28"/>
          <w:szCs w:val="28"/>
          <w:lang w:val="zh-CN"/>
        </w:rPr>
        <w:t>招标公告</w:t>
      </w:r>
    </w:p>
    <w:bookmarkEnd w:id="0"/>
    <w:p w14:paraId="5F1CD8D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bookmarkStart w:id="1" w:name="_Toc18925"/>
      <w:bookmarkStart w:id="2" w:name="_Toc29905"/>
      <w:r>
        <w:rPr>
          <w:rFonts w:hint="eastAsia" w:ascii="宋体" w:hAnsi="宋体" w:eastAsia="宋体" w:cs="宋体"/>
          <w:sz w:val="24"/>
          <w:szCs w:val="24"/>
        </w:rPr>
        <w:t>项目概况</w:t>
      </w:r>
    </w:p>
    <w:p w14:paraId="6938862B">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吉林大学口腔医院诊疗环境修缮改造项目——加压调蓄设施及医用电梯购置</w:t>
      </w:r>
      <w:r>
        <w:rPr>
          <w:rFonts w:hint="eastAsia" w:ascii="宋体" w:hAnsi="宋体" w:eastAsia="宋体" w:cs="宋体"/>
          <w:sz w:val="24"/>
          <w:szCs w:val="24"/>
          <w:highlight w:val="none"/>
        </w:rPr>
        <w:t>的潜在投标人应在吉林省中寰工程项目管理有限公司获取招标文件，并于2026年</w:t>
      </w:r>
      <w:r>
        <w:rPr>
          <w:rFonts w:hint="eastAsia" w:cs="宋体"/>
          <w:sz w:val="24"/>
          <w:szCs w:val="24"/>
          <w:highlight w:val="none"/>
          <w:lang w:val="en-US" w:eastAsia="zh-CN"/>
        </w:rPr>
        <w:t>7</w:t>
      </w:r>
      <w:r>
        <w:rPr>
          <w:rFonts w:hint="eastAsia" w:ascii="宋体" w:hAnsi="宋体" w:eastAsia="宋体" w:cs="宋体"/>
          <w:sz w:val="24"/>
          <w:szCs w:val="24"/>
          <w:highlight w:val="none"/>
        </w:rPr>
        <w:t>月</w:t>
      </w:r>
      <w:r>
        <w:rPr>
          <w:rFonts w:hint="eastAsia" w:cs="宋体"/>
          <w:sz w:val="24"/>
          <w:szCs w:val="24"/>
          <w:highlight w:val="none"/>
          <w:lang w:val="en-US" w:eastAsia="zh-CN"/>
        </w:rPr>
        <w:t>7</w:t>
      </w:r>
      <w:r>
        <w:rPr>
          <w:rFonts w:hint="eastAsia" w:ascii="宋体" w:hAnsi="宋体" w:eastAsia="宋体" w:cs="宋体"/>
          <w:sz w:val="24"/>
          <w:szCs w:val="24"/>
          <w:highlight w:val="none"/>
        </w:rPr>
        <w:t>日</w:t>
      </w:r>
      <w:r>
        <w:rPr>
          <w:rFonts w:hint="eastAsia" w:cs="宋体"/>
          <w:sz w:val="24"/>
          <w:szCs w:val="24"/>
          <w:highlight w:val="none"/>
          <w:lang w:val="en-US" w:eastAsia="zh-CN"/>
        </w:rPr>
        <w:t>13</w:t>
      </w:r>
      <w:r>
        <w:rPr>
          <w:rFonts w:hint="eastAsia" w:ascii="宋体" w:hAnsi="宋体" w:eastAsia="宋体" w:cs="宋体"/>
          <w:sz w:val="24"/>
          <w:szCs w:val="24"/>
          <w:highlight w:val="none"/>
        </w:rPr>
        <w:t>时</w:t>
      </w:r>
      <w:r>
        <w:rPr>
          <w:rFonts w:hint="eastAsia" w:cs="宋体"/>
          <w:sz w:val="24"/>
          <w:szCs w:val="24"/>
          <w:highlight w:val="none"/>
          <w:lang w:val="en-US" w:eastAsia="zh-CN"/>
        </w:rPr>
        <w:t>3</w:t>
      </w:r>
      <w:r>
        <w:rPr>
          <w:rFonts w:hint="eastAsia" w:ascii="宋体" w:hAnsi="宋体" w:eastAsia="宋体" w:cs="宋体"/>
          <w:sz w:val="24"/>
          <w:szCs w:val="24"/>
          <w:highlight w:val="none"/>
        </w:rPr>
        <w:t>0分</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p w14:paraId="610D8C60">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highlight w:val="none"/>
        </w:rPr>
      </w:pPr>
      <w:bookmarkStart w:id="3" w:name="_Toc28359089"/>
      <w:bookmarkStart w:id="4" w:name="_Toc636"/>
      <w:bookmarkStart w:id="5" w:name="_Toc4315"/>
      <w:bookmarkStart w:id="6" w:name="_Toc6203"/>
      <w:bookmarkStart w:id="7" w:name="_Toc15882"/>
      <w:bookmarkStart w:id="8" w:name="_Toc35393798"/>
      <w:bookmarkStart w:id="9" w:name="_Toc35393629"/>
      <w:bookmarkStart w:id="10" w:name="_Toc28359012"/>
      <w:r>
        <w:rPr>
          <w:rFonts w:hint="eastAsia" w:ascii="宋体" w:hAnsi="宋体" w:eastAsia="宋体" w:cs="宋体"/>
          <w:sz w:val="24"/>
          <w:szCs w:val="24"/>
          <w:highlight w:val="none"/>
        </w:rPr>
        <w:t>一、项目基本情况</w:t>
      </w:r>
      <w:bookmarkEnd w:id="3"/>
      <w:bookmarkEnd w:id="4"/>
      <w:bookmarkEnd w:id="5"/>
      <w:bookmarkEnd w:id="6"/>
      <w:bookmarkEnd w:id="7"/>
      <w:bookmarkEnd w:id="8"/>
      <w:bookmarkEnd w:id="9"/>
      <w:bookmarkEnd w:id="10"/>
    </w:p>
    <w:p w14:paraId="020F3A8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项目编号：JLZH-2026-0601</w:t>
      </w:r>
    </w:p>
    <w:p w14:paraId="523F8EA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highlight w:val="none"/>
        </w:rPr>
        <w:t>项目名称：吉林大学口腔医院诊疗环境</w:t>
      </w:r>
      <w:r>
        <w:rPr>
          <w:rFonts w:hint="eastAsia" w:ascii="宋体" w:hAnsi="宋体" w:eastAsia="宋体" w:cs="宋体"/>
          <w:sz w:val="24"/>
          <w:szCs w:val="24"/>
        </w:rPr>
        <w:t>修缮改造项目——加压调蓄设施及医用电梯购置</w:t>
      </w:r>
    </w:p>
    <w:p w14:paraId="46FE77A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0A8AFD7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采购需求：</w:t>
      </w:r>
    </w:p>
    <w:tbl>
      <w:tblPr>
        <w:tblStyle w:val="30"/>
        <w:tblW w:w="9801" w:type="dxa"/>
        <w:tblInd w:w="0" w:type="dxa"/>
        <w:tblLayout w:type="fixed"/>
        <w:tblCellMar>
          <w:top w:w="0" w:type="dxa"/>
          <w:left w:w="108" w:type="dxa"/>
          <w:bottom w:w="0" w:type="dxa"/>
          <w:right w:w="108" w:type="dxa"/>
        </w:tblCellMar>
      </w:tblPr>
      <w:tblGrid>
        <w:gridCol w:w="492"/>
        <w:gridCol w:w="1332"/>
        <w:gridCol w:w="450"/>
        <w:gridCol w:w="577"/>
        <w:gridCol w:w="1095"/>
        <w:gridCol w:w="1136"/>
        <w:gridCol w:w="1227"/>
        <w:gridCol w:w="914"/>
        <w:gridCol w:w="2578"/>
      </w:tblGrid>
      <w:tr w14:paraId="64E87F0B">
        <w:tblPrEx>
          <w:tblCellMar>
            <w:top w:w="0" w:type="dxa"/>
            <w:left w:w="108" w:type="dxa"/>
            <w:bottom w:w="0" w:type="dxa"/>
            <w:right w:w="108" w:type="dxa"/>
          </w:tblCellMar>
        </w:tblPrEx>
        <w:trPr>
          <w:trHeight w:val="548" w:hRule="atLeast"/>
        </w:trPr>
        <w:tc>
          <w:tcPr>
            <w:tcW w:w="492" w:type="dxa"/>
            <w:tcBorders>
              <w:top w:val="single" w:color="auto" w:sz="4" w:space="0"/>
              <w:left w:val="single" w:color="auto" w:sz="4" w:space="0"/>
              <w:bottom w:val="single" w:color="auto" w:sz="4" w:space="0"/>
              <w:right w:val="single" w:color="auto" w:sz="4" w:space="0"/>
            </w:tcBorders>
            <w:noWrap/>
            <w:vAlign w:val="center"/>
          </w:tcPr>
          <w:p w14:paraId="4FA63B2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分包</w:t>
            </w:r>
          </w:p>
        </w:tc>
        <w:tc>
          <w:tcPr>
            <w:tcW w:w="1332" w:type="dxa"/>
            <w:tcBorders>
              <w:top w:val="single" w:color="auto" w:sz="4" w:space="0"/>
              <w:left w:val="single" w:color="auto" w:sz="4" w:space="0"/>
              <w:bottom w:val="single" w:color="auto" w:sz="4" w:space="0"/>
              <w:right w:val="single" w:color="auto" w:sz="4" w:space="0"/>
            </w:tcBorders>
            <w:noWrap/>
            <w:vAlign w:val="center"/>
          </w:tcPr>
          <w:p w14:paraId="760A2526">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货物名称</w:t>
            </w:r>
          </w:p>
        </w:tc>
        <w:tc>
          <w:tcPr>
            <w:tcW w:w="450" w:type="dxa"/>
            <w:tcBorders>
              <w:top w:val="single" w:color="auto" w:sz="4" w:space="0"/>
              <w:left w:val="nil"/>
              <w:bottom w:val="single" w:color="auto" w:sz="4" w:space="0"/>
              <w:right w:val="single" w:color="auto" w:sz="4" w:space="0"/>
            </w:tcBorders>
            <w:noWrap/>
            <w:vAlign w:val="center"/>
          </w:tcPr>
          <w:p w14:paraId="62CE9B4B">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采购数量</w:t>
            </w:r>
          </w:p>
        </w:tc>
        <w:tc>
          <w:tcPr>
            <w:tcW w:w="577" w:type="dxa"/>
            <w:tcBorders>
              <w:top w:val="single" w:color="auto" w:sz="4" w:space="0"/>
              <w:left w:val="nil"/>
              <w:bottom w:val="single" w:color="auto" w:sz="4" w:space="0"/>
              <w:right w:val="single" w:color="auto" w:sz="4" w:space="0"/>
            </w:tcBorders>
            <w:noWrap/>
            <w:vAlign w:val="center"/>
          </w:tcPr>
          <w:p w14:paraId="30DFCC1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095" w:type="dxa"/>
            <w:tcBorders>
              <w:top w:val="single" w:color="auto" w:sz="4" w:space="0"/>
              <w:left w:val="nil"/>
              <w:bottom w:val="single" w:color="auto" w:sz="4" w:space="0"/>
              <w:right w:val="single" w:color="auto" w:sz="4" w:space="0"/>
            </w:tcBorders>
            <w:noWrap/>
            <w:vAlign w:val="center"/>
          </w:tcPr>
          <w:p w14:paraId="592D402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最高投标限价单价（元）</w:t>
            </w:r>
          </w:p>
        </w:tc>
        <w:tc>
          <w:tcPr>
            <w:tcW w:w="1136" w:type="dxa"/>
            <w:tcBorders>
              <w:top w:val="single" w:color="auto" w:sz="4" w:space="0"/>
              <w:left w:val="nil"/>
              <w:bottom w:val="single" w:color="auto" w:sz="4" w:space="0"/>
              <w:right w:val="single" w:color="auto" w:sz="4" w:space="0"/>
            </w:tcBorders>
            <w:noWrap/>
            <w:vAlign w:val="center"/>
          </w:tcPr>
          <w:p w14:paraId="5E6C8696">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最高投标限价总价（元）</w:t>
            </w:r>
          </w:p>
        </w:tc>
        <w:tc>
          <w:tcPr>
            <w:tcW w:w="1227" w:type="dxa"/>
            <w:tcBorders>
              <w:top w:val="single" w:color="auto" w:sz="4" w:space="0"/>
              <w:left w:val="nil"/>
              <w:bottom w:val="single" w:color="auto" w:sz="4" w:space="0"/>
              <w:right w:val="single" w:color="auto" w:sz="4" w:space="0"/>
            </w:tcBorders>
            <w:noWrap/>
            <w:vAlign w:val="center"/>
          </w:tcPr>
          <w:p w14:paraId="52B9A5C7">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供货时间</w:t>
            </w:r>
          </w:p>
        </w:tc>
        <w:tc>
          <w:tcPr>
            <w:tcW w:w="914" w:type="dxa"/>
            <w:tcBorders>
              <w:top w:val="single" w:color="auto" w:sz="4" w:space="0"/>
              <w:left w:val="nil"/>
              <w:bottom w:val="single" w:color="auto" w:sz="4" w:space="0"/>
              <w:right w:val="single" w:color="auto" w:sz="4" w:space="0"/>
            </w:tcBorders>
            <w:noWrap/>
            <w:vAlign w:val="center"/>
          </w:tcPr>
          <w:p w14:paraId="5D646E1C">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是否接受进口产品投标</w:t>
            </w:r>
          </w:p>
        </w:tc>
        <w:tc>
          <w:tcPr>
            <w:tcW w:w="2578" w:type="dxa"/>
            <w:tcBorders>
              <w:top w:val="single" w:color="auto" w:sz="4" w:space="0"/>
              <w:left w:val="single" w:color="auto" w:sz="4" w:space="0"/>
              <w:bottom w:val="single" w:color="auto" w:sz="4" w:space="0"/>
              <w:right w:val="single" w:color="auto" w:sz="4" w:space="0"/>
            </w:tcBorders>
            <w:noWrap/>
            <w:vAlign w:val="center"/>
          </w:tcPr>
          <w:p w14:paraId="5582152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服务范围</w:t>
            </w:r>
          </w:p>
        </w:tc>
      </w:tr>
      <w:tr w14:paraId="0234BF8D">
        <w:tblPrEx>
          <w:tblCellMar>
            <w:top w:w="0" w:type="dxa"/>
            <w:left w:w="108" w:type="dxa"/>
            <w:bottom w:w="0" w:type="dxa"/>
            <w:right w:w="108" w:type="dxa"/>
          </w:tblCellMar>
        </w:tblPrEx>
        <w:trPr>
          <w:trHeight w:val="629" w:hRule="atLeast"/>
        </w:trPr>
        <w:tc>
          <w:tcPr>
            <w:tcW w:w="492" w:type="dxa"/>
            <w:vMerge w:val="restart"/>
            <w:tcBorders>
              <w:top w:val="single" w:color="auto" w:sz="4" w:space="0"/>
              <w:left w:val="single" w:color="auto" w:sz="4" w:space="0"/>
              <w:right w:val="single" w:color="auto" w:sz="4" w:space="0"/>
            </w:tcBorders>
            <w:noWrap/>
            <w:vAlign w:val="center"/>
          </w:tcPr>
          <w:p w14:paraId="1E9DF1FB">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包1</w:t>
            </w:r>
          </w:p>
        </w:tc>
        <w:tc>
          <w:tcPr>
            <w:tcW w:w="1332" w:type="dxa"/>
            <w:tcBorders>
              <w:top w:val="single" w:color="auto" w:sz="4" w:space="0"/>
              <w:left w:val="single" w:color="auto" w:sz="4" w:space="0"/>
              <w:bottom w:val="single" w:color="auto" w:sz="4" w:space="0"/>
              <w:right w:val="single" w:color="auto" w:sz="4" w:space="0"/>
            </w:tcBorders>
            <w:noWrap/>
          </w:tcPr>
          <w:p w14:paraId="5B3BA79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智能变频调速供水设备</w:t>
            </w:r>
          </w:p>
        </w:tc>
        <w:tc>
          <w:tcPr>
            <w:tcW w:w="4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4E2B27">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5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55873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1095" w:type="dxa"/>
            <w:tcBorders>
              <w:top w:val="single" w:color="auto" w:sz="4" w:space="0"/>
              <w:left w:val="single" w:color="auto" w:sz="4" w:space="0"/>
              <w:bottom w:val="single" w:color="auto" w:sz="4" w:space="0"/>
              <w:right w:val="single" w:color="auto" w:sz="4" w:space="0"/>
            </w:tcBorders>
            <w:noWrap/>
            <w:vAlign w:val="center"/>
          </w:tcPr>
          <w:p w14:paraId="2BF3F572">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c>
          <w:tcPr>
            <w:tcW w:w="1136" w:type="dxa"/>
            <w:tcBorders>
              <w:top w:val="single" w:color="auto" w:sz="4" w:space="0"/>
              <w:left w:val="single" w:color="auto" w:sz="4" w:space="0"/>
              <w:bottom w:val="single" w:color="auto" w:sz="4" w:space="0"/>
              <w:right w:val="single" w:color="auto" w:sz="4" w:space="0"/>
            </w:tcBorders>
            <w:noWrap/>
            <w:vAlign w:val="center"/>
          </w:tcPr>
          <w:p w14:paraId="70C9A406">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c>
          <w:tcPr>
            <w:tcW w:w="1227" w:type="dxa"/>
            <w:vMerge w:val="restart"/>
            <w:tcBorders>
              <w:top w:val="single" w:color="auto" w:sz="4" w:space="0"/>
              <w:left w:val="single" w:color="auto" w:sz="4" w:space="0"/>
              <w:right w:val="single" w:color="auto" w:sz="4" w:space="0"/>
            </w:tcBorders>
            <w:noWrap/>
            <w:vAlign w:val="center"/>
          </w:tcPr>
          <w:p w14:paraId="6EDD59E7">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合同签订后30个日历天以内交货，具备安装条件后5个日历天内安装调试并验收合格。</w:t>
            </w:r>
          </w:p>
        </w:tc>
        <w:tc>
          <w:tcPr>
            <w:tcW w:w="914" w:type="dxa"/>
            <w:tcBorders>
              <w:top w:val="single" w:color="auto" w:sz="4" w:space="0"/>
              <w:left w:val="single" w:color="auto" w:sz="4" w:space="0"/>
              <w:bottom w:val="single" w:color="auto" w:sz="4" w:space="0"/>
              <w:right w:val="single" w:color="auto" w:sz="4" w:space="0"/>
            </w:tcBorders>
            <w:noWrap/>
            <w:vAlign w:val="center"/>
          </w:tcPr>
          <w:p w14:paraId="207B4371">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2578" w:type="dxa"/>
            <w:vMerge w:val="restart"/>
            <w:tcBorders>
              <w:top w:val="single" w:color="auto" w:sz="4" w:space="0"/>
              <w:left w:val="single" w:color="auto" w:sz="4" w:space="0"/>
              <w:right w:val="single" w:color="auto" w:sz="4" w:space="0"/>
            </w:tcBorders>
            <w:noWrap/>
            <w:vAlign w:val="center"/>
          </w:tcPr>
          <w:p w14:paraId="799CAABC">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按招标人要求安装调试新供水设备。</w:t>
            </w:r>
          </w:p>
        </w:tc>
      </w:tr>
      <w:tr w14:paraId="42A29027">
        <w:tblPrEx>
          <w:tblCellMar>
            <w:top w:w="0" w:type="dxa"/>
            <w:left w:w="108" w:type="dxa"/>
            <w:bottom w:w="0" w:type="dxa"/>
            <w:right w:w="108" w:type="dxa"/>
          </w:tblCellMar>
        </w:tblPrEx>
        <w:trPr>
          <w:trHeight w:val="629" w:hRule="atLeast"/>
        </w:trPr>
        <w:tc>
          <w:tcPr>
            <w:tcW w:w="492" w:type="dxa"/>
            <w:vMerge w:val="continue"/>
            <w:tcBorders>
              <w:left w:val="single" w:color="auto" w:sz="4" w:space="0"/>
              <w:bottom w:val="single" w:color="auto" w:sz="4" w:space="0"/>
              <w:right w:val="single" w:color="auto" w:sz="4" w:space="0"/>
            </w:tcBorders>
            <w:noWrap/>
            <w:vAlign w:val="center"/>
          </w:tcPr>
          <w:p w14:paraId="11A2E42C">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p>
        </w:tc>
        <w:tc>
          <w:tcPr>
            <w:tcW w:w="1332" w:type="dxa"/>
            <w:tcBorders>
              <w:top w:val="single" w:color="auto" w:sz="4" w:space="0"/>
              <w:left w:val="single" w:color="auto" w:sz="4" w:space="0"/>
              <w:bottom w:val="single" w:color="auto" w:sz="4" w:space="0"/>
              <w:right w:val="single" w:color="auto" w:sz="4" w:space="0"/>
            </w:tcBorders>
            <w:noWrap/>
          </w:tcPr>
          <w:p w14:paraId="22D6CBC4">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智能无负压（叠压）供水设备</w:t>
            </w:r>
          </w:p>
        </w:tc>
        <w:tc>
          <w:tcPr>
            <w:tcW w:w="4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A82B2F">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5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A80AD5">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1095" w:type="dxa"/>
            <w:tcBorders>
              <w:top w:val="single" w:color="auto" w:sz="4" w:space="0"/>
              <w:left w:val="single" w:color="auto" w:sz="4" w:space="0"/>
              <w:bottom w:val="single" w:color="auto" w:sz="4" w:space="0"/>
              <w:right w:val="single" w:color="auto" w:sz="4" w:space="0"/>
            </w:tcBorders>
            <w:noWrap/>
            <w:vAlign w:val="center"/>
          </w:tcPr>
          <w:p w14:paraId="5F6C4B8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c>
          <w:tcPr>
            <w:tcW w:w="1136" w:type="dxa"/>
            <w:tcBorders>
              <w:top w:val="single" w:color="auto" w:sz="4" w:space="0"/>
              <w:left w:val="single" w:color="auto" w:sz="4" w:space="0"/>
              <w:bottom w:val="single" w:color="auto" w:sz="4" w:space="0"/>
              <w:right w:val="single" w:color="auto" w:sz="4" w:space="0"/>
            </w:tcBorders>
            <w:noWrap/>
            <w:vAlign w:val="center"/>
          </w:tcPr>
          <w:p w14:paraId="1126061B">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c>
          <w:tcPr>
            <w:tcW w:w="1227" w:type="dxa"/>
            <w:vMerge w:val="continue"/>
            <w:tcBorders>
              <w:left w:val="single" w:color="auto" w:sz="4" w:space="0"/>
              <w:bottom w:val="single" w:color="auto" w:sz="4" w:space="0"/>
              <w:right w:val="single" w:color="auto" w:sz="4" w:space="0"/>
            </w:tcBorders>
            <w:noWrap/>
            <w:vAlign w:val="center"/>
          </w:tcPr>
          <w:p w14:paraId="2535035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ign w:val="center"/>
          </w:tcPr>
          <w:p w14:paraId="03147496">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2578" w:type="dxa"/>
            <w:vMerge w:val="continue"/>
            <w:tcBorders>
              <w:left w:val="single" w:color="auto" w:sz="4" w:space="0"/>
              <w:bottom w:val="single" w:color="auto" w:sz="4" w:space="0"/>
              <w:right w:val="single" w:color="auto" w:sz="4" w:space="0"/>
            </w:tcBorders>
            <w:noWrap/>
            <w:vAlign w:val="center"/>
          </w:tcPr>
          <w:p w14:paraId="3CF52E39">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p>
        </w:tc>
      </w:tr>
      <w:tr w14:paraId="5A8B03D3">
        <w:tblPrEx>
          <w:tblCellMar>
            <w:top w:w="0" w:type="dxa"/>
            <w:left w:w="108" w:type="dxa"/>
            <w:bottom w:w="0" w:type="dxa"/>
            <w:right w:w="108" w:type="dxa"/>
          </w:tblCellMar>
        </w:tblPrEx>
        <w:trPr>
          <w:trHeight w:val="629" w:hRule="atLeast"/>
        </w:trPr>
        <w:tc>
          <w:tcPr>
            <w:tcW w:w="492" w:type="dxa"/>
            <w:tcBorders>
              <w:top w:val="single" w:color="auto" w:sz="4" w:space="0"/>
              <w:left w:val="single" w:color="auto" w:sz="4" w:space="0"/>
              <w:bottom w:val="single" w:color="auto" w:sz="4" w:space="0"/>
              <w:right w:val="single" w:color="auto" w:sz="4" w:space="0"/>
            </w:tcBorders>
            <w:noWrap/>
            <w:vAlign w:val="center"/>
          </w:tcPr>
          <w:p w14:paraId="4E381182">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包2</w:t>
            </w:r>
          </w:p>
        </w:tc>
        <w:tc>
          <w:tcPr>
            <w:tcW w:w="1332" w:type="dxa"/>
            <w:tcBorders>
              <w:top w:val="single" w:color="auto" w:sz="4" w:space="0"/>
              <w:left w:val="single" w:color="auto" w:sz="4" w:space="0"/>
              <w:bottom w:val="single" w:color="auto" w:sz="4" w:space="0"/>
              <w:right w:val="single" w:color="auto" w:sz="4" w:space="0"/>
            </w:tcBorders>
            <w:noWrap/>
            <w:vAlign w:val="center"/>
          </w:tcPr>
          <w:p w14:paraId="0CCBE3B4">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医用电梯</w:t>
            </w:r>
          </w:p>
        </w:tc>
        <w:tc>
          <w:tcPr>
            <w:tcW w:w="450" w:type="dxa"/>
            <w:tcBorders>
              <w:top w:val="single" w:color="auto" w:sz="4" w:space="0"/>
              <w:left w:val="single" w:color="auto" w:sz="4" w:space="0"/>
              <w:bottom w:val="single" w:color="auto" w:sz="4" w:space="0"/>
              <w:right w:val="single" w:color="auto" w:sz="4" w:space="0"/>
            </w:tcBorders>
            <w:noWrap/>
            <w:vAlign w:val="center"/>
          </w:tcPr>
          <w:p w14:paraId="61E6BE7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577" w:type="dxa"/>
            <w:tcBorders>
              <w:top w:val="single" w:color="auto" w:sz="4" w:space="0"/>
              <w:left w:val="single" w:color="auto" w:sz="4" w:space="0"/>
              <w:bottom w:val="single" w:color="auto" w:sz="4" w:space="0"/>
              <w:right w:val="single" w:color="auto" w:sz="4" w:space="0"/>
            </w:tcBorders>
            <w:noWrap/>
            <w:vAlign w:val="center"/>
          </w:tcPr>
          <w:p w14:paraId="1855DD9E">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部</w:t>
            </w:r>
          </w:p>
        </w:tc>
        <w:tc>
          <w:tcPr>
            <w:tcW w:w="1095" w:type="dxa"/>
            <w:tcBorders>
              <w:top w:val="single" w:color="auto" w:sz="4" w:space="0"/>
              <w:left w:val="single" w:color="auto" w:sz="4" w:space="0"/>
              <w:bottom w:val="single" w:color="auto" w:sz="4" w:space="0"/>
              <w:right w:val="single" w:color="auto" w:sz="4" w:space="0"/>
            </w:tcBorders>
            <w:noWrap/>
            <w:vAlign w:val="center"/>
          </w:tcPr>
          <w:p w14:paraId="0EF16455">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305000</w:t>
            </w:r>
          </w:p>
        </w:tc>
        <w:tc>
          <w:tcPr>
            <w:tcW w:w="1136" w:type="dxa"/>
            <w:tcBorders>
              <w:top w:val="single" w:color="auto" w:sz="4" w:space="0"/>
              <w:left w:val="single" w:color="auto" w:sz="4" w:space="0"/>
              <w:bottom w:val="single" w:color="auto" w:sz="4" w:space="0"/>
              <w:right w:val="single" w:color="auto" w:sz="4" w:space="0"/>
            </w:tcBorders>
            <w:noWrap/>
            <w:vAlign w:val="center"/>
          </w:tcPr>
          <w:p w14:paraId="5E8FA5BA">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610000</w:t>
            </w:r>
          </w:p>
        </w:tc>
        <w:tc>
          <w:tcPr>
            <w:tcW w:w="1227" w:type="dxa"/>
            <w:tcBorders>
              <w:top w:val="single" w:color="auto" w:sz="4" w:space="0"/>
              <w:left w:val="single" w:color="auto" w:sz="4" w:space="0"/>
              <w:bottom w:val="single" w:color="auto" w:sz="4" w:space="0"/>
              <w:right w:val="single" w:color="auto" w:sz="4" w:space="0"/>
            </w:tcBorders>
            <w:noWrap/>
            <w:vAlign w:val="center"/>
          </w:tcPr>
          <w:p w14:paraId="0DB2D6C9">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合同签订后90个日历天以内交货，安装调试并验收合格。</w:t>
            </w:r>
          </w:p>
        </w:tc>
        <w:tc>
          <w:tcPr>
            <w:tcW w:w="914" w:type="dxa"/>
            <w:tcBorders>
              <w:top w:val="single" w:color="auto" w:sz="4" w:space="0"/>
              <w:left w:val="single" w:color="auto" w:sz="4" w:space="0"/>
              <w:bottom w:val="single" w:color="auto" w:sz="4" w:space="0"/>
              <w:right w:val="single" w:color="auto" w:sz="4" w:space="0"/>
            </w:tcBorders>
            <w:noWrap/>
            <w:vAlign w:val="center"/>
          </w:tcPr>
          <w:p w14:paraId="7443EBE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2578" w:type="dxa"/>
            <w:tcBorders>
              <w:top w:val="single" w:color="auto" w:sz="4" w:space="0"/>
              <w:left w:val="single" w:color="auto" w:sz="4" w:space="0"/>
              <w:bottom w:val="single" w:color="auto" w:sz="4" w:space="0"/>
              <w:right w:val="single" w:color="auto" w:sz="4" w:space="0"/>
            </w:tcBorders>
            <w:noWrap/>
            <w:vAlign w:val="center"/>
          </w:tcPr>
          <w:p w14:paraId="769DFD96">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拆除原有2台医用旧电梯并运输到指定位置，更换电梯主副导轨、轿架、对重、小门套、曳引机、控制柜、门机、门机变频器、轿内操纵箱等与电梯相关的配件，完成对新医用电梯的生产、采购、包装、运输、安装、维修、孔洞封堵费用、调试、验收、培训、税金、保险、电梯检测以及免费的维保、办理安全运行手续等。</w:t>
            </w:r>
          </w:p>
        </w:tc>
      </w:tr>
      <w:tr w14:paraId="585F07E1">
        <w:tblPrEx>
          <w:tblCellMar>
            <w:top w:w="0" w:type="dxa"/>
            <w:left w:w="108" w:type="dxa"/>
            <w:bottom w:w="0" w:type="dxa"/>
            <w:right w:w="108" w:type="dxa"/>
          </w:tblCellMar>
        </w:tblPrEx>
        <w:trPr>
          <w:trHeight w:val="629" w:hRule="atLeast"/>
        </w:trPr>
        <w:tc>
          <w:tcPr>
            <w:tcW w:w="2851" w:type="dxa"/>
            <w:gridSpan w:val="4"/>
            <w:tcBorders>
              <w:top w:val="single" w:color="auto" w:sz="4" w:space="0"/>
              <w:left w:val="single" w:color="auto" w:sz="4" w:space="0"/>
              <w:bottom w:val="single" w:color="auto" w:sz="4" w:space="0"/>
              <w:right w:val="single" w:color="auto" w:sz="4" w:space="0"/>
            </w:tcBorders>
            <w:noWrap/>
            <w:vAlign w:val="center"/>
          </w:tcPr>
          <w:p w14:paraId="7FB9714C">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合计：</w:t>
            </w:r>
          </w:p>
        </w:tc>
        <w:tc>
          <w:tcPr>
            <w:tcW w:w="6950" w:type="dxa"/>
            <w:gridSpan w:val="5"/>
            <w:tcBorders>
              <w:top w:val="single" w:color="auto" w:sz="4" w:space="0"/>
              <w:left w:val="single" w:color="auto" w:sz="4" w:space="0"/>
              <w:bottom w:val="single" w:color="auto" w:sz="4" w:space="0"/>
              <w:right w:val="single" w:color="auto" w:sz="4" w:space="0"/>
            </w:tcBorders>
            <w:noWrap/>
            <w:vAlign w:val="center"/>
          </w:tcPr>
          <w:p w14:paraId="5B98867D">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2410000元</w:t>
            </w:r>
          </w:p>
        </w:tc>
      </w:tr>
    </w:tbl>
    <w:p w14:paraId="2DCB2499">
      <w:pPr>
        <w:pageBreakBefore w:val="0"/>
        <w:kinsoku/>
        <w:wordWrap/>
        <w:overflowPunct/>
        <w:topLinePunct w:val="0"/>
        <w:bidi w:val="0"/>
        <w:spacing w:beforeAutospacing="0" w:afterAutospacing="0"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供货地点：采购人指定地点。</w:t>
      </w:r>
    </w:p>
    <w:p w14:paraId="5340219C">
      <w:pPr>
        <w:pageBreakBefore w:val="0"/>
        <w:kinsoku/>
        <w:wordWrap/>
        <w:overflowPunct/>
        <w:topLinePunct w:val="0"/>
        <w:bidi w:val="0"/>
        <w:spacing w:beforeAutospacing="0" w:afterAutospacing="0"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质量要求：符合行业相关规定的合格标准。</w:t>
      </w:r>
    </w:p>
    <w:p w14:paraId="27F5D80A">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11" w:name="_Toc6978"/>
      <w:bookmarkStart w:id="12" w:name="_Toc35393799"/>
      <w:bookmarkStart w:id="13" w:name="_Toc25616"/>
      <w:bookmarkStart w:id="14" w:name="_Toc28359013"/>
      <w:bookmarkStart w:id="15" w:name="_Toc28359090"/>
      <w:bookmarkStart w:id="16" w:name="_Toc8138"/>
      <w:bookmarkStart w:id="17" w:name="_Toc6401"/>
      <w:bookmarkStart w:id="18" w:name="_Toc35393630"/>
      <w:r>
        <w:rPr>
          <w:rFonts w:hint="eastAsia" w:ascii="宋体" w:hAnsi="宋体" w:eastAsia="宋体" w:cs="宋体"/>
          <w:sz w:val="24"/>
          <w:szCs w:val="24"/>
        </w:rPr>
        <w:t>二、申请人的资格要求：</w:t>
      </w:r>
      <w:bookmarkEnd w:id="11"/>
      <w:bookmarkEnd w:id="12"/>
      <w:bookmarkEnd w:id="13"/>
      <w:bookmarkEnd w:id="14"/>
      <w:bookmarkEnd w:id="15"/>
      <w:bookmarkEnd w:id="16"/>
      <w:bookmarkEnd w:id="17"/>
      <w:bookmarkEnd w:id="18"/>
    </w:p>
    <w:p w14:paraId="2DBC6D1E">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14E2C5C">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bookmarkStart w:id="19" w:name="_Toc28359091"/>
      <w:bookmarkStart w:id="20" w:name="_Toc28359014"/>
      <w:r>
        <w:rPr>
          <w:rFonts w:hint="eastAsia" w:ascii="宋体" w:hAnsi="宋体" w:eastAsia="宋体" w:cs="宋体"/>
          <w:sz w:val="24"/>
          <w:szCs w:val="24"/>
        </w:rPr>
        <w:t>2.落实政府采购政策需满足的资格要求：本项目包1属于专门面向中小企业采购的项目、包2属于非专门面向中小企业采购的项目；</w:t>
      </w:r>
    </w:p>
    <w:p w14:paraId="1AB3500E">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CF9F10E">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3.1投标人须具有独立承担民事责任的能力，具备有效的营业执照；</w:t>
      </w:r>
    </w:p>
    <w:p w14:paraId="774D38C9">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3.2资质要求：</w:t>
      </w:r>
    </w:p>
    <w:p w14:paraId="3C1B103B">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包1：无。</w:t>
      </w:r>
    </w:p>
    <w:p w14:paraId="6A1722AC">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包2：供应商若</w:t>
      </w:r>
      <w:r>
        <w:rPr>
          <w:rFonts w:hint="eastAsia" w:ascii="宋体" w:hAnsi="宋体" w:eastAsia="宋体" w:cs="宋体"/>
          <w:sz w:val="24"/>
          <w:szCs w:val="24"/>
          <w:shd w:val="clear" w:color="auto" w:fill="FFFFFF"/>
        </w:rPr>
        <w:t>为电梯制造商</w:t>
      </w:r>
      <w:r>
        <w:rPr>
          <w:rFonts w:hint="eastAsia" w:ascii="宋体" w:hAnsi="宋体" w:eastAsia="宋体" w:cs="宋体"/>
          <w:sz w:val="24"/>
          <w:szCs w:val="24"/>
        </w:rPr>
        <w:t>须具备有效期内的《中华人民共和国特种设备生产许可证》（许可项目包含曳引驱动乘客</w:t>
      </w:r>
      <w:r>
        <w:rPr>
          <w:rFonts w:hint="eastAsia" w:ascii="宋体" w:hAnsi="宋体" w:eastAsia="宋体" w:cs="宋体"/>
          <w:sz w:val="24"/>
          <w:szCs w:val="24"/>
          <w:highlight w:val="none"/>
        </w:rPr>
        <w:t>电梯安装、修理、改造）B级资质以上（含B级）；供应商若</w:t>
      </w:r>
      <w:r>
        <w:rPr>
          <w:rFonts w:hint="eastAsia" w:ascii="宋体" w:hAnsi="宋体" w:eastAsia="宋体" w:cs="宋体"/>
          <w:sz w:val="24"/>
          <w:szCs w:val="24"/>
          <w:highlight w:val="none"/>
          <w:shd w:val="clear" w:color="auto" w:fill="FFFFFF"/>
        </w:rPr>
        <w:t>为代理商或经销商，提供自身《</w:t>
      </w:r>
      <w:r>
        <w:rPr>
          <w:rFonts w:hint="eastAsia" w:ascii="宋体" w:hAnsi="宋体" w:eastAsia="宋体" w:cs="宋体"/>
          <w:sz w:val="24"/>
          <w:szCs w:val="24"/>
          <w:highlight w:val="none"/>
        </w:rPr>
        <w:t>中华人民共和国特种设备生产许可证</w:t>
      </w:r>
      <w:r>
        <w:rPr>
          <w:rFonts w:hint="eastAsia" w:ascii="宋体" w:hAnsi="宋体" w:eastAsia="宋体" w:cs="宋体"/>
          <w:sz w:val="24"/>
          <w:szCs w:val="24"/>
          <w:highlight w:val="none"/>
          <w:shd w:val="clear" w:color="auto" w:fill="FFFFFF"/>
        </w:rPr>
        <w:t>》（</w:t>
      </w:r>
      <w:r>
        <w:rPr>
          <w:rFonts w:hint="eastAsia" w:ascii="宋体" w:hAnsi="宋体" w:eastAsia="宋体" w:cs="宋体"/>
          <w:sz w:val="24"/>
          <w:szCs w:val="24"/>
          <w:highlight w:val="none"/>
        </w:rPr>
        <w:t>许可项目包含曳引驱动乘客电梯</w:t>
      </w:r>
      <w:r>
        <w:rPr>
          <w:rFonts w:hint="eastAsia" w:ascii="宋体" w:hAnsi="宋体" w:eastAsia="宋体" w:cs="宋体"/>
          <w:sz w:val="24"/>
          <w:szCs w:val="24"/>
          <w:highlight w:val="none"/>
          <w:shd w:val="clear" w:color="auto" w:fill="FFFFFF"/>
        </w:rPr>
        <w:t>安装（含修理））</w:t>
      </w:r>
      <w:r>
        <w:rPr>
          <w:rFonts w:hint="eastAsia" w:ascii="宋体" w:hAnsi="宋体" w:eastAsia="宋体" w:cs="宋体"/>
          <w:sz w:val="24"/>
          <w:szCs w:val="24"/>
          <w:highlight w:val="none"/>
        </w:rPr>
        <w:t>B级资质以上（含B级）</w:t>
      </w:r>
      <w:r>
        <w:rPr>
          <w:rFonts w:hint="eastAsia" w:ascii="宋体" w:hAnsi="宋体" w:eastAsia="宋体" w:cs="宋体"/>
          <w:sz w:val="24"/>
          <w:szCs w:val="24"/>
          <w:highlight w:val="none"/>
          <w:shd w:val="clear" w:color="auto" w:fill="FFFFFF"/>
        </w:rPr>
        <w:t>。</w:t>
      </w:r>
    </w:p>
    <w:p w14:paraId="4E2E100E">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3.3财务要求：近三年（2023年度、2024年度、2025年度）有健全的财务制</w:t>
      </w:r>
      <w:r>
        <w:rPr>
          <w:rFonts w:hint="eastAsia" w:ascii="宋体" w:hAnsi="宋体" w:eastAsia="宋体" w:cs="宋体"/>
          <w:sz w:val="24"/>
          <w:szCs w:val="24"/>
        </w:rPr>
        <w:t>度，须提供近三年财务审计报告或财务报表；（当投标单位成立日期在2023年-2025年12月31日之间的，提供从成立日期起至2025年之间的经会计师事务所审计的财务审计报告或财务报表，2025年12月31以后新成立的公司无财务审计报告或财务报表的，需提供一份财务状况良好承诺书）</w:t>
      </w:r>
    </w:p>
    <w:p w14:paraId="6B3957A3">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3.4具有依法缴纳税收和社会保障资金的良好记录；</w:t>
      </w:r>
    </w:p>
    <w:p w14:paraId="2926D082">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lang w:eastAsia="en-US"/>
        </w:rPr>
      </w:pPr>
      <w:r>
        <w:rPr>
          <w:rFonts w:hint="eastAsia" w:ascii="宋体" w:hAnsi="宋体" w:eastAsia="宋体" w:cs="宋体"/>
          <w:sz w:val="24"/>
          <w:szCs w:val="24"/>
        </w:rPr>
        <w:t>3.5信誉要求：</w:t>
      </w:r>
      <w:r>
        <w:rPr>
          <w:rFonts w:hint="eastAsia" w:ascii="宋体" w:hAnsi="宋体" w:eastAsia="宋体" w:cs="宋体"/>
          <w:sz w:val="24"/>
          <w:szCs w:val="24"/>
          <w:lang w:eastAsia="en-US"/>
        </w:rPr>
        <w:t>未被“信用中国”网站（www.creditchina.gov.cn）列入重大税收违法失信主体、政府采购严重违法失信行为记录名单；未被中国执行信息公开网（http://zxgk.court.gov.cn）列入失信被执行人；未被中国政府采购网（www.ccgp.gov.cn）列入政府采购严重违法失信行为记录名单。</w:t>
      </w:r>
    </w:p>
    <w:p w14:paraId="24E0DF8F">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3.6参加政府采购活动前3年内在经营活动中没有重大违法记录的书面声明。</w:t>
      </w:r>
    </w:p>
    <w:p w14:paraId="77C91594">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sz w:val="24"/>
          <w:szCs w:val="24"/>
        </w:rPr>
        <w:t>3.7单位负责人为同一人或者存在直接控股、管理关系的不同供应商，不得参加同一合同项下的政府采购活动。违反规定的，相关投标均无效。</w:t>
      </w:r>
    </w:p>
    <w:p w14:paraId="6A4FC5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bookmarkStart w:id="21" w:name="_Toc12327"/>
      <w:bookmarkStart w:id="22" w:name="_Toc28242"/>
      <w:bookmarkStart w:id="23" w:name="_Toc35393631"/>
      <w:bookmarkStart w:id="24" w:name="_Toc11017"/>
      <w:bookmarkStart w:id="25" w:name="_Toc35393800"/>
      <w:bookmarkStart w:id="26" w:name="_Toc26534"/>
      <w:r>
        <w:rPr>
          <w:rFonts w:hint="eastAsia" w:ascii="宋体" w:hAnsi="宋体" w:eastAsia="宋体" w:cs="宋体"/>
          <w:sz w:val="24"/>
          <w:szCs w:val="24"/>
        </w:rPr>
        <w:t>本项目不接受联合体投标。</w:t>
      </w:r>
    </w:p>
    <w:p w14:paraId="420E48EC">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三、获取采购文件</w:t>
      </w:r>
      <w:bookmarkEnd w:id="19"/>
      <w:bookmarkEnd w:id="20"/>
      <w:bookmarkEnd w:id="21"/>
      <w:bookmarkEnd w:id="22"/>
      <w:bookmarkEnd w:id="23"/>
      <w:bookmarkEnd w:id="24"/>
      <w:bookmarkEnd w:id="25"/>
      <w:bookmarkEnd w:id="26"/>
    </w:p>
    <w:p w14:paraId="3889C8D5">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1.获取时间：2026</w:t>
      </w:r>
      <w:r>
        <w:rPr>
          <w:rFonts w:hint="eastAsia" w:ascii="宋体" w:hAnsi="宋体" w:eastAsia="宋体" w:cs="宋体"/>
          <w:sz w:val="24"/>
          <w:szCs w:val="24"/>
          <w:highlight w:val="none"/>
        </w:rPr>
        <w:t>年6月</w:t>
      </w:r>
      <w:r>
        <w:rPr>
          <w:rFonts w:hint="eastAsia" w:cs="宋体"/>
          <w:sz w:val="24"/>
          <w:szCs w:val="24"/>
          <w:highlight w:val="none"/>
          <w:lang w:val="en-US" w:eastAsia="zh-CN"/>
        </w:rPr>
        <w:t>17</w:t>
      </w:r>
      <w:r>
        <w:rPr>
          <w:rFonts w:hint="eastAsia" w:ascii="宋体" w:hAnsi="宋体" w:eastAsia="宋体" w:cs="宋体"/>
          <w:sz w:val="24"/>
          <w:szCs w:val="24"/>
          <w:highlight w:val="none"/>
        </w:rPr>
        <w:t>日至2026年6月</w:t>
      </w:r>
      <w:r>
        <w:rPr>
          <w:rFonts w:hint="eastAsia" w:cs="宋体"/>
          <w:sz w:val="24"/>
          <w:szCs w:val="24"/>
          <w:highlight w:val="none"/>
          <w:lang w:val="en-US" w:eastAsia="zh-CN"/>
        </w:rPr>
        <w:t>24</w:t>
      </w:r>
      <w:r>
        <w:rPr>
          <w:rFonts w:hint="eastAsia" w:ascii="宋体" w:hAnsi="宋体" w:eastAsia="宋体" w:cs="宋体"/>
          <w:sz w:val="24"/>
          <w:szCs w:val="24"/>
          <w:highlight w:val="none"/>
        </w:rPr>
        <w:t>日，每天上午8时30分至11时30分，下午13时30分至16时00分（北京时间，法定节假</w:t>
      </w:r>
      <w:r>
        <w:rPr>
          <w:rFonts w:hint="eastAsia" w:ascii="宋体" w:hAnsi="宋体" w:eastAsia="宋体" w:cs="宋体"/>
          <w:sz w:val="24"/>
          <w:szCs w:val="24"/>
        </w:rPr>
        <w:t>日除外）</w:t>
      </w:r>
    </w:p>
    <w:p w14:paraId="0B4958C4">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获取方式：本项目采取网上获取，具体操作如下：投标人将“营业执照副本、法定代表人身份证明或法定代表人授权委托书（如有被授权人）、法定代表人身份证、被授权人身份证（如有）、资质证书(如有）”资料加盖单位公章的彩色扫描件（PDF格式且内容清晰可辨）形式，邮件备注好项目名称、投标人名称、联系人、联系电话发送至代理机构信箱（428288363@qq.com），并同时拨打代理机构电话0431-80543099与代理机构进行确认。</w:t>
      </w:r>
    </w:p>
    <w:p w14:paraId="7F2B3A0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如因投标人未及时电话确认而对自身造成损失，相关责任由投标人自行承担。</w:t>
      </w:r>
    </w:p>
    <w:p w14:paraId="261AF220">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3.文件售价：招标文件300元/包，售出不退。</w:t>
      </w:r>
      <w:bookmarkStart w:id="27" w:name="_Toc4653"/>
      <w:bookmarkStart w:id="28" w:name="_Toc28359092"/>
      <w:bookmarkStart w:id="29" w:name="_Toc6757"/>
      <w:bookmarkStart w:id="30" w:name="_Toc28359015"/>
      <w:bookmarkStart w:id="31" w:name="_Toc896"/>
      <w:bookmarkStart w:id="32" w:name="_Toc8215"/>
      <w:bookmarkStart w:id="33" w:name="_Toc35393801"/>
      <w:bookmarkStart w:id="34" w:name="_Toc35393632"/>
    </w:p>
    <w:p w14:paraId="4EB4C9A5">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四、</w:t>
      </w:r>
      <w:bookmarkEnd w:id="27"/>
      <w:bookmarkEnd w:id="28"/>
      <w:bookmarkEnd w:id="29"/>
      <w:bookmarkEnd w:id="30"/>
      <w:bookmarkEnd w:id="31"/>
      <w:bookmarkEnd w:id="32"/>
      <w:bookmarkEnd w:id="33"/>
      <w:bookmarkEnd w:id="34"/>
      <w:r>
        <w:rPr>
          <w:rFonts w:hint="eastAsia" w:ascii="宋体" w:hAnsi="宋体" w:eastAsia="宋体" w:cs="宋体"/>
          <w:sz w:val="24"/>
          <w:szCs w:val="24"/>
        </w:rPr>
        <w:t>提交投标文件截止时间、开标时间和地点</w:t>
      </w:r>
    </w:p>
    <w:p w14:paraId="0E4879E1">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bCs/>
          <w:sz w:val="24"/>
          <w:szCs w:val="24"/>
          <w:u w:val="single"/>
        </w:rPr>
      </w:pPr>
      <w:r>
        <w:rPr>
          <w:rFonts w:hint="eastAsia" w:ascii="宋体" w:hAnsi="宋体" w:eastAsia="宋体" w:cs="宋体"/>
          <w:sz w:val="24"/>
          <w:szCs w:val="24"/>
        </w:rPr>
        <w:t>1.提交投标文件截止时间、开标时间：2026年</w:t>
      </w:r>
      <w:r>
        <w:rPr>
          <w:rFonts w:hint="eastAsia" w:cs="宋体"/>
          <w:sz w:val="24"/>
          <w:szCs w:val="24"/>
          <w:highlight w:val="none"/>
          <w:lang w:val="en-US" w:eastAsia="zh-CN"/>
        </w:rPr>
        <w:t>7</w:t>
      </w:r>
      <w:r>
        <w:rPr>
          <w:rFonts w:hint="eastAsia" w:ascii="宋体" w:hAnsi="宋体" w:eastAsia="宋体" w:cs="宋体"/>
          <w:sz w:val="24"/>
          <w:szCs w:val="24"/>
          <w:highlight w:val="none"/>
        </w:rPr>
        <w:t>月</w:t>
      </w:r>
      <w:r>
        <w:rPr>
          <w:rFonts w:hint="eastAsia" w:cs="宋体"/>
          <w:sz w:val="24"/>
          <w:szCs w:val="24"/>
          <w:highlight w:val="none"/>
          <w:lang w:val="en-US" w:eastAsia="zh-CN"/>
        </w:rPr>
        <w:t>7</w:t>
      </w:r>
      <w:r>
        <w:rPr>
          <w:rFonts w:hint="eastAsia" w:ascii="宋体" w:hAnsi="宋体" w:eastAsia="宋体" w:cs="宋体"/>
          <w:sz w:val="24"/>
          <w:szCs w:val="24"/>
          <w:highlight w:val="none"/>
        </w:rPr>
        <w:t>日13时30分</w:t>
      </w:r>
      <w:r>
        <w:rPr>
          <w:rFonts w:hint="eastAsia" w:ascii="宋体" w:hAnsi="宋体" w:eastAsia="宋体" w:cs="宋体"/>
          <w:bCs/>
          <w:sz w:val="24"/>
          <w:szCs w:val="24"/>
          <w:highlight w:val="none"/>
        </w:rPr>
        <w:t>（</w:t>
      </w:r>
      <w:r>
        <w:rPr>
          <w:rFonts w:hint="eastAsia" w:ascii="宋体" w:hAnsi="宋体" w:eastAsia="宋体" w:cs="宋体"/>
          <w:bCs/>
          <w:sz w:val="24"/>
          <w:szCs w:val="24"/>
        </w:rPr>
        <w:t>北京时间）</w:t>
      </w:r>
    </w:p>
    <w:p w14:paraId="0F187786">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2.提交地点：长春市南关区绿地中央广场B8A栋-24层开标一室。</w:t>
      </w:r>
    </w:p>
    <w:p w14:paraId="5830A47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逾期送达、未送达指定地点的或者不按招标文件要求密封的投标文件，招标人不予受理。投标人在提交投标文件时，应按招标文件要求提交投标保证金或投标保函。</w:t>
      </w:r>
    </w:p>
    <w:p w14:paraId="5EC0769F">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35" w:name="_Toc28359016"/>
      <w:bookmarkStart w:id="36" w:name="_Toc35393802"/>
      <w:bookmarkStart w:id="37" w:name="_Toc28359093"/>
      <w:bookmarkStart w:id="38" w:name="_Toc27223"/>
      <w:bookmarkStart w:id="39" w:name="_Toc27399"/>
      <w:bookmarkStart w:id="40" w:name="_Toc2209"/>
      <w:bookmarkStart w:id="41" w:name="_Toc20361"/>
      <w:bookmarkStart w:id="42" w:name="_Toc35393633"/>
      <w:r>
        <w:rPr>
          <w:rFonts w:hint="eastAsia" w:ascii="宋体" w:hAnsi="宋体" w:eastAsia="宋体" w:cs="宋体"/>
          <w:sz w:val="24"/>
          <w:szCs w:val="24"/>
        </w:rPr>
        <w:t>五、</w:t>
      </w:r>
      <w:bookmarkEnd w:id="35"/>
      <w:bookmarkEnd w:id="36"/>
      <w:bookmarkEnd w:id="37"/>
      <w:bookmarkEnd w:id="38"/>
      <w:bookmarkEnd w:id="39"/>
      <w:bookmarkEnd w:id="40"/>
      <w:bookmarkEnd w:id="41"/>
      <w:bookmarkEnd w:id="42"/>
      <w:r>
        <w:rPr>
          <w:rFonts w:hint="eastAsia" w:ascii="宋体" w:hAnsi="宋体" w:eastAsia="宋体" w:cs="宋体"/>
          <w:sz w:val="24"/>
          <w:szCs w:val="24"/>
        </w:rPr>
        <w:t>公告期限</w:t>
      </w:r>
    </w:p>
    <w:p w14:paraId="21AC6A24">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3C97D037">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43" w:name="_Toc32111"/>
      <w:bookmarkStart w:id="44" w:name="_Toc9017"/>
      <w:bookmarkStart w:id="45" w:name="_Toc35393804"/>
      <w:bookmarkStart w:id="46" w:name="_Toc35393635"/>
      <w:bookmarkStart w:id="47" w:name="_Toc20675"/>
      <w:bookmarkStart w:id="48" w:name="_Toc10785"/>
      <w:r>
        <w:rPr>
          <w:rFonts w:hint="eastAsia" w:ascii="宋体" w:hAnsi="宋体" w:eastAsia="宋体" w:cs="宋体"/>
          <w:sz w:val="24"/>
          <w:szCs w:val="24"/>
        </w:rPr>
        <w:t>六、其他补充事宜</w:t>
      </w:r>
      <w:bookmarkEnd w:id="43"/>
      <w:bookmarkEnd w:id="44"/>
      <w:bookmarkEnd w:id="45"/>
      <w:bookmarkEnd w:id="46"/>
      <w:bookmarkEnd w:id="47"/>
      <w:bookmarkEnd w:id="48"/>
    </w:p>
    <w:p w14:paraId="17329C0F">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1.发布公告媒介：本次招标公告在</w:t>
      </w:r>
      <w:r>
        <w:rPr>
          <w:rFonts w:hint="eastAsia" w:ascii="宋体" w:hAnsi="宋体" w:eastAsia="宋体" w:cs="宋体"/>
          <w:sz w:val="24"/>
          <w:szCs w:val="24"/>
          <w:lang w:val="zh-CN"/>
        </w:rPr>
        <w:t>《中国政府采购网》、《中国招标投标公共服务平台》、《中国采购与招标网》</w:t>
      </w:r>
      <w:r>
        <w:rPr>
          <w:rFonts w:hint="eastAsia" w:ascii="宋体" w:hAnsi="宋体" w:eastAsia="宋体" w:cs="宋体"/>
          <w:sz w:val="24"/>
          <w:szCs w:val="24"/>
        </w:rPr>
        <w:t>上发布。</w:t>
      </w:r>
    </w:p>
    <w:p w14:paraId="18DC18EB">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2.本项目落实政府采购政策：</w:t>
      </w:r>
    </w:p>
    <w:p w14:paraId="6C450A84">
      <w:pPr>
        <w:pStyle w:val="4"/>
        <w:pageBreakBefore w:val="0"/>
        <w:kinsoku/>
        <w:wordWrap/>
        <w:overflowPunct/>
        <w:topLinePunct w:val="0"/>
        <w:bidi w:val="0"/>
        <w:spacing w:before="0" w:beforeAutospacing="0" w:after="0" w:afterAutospacing="0" w:line="360" w:lineRule="auto"/>
        <w:ind w:firstLine="480" w:firstLineChars="200"/>
        <w:textAlignment w:val="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zh-CN" w:eastAsia="zh-CN" w:bidi="ar-SA"/>
        </w:rPr>
        <w:t>关于印发《政府采购促进中小企业发展管理办法》的通知（财库〔2020〕46 号）；《关于进一步加大政府采购支持中小企业力度的通知》（财库〔2022〕19 号）；《关于政府采购支持监狱企业发展有关问题的通知》(财库[2014]68 号)；《三部门联合发布关于促进残疾人就业政府采购政策的通知》(财库[2017]141号)；《关于调整优化节能产品、环境标志产品政府采购执行机制的通知》</w:t>
      </w:r>
      <w:r>
        <w:rPr>
          <w:rFonts w:hint="eastAsia" w:ascii="宋体" w:hAnsi="宋体" w:eastAsia="宋体" w:cs="宋体"/>
          <w:b w:val="0"/>
          <w:sz w:val="24"/>
          <w:szCs w:val="24"/>
          <w:lang w:val="en-US" w:eastAsia="zh-CN" w:bidi="ar-SA"/>
        </w:rPr>
        <w:t>(财库[2019]9号) 等。</w:t>
      </w:r>
    </w:p>
    <w:p w14:paraId="77DF0B48">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 </w:t>
      </w:r>
      <w:r>
        <w:rPr>
          <w:rFonts w:hint="eastAsia" w:ascii="宋体" w:hAnsi="宋体" w:eastAsia="宋体" w:cs="宋体"/>
          <w:b/>
          <w:bCs/>
          <w:sz w:val="24"/>
          <w:szCs w:val="24"/>
          <w:lang w:val="en-US" w:eastAsia="zh-CN" w:bidi="ar-SA"/>
        </w:rPr>
        <w:t>3.本项目所属行业：</w:t>
      </w:r>
      <w:r>
        <w:rPr>
          <w:rFonts w:hint="eastAsia" w:ascii="宋体" w:hAnsi="宋体" w:eastAsia="宋体" w:cs="宋体"/>
          <w:b w:val="0"/>
          <w:sz w:val="24"/>
          <w:szCs w:val="24"/>
          <w:lang w:val="en-US" w:eastAsia="zh-CN" w:bidi="ar-SA"/>
        </w:rPr>
        <w:t>工业</w:t>
      </w:r>
    </w:p>
    <w:p w14:paraId="1E4935D8">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49" w:name="_Toc25246"/>
      <w:bookmarkStart w:id="50" w:name="_Toc35393636"/>
      <w:bookmarkStart w:id="51" w:name="_Toc35393805"/>
      <w:bookmarkStart w:id="52" w:name="_Toc28359018"/>
      <w:bookmarkStart w:id="53" w:name="_Toc25915"/>
      <w:bookmarkStart w:id="54" w:name="_Toc28612"/>
      <w:bookmarkStart w:id="55" w:name="_Toc26668"/>
      <w:bookmarkStart w:id="56" w:name="_Toc28359095"/>
      <w:r>
        <w:rPr>
          <w:rFonts w:hint="eastAsia" w:ascii="宋体" w:hAnsi="宋体" w:eastAsia="宋体" w:cs="宋体"/>
          <w:sz w:val="24"/>
          <w:szCs w:val="24"/>
        </w:rPr>
        <w:t>七、凡对本次采购提出询问，请按以下方式联系。</w:t>
      </w:r>
      <w:bookmarkEnd w:id="49"/>
      <w:bookmarkEnd w:id="50"/>
      <w:bookmarkEnd w:id="51"/>
      <w:bookmarkEnd w:id="52"/>
      <w:bookmarkEnd w:id="53"/>
      <w:bookmarkEnd w:id="54"/>
      <w:bookmarkEnd w:id="55"/>
      <w:bookmarkEnd w:id="56"/>
    </w:p>
    <w:p w14:paraId="0A40E8EF">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57" w:name="_Toc35393637"/>
      <w:bookmarkStart w:id="58" w:name="_Toc28359019"/>
      <w:bookmarkStart w:id="59" w:name="_Toc15291"/>
      <w:bookmarkStart w:id="60" w:name="_Toc13444"/>
      <w:bookmarkStart w:id="61" w:name="_Toc18198"/>
      <w:bookmarkStart w:id="62" w:name="_Toc35393806"/>
      <w:bookmarkStart w:id="63" w:name="_Toc28359096"/>
      <w:bookmarkStart w:id="64" w:name="_Toc10212"/>
      <w:r>
        <w:rPr>
          <w:rFonts w:hint="eastAsia" w:ascii="宋体" w:hAnsi="宋体" w:eastAsia="宋体" w:cs="宋体"/>
          <w:sz w:val="24"/>
          <w:szCs w:val="24"/>
        </w:rPr>
        <w:t>1.采购人信息</w:t>
      </w:r>
      <w:bookmarkEnd w:id="57"/>
      <w:bookmarkEnd w:id="58"/>
      <w:bookmarkEnd w:id="59"/>
      <w:bookmarkEnd w:id="60"/>
      <w:bookmarkEnd w:id="61"/>
      <w:bookmarkEnd w:id="62"/>
      <w:bookmarkEnd w:id="63"/>
      <w:bookmarkEnd w:id="64"/>
    </w:p>
    <w:p w14:paraId="06851D7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采购人：吉林大学口腔医院</w:t>
      </w:r>
    </w:p>
    <w:p w14:paraId="5B3161D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联系人：于老师、滕老师</w:t>
      </w:r>
    </w:p>
    <w:p w14:paraId="3239F8D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联系电话：0431-85579345 </w:t>
      </w:r>
    </w:p>
    <w:p w14:paraId="129B337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地址：长春市朝阳区清华路1500号</w:t>
      </w:r>
    </w:p>
    <w:p w14:paraId="1D6E4388">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65" w:name="_Toc28359020"/>
      <w:bookmarkStart w:id="66" w:name="_Toc28359097"/>
      <w:bookmarkStart w:id="67" w:name="_Toc35393807"/>
      <w:bookmarkStart w:id="68" w:name="_Toc31557"/>
      <w:bookmarkStart w:id="69" w:name="_Toc21113"/>
      <w:bookmarkStart w:id="70" w:name="_Toc6412"/>
      <w:bookmarkStart w:id="71" w:name="_Toc5998"/>
      <w:bookmarkStart w:id="72" w:name="_Toc35393638"/>
      <w:r>
        <w:rPr>
          <w:rFonts w:hint="eastAsia" w:ascii="宋体" w:hAnsi="宋体" w:eastAsia="宋体" w:cs="宋体"/>
          <w:sz w:val="24"/>
          <w:szCs w:val="24"/>
        </w:rPr>
        <w:t>2.采购代理机构信息</w:t>
      </w:r>
      <w:bookmarkEnd w:id="65"/>
      <w:bookmarkEnd w:id="66"/>
      <w:bookmarkEnd w:id="67"/>
      <w:bookmarkEnd w:id="68"/>
      <w:bookmarkEnd w:id="69"/>
      <w:bookmarkEnd w:id="70"/>
      <w:bookmarkEnd w:id="71"/>
      <w:bookmarkEnd w:id="72"/>
    </w:p>
    <w:p w14:paraId="321D7E8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名称：吉林省中寰工程项目管理有限公司 </w:t>
      </w:r>
    </w:p>
    <w:p w14:paraId="04D055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地址：长春市南关区绿地中央广场B8A栋-24层</w:t>
      </w:r>
    </w:p>
    <w:p w14:paraId="01C1B93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w:t>
      </w:r>
      <w:bookmarkStart w:id="73" w:name="_Toc28973"/>
      <w:bookmarkStart w:id="74" w:name="_Toc31630"/>
      <w:bookmarkStart w:id="75" w:name="_Toc35393808"/>
      <w:bookmarkStart w:id="76" w:name="_Toc28359098"/>
      <w:bookmarkStart w:id="77" w:name="_Toc35393639"/>
      <w:bookmarkStart w:id="78" w:name="_Toc27759"/>
      <w:bookmarkStart w:id="79" w:name="_Toc27362"/>
      <w:bookmarkStart w:id="80" w:name="_Toc28359021"/>
      <w:r>
        <w:rPr>
          <w:rFonts w:hint="eastAsia" w:ascii="宋体" w:hAnsi="宋体" w:eastAsia="宋体" w:cs="宋体"/>
          <w:sz w:val="24"/>
          <w:szCs w:val="24"/>
          <w:lang w:val="zh-CN"/>
        </w:rPr>
        <w:t>0431-80543099</w:t>
      </w:r>
    </w:p>
    <w:p w14:paraId="0722949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14F8CE4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项目联系人：姜思羽</w:t>
      </w:r>
    </w:p>
    <w:p w14:paraId="4CAECDB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w:t>
      </w:r>
      <w:bookmarkEnd w:id="73"/>
      <w:bookmarkEnd w:id="74"/>
      <w:bookmarkEnd w:id="75"/>
      <w:bookmarkEnd w:id="76"/>
      <w:bookmarkEnd w:id="77"/>
      <w:bookmarkEnd w:id="78"/>
      <w:bookmarkEnd w:id="79"/>
      <w:bookmarkEnd w:id="80"/>
      <w:r>
        <w:rPr>
          <w:rFonts w:hint="eastAsia" w:ascii="宋体" w:hAnsi="宋体" w:eastAsia="宋体" w:cs="宋体"/>
          <w:sz w:val="24"/>
          <w:szCs w:val="24"/>
        </w:rPr>
        <w:t>13944168061、13596406381</w:t>
      </w:r>
    </w:p>
    <w:p w14:paraId="6D9F6AE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44"/>
          <w:sz w:val="24"/>
          <w:szCs w:val="24"/>
        </w:rPr>
      </w:pPr>
      <w:r>
        <w:rPr>
          <w:rFonts w:hint="eastAsia" w:ascii="宋体" w:hAnsi="宋体" w:eastAsia="宋体" w:cs="宋体"/>
          <w:sz w:val="24"/>
          <w:szCs w:val="24"/>
        </w:rPr>
        <w:br w:type="page"/>
      </w:r>
    </w:p>
    <w:p w14:paraId="38C14738">
      <w:pPr>
        <w:pageBreakBefore w:val="0"/>
        <w:kinsoku/>
        <w:wordWrap/>
        <w:overflowPunct/>
        <w:topLinePunct w:val="0"/>
        <w:bidi w:val="0"/>
        <w:spacing w:beforeAutospacing="0" w:afterAutospacing="0" w:line="360" w:lineRule="auto"/>
        <w:textAlignment w:val="auto"/>
        <w:rPr>
          <w:rStyle w:val="57"/>
          <w:rFonts w:hint="eastAsia" w:ascii="宋体" w:hAnsi="宋体" w:eastAsia="宋体" w:cs="宋体"/>
          <w:sz w:val="24"/>
          <w:szCs w:val="24"/>
          <w:lang w:val="zh-CN"/>
        </w:rPr>
      </w:pPr>
    </w:p>
    <w:p w14:paraId="57FA37CB">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32"/>
          <w:szCs w:val="32"/>
        </w:rPr>
      </w:pPr>
      <w:r>
        <w:rPr>
          <w:rStyle w:val="57"/>
          <w:rFonts w:hint="eastAsia" w:ascii="宋体" w:hAnsi="宋体" w:eastAsia="宋体" w:cs="宋体"/>
          <w:sz w:val="32"/>
          <w:szCs w:val="32"/>
          <w:lang w:val="zh-CN"/>
        </w:rPr>
        <w:t>第二章  投标人须知</w:t>
      </w:r>
      <w:bookmarkEnd w:id="1"/>
      <w:bookmarkEnd w:id="2"/>
    </w:p>
    <w:p w14:paraId="77B17394">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32"/>
          <w:szCs w:val="32"/>
          <w:lang w:val="zh-CN"/>
        </w:rPr>
      </w:pPr>
      <w:r>
        <w:rPr>
          <w:rFonts w:hint="eastAsia" w:ascii="宋体" w:hAnsi="宋体" w:eastAsia="宋体" w:cs="宋体"/>
          <w:kern w:val="1"/>
          <w:sz w:val="32"/>
          <w:szCs w:val="32"/>
          <w:lang w:val="zh-CN"/>
        </w:rPr>
        <w:t>投标须知前附表</w:t>
      </w:r>
    </w:p>
    <w:tbl>
      <w:tblPr>
        <w:tblStyle w:val="30"/>
        <w:tblW w:w="9799" w:type="dxa"/>
        <w:tblInd w:w="0" w:type="dxa"/>
        <w:tblLayout w:type="fixed"/>
        <w:tblCellMar>
          <w:top w:w="0" w:type="dxa"/>
          <w:left w:w="108" w:type="dxa"/>
          <w:bottom w:w="0" w:type="dxa"/>
          <w:right w:w="108" w:type="dxa"/>
        </w:tblCellMar>
      </w:tblPr>
      <w:tblGrid>
        <w:gridCol w:w="700"/>
        <w:gridCol w:w="1909"/>
        <w:gridCol w:w="7190"/>
      </w:tblGrid>
      <w:tr w14:paraId="3314D220">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AFCCBA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09" w:type="dxa"/>
            <w:tcBorders>
              <w:top w:val="single" w:color="000000" w:sz="4" w:space="0"/>
              <w:left w:val="single" w:color="000000" w:sz="4" w:space="0"/>
              <w:bottom w:val="single" w:color="000000" w:sz="4" w:space="0"/>
              <w:right w:val="single" w:color="000000" w:sz="4" w:space="0"/>
            </w:tcBorders>
            <w:vAlign w:val="center"/>
          </w:tcPr>
          <w:p w14:paraId="01FA514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条款名称</w:t>
            </w:r>
          </w:p>
        </w:tc>
        <w:tc>
          <w:tcPr>
            <w:tcW w:w="7190" w:type="dxa"/>
            <w:tcBorders>
              <w:top w:val="single" w:color="000000" w:sz="4" w:space="0"/>
              <w:left w:val="single" w:color="000000" w:sz="4" w:space="0"/>
              <w:bottom w:val="single" w:color="000000" w:sz="4" w:space="0"/>
              <w:right w:val="single" w:color="000000" w:sz="4" w:space="0"/>
            </w:tcBorders>
            <w:vAlign w:val="center"/>
          </w:tcPr>
          <w:p w14:paraId="3047BB3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编列内容</w:t>
            </w:r>
          </w:p>
        </w:tc>
      </w:tr>
      <w:tr w14:paraId="73AD5F14">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7EF915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09" w:type="dxa"/>
            <w:tcBorders>
              <w:top w:val="single" w:color="000000" w:sz="4" w:space="0"/>
              <w:left w:val="single" w:color="000000" w:sz="4" w:space="0"/>
              <w:bottom w:val="single" w:color="000000" w:sz="4" w:space="0"/>
              <w:right w:val="single" w:color="000000" w:sz="4" w:space="0"/>
            </w:tcBorders>
            <w:vAlign w:val="center"/>
          </w:tcPr>
          <w:p w14:paraId="552788B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采购人</w:t>
            </w:r>
          </w:p>
        </w:tc>
        <w:tc>
          <w:tcPr>
            <w:tcW w:w="7190" w:type="dxa"/>
            <w:tcBorders>
              <w:top w:val="single" w:color="000000" w:sz="4" w:space="0"/>
              <w:left w:val="single" w:color="000000" w:sz="4" w:space="0"/>
              <w:bottom w:val="single" w:color="000000" w:sz="4" w:space="0"/>
              <w:right w:val="single" w:color="000000" w:sz="4" w:space="0"/>
            </w:tcBorders>
          </w:tcPr>
          <w:p w14:paraId="688931A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采购人：吉林大学口腔医院</w:t>
            </w:r>
          </w:p>
          <w:p w14:paraId="1DCADB8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联系人：于老师、滕老师</w:t>
            </w:r>
          </w:p>
          <w:p w14:paraId="77638ED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联系电话：0431-85579345 </w:t>
            </w:r>
          </w:p>
        </w:tc>
      </w:tr>
      <w:tr w14:paraId="4E5462E1">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5E9B17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09" w:type="dxa"/>
            <w:tcBorders>
              <w:top w:val="single" w:color="000000" w:sz="4" w:space="0"/>
              <w:left w:val="single" w:color="000000" w:sz="4" w:space="0"/>
              <w:bottom w:val="single" w:color="000000" w:sz="4" w:space="0"/>
              <w:right w:val="single" w:color="000000" w:sz="4" w:space="0"/>
            </w:tcBorders>
            <w:vAlign w:val="center"/>
          </w:tcPr>
          <w:p w14:paraId="14608A1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采购代理机构</w:t>
            </w:r>
          </w:p>
        </w:tc>
        <w:tc>
          <w:tcPr>
            <w:tcW w:w="7190" w:type="dxa"/>
            <w:tcBorders>
              <w:top w:val="single" w:color="000000" w:sz="4" w:space="0"/>
              <w:left w:val="single" w:color="000000" w:sz="4" w:space="0"/>
              <w:bottom w:val="single" w:color="000000" w:sz="4" w:space="0"/>
              <w:right w:val="single" w:color="000000" w:sz="4" w:space="0"/>
            </w:tcBorders>
          </w:tcPr>
          <w:p w14:paraId="044F6B1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采购代理机构：吉林省中寰工程项目管理有限公司 </w:t>
            </w:r>
          </w:p>
          <w:p w14:paraId="57AAFA6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地址：长春市南关区绿地中央广场B8A栋-24层</w:t>
            </w:r>
          </w:p>
          <w:p w14:paraId="735BE56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项目联系人：姜思羽</w:t>
            </w:r>
          </w:p>
          <w:p w14:paraId="0D2382B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联系方式：13944168061、13596406381</w:t>
            </w:r>
          </w:p>
        </w:tc>
      </w:tr>
      <w:tr w14:paraId="7733463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0F026AF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09" w:type="dxa"/>
            <w:tcBorders>
              <w:top w:val="single" w:color="000000" w:sz="4" w:space="0"/>
              <w:left w:val="single" w:color="000000" w:sz="4" w:space="0"/>
              <w:bottom w:val="single" w:color="000000" w:sz="4" w:space="0"/>
              <w:right w:val="single" w:color="000000" w:sz="4" w:space="0"/>
            </w:tcBorders>
            <w:vAlign w:val="center"/>
          </w:tcPr>
          <w:p w14:paraId="7B1337D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tc>
        <w:tc>
          <w:tcPr>
            <w:tcW w:w="7190" w:type="dxa"/>
            <w:tcBorders>
              <w:top w:val="single" w:color="000000" w:sz="4" w:space="0"/>
              <w:left w:val="single" w:color="000000" w:sz="4" w:space="0"/>
              <w:bottom w:val="single" w:color="000000" w:sz="4" w:space="0"/>
              <w:right w:val="single" w:color="000000" w:sz="4" w:space="0"/>
            </w:tcBorders>
            <w:vAlign w:val="center"/>
          </w:tcPr>
          <w:p w14:paraId="30FA479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cs="宋体"/>
                <w:sz w:val="24"/>
                <w:szCs w:val="24"/>
                <w:highlight w:val="none"/>
                <w:lang w:eastAsia="zh-CN"/>
              </w:rPr>
              <w:t>吉林大学口腔医院</w:t>
            </w:r>
            <w:r>
              <w:rPr>
                <w:rFonts w:hint="eastAsia" w:ascii="宋体" w:hAnsi="宋体" w:eastAsia="宋体" w:cs="宋体"/>
                <w:sz w:val="24"/>
                <w:szCs w:val="24"/>
                <w:highlight w:val="none"/>
              </w:rPr>
              <w:t>诊</w:t>
            </w:r>
            <w:r>
              <w:rPr>
                <w:rFonts w:hint="eastAsia" w:ascii="宋体" w:hAnsi="宋体" w:eastAsia="宋体" w:cs="宋体"/>
                <w:sz w:val="24"/>
                <w:szCs w:val="24"/>
              </w:rPr>
              <w:t>疗环境修缮改造项目——加压调蓄设施及医用电梯购置</w:t>
            </w:r>
          </w:p>
        </w:tc>
      </w:tr>
      <w:tr w14:paraId="2AC3AE2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F1C1D2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909" w:type="dxa"/>
            <w:tcBorders>
              <w:top w:val="single" w:color="000000" w:sz="4" w:space="0"/>
              <w:left w:val="single" w:color="000000" w:sz="4" w:space="0"/>
              <w:bottom w:val="single" w:color="000000" w:sz="4" w:space="0"/>
              <w:right w:val="single" w:color="000000" w:sz="4" w:space="0"/>
            </w:tcBorders>
            <w:vAlign w:val="center"/>
          </w:tcPr>
          <w:p w14:paraId="743C0B2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交货地点</w:t>
            </w:r>
          </w:p>
        </w:tc>
        <w:tc>
          <w:tcPr>
            <w:tcW w:w="7190" w:type="dxa"/>
            <w:tcBorders>
              <w:top w:val="single" w:color="000000" w:sz="4" w:space="0"/>
              <w:left w:val="single" w:color="000000" w:sz="4" w:space="0"/>
              <w:bottom w:val="single" w:color="000000" w:sz="4" w:space="0"/>
              <w:right w:val="single" w:color="000000" w:sz="4" w:space="0"/>
            </w:tcBorders>
            <w:vAlign w:val="center"/>
          </w:tcPr>
          <w:p w14:paraId="24F660C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采购人指定地点</w:t>
            </w:r>
          </w:p>
        </w:tc>
      </w:tr>
      <w:tr w14:paraId="7170DF8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5F028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C39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采购需求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CF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详见招标文件采购需求</w:t>
            </w:r>
          </w:p>
        </w:tc>
      </w:tr>
      <w:tr w14:paraId="3EC8530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33C72B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D7E1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供货时间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C0D6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详见招标公告供货时间</w:t>
            </w:r>
          </w:p>
        </w:tc>
      </w:tr>
      <w:tr w14:paraId="6CA1C05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FACA5C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622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质量要求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F04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符合行业相关规定的合格标准</w:t>
            </w:r>
          </w:p>
        </w:tc>
      </w:tr>
      <w:tr w14:paraId="5B9857A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4B73C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B2F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投标人资格要求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042A485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159A97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2.落实政府采购政策需满足的资格要求：本项目包1属于专门面向中小企业采购的项目、包2属于非专门面向中小企业采购的项目；3.本项目的特定资格要求：</w:t>
            </w:r>
          </w:p>
          <w:p w14:paraId="3339A05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3.1投标人须具有独立承担民事责任的能力，具备有效的营业执照；</w:t>
            </w:r>
          </w:p>
          <w:p w14:paraId="4B5045A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3.2资质要求：</w:t>
            </w:r>
          </w:p>
          <w:p w14:paraId="1586D1F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包1：无。</w:t>
            </w:r>
          </w:p>
          <w:p w14:paraId="7FF9F79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包2：供应商若</w:t>
            </w:r>
            <w:r>
              <w:rPr>
                <w:rFonts w:hint="eastAsia" w:ascii="宋体" w:hAnsi="宋体" w:eastAsia="宋体" w:cs="宋体"/>
                <w:sz w:val="24"/>
                <w:szCs w:val="24"/>
                <w:shd w:val="clear" w:color="auto" w:fill="FFFFFF"/>
              </w:rPr>
              <w:t>为电梯制造商</w:t>
            </w:r>
            <w:r>
              <w:rPr>
                <w:rFonts w:hint="eastAsia" w:ascii="宋体" w:hAnsi="宋体" w:eastAsia="宋体" w:cs="宋体"/>
                <w:sz w:val="24"/>
                <w:szCs w:val="24"/>
              </w:rPr>
              <w:t>须具备有效期内的《中华人民共和国特种设备生产许可证》（许可项目包含曳引驱动乘客电梯安装、修理、改造）B级资质以上（含B级）；供应商若为代理商或经销商，提供自身《中华人民共和国特种设备生产许可证》（许可项目包含曳引驱动乘客电梯安装（含修理））B级资质以上（含B级）。</w:t>
            </w:r>
          </w:p>
          <w:p w14:paraId="3BAEA5F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3.3财务要求：近三年（2023年度、2024年度、2025年度）有健全的财务制度，须提供近三年财务审计报告或财务报表；（当投标单位成立日期在2023年-2025年12月31日之间的，提供从成立日期起至2025年之间的经会计师事务所审计的财务审计报告或财务报表，2025年12月31以后新成立的公司无财务审计报告或财务报表的，需提供一份财务状况良好承诺书）</w:t>
            </w:r>
          </w:p>
          <w:p w14:paraId="561A4A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3.4具有依法缴纳税收和社会保障资金的良好记录；</w:t>
            </w:r>
          </w:p>
          <w:p w14:paraId="2585210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3.5信誉要求：本项目不接受被“信用中国”网站（www.creditchina.gov.cn）列入失信被执行人、重大税收违法失信主体、严重失信主体名单，以及被“中国政府采购网”（www.ccgp.gov.cn）列入政府采购严重违法失信行为记录名单的投标人参与投标；</w:t>
            </w:r>
          </w:p>
          <w:p w14:paraId="1856941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3.6参加政府采购活动前3年内在经营活动中没有重大违法记录的书面声明。</w:t>
            </w:r>
          </w:p>
          <w:p w14:paraId="04EF080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3.7单位负责人为同一人或者存在控股、管理关系的不同单位，不得参加同一标段投标或者未划分标段的同一招标项目投标。违反上述规定的，相关投标均无效。</w:t>
            </w:r>
          </w:p>
          <w:p w14:paraId="46D9FE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w:t>
            </w:r>
          </w:p>
        </w:tc>
      </w:tr>
      <w:tr w14:paraId="1546D78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7B7352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6C9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E5E2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不接受</w:t>
            </w:r>
          </w:p>
        </w:tc>
      </w:tr>
      <w:tr w14:paraId="73E2B32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514328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CBF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踏勘</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A3C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不组织</w:t>
            </w:r>
          </w:p>
        </w:tc>
      </w:tr>
      <w:tr w14:paraId="6B300C4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DD8EDD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837A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投标预备会</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3BE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不召开</w:t>
            </w:r>
          </w:p>
        </w:tc>
      </w:tr>
      <w:tr w14:paraId="0C0AED4C">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8B56CD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C27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投标人提出问题的截止时间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D0FAAC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时  间：开标10日前投标人将对招标文件不清楚的问题提交给采购代理机构。</w:t>
            </w:r>
          </w:p>
          <w:p w14:paraId="68A90B0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联系人：姜思羽</w:t>
            </w:r>
          </w:p>
          <w:p w14:paraId="1E8CEA7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联系电话：13944168061、13596406381</w:t>
            </w:r>
          </w:p>
        </w:tc>
      </w:tr>
      <w:tr w14:paraId="66E41827">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02B3D6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1E6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采购人书面澄清的时间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B5C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投标截止时间前15天</w:t>
            </w:r>
          </w:p>
        </w:tc>
      </w:tr>
      <w:tr w14:paraId="19B2A5D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1A893A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941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分包</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B62010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不允许分包</w:t>
            </w:r>
          </w:p>
        </w:tc>
      </w:tr>
      <w:tr w14:paraId="073D3C01">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C9BFBE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727B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偏离</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160E3DF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招标中要求的技术参数不允许负偏离</w:t>
            </w:r>
          </w:p>
        </w:tc>
      </w:tr>
      <w:tr w14:paraId="1E5B642C">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E5D66A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3E6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构成招标文件的其他材料</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C4A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w:t>
            </w:r>
          </w:p>
        </w:tc>
      </w:tr>
      <w:tr w14:paraId="01399F5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BA203B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D2B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投标截止时间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E30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2026</w:t>
            </w:r>
            <w:r>
              <w:rPr>
                <w:rFonts w:hint="eastAsia" w:ascii="宋体" w:hAnsi="宋体" w:eastAsia="宋体" w:cs="宋体"/>
                <w:sz w:val="24"/>
                <w:szCs w:val="24"/>
                <w:highlight w:val="none"/>
              </w:rPr>
              <w:t>年</w:t>
            </w:r>
            <w:r>
              <w:rPr>
                <w:rFonts w:hint="eastAsia" w:cs="宋体"/>
                <w:sz w:val="24"/>
                <w:szCs w:val="24"/>
                <w:highlight w:val="none"/>
                <w:lang w:val="en-US" w:eastAsia="zh-CN"/>
              </w:rPr>
              <w:t>7</w:t>
            </w:r>
            <w:r>
              <w:rPr>
                <w:rFonts w:hint="eastAsia" w:ascii="宋体" w:hAnsi="宋体" w:eastAsia="宋体" w:cs="宋体"/>
                <w:sz w:val="24"/>
                <w:szCs w:val="24"/>
                <w:highlight w:val="none"/>
              </w:rPr>
              <w:t>月</w:t>
            </w:r>
            <w:r>
              <w:rPr>
                <w:rFonts w:hint="eastAsia" w:cs="宋体"/>
                <w:sz w:val="24"/>
                <w:szCs w:val="24"/>
                <w:highlight w:val="none"/>
                <w:lang w:val="en-US" w:eastAsia="zh-CN"/>
              </w:rPr>
              <w:t>7</w:t>
            </w:r>
            <w:r>
              <w:rPr>
                <w:rFonts w:hint="eastAsia" w:ascii="宋体" w:hAnsi="宋体" w:eastAsia="宋体" w:cs="宋体"/>
                <w:sz w:val="24"/>
                <w:szCs w:val="24"/>
                <w:highlight w:val="none"/>
              </w:rPr>
              <w:t>日13时30分（北京时</w:t>
            </w:r>
            <w:r>
              <w:rPr>
                <w:rFonts w:hint="eastAsia" w:ascii="宋体" w:hAnsi="宋体" w:eastAsia="宋体" w:cs="宋体"/>
                <w:sz w:val="24"/>
                <w:szCs w:val="24"/>
              </w:rPr>
              <w:t>间）</w:t>
            </w:r>
          </w:p>
        </w:tc>
      </w:tr>
      <w:tr w14:paraId="317E48BF">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AA3995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0AC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投标人确认收到</w:t>
            </w:r>
          </w:p>
          <w:p w14:paraId="0CC0E1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招标文件澄清的时间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554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24小时以内</w:t>
            </w:r>
          </w:p>
        </w:tc>
      </w:tr>
      <w:tr w14:paraId="5171AAB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5C4611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DA2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投标人确认收到</w:t>
            </w:r>
          </w:p>
          <w:p w14:paraId="1859FA8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招标文件修改的时间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9BA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24小时以内</w:t>
            </w:r>
          </w:p>
        </w:tc>
      </w:tr>
      <w:tr w14:paraId="580E87B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C71E93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AEB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构成投标文件的其他材料</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E17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详见第四章评标标准和方法</w:t>
            </w:r>
          </w:p>
        </w:tc>
      </w:tr>
      <w:tr w14:paraId="252D348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B87102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7B4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投标报价方式</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C50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报总价</w:t>
            </w:r>
          </w:p>
        </w:tc>
      </w:tr>
      <w:tr w14:paraId="1CCB8CBA">
        <w:tblPrEx>
          <w:tblCellMar>
            <w:top w:w="0" w:type="dxa"/>
            <w:left w:w="108" w:type="dxa"/>
            <w:bottom w:w="0" w:type="dxa"/>
            <w:right w:w="108" w:type="dxa"/>
          </w:tblCellMar>
        </w:tblPrEx>
        <w:trPr>
          <w:trHeight w:val="1087" w:hRule="atLeast"/>
        </w:trPr>
        <w:tc>
          <w:tcPr>
            <w:tcW w:w="700" w:type="dxa"/>
            <w:tcBorders>
              <w:top w:val="single" w:color="000000" w:sz="4" w:space="0"/>
              <w:left w:val="single" w:color="000000" w:sz="4" w:space="0"/>
              <w:bottom w:val="single" w:color="000000" w:sz="4" w:space="0"/>
              <w:right w:val="single" w:color="000000" w:sz="4" w:space="0"/>
            </w:tcBorders>
            <w:vAlign w:val="center"/>
          </w:tcPr>
          <w:p w14:paraId="4483340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C60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付款方式</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3A6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合同签订且收到履约保证金后7个工作日内支付合同金额的50%作为预付款，安装、验收完毕后10个工作日内付清余款。</w:t>
            </w:r>
          </w:p>
        </w:tc>
      </w:tr>
      <w:tr w14:paraId="0216BF0C">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835008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13D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履约保证金的收取和退还</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A4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方式：履约保证金/履约保函</w:t>
            </w:r>
          </w:p>
          <w:p w14:paraId="7ABBB59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1.中标人收到中标通知书后10个工作日内，应当以现金（包括银行汇款、转账等方式）或银行出具的保函等非现金形式提交履约保证金。</w:t>
            </w:r>
          </w:p>
          <w:p w14:paraId="4F24FB7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保证金的金额占合同总价的比例:□5%  ☑10%。</w:t>
            </w:r>
          </w:p>
          <w:p w14:paraId="0C9037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中标人无法按时交货或货物不符合合同约定且整改后仍不合格的，履约保证金不予退还；如果中标人未能按合同约定全面履行义务，采购人有权从履约保证金中取得补偿或赔偿，且不影响采购人要求中标人承担合同约定的超过履约保证金的违约责任的权利。</w:t>
            </w:r>
          </w:p>
          <w:p w14:paraId="716E4D4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3.中标人无违约情形的，采购人在设备运行一年后无质量问题的，经使用科室确认，应将履约保证金无息退还中标人。（具体以实际签订合同为准）。</w:t>
            </w:r>
          </w:p>
        </w:tc>
      </w:tr>
      <w:tr w14:paraId="711CA172">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C21D21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4502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投标有效期</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A4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投标截止之日起90天（日历天）</w:t>
            </w:r>
          </w:p>
        </w:tc>
      </w:tr>
      <w:tr w14:paraId="637E8BB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86B367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58D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投标保证金</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C45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投标保证金的金额：包1:18000元、包2:</w:t>
            </w:r>
            <w:r>
              <w:rPr>
                <w:rFonts w:hint="eastAsia" w:cs="宋体"/>
                <w:sz w:val="24"/>
                <w:szCs w:val="24"/>
                <w:lang w:val="en-US" w:eastAsia="zh-CN"/>
              </w:rPr>
              <w:t>5</w:t>
            </w:r>
            <w:r>
              <w:rPr>
                <w:rFonts w:hint="eastAsia" w:ascii="宋体" w:hAnsi="宋体" w:eastAsia="宋体" w:cs="宋体"/>
                <w:sz w:val="24"/>
                <w:szCs w:val="24"/>
              </w:rPr>
              <w:t>000元</w:t>
            </w:r>
          </w:p>
          <w:p w14:paraId="1E4F182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递交形式：以支票、汇票、本票或者金融机构、担保机构出具的保函、银行转账等非现金形式提交。投标人未按照招标文件要求提交投标保证金的，投标无效；投标保证金应当从投标单位的基本账户转出；</w:t>
            </w:r>
          </w:p>
          <w:p w14:paraId="7107442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（投标人应于开标前提交，以到账为准。如开标前一天遇有公休日或法定节假日,应在公休日、法定节假日前一天交付到账）</w:t>
            </w:r>
          </w:p>
          <w:p w14:paraId="6CD13D5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账户名称：吉林省中寰工程项目管理有限公司 </w:t>
            </w:r>
          </w:p>
          <w:p w14:paraId="0A7E06A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开户银行：中国工商银行股份有限公司长春万达广场支行</w:t>
            </w:r>
          </w:p>
          <w:p w14:paraId="2552EA5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账    号：4200201209000063162</w:t>
            </w:r>
          </w:p>
          <w:p w14:paraId="3888925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行号：102241000822</w:t>
            </w:r>
          </w:p>
          <w:p w14:paraId="7503C95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投标保证金是投标文件的组成部分，应当从供应商的基本账户转出；未按要求提交的，视为放弃投标，采购人将不接受其响应文件。供应商应在银行进账单或电汇凭证上明确用途、投标项目名称的简要信息。以汇票、保函形式递交的投标保证金须在投标文件递交的截止时间前将原件递交至采购代理机构并将复印件加盖公章装入到投标文件中。各单位交款后须将存款凭证扫描件发送到采购代理机构邮箱428288363@qq.com内，并联系采购代理机构联系人及时查账。（转账凭证扫描件要求字迹清晰）</w:t>
            </w:r>
          </w:p>
        </w:tc>
      </w:tr>
      <w:tr w14:paraId="3A5663D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AEAA1A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D64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近年财务状况的年份要求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064C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近三年（2023年度、2024年度、2025年度）</w:t>
            </w:r>
          </w:p>
        </w:tc>
      </w:tr>
      <w:tr w14:paraId="0D271942">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F6B77E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430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近年发生的诉讼及仲裁情况的年份要求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70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近三年（2023年1月1日至今）</w:t>
            </w:r>
          </w:p>
        </w:tc>
      </w:tr>
      <w:tr w14:paraId="2A69A64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0A8AD22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E05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是否允许递交备选投标方案</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EB77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不允许</w:t>
            </w:r>
          </w:p>
        </w:tc>
      </w:tr>
      <w:tr w14:paraId="4D0C6046">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DCCF4F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29</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4B8C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签字或盖章要求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98C847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投标文件封面、投标函均应加盖投标人印章并经法定代表人或其委托代理人签字或盖章。</w:t>
            </w:r>
          </w:p>
        </w:tc>
      </w:tr>
      <w:tr w14:paraId="431EEDAF">
        <w:tblPrEx>
          <w:tblCellMar>
            <w:top w:w="0" w:type="dxa"/>
            <w:left w:w="108" w:type="dxa"/>
            <w:bottom w:w="0" w:type="dxa"/>
            <w:right w:w="108" w:type="dxa"/>
          </w:tblCellMar>
        </w:tblPrEx>
        <w:trPr>
          <w:trHeight w:val="618" w:hRule="atLeast"/>
        </w:trPr>
        <w:tc>
          <w:tcPr>
            <w:tcW w:w="700" w:type="dxa"/>
            <w:tcBorders>
              <w:top w:val="single" w:color="000000" w:sz="4" w:space="0"/>
              <w:left w:val="single" w:color="000000" w:sz="4" w:space="0"/>
              <w:bottom w:val="single" w:color="000000" w:sz="4" w:space="0"/>
              <w:right w:val="single" w:color="000000" w:sz="4" w:space="0"/>
            </w:tcBorders>
            <w:vAlign w:val="center"/>
          </w:tcPr>
          <w:p w14:paraId="69A6CE5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30</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E66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投标文件份数</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C8FB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正本1份，副本4份，电子版（U盘，签字盖章扫描后的PDF格式及word格式）2份，开标一览表1份。</w:t>
            </w:r>
          </w:p>
          <w:p w14:paraId="36F19DBA">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kern w:val="0"/>
                <w:sz w:val="24"/>
                <w:szCs w:val="24"/>
              </w:rPr>
              <w:t>提交投标文件截止时间、开标时间：</w:t>
            </w:r>
            <w:r>
              <w:rPr>
                <w:rFonts w:hint="eastAsia" w:ascii="宋体" w:hAnsi="宋体" w:eastAsia="宋体" w:cs="宋体"/>
                <w:sz w:val="24"/>
                <w:szCs w:val="24"/>
              </w:rPr>
              <w:t>20</w:t>
            </w:r>
            <w:r>
              <w:rPr>
                <w:rFonts w:hint="eastAsia" w:ascii="宋体" w:hAnsi="宋体" w:eastAsia="宋体" w:cs="宋体"/>
                <w:sz w:val="24"/>
                <w:szCs w:val="24"/>
                <w:highlight w:val="none"/>
              </w:rPr>
              <w:t>26年</w:t>
            </w:r>
            <w:r>
              <w:rPr>
                <w:rFonts w:hint="eastAsia"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eastAsia="宋体" w:cs="宋体"/>
                <w:sz w:val="24"/>
                <w:szCs w:val="24"/>
                <w:highlight w:val="none"/>
                <w:lang w:val="en-US" w:eastAsia="zh-CN"/>
              </w:rPr>
              <w:t>7</w:t>
            </w:r>
            <w:r>
              <w:rPr>
                <w:rFonts w:hint="eastAsia" w:ascii="宋体" w:hAnsi="宋体" w:eastAsia="宋体" w:cs="宋体"/>
                <w:sz w:val="24"/>
                <w:szCs w:val="24"/>
                <w:highlight w:val="none"/>
              </w:rPr>
              <w:t>日13时30</w:t>
            </w:r>
            <w:r>
              <w:rPr>
                <w:rFonts w:hint="eastAsia" w:ascii="宋体" w:hAnsi="宋体" w:eastAsia="宋体" w:cs="宋体"/>
                <w:sz w:val="24"/>
                <w:szCs w:val="24"/>
              </w:rPr>
              <w:t>分</w:t>
            </w:r>
            <w:r>
              <w:rPr>
                <w:rFonts w:hint="eastAsia" w:ascii="宋体" w:hAnsi="宋体" w:eastAsia="宋体" w:cs="宋体"/>
                <w:kern w:val="0"/>
                <w:sz w:val="24"/>
                <w:szCs w:val="24"/>
              </w:rPr>
              <w:t>（北京时间）前递交到长春市南关区绿地中央广场B8A栋-24层开标一室。逾期送达的或不符合招标文件要求密封条件的投标文件将被拒收。</w:t>
            </w:r>
          </w:p>
        </w:tc>
      </w:tr>
      <w:tr w14:paraId="3F5F5B4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F56A61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395E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装订要求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C5993E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投标文件的装订要整齐、牢固，编制目录，便于保管和利用，不能采用活页装订方式。</w:t>
            </w:r>
          </w:p>
        </w:tc>
      </w:tr>
      <w:tr w14:paraId="2CF6E15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DF0D4B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32</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E6C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封套上写明</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AF0604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(项目名称)   投标文件/开标一览表</w:t>
            </w:r>
          </w:p>
          <w:p w14:paraId="295F5B5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177960A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招标人名称：</w:t>
            </w:r>
          </w:p>
          <w:p w14:paraId="5A81DE3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w:t>
            </w:r>
          </w:p>
          <w:p w14:paraId="0720907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投标人名称：</w:t>
            </w:r>
          </w:p>
          <w:p w14:paraId="5D19D4F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p>
          <w:p w14:paraId="23EA24E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2026年月日</w:t>
            </w:r>
            <w:r>
              <w:rPr>
                <w:rFonts w:hint="eastAsia" w:ascii="宋体" w:hAnsi="宋体" w:eastAsia="宋体" w:cs="宋体"/>
                <w:bCs/>
                <w:sz w:val="24"/>
                <w:szCs w:val="24"/>
                <w:u w:val="single"/>
              </w:rPr>
              <w:t>点分</w:t>
            </w:r>
            <w:r>
              <w:rPr>
                <w:rFonts w:hint="eastAsia" w:ascii="宋体" w:hAnsi="宋体" w:eastAsia="宋体" w:cs="宋体"/>
                <w:bCs/>
                <w:sz w:val="24"/>
                <w:szCs w:val="24"/>
              </w:rPr>
              <w:t>（北京时间）</w:t>
            </w:r>
            <w:r>
              <w:rPr>
                <w:rFonts w:hint="eastAsia" w:ascii="宋体" w:hAnsi="宋体" w:eastAsia="宋体" w:cs="宋体"/>
                <w:sz w:val="24"/>
                <w:szCs w:val="24"/>
              </w:rPr>
              <w:t>前不得开启</w:t>
            </w:r>
          </w:p>
        </w:tc>
      </w:tr>
      <w:tr w14:paraId="725741CF">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0D93A61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33</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F29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递交投标文件地点</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2BF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长春市南关区绿地中央广场B8A栋-24层开标一室</w:t>
            </w:r>
          </w:p>
        </w:tc>
      </w:tr>
      <w:tr w14:paraId="0085FB57">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2E9F39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34</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7FA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2CF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不退还</w:t>
            </w:r>
          </w:p>
        </w:tc>
      </w:tr>
      <w:tr w14:paraId="7F49A303">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260545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8BA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开标时间和地点</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315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开标时间：2026</w:t>
            </w:r>
            <w:r>
              <w:rPr>
                <w:rFonts w:hint="eastAsia" w:ascii="宋体" w:hAnsi="宋体" w:eastAsia="宋体" w:cs="宋体"/>
                <w:sz w:val="24"/>
                <w:szCs w:val="24"/>
                <w:highlight w:val="none"/>
              </w:rPr>
              <w:t>年</w:t>
            </w:r>
            <w:r>
              <w:rPr>
                <w:rFonts w:hint="eastAsia" w:cs="宋体"/>
                <w:sz w:val="24"/>
                <w:szCs w:val="24"/>
                <w:highlight w:val="none"/>
                <w:lang w:val="en-US" w:eastAsia="zh-CN"/>
              </w:rPr>
              <w:t>7</w:t>
            </w:r>
            <w:r>
              <w:rPr>
                <w:rFonts w:hint="eastAsia" w:ascii="宋体" w:hAnsi="宋体" w:eastAsia="宋体" w:cs="宋体"/>
                <w:sz w:val="24"/>
                <w:szCs w:val="24"/>
                <w:highlight w:val="none"/>
              </w:rPr>
              <w:t>月</w:t>
            </w:r>
            <w:r>
              <w:rPr>
                <w:rFonts w:hint="eastAsia" w:cs="宋体"/>
                <w:sz w:val="24"/>
                <w:szCs w:val="24"/>
                <w:highlight w:val="none"/>
                <w:lang w:val="en-US" w:eastAsia="zh-CN"/>
              </w:rPr>
              <w:t>7</w:t>
            </w:r>
            <w:r>
              <w:rPr>
                <w:rFonts w:hint="eastAsia" w:ascii="宋体" w:hAnsi="宋体" w:eastAsia="宋体" w:cs="宋体"/>
                <w:sz w:val="24"/>
                <w:szCs w:val="24"/>
                <w:highlight w:val="none"/>
              </w:rPr>
              <w:t>日13时30</w:t>
            </w:r>
            <w:r>
              <w:rPr>
                <w:rFonts w:hint="eastAsia" w:ascii="宋体" w:hAnsi="宋体" w:eastAsia="宋体" w:cs="宋体"/>
                <w:sz w:val="24"/>
                <w:szCs w:val="24"/>
              </w:rPr>
              <w:t>分（北京时间）</w:t>
            </w:r>
          </w:p>
          <w:p w14:paraId="4B89EC5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开标地点：长春市南关区绿地中央广场B8A栋-24层开标一室</w:t>
            </w:r>
          </w:p>
        </w:tc>
      </w:tr>
      <w:tr w14:paraId="71D9628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9277B2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F54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开标程序</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E1B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(1)宣布开标纪律；</w:t>
            </w:r>
          </w:p>
          <w:p w14:paraId="5AFB04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sz w:val="24"/>
                <w:szCs w:val="24"/>
              </w:rPr>
              <w:t>检验</w:t>
            </w:r>
            <w:r>
              <w:rPr>
                <w:rFonts w:hint="eastAsia" w:ascii="宋体" w:hAnsi="宋体" w:eastAsia="宋体" w:cs="宋体"/>
                <w:sz w:val="24"/>
                <w:szCs w:val="24"/>
                <w:lang w:val="zh-CN"/>
              </w:rPr>
              <w:t>投标文件</w:t>
            </w:r>
            <w:r>
              <w:rPr>
                <w:rFonts w:hint="eastAsia" w:ascii="宋体" w:hAnsi="宋体" w:eastAsia="宋体" w:cs="宋体"/>
                <w:sz w:val="24"/>
                <w:szCs w:val="24"/>
              </w:rPr>
              <w:t>密封情况</w:t>
            </w:r>
            <w:r>
              <w:rPr>
                <w:rFonts w:hint="eastAsia" w:ascii="宋体" w:hAnsi="宋体" w:eastAsia="宋体" w:cs="宋体"/>
                <w:sz w:val="24"/>
                <w:szCs w:val="24"/>
                <w:lang w:val="zh-CN"/>
              </w:rPr>
              <w:t>；</w:t>
            </w:r>
          </w:p>
          <w:p w14:paraId="4EEC19B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(3)投标人提交</w:t>
            </w:r>
            <w:r>
              <w:rPr>
                <w:rFonts w:hint="eastAsia" w:ascii="宋体" w:hAnsi="宋体" w:eastAsia="宋体" w:cs="宋体"/>
                <w:sz w:val="24"/>
                <w:szCs w:val="24"/>
              </w:rPr>
              <w:t>纸质</w:t>
            </w:r>
            <w:r>
              <w:rPr>
                <w:rFonts w:hint="eastAsia" w:ascii="宋体" w:hAnsi="宋体" w:eastAsia="宋体" w:cs="宋体"/>
                <w:sz w:val="24"/>
                <w:szCs w:val="24"/>
                <w:lang w:val="zh-CN"/>
              </w:rPr>
              <w:t>投标文件顺序为开标顺序；</w:t>
            </w:r>
          </w:p>
          <w:p w14:paraId="7313915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(4)按照顺序进行开标，公布投标人名称、投标</w:t>
            </w:r>
            <w:r>
              <w:rPr>
                <w:rFonts w:hint="eastAsia" w:ascii="宋体" w:hAnsi="宋体" w:eastAsia="宋体" w:cs="宋体"/>
                <w:sz w:val="24"/>
                <w:szCs w:val="24"/>
              </w:rPr>
              <w:t>报价、</w:t>
            </w:r>
            <w:r>
              <w:rPr>
                <w:rFonts w:hint="eastAsia" w:ascii="宋体" w:hAnsi="宋体" w:eastAsia="宋体" w:cs="宋体"/>
                <w:sz w:val="24"/>
                <w:szCs w:val="24"/>
                <w:lang w:val="zh-CN"/>
              </w:rPr>
              <w:t>保证金的递交情况、</w:t>
            </w:r>
            <w:r>
              <w:rPr>
                <w:rFonts w:hint="eastAsia" w:ascii="宋体" w:hAnsi="宋体" w:eastAsia="宋体" w:cs="宋体"/>
                <w:sz w:val="24"/>
                <w:szCs w:val="24"/>
              </w:rPr>
              <w:t>工期等</w:t>
            </w:r>
            <w:r>
              <w:rPr>
                <w:rFonts w:hint="eastAsia" w:ascii="宋体" w:hAnsi="宋体" w:eastAsia="宋体" w:cs="宋体"/>
                <w:sz w:val="24"/>
                <w:szCs w:val="24"/>
                <w:lang w:val="zh-CN"/>
              </w:rPr>
              <w:t>其他内容，并</w:t>
            </w:r>
            <w:r>
              <w:rPr>
                <w:rFonts w:hint="eastAsia" w:ascii="宋体" w:hAnsi="宋体" w:eastAsia="宋体" w:cs="宋体"/>
                <w:sz w:val="24"/>
                <w:szCs w:val="24"/>
              </w:rPr>
              <w:t>同时</w:t>
            </w:r>
            <w:r>
              <w:rPr>
                <w:rFonts w:hint="eastAsia" w:ascii="宋体" w:hAnsi="宋体" w:eastAsia="宋体" w:cs="宋体"/>
                <w:sz w:val="24"/>
                <w:szCs w:val="24"/>
                <w:lang w:val="zh-CN"/>
              </w:rPr>
              <w:t>记录；</w:t>
            </w:r>
          </w:p>
          <w:p w14:paraId="6831DE4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(5)投标人代表、招标人代表、</w:t>
            </w:r>
            <w:r>
              <w:rPr>
                <w:rFonts w:hint="eastAsia" w:ascii="宋体" w:hAnsi="宋体" w:eastAsia="宋体" w:cs="宋体"/>
                <w:sz w:val="24"/>
                <w:szCs w:val="24"/>
              </w:rPr>
              <w:t>监督</w:t>
            </w:r>
            <w:r>
              <w:rPr>
                <w:rFonts w:hint="eastAsia" w:ascii="宋体" w:hAnsi="宋体" w:eastAsia="宋体" w:cs="宋体"/>
                <w:sz w:val="24"/>
                <w:szCs w:val="24"/>
                <w:lang w:val="zh-CN"/>
              </w:rPr>
              <w:t>人代表、记录人等有关人员在开标记录上签字确认；（未参与开标环节的投标人</w:t>
            </w:r>
            <w:r>
              <w:rPr>
                <w:rFonts w:hint="eastAsia" w:ascii="宋体" w:hAnsi="宋体" w:eastAsia="宋体" w:cs="宋体"/>
                <w:sz w:val="24"/>
                <w:szCs w:val="24"/>
              </w:rPr>
              <w:t>视为</w:t>
            </w:r>
            <w:r>
              <w:rPr>
                <w:rFonts w:hint="eastAsia" w:ascii="宋体" w:hAnsi="宋体" w:eastAsia="宋体" w:cs="宋体"/>
                <w:sz w:val="24"/>
                <w:szCs w:val="24"/>
                <w:lang w:val="zh-CN"/>
              </w:rPr>
              <w:t>对开标</w:t>
            </w:r>
            <w:r>
              <w:rPr>
                <w:rFonts w:hint="eastAsia" w:ascii="宋体" w:hAnsi="宋体" w:eastAsia="宋体" w:cs="宋体"/>
                <w:sz w:val="24"/>
                <w:szCs w:val="24"/>
              </w:rPr>
              <w:t>过程无异议</w:t>
            </w:r>
            <w:r>
              <w:rPr>
                <w:rFonts w:hint="eastAsia" w:ascii="宋体" w:hAnsi="宋体" w:eastAsia="宋体" w:cs="宋体"/>
                <w:sz w:val="24"/>
                <w:szCs w:val="24"/>
                <w:lang w:val="zh-CN"/>
              </w:rPr>
              <w:t>）；</w:t>
            </w:r>
          </w:p>
          <w:p w14:paraId="3AE5D5A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(6)开标结束。</w:t>
            </w:r>
          </w:p>
        </w:tc>
      </w:tr>
      <w:tr w14:paraId="0656A399">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B6EE56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ACD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评标委员会的组建</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B05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评标委员会构成：</w:t>
            </w:r>
            <w:r>
              <w:rPr>
                <w:rFonts w:hint="eastAsia" w:ascii="宋体" w:hAnsi="宋体" w:eastAsia="宋体" w:cs="宋体"/>
                <w:sz w:val="24"/>
                <w:szCs w:val="24"/>
                <w:lang w:val="zh-CN"/>
              </w:rPr>
              <w:t>经济、技术专家</w:t>
            </w:r>
            <w:r>
              <w:rPr>
                <w:rFonts w:hint="eastAsia" w:ascii="宋体" w:hAnsi="宋体" w:eastAsia="宋体" w:cs="宋体"/>
                <w:sz w:val="24"/>
                <w:szCs w:val="24"/>
              </w:rPr>
              <w:t>5</w:t>
            </w:r>
            <w:r>
              <w:rPr>
                <w:rFonts w:hint="eastAsia" w:ascii="宋体" w:hAnsi="宋体" w:eastAsia="宋体" w:cs="宋体"/>
                <w:sz w:val="24"/>
                <w:szCs w:val="24"/>
                <w:lang w:val="zh-CN"/>
              </w:rPr>
              <w:t>人；</w:t>
            </w:r>
          </w:p>
          <w:p w14:paraId="2715F72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评标专家确定方式：从《中国政府采购网》专家库中随机抽取。</w:t>
            </w:r>
          </w:p>
        </w:tc>
      </w:tr>
      <w:tr w14:paraId="04EA60A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D3C21D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235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0E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是,评标委员会应当根据综合评分情况，按照评审得分由高到低顺序推荐得分前三的投标人为本项目中标候选人，确定排名第一的中标候选人为本项目的中标人。</w:t>
            </w:r>
          </w:p>
        </w:tc>
      </w:tr>
      <w:tr w14:paraId="184FBDC1">
        <w:tblPrEx>
          <w:tblCellMar>
            <w:top w:w="0" w:type="dxa"/>
            <w:left w:w="108" w:type="dxa"/>
            <w:bottom w:w="0" w:type="dxa"/>
            <w:right w:w="108" w:type="dxa"/>
          </w:tblCellMar>
        </w:tblPrEx>
        <w:tc>
          <w:tcPr>
            <w:tcW w:w="9799" w:type="dxa"/>
            <w:gridSpan w:val="3"/>
            <w:tcBorders>
              <w:top w:val="single" w:color="000000" w:sz="4" w:space="0"/>
              <w:left w:val="single" w:color="000000" w:sz="4" w:space="0"/>
              <w:bottom w:val="single" w:color="000000" w:sz="4" w:space="0"/>
              <w:right w:val="single" w:color="000000" w:sz="4" w:space="0"/>
            </w:tcBorders>
            <w:vAlign w:val="center"/>
          </w:tcPr>
          <w:p w14:paraId="6610517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39、需要补充的其他内容</w:t>
            </w:r>
          </w:p>
        </w:tc>
      </w:tr>
      <w:tr w14:paraId="3D8F7E50">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311E8F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39.1</w:t>
            </w:r>
          </w:p>
        </w:tc>
        <w:tc>
          <w:tcPr>
            <w:tcW w:w="1909" w:type="dxa"/>
            <w:tcBorders>
              <w:top w:val="single" w:color="000000" w:sz="4" w:space="0"/>
              <w:left w:val="single" w:color="000000" w:sz="4" w:space="0"/>
              <w:bottom w:val="single" w:color="000000" w:sz="4" w:space="0"/>
              <w:right w:val="single" w:color="000000" w:sz="4" w:space="0"/>
            </w:tcBorders>
            <w:vAlign w:val="center"/>
          </w:tcPr>
          <w:p w14:paraId="7B3EB48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采购预算</w:t>
            </w:r>
          </w:p>
        </w:tc>
        <w:tc>
          <w:tcPr>
            <w:tcW w:w="7190" w:type="dxa"/>
            <w:tcBorders>
              <w:top w:val="single" w:color="000000" w:sz="4" w:space="0"/>
              <w:left w:val="single" w:color="000000" w:sz="4" w:space="0"/>
              <w:bottom w:val="single" w:color="000000" w:sz="4" w:space="0"/>
              <w:right w:val="single" w:color="000000" w:sz="4" w:space="0"/>
            </w:tcBorders>
            <w:vAlign w:val="center"/>
          </w:tcPr>
          <w:tbl>
            <w:tblPr>
              <w:tblStyle w:val="31"/>
              <w:tblW w:w="49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
              <w:gridCol w:w="2103"/>
              <w:gridCol w:w="660"/>
              <w:gridCol w:w="611"/>
              <w:gridCol w:w="1523"/>
              <w:gridCol w:w="1546"/>
            </w:tblGrid>
            <w:tr w14:paraId="0011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87" w:type="pct"/>
                  <w:shd w:val="clear" w:color="auto" w:fill="auto"/>
                  <w:vAlign w:val="center"/>
                </w:tcPr>
                <w:p w14:paraId="0454C97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包号</w:t>
                  </w:r>
                </w:p>
              </w:tc>
              <w:tc>
                <w:tcPr>
                  <w:tcW w:w="1537" w:type="pct"/>
                  <w:shd w:val="clear" w:color="auto" w:fill="auto"/>
                  <w:vAlign w:val="center"/>
                </w:tcPr>
                <w:p w14:paraId="5DFC1C7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货物名称</w:t>
                  </w:r>
                </w:p>
              </w:tc>
              <w:tc>
                <w:tcPr>
                  <w:tcW w:w="483" w:type="pct"/>
                  <w:shd w:val="clear" w:color="auto" w:fill="auto"/>
                  <w:vAlign w:val="center"/>
                </w:tcPr>
                <w:p w14:paraId="1F2DC0A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采购数量</w:t>
                  </w:r>
                </w:p>
              </w:tc>
              <w:tc>
                <w:tcPr>
                  <w:tcW w:w="447" w:type="pct"/>
                  <w:shd w:val="clear" w:color="auto" w:fill="auto"/>
                  <w:vAlign w:val="center"/>
                </w:tcPr>
                <w:p w14:paraId="6B27B3B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1113" w:type="pct"/>
                  <w:shd w:val="clear" w:color="auto" w:fill="auto"/>
                  <w:vAlign w:val="center"/>
                </w:tcPr>
                <w:p w14:paraId="090C7BF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最高投标限价单价（元）</w:t>
                  </w:r>
                </w:p>
              </w:tc>
              <w:tc>
                <w:tcPr>
                  <w:tcW w:w="1130" w:type="pct"/>
                  <w:shd w:val="clear" w:color="auto" w:fill="auto"/>
                  <w:vAlign w:val="center"/>
                </w:tcPr>
                <w:p w14:paraId="3C5E586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最高投标限价总价（元）</w:t>
                  </w:r>
                </w:p>
              </w:tc>
            </w:tr>
            <w:tr w14:paraId="1B1D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87" w:type="pct"/>
                  <w:vMerge w:val="restart"/>
                  <w:shd w:val="clear" w:color="auto" w:fill="auto"/>
                  <w:vAlign w:val="center"/>
                </w:tcPr>
                <w:p w14:paraId="007B419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包1</w:t>
                  </w:r>
                </w:p>
              </w:tc>
              <w:tc>
                <w:tcPr>
                  <w:tcW w:w="1537" w:type="pct"/>
                  <w:shd w:val="clear" w:color="auto" w:fill="auto"/>
                </w:tcPr>
                <w:p w14:paraId="7B3EBB4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智能变频调速供水设备</w:t>
                  </w:r>
                </w:p>
              </w:tc>
              <w:tc>
                <w:tcPr>
                  <w:tcW w:w="483" w:type="pct"/>
                  <w:shd w:val="clear" w:color="auto" w:fill="auto"/>
                  <w:vAlign w:val="center"/>
                </w:tcPr>
                <w:p w14:paraId="1EE754F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47" w:type="pct"/>
                  <w:shd w:val="clear" w:color="auto" w:fill="auto"/>
                  <w:vAlign w:val="center"/>
                </w:tcPr>
                <w:p w14:paraId="2E7D055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1113" w:type="pct"/>
                  <w:shd w:val="clear" w:color="auto" w:fill="auto"/>
                  <w:vAlign w:val="center"/>
                </w:tcPr>
                <w:p w14:paraId="4D6FA2C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c>
                <w:tcPr>
                  <w:tcW w:w="1130" w:type="pct"/>
                  <w:shd w:val="clear" w:color="auto" w:fill="auto"/>
                  <w:vAlign w:val="center"/>
                </w:tcPr>
                <w:p w14:paraId="4CA9AAF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r>
            <w:tr w14:paraId="048F9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87" w:type="pct"/>
                  <w:vMerge w:val="continue"/>
                  <w:shd w:val="clear" w:color="auto" w:fill="auto"/>
                  <w:vAlign w:val="center"/>
                </w:tcPr>
                <w:p w14:paraId="0156B78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p>
              </w:tc>
              <w:tc>
                <w:tcPr>
                  <w:tcW w:w="1537" w:type="pct"/>
                  <w:shd w:val="clear" w:color="auto" w:fill="auto"/>
                </w:tcPr>
                <w:p w14:paraId="19DEABE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智能无负压（叠压）供水设备</w:t>
                  </w:r>
                </w:p>
              </w:tc>
              <w:tc>
                <w:tcPr>
                  <w:tcW w:w="483" w:type="pct"/>
                  <w:shd w:val="clear" w:color="auto" w:fill="auto"/>
                  <w:vAlign w:val="center"/>
                </w:tcPr>
                <w:p w14:paraId="7B0EE60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47" w:type="pct"/>
                  <w:shd w:val="clear" w:color="auto" w:fill="auto"/>
                  <w:vAlign w:val="center"/>
                </w:tcPr>
                <w:p w14:paraId="41ECFB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1113" w:type="pct"/>
                  <w:shd w:val="clear" w:color="auto" w:fill="auto"/>
                  <w:vAlign w:val="center"/>
                </w:tcPr>
                <w:p w14:paraId="6C5AF5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c>
                <w:tcPr>
                  <w:tcW w:w="1130" w:type="pct"/>
                  <w:shd w:val="clear" w:color="auto" w:fill="auto"/>
                  <w:vAlign w:val="center"/>
                </w:tcPr>
                <w:p w14:paraId="2170D85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r>
            <w:tr w14:paraId="3650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87" w:type="pct"/>
                  <w:shd w:val="clear" w:color="auto" w:fill="auto"/>
                  <w:vAlign w:val="center"/>
                </w:tcPr>
                <w:p w14:paraId="0670DEE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包2</w:t>
                  </w:r>
                </w:p>
              </w:tc>
              <w:tc>
                <w:tcPr>
                  <w:tcW w:w="1537" w:type="pct"/>
                  <w:shd w:val="clear" w:color="auto" w:fill="auto"/>
                  <w:vAlign w:val="center"/>
                </w:tcPr>
                <w:p w14:paraId="7DB5C4C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医用电梯</w:t>
                  </w:r>
                </w:p>
              </w:tc>
              <w:tc>
                <w:tcPr>
                  <w:tcW w:w="483" w:type="pct"/>
                  <w:shd w:val="clear" w:color="auto" w:fill="auto"/>
                  <w:vAlign w:val="center"/>
                </w:tcPr>
                <w:p w14:paraId="6B7F239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47" w:type="pct"/>
                  <w:shd w:val="clear" w:color="auto" w:fill="auto"/>
                  <w:vAlign w:val="center"/>
                </w:tcPr>
                <w:p w14:paraId="5919E46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部</w:t>
                  </w:r>
                </w:p>
              </w:tc>
              <w:tc>
                <w:tcPr>
                  <w:tcW w:w="1113" w:type="pct"/>
                  <w:shd w:val="clear" w:color="auto" w:fill="auto"/>
                  <w:vAlign w:val="center"/>
                </w:tcPr>
                <w:p w14:paraId="2BE175E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305000</w:t>
                  </w:r>
                </w:p>
              </w:tc>
              <w:tc>
                <w:tcPr>
                  <w:tcW w:w="1130" w:type="pct"/>
                  <w:shd w:val="clear" w:color="auto" w:fill="auto"/>
                  <w:vAlign w:val="center"/>
                </w:tcPr>
                <w:p w14:paraId="0E3B3AD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610000</w:t>
                  </w:r>
                </w:p>
              </w:tc>
            </w:tr>
          </w:tbl>
          <w:p w14:paraId="25F935C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p>
          <w:p w14:paraId="2949542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注：超出采购预算的投标报价视为无效报价，投标将被否决。</w:t>
            </w:r>
          </w:p>
        </w:tc>
      </w:tr>
      <w:tr w14:paraId="6B9A18BF">
        <w:tblPrEx>
          <w:tblCellMar>
            <w:top w:w="0" w:type="dxa"/>
            <w:left w:w="108" w:type="dxa"/>
            <w:bottom w:w="0" w:type="dxa"/>
            <w:right w:w="108" w:type="dxa"/>
          </w:tblCellMar>
        </w:tblPrEx>
        <w:trPr>
          <w:trHeight w:val="1076" w:hRule="atLeast"/>
        </w:trPr>
        <w:tc>
          <w:tcPr>
            <w:tcW w:w="700" w:type="dxa"/>
            <w:tcBorders>
              <w:top w:val="single" w:color="000000" w:sz="4" w:space="0"/>
              <w:left w:val="single" w:color="000000" w:sz="4" w:space="0"/>
              <w:bottom w:val="single" w:color="000000" w:sz="4" w:space="0"/>
              <w:right w:val="single" w:color="000000" w:sz="4" w:space="0"/>
            </w:tcBorders>
            <w:vAlign w:val="center"/>
          </w:tcPr>
          <w:p w14:paraId="63B3EE3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39.2</w:t>
            </w:r>
          </w:p>
        </w:tc>
        <w:tc>
          <w:tcPr>
            <w:tcW w:w="1909" w:type="dxa"/>
            <w:tcBorders>
              <w:top w:val="single" w:color="000000" w:sz="4" w:space="0"/>
              <w:left w:val="single" w:color="000000" w:sz="4" w:space="0"/>
              <w:bottom w:val="single" w:color="000000" w:sz="4" w:space="0"/>
              <w:right w:val="single" w:color="000000" w:sz="4" w:space="0"/>
            </w:tcBorders>
            <w:vAlign w:val="center"/>
          </w:tcPr>
          <w:p w14:paraId="768942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质保期</w:t>
            </w:r>
          </w:p>
        </w:tc>
        <w:tc>
          <w:tcPr>
            <w:tcW w:w="7190" w:type="dxa"/>
            <w:tcBorders>
              <w:top w:val="single" w:color="000000" w:sz="4" w:space="0"/>
              <w:left w:val="single" w:color="000000" w:sz="4" w:space="0"/>
              <w:bottom w:val="single" w:color="000000" w:sz="4" w:space="0"/>
              <w:right w:val="single" w:color="000000" w:sz="4" w:space="0"/>
            </w:tcBorders>
            <w:vAlign w:val="center"/>
          </w:tcPr>
          <w:p w14:paraId="70CE560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包1：自设备验收之日起整机质保至少1年（原厂保修，含易损件），水泵质保至少5年。</w:t>
            </w:r>
          </w:p>
          <w:p w14:paraId="396089F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包2：自设备验收之日起整机质保不少于1年（原厂保修，含易损件）。</w:t>
            </w:r>
          </w:p>
          <w:p w14:paraId="3CB824B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质保期内如有产品质量问题，无条件调换，非质量问题，保修期内免费维修及更换损坏配件。</w:t>
            </w:r>
          </w:p>
        </w:tc>
      </w:tr>
      <w:tr w14:paraId="516D9D47">
        <w:tblPrEx>
          <w:tblCellMar>
            <w:top w:w="0" w:type="dxa"/>
            <w:left w:w="108" w:type="dxa"/>
            <w:bottom w:w="0" w:type="dxa"/>
            <w:right w:w="108" w:type="dxa"/>
          </w:tblCellMar>
        </w:tblPrEx>
        <w:trPr>
          <w:trHeight w:val="512"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1852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39.3</w:t>
            </w:r>
          </w:p>
        </w:tc>
        <w:tc>
          <w:tcPr>
            <w:tcW w:w="1909" w:type="dxa"/>
            <w:tcBorders>
              <w:top w:val="single" w:color="000000" w:sz="4" w:space="0"/>
              <w:left w:val="single" w:color="000000" w:sz="4" w:space="0"/>
              <w:bottom w:val="single" w:color="000000" w:sz="4" w:space="0"/>
              <w:right w:val="single" w:color="000000" w:sz="4" w:space="0"/>
            </w:tcBorders>
            <w:vAlign w:val="center"/>
          </w:tcPr>
          <w:p w14:paraId="487061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none"/>
              </w:rPr>
              <w:t>核心产品</w:t>
            </w:r>
          </w:p>
        </w:tc>
        <w:tc>
          <w:tcPr>
            <w:tcW w:w="7190" w:type="dxa"/>
            <w:tcBorders>
              <w:top w:val="single" w:color="000000" w:sz="4" w:space="0"/>
              <w:left w:val="single" w:color="000000" w:sz="4" w:space="0"/>
              <w:bottom w:val="single" w:color="000000" w:sz="4" w:space="0"/>
              <w:right w:val="single" w:color="000000" w:sz="4" w:space="0"/>
            </w:tcBorders>
            <w:vAlign w:val="center"/>
          </w:tcPr>
          <w:p w14:paraId="1D1744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包1：智能无负压（叠压）供水设备</w:t>
            </w:r>
          </w:p>
        </w:tc>
      </w:tr>
      <w:tr w14:paraId="3FC9D854">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7C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39.4</w:t>
            </w:r>
          </w:p>
        </w:tc>
        <w:tc>
          <w:tcPr>
            <w:tcW w:w="1909" w:type="dxa"/>
            <w:tcBorders>
              <w:top w:val="single" w:color="000000" w:sz="4" w:space="0"/>
              <w:left w:val="single" w:color="000000" w:sz="4" w:space="0"/>
              <w:bottom w:val="single" w:color="000000" w:sz="4" w:space="0"/>
              <w:right w:val="single" w:color="000000" w:sz="4" w:space="0"/>
            </w:tcBorders>
            <w:vAlign w:val="center"/>
          </w:tcPr>
          <w:p w14:paraId="4D739AD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招标代理服务费</w:t>
            </w:r>
          </w:p>
        </w:tc>
        <w:tc>
          <w:tcPr>
            <w:tcW w:w="7190" w:type="dxa"/>
            <w:tcBorders>
              <w:top w:val="single" w:color="000000" w:sz="4" w:space="0"/>
              <w:left w:val="single" w:color="000000" w:sz="4" w:space="0"/>
              <w:bottom w:val="single" w:color="000000" w:sz="4" w:space="0"/>
              <w:right w:val="single" w:color="000000" w:sz="4" w:space="0"/>
            </w:tcBorders>
            <w:vAlign w:val="center"/>
          </w:tcPr>
          <w:p w14:paraId="7999754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执行国家发展计划委员会计价格〔2015〕299 号文件，参考招标代理服务费计费执行计价格〔2002〕1980 号文件、招标代理机构按国家发改委发改办价格〔2003〕857号文件费率标准计取，由中标人支付，本项目招标代理服务费按照七折收取。服务费最低收取3500元。</w:t>
            </w:r>
          </w:p>
        </w:tc>
      </w:tr>
      <w:tr w14:paraId="560046B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F44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39.5</w:t>
            </w:r>
          </w:p>
        </w:tc>
        <w:tc>
          <w:tcPr>
            <w:tcW w:w="1909" w:type="dxa"/>
            <w:tcBorders>
              <w:top w:val="single" w:color="000000" w:sz="4" w:space="0"/>
              <w:left w:val="single" w:color="000000" w:sz="4" w:space="0"/>
              <w:bottom w:val="single" w:color="000000" w:sz="4" w:space="0"/>
              <w:right w:val="single" w:color="000000" w:sz="4" w:space="0"/>
            </w:tcBorders>
            <w:vAlign w:val="center"/>
          </w:tcPr>
          <w:p w14:paraId="6759B55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知识产权的归属和处理方式</w:t>
            </w:r>
          </w:p>
        </w:tc>
        <w:tc>
          <w:tcPr>
            <w:tcW w:w="7190" w:type="dxa"/>
            <w:tcBorders>
              <w:top w:val="single" w:color="000000" w:sz="4" w:space="0"/>
              <w:left w:val="single" w:color="000000" w:sz="4" w:space="0"/>
              <w:bottom w:val="single" w:color="000000" w:sz="4" w:space="0"/>
              <w:right w:val="single" w:color="000000" w:sz="4" w:space="0"/>
            </w:tcBorders>
            <w:vAlign w:val="center"/>
          </w:tcPr>
          <w:p w14:paraId="34BAFF9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中标供应商应保证采购人在使用该服务或其任何一部分时不受第三方侵犯专利权、著作权、商标权等知识产权的指控。如果第三方向采购人提出侵权指控，中标供应商须与第三方交涉并承担由此发生的一切责任、费用和采购人的经济损失。</w:t>
            </w:r>
          </w:p>
        </w:tc>
      </w:tr>
      <w:tr w14:paraId="50FA9564">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20103C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39.6</w:t>
            </w:r>
          </w:p>
        </w:tc>
        <w:tc>
          <w:tcPr>
            <w:tcW w:w="1909" w:type="dxa"/>
            <w:tcBorders>
              <w:top w:val="single" w:color="000000" w:sz="4" w:space="0"/>
              <w:left w:val="single" w:color="000000" w:sz="4" w:space="0"/>
              <w:bottom w:val="single" w:color="000000" w:sz="4" w:space="0"/>
              <w:right w:val="single" w:color="000000" w:sz="4" w:space="0"/>
            </w:tcBorders>
            <w:vAlign w:val="center"/>
          </w:tcPr>
          <w:p w14:paraId="1247FE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违约责任与解决争议的方法</w:t>
            </w:r>
          </w:p>
        </w:tc>
        <w:tc>
          <w:tcPr>
            <w:tcW w:w="7190" w:type="dxa"/>
            <w:tcBorders>
              <w:top w:val="single" w:color="000000" w:sz="4" w:space="0"/>
              <w:left w:val="single" w:color="000000" w:sz="4" w:space="0"/>
              <w:bottom w:val="single" w:color="000000" w:sz="4" w:space="0"/>
              <w:right w:val="single" w:color="000000" w:sz="4" w:space="0"/>
            </w:tcBorders>
            <w:vAlign w:val="center"/>
          </w:tcPr>
          <w:p w14:paraId="7675FC6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双方若发生合同纠纷，应本着互谅互让、互相尊重、和平友好的原则协商解决。若双方不能通过协商达成协议，可依据《中华人民共和国民事诉讼法》和《中华人民共和国民法典》的有关规定，向采购人所在地的人民法院进行诉讼。</w:t>
            </w:r>
          </w:p>
        </w:tc>
      </w:tr>
      <w:tr w14:paraId="21E1F44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511A9C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39.7</w:t>
            </w:r>
          </w:p>
        </w:tc>
        <w:tc>
          <w:tcPr>
            <w:tcW w:w="1909" w:type="dxa"/>
            <w:tcBorders>
              <w:top w:val="single" w:color="000000" w:sz="4" w:space="0"/>
              <w:left w:val="single" w:color="000000" w:sz="4" w:space="0"/>
              <w:bottom w:val="single" w:color="000000" w:sz="4" w:space="0"/>
              <w:right w:val="single" w:color="000000" w:sz="4" w:space="0"/>
            </w:tcBorders>
            <w:vAlign w:val="center"/>
          </w:tcPr>
          <w:p w14:paraId="687AF65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资格审查方式</w:t>
            </w:r>
          </w:p>
        </w:tc>
        <w:tc>
          <w:tcPr>
            <w:tcW w:w="7190" w:type="dxa"/>
            <w:tcBorders>
              <w:top w:val="single" w:color="000000" w:sz="4" w:space="0"/>
              <w:left w:val="single" w:color="000000" w:sz="4" w:space="0"/>
              <w:bottom w:val="single" w:color="000000" w:sz="4" w:space="0"/>
              <w:right w:val="single" w:color="000000" w:sz="4" w:space="0"/>
            </w:tcBorders>
            <w:vAlign w:val="center"/>
          </w:tcPr>
          <w:p w14:paraId="1F7508E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资格后审</w:t>
            </w:r>
          </w:p>
        </w:tc>
      </w:tr>
      <w:tr w14:paraId="2E53D10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9BBCB3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39.8</w:t>
            </w:r>
          </w:p>
        </w:tc>
        <w:tc>
          <w:tcPr>
            <w:tcW w:w="1909" w:type="dxa"/>
            <w:tcBorders>
              <w:top w:val="single" w:color="000000" w:sz="4" w:space="0"/>
              <w:left w:val="single" w:color="000000" w:sz="4" w:space="0"/>
              <w:bottom w:val="single" w:color="000000" w:sz="4" w:space="0"/>
              <w:right w:val="single" w:color="000000" w:sz="4" w:space="0"/>
            </w:tcBorders>
            <w:vAlign w:val="center"/>
          </w:tcPr>
          <w:p w14:paraId="3EDD9B1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其他说明</w:t>
            </w:r>
          </w:p>
        </w:tc>
        <w:tc>
          <w:tcPr>
            <w:tcW w:w="7190" w:type="dxa"/>
            <w:tcBorders>
              <w:top w:val="single" w:color="000000" w:sz="4" w:space="0"/>
              <w:left w:val="single" w:color="000000" w:sz="4" w:space="0"/>
              <w:bottom w:val="single" w:color="000000" w:sz="4" w:space="0"/>
              <w:right w:val="single" w:color="000000" w:sz="4" w:space="0"/>
            </w:tcBorders>
            <w:vAlign w:val="center"/>
          </w:tcPr>
          <w:p w14:paraId="25080E4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1个参加评标的投标人，招标文件未规定的采取随机抽取方式确定，其他投标无效。</w:t>
            </w:r>
          </w:p>
          <w:p w14:paraId="7EC30A2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p>
          <w:p w14:paraId="4C67562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非单一产品采购项目，采购人应当根据采购项目技术构成、产品价格比重等合理确定核心产品，并在招标文件中载明。多家投标人提供的核心产品品牌相同的，按前两款规定处理。</w:t>
            </w:r>
          </w:p>
        </w:tc>
      </w:tr>
      <w:tr w14:paraId="46E9E657">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88EF28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39.9</w:t>
            </w:r>
          </w:p>
        </w:tc>
        <w:tc>
          <w:tcPr>
            <w:tcW w:w="1909" w:type="dxa"/>
            <w:tcBorders>
              <w:top w:val="single" w:color="000000" w:sz="4" w:space="0"/>
              <w:left w:val="single" w:color="000000" w:sz="4" w:space="0"/>
              <w:bottom w:val="single" w:color="000000" w:sz="4" w:space="0"/>
              <w:right w:val="single" w:color="000000" w:sz="4" w:space="0"/>
            </w:tcBorders>
            <w:vAlign w:val="center"/>
          </w:tcPr>
          <w:p w14:paraId="39267F1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异常低价审查</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91C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低于成本价不正当竞争预防措施：</w:t>
            </w:r>
          </w:p>
          <w:p w14:paraId="5AE1391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根据《关于推动解决政府采购异常低价问题的通知（财库〔2026〕2号）》文件规定，政府采购评审中出现下列情形之一的，评审委员会应当启动异常低价投标（响应）审查程序： </w:t>
            </w:r>
          </w:p>
          <w:p w14:paraId="6584A28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w:t>
            </w:r>
            <w:r>
              <w:rPr>
                <w:rFonts w:hint="eastAsia" w:ascii="宋体" w:hAnsi="宋体" w:eastAsia="宋体" w:cs="宋体"/>
                <w:sz w:val="24"/>
                <w:szCs w:val="24"/>
                <w:lang w:val="zh-CN"/>
              </w:rPr>
              <w:t>1</w:t>
            </w:r>
            <w:r>
              <w:rPr>
                <w:rFonts w:hint="eastAsia" w:ascii="宋体" w:hAnsi="宋体" w:eastAsia="宋体" w:cs="宋体"/>
                <w:sz w:val="24"/>
                <w:szCs w:val="24"/>
              </w:rPr>
              <w:t>)</w:t>
            </w:r>
            <w:r>
              <w:rPr>
                <w:rFonts w:hint="eastAsia" w:ascii="宋体" w:hAnsi="宋体" w:eastAsia="宋体" w:cs="宋体"/>
                <w:sz w:val="24"/>
                <w:szCs w:val="24"/>
                <w:lang w:val="zh-CN"/>
              </w:rPr>
              <w:t>投标（响应）报价低于全部通过符合性审查供应商投标（响应）报价平均值50%的，即投标（响应）报价&lt;全部通过符合性审查供应商投标（响应）报价平均值×50%；</w:t>
            </w:r>
          </w:p>
          <w:p w14:paraId="474B64A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(2)</w:t>
            </w:r>
            <w:r>
              <w:rPr>
                <w:rFonts w:hint="eastAsia" w:ascii="宋体" w:hAnsi="宋体" w:eastAsia="宋体" w:cs="宋体"/>
                <w:sz w:val="24"/>
                <w:szCs w:val="24"/>
                <w:lang w:val="zh-CN"/>
              </w:rPr>
              <w:t>投标（响应）报价低于通过符合性审查的次低报价供应商投标（响应）报价50%的，即投标（响应）报价&lt;通过符合性审查的次低报价供应商投标（响应）报价×50%；</w:t>
            </w:r>
          </w:p>
          <w:p w14:paraId="4221483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(3)</w:t>
            </w:r>
            <w:r>
              <w:rPr>
                <w:rFonts w:hint="eastAsia" w:ascii="宋体" w:hAnsi="宋体" w:eastAsia="宋体" w:cs="宋体"/>
                <w:sz w:val="24"/>
                <w:szCs w:val="24"/>
                <w:lang w:val="zh-CN"/>
              </w:rPr>
              <w:t>投标（响应）报价低于采购项目最高限价45%的，即投标（响应）报价&lt;采购项目最高限价×45%；</w:t>
            </w:r>
          </w:p>
          <w:p w14:paraId="21A9733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(4)</w:t>
            </w:r>
            <w:r>
              <w:rPr>
                <w:rFonts w:hint="eastAsia" w:ascii="宋体" w:hAnsi="宋体" w:eastAsia="宋体" w:cs="宋体"/>
                <w:sz w:val="24"/>
                <w:szCs w:val="24"/>
                <w:lang w:val="zh-CN"/>
              </w:rPr>
              <w:t>评审委员会基于专业判断，认为供应商报价过低，有可能影响产品质量或者不能诚信履约的其他情形。</w:t>
            </w:r>
          </w:p>
          <w:p w14:paraId="286F8F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相关法律法规对供应商报价有规定的，从其规定。</w:t>
            </w:r>
          </w:p>
          <w:p w14:paraId="264D9E0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评审委员会启动异常低价投标（响应）审查后，属于前述第1项至第4项情形的，要求相关供应商在评审现场合理的时间内对投标（响应）价格作出解释，提供项目具体成本测算等与报价合理性相关的书面说明及必要的证明材料，包括但不限于原材料成本、人工成本、制造费用等，给予相关供应商时间</w:t>
            </w:r>
            <w:r>
              <w:rPr>
                <w:rFonts w:hint="eastAsia" w:ascii="宋体" w:hAnsi="宋体" w:eastAsia="宋体" w:cs="宋体"/>
                <w:sz w:val="24"/>
                <w:szCs w:val="24"/>
              </w:rPr>
              <w:t>为</w:t>
            </w:r>
            <w:r>
              <w:rPr>
                <w:rFonts w:hint="eastAsia" w:ascii="宋体" w:hAnsi="宋体" w:eastAsia="宋体" w:cs="宋体"/>
                <w:sz w:val="24"/>
                <w:szCs w:val="24"/>
                <w:lang w:val="zh-CN"/>
              </w:rPr>
              <w:t>30分钟。其中，属于第3项情形，供应商已随投标（响应）文件一并提交相关书面说明及必要的证明材料的，在评审现场可不再重复提交。</w:t>
            </w:r>
          </w:p>
          <w:p w14:paraId="7A790C6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35D171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6FF27E6">
            <w:pPr>
              <w:pageBreakBefore w:val="0"/>
              <w:kinsoku/>
              <w:wordWrap/>
              <w:overflowPunct/>
              <w:topLinePunct w:val="0"/>
              <w:bidi w:val="0"/>
              <w:spacing w:beforeAutospacing="0" w:afterAutospacing="0" w:line="360" w:lineRule="auto"/>
              <w:textAlignment w:val="auto"/>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40.1</w:t>
            </w:r>
          </w:p>
        </w:tc>
        <w:tc>
          <w:tcPr>
            <w:tcW w:w="1909" w:type="dxa"/>
            <w:tcBorders>
              <w:top w:val="single" w:color="000000" w:sz="4" w:space="0"/>
              <w:left w:val="single" w:color="000000" w:sz="4" w:space="0"/>
              <w:bottom w:val="single" w:color="000000" w:sz="4" w:space="0"/>
              <w:right w:val="single" w:color="000000" w:sz="4" w:space="0"/>
            </w:tcBorders>
            <w:vAlign w:val="center"/>
          </w:tcPr>
          <w:p w14:paraId="3DDF1227">
            <w:pPr>
              <w:pageBreakBefore w:val="0"/>
              <w:kinsoku/>
              <w:wordWrap/>
              <w:overflowPunct/>
              <w:topLinePunct w:val="0"/>
              <w:bidi w:val="0"/>
              <w:spacing w:beforeAutospacing="0" w:afterAutospacing="0" w:line="360" w:lineRule="auto"/>
              <w:textAlignment w:val="auto"/>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现场踏勘</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42DE0">
            <w:pPr>
              <w:pageBreakBefore w:val="0"/>
              <w:numPr>
                <w:ilvl w:val="0"/>
                <w:numId w:val="0"/>
              </w:numPr>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lang w:val="zh-CN"/>
              </w:rPr>
            </w:pPr>
            <w:r>
              <w:rPr>
                <w:rFonts w:hint="eastAsia" w:cs="宋体"/>
                <w:b w:val="0"/>
                <w:bCs w:val="0"/>
                <w:color w:val="000000"/>
                <w:sz w:val="24"/>
                <w:szCs w:val="24"/>
                <w:highlight w:val="none"/>
                <w:lang w:val="en-US" w:eastAsia="zh-CN"/>
              </w:rPr>
              <w:t>不组织</w:t>
            </w:r>
          </w:p>
        </w:tc>
      </w:tr>
      <w:tr w14:paraId="2D97C088">
        <w:tblPrEx>
          <w:tblCellMar>
            <w:top w:w="0" w:type="dxa"/>
            <w:left w:w="108" w:type="dxa"/>
            <w:bottom w:w="0" w:type="dxa"/>
            <w:right w:w="108" w:type="dxa"/>
          </w:tblCellMar>
        </w:tblPrEx>
        <w:tc>
          <w:tcPr>
            <w:tcW w:w="9799" w:type="dxa"/>
            <w:gridSpan w:val="3"/>
            <w:tcBorders>
              <w:top w:val="single" w:color="000000" w:sz="4" w:space="0"/>
              <w:left w:val="single" w:color="000000" w:sz="4" w:space="0"/>
              <w:bottom w:val="single" w:color="000000" w:sz="4" w:space="0"/>
              <w:right w:val="single" w:color="000000" w:sz="4" w:space="0"/>
            </w:tcBorders>
            <w:vAlign w:val="center"/>
          </w:tcPr>
          <w:p w14:paraId="307DB4C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1.根据工信部等部委发布的《关于印发中小企业划型标准规定的通知》（工信部联企业〔2011〕300号），符合相关条件的为中小微型企业。本项目所属行业为：工业。</w:t>
            </w:r>
          </w:p>
          <w:p w14:paraId="077DCDA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2.本项目包1属于专门面向中小企业采购的项目</w:t>
            </w:r>
            <w:r>
              <w:rPr>
                <w:rFonts w:hint="eastAsia" w:cs="宋体"/>
                <w:sz w:val="24"/>
                <w:szCs w:val="24"/>
                <w:lang w:eastAsia="zh-CN"/>
              </w:rPr>
              <w:t>，</w:t>
            </w:r>
            <w:r>
              <w:rPr>
                <w:rFonts w:hint="eastAsia" w:cs="宋体"/>
                <w:sz w:val="24"/>
                <w:szCs w:val="24"/>
                <w:lang w:val="en-US" w:eastAsia="zh-CN"/>
              </w:rPr>
              <w:t>不享受价格优惠；</w:t>
            </w:r>
            <w:r>
              <w:rPr>
                <w:rFonts w:hint="eastAsia" w:ascii="宋体" w:hAnsi="宋体" w:eastAsia="宋体" w:cs="宋体"/>
                <w:sz w:val="24"/>
                <w:szCs w:val="24"/>
              </w:rPr>
              <w:t>包2属于非专门面向中小企业采购的项目。按照《政府采购促进中小企业发展管理办法》（财库[2020]46号）、《关于进一步加大政府采购支持中小企业力度的通知》（财库〔2022〕19 号）的要求，对符合本办法规定的小微企业，评标时对其报价给予10%的价格扣除。供应商必须属于小微企业并按要求提供中小企业声明函。否则不予计算。</w:t>
            </w:r>
          </w:p>
          <w:p w14:paraId="7FE7E5C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3.符合要求的中小企业应当提供《政府采购促进中小企业发展管理办法》（财库[2020]46号）规定的《中小企业声明函》。无论实际情况如何，未提供《中小企业声明函》视为不符合条件。</w:t>
            </w:r>
          </w:p>
          <w:p w14:paraId="10EE462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4.以联合体形式参加政府采购活动，联合体各方均为中小企业的，联合体视同中小企业。其中，联合体各方均为小微企业的，联合体视同小微企业。</w:t>
            </w:r>
          </w:p>
          <w:p w14:paraId="0CE4EEE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5.按照《政府采购促进中小企业发展管理办法》（财库[2020]46号）规定，享受扶持政策获得政府采购合同的，小微企业不得将合同分包给大中型企业，中型企业不得将合同分包给大型企业。</w:t>
            </w:r>
          </w:p>
          <w:p w14:paraId="5733C98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6.根据国务院办公厅《关于在政府采购中实施本国产品标准及相关政策的通知》（</w:t>
            </w:r>
            <w:r>
              <w:rPr>
                <w:rFonts w:hint="eastAsia" w:ascii="宋体" w:hAnsi="宋体" w:eastAsia="宋体" w:cs="宋体"/>
                <w:color w:val="333333"/>
                <w:sz w:val="24"/>
                <w:szCs w:val="24"/>
                <w:shd w:val="clear" w:color="auto" w:fill="FFFFFF"/>
              </w:rPr>
              <w:t>国办发〔2025〕34号</w:t>
            </w:r>
            <w:r>
              <w:rPr>
                <w:rFonts w:hint="eastAsia" w:ascii="宋体" w:hAnsi="宋体" w:eastAsia="宋体" w:cs="宋体"/>
                <w:sz w:val="24"/>
                <w:szCs w:val="24"/>
              </w:rPr>
              <w:t>），对本国产品的报价给予20%的价格扣除，用扣除后的价格参与评审。</w:t>
            </w:r>
            <w:r>
              <w:rPr>
                <w:rFonts w:hint="eastAsia" w:ascii="宋体" w:hAnsi="宋体" w:eastAsia="宋体" w:cs="宋体"/>
                <w:color w:val="333333"/>
                <w:sz w:val="24"/>
                <w:szCs w:val="24"/>
                <w:shd w:val="clear" w:color="auto" w:fill="FFFFFF"/>
              </w:rPr>
              <w:t>供应商对其提供的产品出具《关于符合本国产品标准的声明函》或财政部会同有关部门规定的有关证明文件。</w:t>
            </w:r>
          </w:p>
        </w:tc>
      </w:tr>
    </w:tbl>
    <w:p w14:paraId="39FC1C8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br w:type="page"/>
      </w:r>
    </w:p>
    <w:p w14:paraId="0322B30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投标人须知</w:t>
      </w:r>
    </w:p>
    <w:p w14:paraId="1590BC3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总则</w:t>
      </w:r>
    </w:p>
    <w:p w14:paraId="3701E18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1．适用法律：</w:t>
      </w:r>
      <w:r>
        <w:rPr>
          <w:rFonts w:hint="eastAsia" w:ascii="宋体" w:hAnsi="宋体" w:eastAsia="宋体" w:cs="宋体"/>
          <w:kern w:val="1"/>
          <w:sz w:val="24"/>
          <w:szCs w:val="24"/>
          <w:lang w:val="zh-CN"/>
        </w:rPr>
        <w:t>本次招标适用法律法规为《中华人民共和国政府采购法实施条例》及政府招标其他相关法规。</w:t>
      </w:r>
    </w:p>
    <w:p w14:paraId="13EE74B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2．定义：</w:t>
      </w:r>
    </w:p>
    <w:p w14:paraId="08B2248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w:t>
      </w:r>
      <w:r>
        <w:rPr>
          <w:rFonts w:hint="eastAsia" w:ascii="宋体" w:hAnsi="宋体" w:eastAsia="宋体" w:cs="宋体"/>
          <w:kern w:val="1"/>
          <w:sz w:val="24"/>
          <w:szCs w:val="24"/>
        </w:rPr>
        <w:t>“</w:t>
      </w:r>
      <w:r>
        <w:rPr>
          <w:rFonts w:hint="eastAsia" w:ascii="宋体" w:hAnsi="宋体" w:eastAsia="宋体" w:cs="宋体"/>
          <w:kern w:val="1"/>
          <w:sz w:val="24"/>
          <w:szCs w:val="24"/>
          <w:lang w:val="zh-CN"/>
        </w:rPr>
        <w:t>采购代理机构</w:t>
      </w:r>
      <w:r>
        <w:rPr>
          <w:rFonts w:hint="eastAsia" w:ascii="宋体" w:hAnsi="宋体" w:eastAsia="宋体" w:cs="宋体"/>
          <w:kern w:val="1"/>
          <w:sz w:val="24"/>
          <w:szCs w:val="24"/>
        </w:rPr>
        <w:t>”</w:t>
      </w:r>
      <w:r>
        <w:rPr>
          <w:rFonts w:hint="eastAsia" w:ascii="宋体" w:hAnsi="宋体" w:eastAsia="宋体" w:cs="宋体"/>
          <w:kern w:val="1"/>
          <w:sz w:val="24"/>
          <w:szCs w:val="24"/>
          <w:lang w:val="zh-CN"/>
        </w:rPr>
        <w:t>指</w:t>
      </w:r>
      <w:r>
        <w:rPr>
          <w:rFonts w:hint="eastAsia" w:ascii="宋体" w:hAnsi="宋体" w:eastAsia="宋体" w:cs="宋体"/>
          <w:kern w:val="1"/>
          <w:sz w:val="24"/>
          <w:szCs w:val="24"/>
          <w:u w:val="single"/>
          <w:lang w:val="zh-CN"/>
        </w:rPr>
        <w:t xml:space="preserve">吉林省中寰工程项目管理有限公司 </w:t>
      </w:r>
      <w:r>
        <w:rPr>
          <w:rFonts w:hint="eastAsia" w:ascii="宋体" w:hAnsi="宋体" w:eastAsia="宋体" w:cs="宋体"/>
          <w:kern w:val="1"/>
          <w:sz w:val="24"/>
          <w:szCs w:val="24"/>
          <w:lang w:val="zh-CN"/>
        </w:rPr>
        <w:t>，负责招标活动的组织工作。</w:t>
      </w:r>
    </w:p>
    <w:p w14:paraId="0B3A155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2.2</w:t>
      </w:r>
      <w:r>
        <w:rPr>
          <w:rFonts w:hint="eastAsia" w:ascii="宋体" w:hAnsi="宋体" w:eastAsia="宋体" w:cs="宋体"/>
          <w:kern w:val="1"/>
          <w:sz w:val="24"/>
          <w:szCs w:val="24"/>
        </w:rPr>
        <w:t>“</w:t>
      </w:r>
      <w:r>
        <w:rPr>
          <w:rFonts w:hint="eastAsia" w:ascii="宋体" w:hAnsi="宋体" w:eastAsia="宋体" w:cs="宋体"/>
          <w:kern w:val="1"/>
          <w:sz w:val="24"/>
          <w:szCs w:val="24"/>
          <w:lang w:val="zh-CN"/>
        </w:rPr>
        <w:t>采购人</w:t>
      </w:r>
      <w:r>
        <w:rPr>
          <w:rFonts w:hint="eastAsia" w:ascii="宋体" w:hAnsi="宋体" w:eastAsia="宋体" w:cs="宋体"/>
          <w:kern w:val="1"/>
          <w:sz w:val="24"/>
          <w:szCs w:val="24"/>
        </w:rPr>
        <w:t>”</w:t>
      </w:r>
      <w:r>
        <w:rPr>
          <w:rFonts w:hint="eastAsia" w:ascii="宋体" w:hAnsi="宋体" w:eastAsia="宋体" w:cs="宋体"/>
          <w:kern w:val="1"/>
          <w:sz w:val="24"/>
          <w:szCs w:val="24"/>
          <w:lang w:val="zh-CN"/>
        </w:rPr>
        <w:t>指</w:t>
      </w:r>
      <w:r>
        <w:rPr>
          <w:rFonts w:hint="eastAsia" w:ascii="宋体" w:hAnsi="宋体" w:eastAsia="宋体" w:cs="宋体"/>
          <w:kern w:val="1"/>
          <w:sz w:val="24"/>
          <w:szCs w:val="24"/>
          <w:u w:val="single"/>
          <w:lang w:val="zh-CN"/>
        </w:rPr>
        <w:t>吉林大学口腔医院</w:t>
      </w:r>
      <w:r>
        <w:rPr>
          <w:rFonts w:hint="eastAsia" w:ascii="宋体" w:hAnsi="宋体" w:eastAsia="宋体" w:cs="宋体"/>
          <w:kern w:val="1"/>
          <w:sz w:val="24"/>
          <w:szCs w:val="24"/>
          <w:lang w:val="zh-CN"/>
        </w:rPr>
        <w:t>，负责招标项目的整体规划、招标需求等，承担质疑答复，合同履行、验收、评价等义务。</w:t>
      </w:r>
    </w:p>
    <w:p w14:paraId="76F1493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2.3</w:t>
      </w:r>
      <w:r>
        <w:rPr>
          <w:rFonts w:hint="eastAsia" w:ascii="宋体" w:hAnsi="宋体" w:eastAsia="宋体" w:cs="宋体"/>
          <w:sz w:val="24"/>
          <w:szCs w:val="24"/>
        </w:rPr>
        <w:t>“技术参数”</w:t>
      </w:r>
      <w:r>
        <w:rPr>
          <w:rFonts w:hint="eastAsia" w:ascii="宋体" w:hAnsi="宋体" w:eastAsia="宋体" w:cs="宋体"/>
          <w:sz w:val="24"/>
          <w:szCs w:val="24"/>
          <w:lang w:val="zh-CN"/>
        </w:rPr>
        <w:t>详见投标人须知前附表。</w:t>
      </w:r>
    </w:p>
    <w:p w14:paraId="7B4D01B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2.4</w:t>
      </w:r>
      <w:r>
        <w:rPr>
          <w:rFonts w:hint="eastAsia" w:ascii="宋体" w:hAnsi="宋体" w:eastAsia="宋体" w:cs="宋体"/>
          <w:sz w:val="24"/>
          <w:szCs w:val="24"/>
        </w:rPr>
        <w:t>“</w:t>
      </w:r>
      <w:r>
        <w:rPr>
          <w:rFonts w:hint="eastAsia" w:ascii="宋体" w:hAnsi="宋体" w:eastAsia="宋体" w:cs="宋体"/>
          <w:sz w:val="24"/>
          <w:szCs w:val="24"/>
          <w:lang w:val="zh-CN"/>
        </w:rPr>
        <w:t>潜在投标人</w:t>
      </w:r>
      <w:r>
        <w:rPr>
          <w:rFonts w:hint="eastAsia" w:ascii="宋体" w:hAnsi="宋体" w:eastAsia="宋体" w:cs="宋体"/>
          <w:sz w:val="24"/>
          <w:szCs w:val="24"/>
        </w:rPr>
        <w:t>”</w:t>
      </w:r>
      <w:r>
        <w:rPr>
          <w:rFonts w:hint="eastAsia" w:ascii="宋体" w:hAnsi="宋体" w:eastAsia="宋体" w:cs="宋体"/>
          <w:sz w:val="24"/>
          <w:szCs w:val="24"/>
          <w:lang w:val="zh-CN"/>
        </w:rPr>
        <w:t>指确认参加投标的供应商。</w:t>
      </w:r>
    </w:p>
    <w:p w14:paraId="3E8B206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2.5</w:t>
      </w:r>
      <w:r>
        <w:rPr>
          <w:rFonts w:hint="eastAsia" w:ascii="宋体" w:hAnsi="宋体" w:eastAsia="宋体" w:cs="宋体"/>
          <w:sz w:val="24"/>
          <w:szCs w:val="24"/>
        </w:rPr>
        <w:t>“</w:t>
      </w:r>
      <w:r>
        <w:rPr>
          <w:rFonts w:hint="eastAsia" w:ascii="宋体" w:hAnsi="宋体" w:eastAsia="宋体" w:cs="宋体"/>
          <w:sz w:val="24"/>
          <w:szCs w:val="24"/>
          <w:lang w:val="zh-CN"/>
        </w:rPr>
        <w:t>投标人</w:t>
      </w:r>
      <w:r>
        <w:rPr>
          <w:rFonts w:hint="eastAsia" w:ascii="宋体" w:hAnsi="宋体" w:eastAsia="宋体" w:cs="宋体"/>
          <w:sz w:val="24"/>
          <w:szCs w:val="24"/>
        </w:rPr>
        <w:t>”</w:t>
      </w:r>
      <w:r>
        <w:rPr>
          <w:rFonts w:hint="eastAsia" w:ascii="宋体" w:hAnsi="宋体" w:eastAsia="宋体" w:cs="宋体"/>
          <w:sz w:val="24"/>
          <w:szCs w:val="24"/>
          <w:lang w:val="zh-CN"/>
        </w:rPr>
        <w:t>指响应本招标文件参加投标的供应商。</w:t>
      </w:r>
    </w:p>
    <w:p w14:paraId="3CE65CED">
      <w:pPr>
        <w:pageBreakBefore w:val="0"/>
        <w:kinsoku/>
        <w:wordWrap/>
        <w:overflowPunct/>
        <w:topLinePunct w:val="0"/>
        <w:bidi w:val="0"/>
        <w:spacing w:beforeAutospacing="0" w:afterAutospacing="0" w:line="360" w:lineRule="auto"/>
        <w:textAlignment w:val="auto"/>
        <w:rPr>
          <w:rFonts w:hint="eastAsia" w:ascii="宋体" w:hAnsi="宋体" w:eastAsia="宋体" w:cs="宋体"/>
          <w:bCs/>
          <w:kern w:val="1"/>
          <w:sz w:val="24"/>
          <w:szCs w:val="24"/>
        </w:rPr>
      </w:pPr>
      <w:r>
        <w:rPr>
          <w:rFonts w:hint="eastAsia" w:ascii="宋体" w:hAnsi="宋体" w:eastAsia="宋体" w:cs="宋体"/>
          <w:kern w:val="1"/>
          <w:sz w:val="24"/>
          <w:szCs w:val="24"/>
          <w:lang w:val="zh-CN"/>
        </w:rPr>
        <w:t>3．合格投标人资格条件要求：</w:t>
      </w:r>
      <w:r>
        <w:rPr>
          <w:rFonts w:hint="eastAsia" w:ascii="宋体" w:hAnsi="宋体" w:eastAsia="宋体" w:cs="宋体"/>
          <w:bCs/>
          <w:kern w:val="1"/>
          <w:sz w:val="24"/>
          <w:szCs w:val="24"/>
        </w:rPr>
        <w:t>详见投标人须知前附表。</w:t>
      </w:r>
    </w:p>
    <w:p w14:paraId="3CF0E20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以上各款关于合格投标人资格条件的要求均须提供中文文本，否则无效，投标人应按第六章《投标文件格式》的相关规定提交。</w:t>
      </w:r>
    </w:p>
    <w:p w14:paraId="24D6CF1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4．项目答疑会和踏勘现场：</w:t>
      </w:r>
      <w:r>
        <w:rPr>
          <w:rFonts w:hint="eastAsia" w:ascii="宋体" w:hAnsi="宋体" w:eastAsia="宋体" w:cs="宋体"/>
          <w:bCs/>
          <w:sz w:val="24"/>
          <w:szCs w:val="24"/>
          <w:lang w:val="zh-CN"/>
        </w:rPr>
        <w:t>不召开</w:t>
      </w:r>
    </w:p>
    <w:p w14:paraId="623ED8E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5．投标费用：</w:t>
      </w:r>
      <w:r>
        <w:rPr>
          <w:rFonts w:hint="eastAsia" w:ascii="宋体" w:hAnsi="宋体" w:eastAsia="宋体" w:cs="宋体"/>
          <w:kern w:val="1"/>
          <w:sz w:val="24"/>
          <w:szCs w:val="24"/>
          <w:lang w:val="zh-CN"/>
        </w:rPr>
        <w:t>投标人应自行承担所有与编写和提交投标文件有关的费用，无论投标的结果如何，采购人和采购代理机构在任何情况下均无义务和责任承担这些费用。</w:t>
      </w:r>
    </w:p>
    <w:p w14:paraId="2E39645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 招标文件：</w:t>
      </w:r>
    </w:p>
    <w:p w14:paraId="2DDE416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6.1 招标文件的构成：</w:t>
      </w:r>
    </w:p>
    <w:p w14:paraId="388871D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第一章  招标公告</w:t>
      </w:r>
    </w:p>
    <w:p w14:paraId="55F048C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第二章  投标人须知</w:t>
      </w:r>
    </w:p>
    <w:p w14:paraId="698C7F9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第三章  </w:t>
      </w:r>
      <w:r>
        <w:rPr>
          <w:rFonts w:hint="eastAsia" w:ascii="宋体" w:hAnsi="宋体" w:eastAsia="宋体" w:cs="宋体"/>
          <w:kern w:val="1"/>
          <w:sz w:val="24"/>
          <w:szCs w:val="24"/>
        </w:rPr>
        <w:t>技术</w:t>
      </w:r>
      <w:r>
        <w:rPr>
          <w:rFonts w:hint="eastAsia" w:ascii="宋体" w:hAnsi="宋体" w:eastAsia="宋体" w:cs="宋体"/>
          <w:kern w:val="1"/>
          <w:sz w:val="24"/>
          <w:szCs w:val="24"/>
          <w:lang w:val="zh-CN"/>
        </w:rPr>
        <w:t>需求</w:t>
      </w:r>
    </w:p>
    <w:p w14:paraId="60EE174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第四章  评标标准和方法</w:t>
      </w:r>
    </w:p>
    <w:p w14:paraId="4904F8C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第五章  合同条款</w:t>
      </w:r>
    </w:p>
    <w:p w14:paraId="7274011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第六章  投标文件格式</w:t>
      </w:r>
    </w:p>
    <w:p w14:paraId="47445125">
      <w:pPr>
        <w:pageBreakBefore w:val="0"/>
        <w:kinsoku/>
        <w:wordWrap/>
        <w:overflowPunct/>
        <w:topLinePunct w:val="0"/>
        <w:bidi w:val="0"/>
        <w:spacing w:beforeAutospacing="0" w:afterAutospacing="0" w:line="360" w:lineRule="auto"/>
        <w:textAlignment w:val="auto"/>
        <w:rPr>
          <w:rFonts w:hint="eastAsia" w:ascii="宋体" w:hAnsi="宋体" w:eastAsia="宋体" w:cs="宋体"/>
          <w:b/>
          <w:kern w:val="1"/>
          <w:sz w:val="24"/>
          <w:szCs w:val="24"/>
          <w:lang w:val="zh-CN"/>
        </w:rPr>
      </w:pPr>
      <w:r>
        <w:rPr>
          <w:rFonts w:hint="eastAsia" w:ascii="宋体" w:hAnsi="宋体" w:eastAsia="宋体" w:cs="宋体"/>
          <w:kern w:val="1"/>
          <w:sz w:val="24"/>
          <w:szCs w:val="24"/>
          <w:lang w:val="zh-CN"/>
        </w:rPr>
        <w:t>6.2投标人应认真阅读招标文件中所有事项、格式、条款和规范等要求。如果投标人没有按照招标文件要求提交全部文件资料或投标文件没有对招标文件在各方面都做出实质性响应，是投标人的风险。</w:t>
      </w:r>
    </w:p>
    <w:p w14:paraId="4422936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 招标文件的澄清和修改</w:t>
      </w:r>
    </w:p>
    <w:p w14:paraId="09BAFA1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w:t>
      </w:r>
      <w:r>
        <w:rPr>
          <w:rFonts w:hint="eastAsia" w:ascii="宋体" w:hAnsi="宋体" w:eastAsia="宋体" w:cs="宋体"/>
          <w:kern w:val="1"/>
          <w:sz w:val="24"/>
          <w:szCs w:val="24"/>
        </w:rPr>
        <w:t>1</w:t>
      </w:r>
      <w:r>
        <w:rPr>
          <w:rFonts w:hint="eastAsia" w:ascii="宋体" w:hAnsi="宋体" w:eastAsia="宋体" w:cs="宋体"/>
          <w:kern w:val="1"/>
          <w:sz w:val="24"/>
          <w:szCs w:val="24"/>
          <w:lang w:val="zh-CN"/>
        </w:rPr>
        <w:t xml:space="preserve"> 采购人可在投标截止时间</w:t>
      </w:r>
      <w:r>
        <w:rPr>
          <w:rFonts w:hint="eastAsia" w:ascii="宋体" w:hAnsi="宋体" w:eastAsia="宋体" w:cs="宋体"/>
          <w:kern w:val="1"/>
          <w:sz w:val="24"/>
          <w:szCs w:val="24"/>
        </w:rPr>
        <w:t>1</w:t>
      </w:r>
      <w:r>
        <w:rPr>
          <w:rFonts w:hint="eastAsia" w:ascii="宋体" w:hAnsi="宋体" w:eastAsia="宋体" w:cs="宋体"/>
          <w:kern w:val="1"/>
          <w:sz w:val="24"/>
          <w:szCs w:val="24"/>
          <w:lang w:val="zh-CN"/>
        </w:rPr>
        <w:t>5日前（含）对招标文件进行修改、补充。招标文件的修改、补充文件将以当面交接、传真或电子邮件的方式向潜在投标人发出，并在发布招标公告的媒体上公告。</w:t>
      </w:r>
    </w:p>
    <w:p w14:paraId="1C996B6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w:t>
      </w:r>
      <w:r>
        <w:rPr>
          <w:rFonts w:hint="eastAsia" w:ascii="宋体" w:hAnsi="宋体" w:eastAsia="宋体" w:cs="宋体"/>
          <w:kern w:val="1"/>
          <w:sz w:val="24"/>
          <w:szCs w:val="24"/>
        </w:rPr>
        <w:t>2</w:t>
      </w:r>
      <w:r>
        <w:rPr>
          <w:rFonts w:hint="eastAsia" w:ascii="宋体" w:hAnsi="宋体" w:eastAsia="宋体" w:cs="宋体"/>
          <w:kern w:val="1"/>
          <w:sz w:val="24"/>
          <w:szCs w:val="24"/>
          <w:lang w:val="zh-CN"/>
        </w:rPr>
        <w:t xml:space="preserve"> 招标文件的澄清、修改、补充文件均构成招标文件的组成部分，对所有投标人具有约束力，而无论其是否已经实际收到该澄清、修改、补充文件（包括答疑会纪要）。投标人若收到该澄清、修改、补充文件，则应立即以书面形式回复确认已收到。</w:t>
      </w:r>
    </w:p>
    <w:p w14:paraId="05271EF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w:t>
      </w:r>
      <w:r>
        <w:rPr>
          <w:rFonts w:hint="eastAsia" w:ascii="宋体" w:hAnsi="宋体" w:eastAsia="宋体" w:cs="宋体"/>
          <w:kern w:val="1"/>
          <w:sz w:val="24"/>
          <w:szCs w:val="24"/>
        </w:rPr>
        <w:t>3</w:t>
      </w:r>
      <w:r>
        <w:rPr>
          <w:rFonts w:hint="eastAsia" w:ascii="宋体" w:hAnsi="宋体" w:eastAsia="宋体" w:cs="宋体"/>
          <w:kern w:val="1"/>
          <w:sz w:val="24"/>
          <w:szCs w:val="24"/>
          <w:lang w:val="zh-CN"/>
        </w:rPr>
        <w:t>为使投标人有充分的时间对招标文件的澄清、修改、补充部分进行研究，采购人可在投标截止时间15日前（含）自行决定酌情延长投标截止时间，延长投标截止时间的公告将在发布招标公告的媒体上发告，并以当面交接、传真或电子邮件的方式向所有潜在投标人发出。在这种情况下，采购人和投标人受投标截止时间制约的所有权利和义务均相应延长至新的投标截止时间。</w:t>
      </w:r>
    </w:p>
    <w:p w14:paraId="31115D7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8. 投标文件构成：</w:t>
      </w:r>
    </w:p>
    <w:p w14:paraId="7F53B50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详见第六章</w:t>
      </w:r>
      <w:r>
        <w:rPr>
          <w:rFonts w:hint="eastAsia" w:ascii="宋体" w:hAnsi="宋体" w:eastAsia="宋体" w:cs="宋体"/>
          <w:kern w:val="1"/>
          <w:sz w:val="24"/>
          <w:szCs w:val="24"/>
          <w:lang w:val="zh-CN"/>
        </w:rPr>
        <w:t xml:space="preserve"> 投标文件格式</w:t>
      </w:r>
      <w:r>
        <w:rPr>
          <w:rFonts w:hint="eastAsia" w:ascii="宋体" w:hAnsi="宋体" w:eastAsia="宋体" w:cs="宋体"/>
          <w:sz w:val="24"/>
          <w:szCs w:val="24"/>
          <w:lang w:val="zh-CN"/>
        </w:rPr>
        <w:t>规定的格式；</w:t>
      </w:r>
    </w:p>
    <w:p w14:paraId="14D4234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9. 投标文件的编制</w:t>
      </w:r>
    </w:p>
    <w:p w14:paraId="650E15D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9.1 投标语言：投标文件以及投标人与采购代理机构就有关投标的来往函电均使用中文。 </w:t>
      </w:r>
    </w:p>
    <w:p w14:paraId="4DEA08D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9.2 计量单位：中华人民共和国法定计量单位。</w:t>
      </w:r>
    </w:p>
    <w:p w14:paraId="292FA1F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9.3 投标文件规格应采用A4幅面，打印，按照招标文件规定的顺序，统一编目编码装订。为便于评标，技术文件中的各项表格应按照招标文件第六章规定的格式制作。</w:t>
      </w:r>
    </w:p>
    <w:p w14:paraId="22E9374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9.4 投标人在投标文件以及在投标、合同签订、履行过程中所签署的相关文件中所加盖的公章，均须按照招标文件的规定加盖与投标人名称全称相一致的标准公章。</w:t>
      </w:r>
    </w:p>
    <w:p w14:paraId="4397A0F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9.5 采购代理机构不接受采用传真方式提交的投标文件。</w:t>
      </w:r>
    </w:p>
    <w:p w14:paraId="54776BA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 投标报价</w:t>
      </w:r>
    </w:p>
    <w:p w14:paraId="56C22F6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10.1投标人的投标报价应在最高投标文件范围内，超出此范围的投标报价为无效报价，投标将被否决。</w:t>
      </w:r>
    </w:p>
    <w:p w14:paraId="4B54099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10.2除非有另外的规定，投标人可对技术标准和要求内所列的全部内容进行投标报价。</w:t>
      </w:r>
    </w:p>
    <w:p w14:paraId="342607D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10.3投标人所报的价格在合同执行过程中是固定不变的，不得以任何理由予以变更。以可调整的价格提交的投标将作为非响应性投标予以拒绝。</w:t>
      </w:r>
    </w:p>
    <w:p w14:paraId="7C30E81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10.4 最低报价不能作为中标的保证。</w:t>
      </w:r>
    </w:p>
    <w:p w14:paraId="51A1524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 投标保证金</w:t>
      </w:r>
    </w:p>
    <w:p w14:paraId="47149FE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11.1投标人须按照招标文件中《投标人须知前附表》标明的采购代理机构帐户名称、开户银行和帐号提交，在投标截止时间前将投标保证金足额汇入（存入）采购代理机构帐户或开具保函等，并必须携带保证金缴纳凭证或采购代理机构开出的收据参加开标会。</w:t>
      </w:r>
    </w:p>
    <w:p w14:paraId="3D3D2BC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11.2投标保证金是为了弥补采购人因投标人的违规行为而蒙受的损失。采购人在因投标人的违规行为而受到损害时，将不予退还投标人的投标保证金，并作为所受损害的补偿。</w:t>
      </w:r>
    </w:p>
    <w:p w14:paraId="02F75DC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11.3投标保证金是投标文件的一个组成部分。在开标时，凡没有按规定提交投标保证金的投标，将被视为非响应性投标予以拒绝。</w:t>
      </w:r>
    </w:p>
    <w:p w14:paraId="562917E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11.4未中标投标人的投标保证金将在中标通知书发出后5个工作日内退还，不计利息。</w:t>
      </w:r>
    </w:p>
    <w:p w14:paraId="25F2445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11.5中标人的投标保证金，在中标人按本须知第21条规定签署合同，并按第22条规定交纳了履约保证金后5个工作日内退还，不计利息。</w:t>
      </w:r>
    </w:p>
    <w:p w14:paraId="4708A6E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11.6  下列情况之一发生时，投标保证金将不予退还：</w:t>
      </w:r>
    </w:p>
    <w:p w14:paraId="1A709B4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投标人在招标文件规定的投标有效期内撤回其投标；（2）中标人在规定期限内未能做到：a.按照本须知第21条规定签订合同；b.按照本须知第22条规定提交履约保证金。（3）招标文件规定不予退还投标保证金的其他情形。。</w:t>
      </w:r>
    </w:p>
    <w:p w14:paraId="4F559DD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 投标有效期：</w:t>
      </w:r>
    </w:p>
    <w:p w14:paraId="2ACE929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12.1投标有效期为投标截止之日起90天（日历天）。投标文件在这个规定期限内应保持有效。</w:t>
      </w:r>
    </w:p>
    <w:p w14:paraId="25EA58E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12.2在特殊情况下，采购人可与投标人协商延长投标有效期。这种要求和答复都应以书面形式进行。投标人可以拒绝接受延期要求而不会被没收投标保证金。同意延长投标有效期的投标人除按照采购人要求修改投标文件的有效期外，不能修改投标文件的其他内容。</w:t>
      </w:r>
    </w:p>
    <w:p w14:paraId="6404450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12.3中标人的投标文件有效期等同于合同履行期。</w:t>
      </w:r>
    </w:p>
    <w:p w14:paraId="7581705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 投标文件的式样和签署</w:t>
      </w:r>
    </w:p>
    <w:p w14:paraId="34C9238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13.1投标文件需打印或用不褪色墨水书写。第六章《投标文件格式》中凡要求签署和/或加盖公章的，均须由投标人的法定代表人或其授权代理人手书签字（或签章）和/或加盖投标人公章。投标文件由法定代表人签署的，须与其企业法人营业执照相符；由授权代理人签署的，须提交以书面形式出具的《法定代表人授权委托书》（按第六章规定的格式提交）。</w:t>
      </w:r>
    </w:p>
    <w:p w14:paraId="0B86702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13.2 投标文件应当对招标文件有关投标有效期、承诺函、技术标准和要求、招标范围等实质性内容作出响应，并由投标人、法定代表人或者授权委托人签字盖章。</w:t>
      </w:r>
    </w:p>
    <w:p w14:paraId="0585F42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13.3 投标文件应用不褪色的材料书写或打印，加盖骑缝公章、法人章，并由法定代表人或其委托代理人在指定位置签字并加盖公章。委托代理人签字的，投标文件应附法定代表人签署的授权委托书。投标文件应尽量避免涂改、行间插字或删除。如果出现上述情况，改动之处应加盖单位公章并由投标人的法定代表人或授权代理人签字确认。</w:t>
      </w:r>
    </w:p>
    <w:p w14:paraId="3686BFE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13.4 投标文件正本一份，副本份数见投标人须知前附表。投标文件电子版（U盘）盘应单独放入一个密封袋中，并在封套口处加盖投标人单位章，在封套上标记“投标文件电子版”字样。</w:t>
      </w:r>
    </w:p>
    <w:p w14:paraId="4AB555A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13.5 投标文件的正本与副本应分别装订成册（A4纸幅），并编制详细目录，且逐页标注连续页码。</w:t>
      </w:r>
    </w:p>
    <w:p w14:paraId="6155E0B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14. 投标文件的修改和撤回</w:t>
      </w:r>
    </w:p>
    <w:p w14:paraId="738135B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14.1投标人在递交投标文件后，可以修改或撤回其投标文件，但采购人必须在规定的投标截止时间之前收到投标人的修改或撤回的书面通知。</w:t>
      </w:r>
    </w:p>
    <w:p w14:paraId="3E204D5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14.2投标人的修改或撤回通知书应按对投标文件的规定一样进行编制、密封、标记和递交，并标明</w:t>
      </w:r>
      <w:r>
        <w:rPr>
          <w:rFonts w:hint="eastAsia" w:ascii="宋体" w:hAnsi="宋体" w:eastAsia="宋体" w:cs="宋体"/>
          <w:kern w:val="1"/>
          <w:sz w:val="24"/>
          <w:szCs w:val="24"/>
        </w:rPr>
        <w:t>“</w:t>
      </w:r>
      <w:r>
        <w:rPr>
          <w:rFonts w:hint="eastAsia" w:ascii="宋体" w:hAnsi="宋体" w:eastAsia="宋体" w:cs="宋体"/>
          <w:kern w:val="1"/>
          <w:sz w:val="24"/>
          <w:szCs w:val="24"/>
          <w:lang w:val="zh-CN"/>
        </w:rPr>
        <w:t>修改</w:t>
      </w:r>
      <w:r>
        <w:rPr>
          <w:rFonts w:hint="eastAsia" w:ascii="宋体" w:hAnsi="宋体" w:eastAsia="宋体" w:cs="宋体"/>
          <w:kern w:val="1"/>
          <w:sz w:val="24"/>
          <w:szCs w:val="24"/>
        </w:rPr>
        <w:t>”</w:t>
      </w:r>
      <w:r>
        <w:rPr>
          <w:rFonts w:hint="eastAsia" w:ascii="宋体" w:hAnsi="宋体" w:eastAsia="宋体" w:cs="宋体"/>
          <w:kern w:val="1"/>
          <w:sz w:val="24"/>
          <w:szCs w:val="24"/>
          <w:lang w:val="zh-CN"/>
        </w:rPr>
        <w:t>或</w:t>
      </w:r>
      <w:r>
        <w:rPr>
          <w:rFonts w:hint="eastAsia" w:ascii="宋体" w:hAnsi="宋体" w:eastAsia="宋体" w:cs="宋体"/>
          <w:kern w:val="1"/>
          <w:sz w:val="24"/>
          <w:szCs w:val="24"/>
        </w:rPr>
        <w:t>“</w:t>
      </w:r>
      <w:r>
        <w:rPr>
          <w:rFonts w:hint="eastAsia" w:ascii="宋体" w:hAnsi="宋体" w:eastAsia="宋体" w:cs="宋体"/>
          <w:kern w:val="1"/>
          <w:sz w:val="24"/>
          <w:szCs w:val="24"/>
          <w:lang w:val="zh-CN"/>
        </w:rPr>
        <w:t>撤回</w:t>
      </w:r>
      <w:r>
        <w:rPr>
          <w:rFonts w:hint="eastAsia" w:ascii="宋体" w:hAnsi="宋体" w:eastAsia="宋体" w:cs="宋体"/>
          <w:kern w:val="1"/>
          <w:sz w:val="24"/>
          <w:szCs w:val="24"/>
        </w:rPr>
        <w:t>”</w:t>
      </w:r>
      <w:r>
        <w:rPr>
          <w:rFonts w:hint="eastAsia" w:ascii="宋体" w:hAnsi="宋体" w:eastAsia="宋体" w:cs="宋体"/>
          <w:kern w:val="1"/>
          <w:sz w:val="24"/>
          <w:szCs w:val="24"/>
          <w:lang w:val="zh-CN"/>
        </w:rPr>
        <w:t>字样。</w:t>
      </w:r>
    </w:p>
    <w:p w14:paraId="12E1A29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14.3在投标截止时间（开标时间）之后，投标人不得对其投标文件做任何修改（包括开标一览表的内容）。  </w:t>
      </w:r>
    </w:p>
    <w:p w14:paraId="6B04611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 14.4从开标时间起，至投标有效期期满，投标人不得撤回其投标，否则，其投标保证金将不予退还。</w:t>
      </w:r>
    </w:p>
    <w:p w14:paraId="46D5CF3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 投标</w:t>
      </w:r>
    </w:p>
    <w:p w14:paraId="52D80B7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15.1投标人应将投标文件装订成册、密封，在信封上标明招标项目名称、所投项目编号、投标人名称、地址、联系方式</w:t>
      </w:r>
      <w:r>
        <w:rPr>
          <w:rFonts w:hint="eastAsia" w:ascii="宋体" w:hAnsi="宋体" w:eastAsia="宋体" w:cs="宋体"/>
          <w:kern w:val="1"/>
          <w:sz w:val="24"/>
          <w:szCs w:val="24"/>
        </w:rPr>
        <w:t>等内容</w:t>
      </w:r>
      <w:r>
        <w:rPr>
          <w:rFonts w:hint="eastAsia" w:ascii="宋体" w:hAnsi="宋体" w:eastAsia="宋体" w:cs="宋体"/>
          <w:kern w:val="1"/>
          <w:sz w:val="24"/>
          <w:szCs w:val="24"/>
          <w:lang w:val="zh-CN"/>
        </w:rPr>
        <w:t>，并在封口处加盖投标人公章，在招标文件规定的投标地点和投标截止时间前递交给采购代理机构。如果投标人没有按照要求密封、标记，采购代理机构对于投标人的误投、错投以及提前拆封概不负责。</w:t>
      </w:r>
    </w:p>
    <w:p w14:paraId="157C9E6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15.2投标文件份数：投标人应提交投标文件正本</w:t>
      </w:r>
      <w:r>
        <w:rPr>
          <w:rFonts w:hint="eastAsia" w:ascii="宋体" w:hAnsi="宋体" w:eastAsia="宋体" w:cs="宋体"/>
          <w:kern w:val="1"/>
          <w:sz w:val="24"/>
          <w:szCs w:val="24"/>
          <w:u w:val="single"/>
          <w:lang w:val="zh-CN"/>
        </w:rPr>
        <w:t>1</w:t>
      </w:r>
      <w:r>
        <w:rPr>
          <w:rFonts w:hint="eastAsia" w:ascii="宋体" w:hAnsi="宋体" w:eastAsia="宋体" w:cs="宋体"/>
          <w:kern w:val="1"/>
          <w:sz w:val="24"/>
          <w:szCs w:val="24"/>
          <w:lang w:val="zh-CN"/>
        </w:rPr>
        <w:t>份、副本</w:t>
      </w:r>
      <w:r>
        <w:rPr>
          <w:rFonts w:hint="eastAsia" w:ascii="宋体" w:hAnsi="宋体" w:eastAsia="宋体" w:cs="宋体"/>
          <w:kern w:val="1"/>
          <w:sz w:val="24"/>
          <w:szCs w:val="24"/>
          <w:u w:val="single"/>
          <w:lang w:val="zh-CN"/>
        </w:rPr>
        <w:t>4</w:t>
      </w:r>
      <w:r>
        <w:rPr>
          <w:rFonts w:hint="eastAsia" w:ascii="宋体" w:hAnsi="宋体" w:eastAsia="宋体" w:cs="宋体"/>
          <w:kern w:val="1"/>
          <w:sz w:val="24"/>
          <w:szCs w:val="24"/>
          <w:lang w:val="zh-CN"/>
        </w:rPr>
        <w:t>份，并标明</w:t>
      </w:r>
      <w:r>
        <w:rPr>
          <w:rFonts w:hint="eastAsia" w:ascii="宋体" w:hAnsi="宋体" w:eastAsia="宋体" w:cs="宋体"/>
          <w:kern w:val="1"/>
          <w:sz w:val="24"/>
          <w:szCs w:val="24"/>
        </w:rPr>
        <w:t>“</w:t>
      </w:r>
      <w:r>
        <w:rPr>
          <w:rFonts w:hint="eastAsia" w:ascii="宋体" w:hAnsi="宋体" w:eastAsia="宋体" w:cs="宋体"/>
          <w:kern w:val="1"/>
          <w:sz w:val="24"/>
          <w:szCs w:val="24"/>
          <w:lang w:val="zh-CN"/>
        </w:rPr>
        <w:t>正本</w:t>
      </w:r>
      <w:r>
        <w:rPr>
          <w:rFonts w:hint="eastAsia" w:ascii="宋体" w:hAnsi="宋体" w:eastAsia="宋体" w:cs="宋体"/>
          <w:kern w:val="1"/>
          <w:sz w:val="24"/>
          <w:szCs w:val="24"/>
        </w:rPr>
        <w:t>”</w:t>
      </w:r>
      <w:r>
        <w:rPr>
          <w:rFonts w:hint="eastAsia" w:ascii="宋体" w:hAnsi="宋体" w:eastAsia="宋体" w:cs="宋体"/>
          <w:kern w:val="1"/>
          <w:sz w:val="24"/>
          <w:szCs w:val="24"/>
          <w:lang w:val="zh-CN"/>
        </w:rPr>
        <w:t>、</w:t>
      </w:r>
      <w:r>
        <w:rPr>
          <w:rFonts w:hint="eastAsia" w:ascii="宋体" w:hAnsi="宋体" w:eastAsia="宋体" w:cs="宋体"/>
          <w:kern w:val="1"/>
          <w:sz w:val="24"/>
          <w:szCs w:val="24"/>
        </w:rPr>
        <w:t>“</w:t>
      </w:r>
      <w:r>
        <w:rPr>
          <w:rFonts w:hint="eastAsia" w:ascii="宋体" w:hAnsi="宋体" w:eastAsia="宋体" w:cs="宋体"/>
          <w:kern w:val="1"/>
          <w:sz w:val="24"/>
          <w:szCs w:val="24"/>
          <w:lang w:val="zh-CN"/>
        </w:rPr>
        <w:t>副本</w:t>
      </w:r>
      <w:r>
        <w:rPr>
          <w:rFonts w:hint="eastAsia" w:ascii="宋体" w:hAnsi="宋体" w:eastAsia="宋体" w:cs="宋体"/>
          <w:kern w:val="1"/>
          <w:sz w:val="24"/>
          <w:szCs w:val="24"/>
        </w:rPr>
        <w:t>”</w:t>
      </w:r>
      <w:r>
        <w:rPr>
          <w:rFonts w:hint="eastAsia" w:ascii="宋体" w:hAnsi="宋体" w:eastAsia="宋体" w:cs="宋体"/>
          <w:kern w:val="1"/>
          <w:sz w:val="24"/>
          <w:szCs w:val="24"/>
          <w:lang w:val="zh-CN"/>
        </w:rPr>
        <w:t>字样，当正本与副本内容不一致时，以正本为准，电子u盘2份（具体要求见第二章投标人须知前附表）。</w:t>
      </w:r>
    </w:p>
    <w:p w14:paraId="06508BE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lang w:val="zh-CN"/>
        </w:rPr>
        <w:t>15.3 投标人应按第六章《投标文件格式》中的格式和要求单独编制一份《开标一览表》，按照对投标文件同样的要求单独密封和标记，与投标文件同时递交。单独编制</w:t>
      </w:r>
      <w:r>
        <w:rPr>
          <w:rFonts w:hint="eastAsia" w:ascii="宋体" w:hAnsi="宋体" w:eastAsia="宋体" w:cs="宋体"/>
          <w:kern w:val="1"/>
          <w:sz w:val="24"/>
          <w:szCs w:val="24"/>
        </w:rPr>
        <w:t>的</w:t>
      </w:r>
      <w:r>
        <w:rPr>
          <w:rFonts w:hint="eastAsia" w:ascii="宋体" w:hAnsi="宋体" w:eastAsia="宋体" w:cs="宋体"/>
          <w:kern w:val="1"/>
          <w:sz w:val="24"/>
          <w:szCs w:val="24"/>
          <w:lang w:val="zh-CN"/>
        </w:rPr>
        <w:t>《开标一览表》</w:t>
      </w:r>
      <w:r>
        <w:rPr>
          <w:rFonts w:hint="eastAsia" w:ascii="宋体" w:hAnsi="宋体" w:eastAsia="宋体" w:cs="宋体"/>
          <w:kern w:val="1"/>
          <w:sz w:val="24"/>
          <w:szCs w:val="24"/>
        </w:rPr>
        <w:t>如与</w:t>
      </w:r>
      <w:r>
        <w:rPr>
          <w:rFonts w:hint="eastAsia" w:ascii="宋体" w:hAnsi="宋体" w:eastAsia="宋体" w:cs="宋体"/>
          <w:kern w:val="1"/>
          <w:sz w:val="24"/>
          <w:szCs w:val="24"/>
          <w:lang w:val="zh-CN"/>
        </w:rPr>
        <w:t>《投标文件格式》中的</w:t>
      </w:r>
      <w:r>
        <w:rPr>
          <w:rFonts w:hint="eastAsia" w:ascii="宋体" w:hAnsi="宋体" w:eastAsia="宋体" w:cs="宋体"/>
          <w:kern w:val="1"/>
          <w:sz w:val="24"/>
          <w:szCs w:val="24"/>
        </w:rPr>
        <w:t>不一致，以</w:t>
      </w:r>
      <w:r>
        <w:rPr>
          <w:rFonts w:hint="eastAsia" w:ascii="宋体" w:hAnsi="宋体" w:eastAsia="宋体" w:cs="宋体"/>
          <w:kern w:val="1"/>
          <w:sz w:val="24"/>
          <w:szCs w:val="24"/>
          <w:lang w:val="zh-CN"/>
        </w:rPr>
        <w:t>单独编制</w:t>
      </w:r>
      <w:r>
        <w:rPr>
          <w:rFonts w:hint="eastAsia" w:ascii="宋体" w:hAnsi="宋体" w:eastAsia="宋体" w:cs="宋体"/>
          <w:kern w:val="1"/>
          <w:sz w:val="24"/>
          <w:szCs w:val="24"/>
        </w:rPr>
        <w:t>的</w:t>
      </w:r>
      <w:r>
        <w:rPr>
          <w:rFonts w:hint="eastAsia" w:ascii="宋体" w:hAnsi="宋体" w:eastAsia="宋体" w:cs="宋体"/>
          <w:kern w:val="1"/>
          <w:sz w:val="24"/>
          <w:szCs w:val="24"/>
          <w:lang w:val="zh-CN"/>
        </w:rPr>
        <w:t>《开标一览表》</w:t>
      </w:r>
      <w:r>
        <w:rPr>
          <w:rFonts w:hint="eastAsia" w:ascii="宋体" w:hAnsi="宋体" w:eastAsia="宋体" w:cs="宋体"/>
          <w:kern w:val="1"/>
          <w:sz w:val="24"/>
          <w:szCs w:val="24"/>
        </w:rPr>
        <w:t>为准。</w:t>
      </w:r>
    </w:p>
    <w:p w14:paraId="2A4F496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15.4 采购代理机构将拒绝接受并原封退回在规定的投标截止时间以后递交的投标文件。</w:t>
      </w:r>
    </w:p>
    <w:p w14:paraId="3C860C9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15.5 首次招标投标截止时间结束后投标人不足三家的，将重新招标；</w:t>
      </w:r>
    </w:p>
    <w:p w14:paraId="0B4345E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 开标</w:t>
      </w:r>
    </w:p>
    <w:p w14:paraId="5E8A20B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16.1采购代理机构将在招标公告规定的时间和地点公开开标。投标人法定代表人或其授权代理人应参加并签名报到以证明其出席，并携带有效身份证件以备审查。</w:t>
      </w:r>
    </w:p>
    <w:p w14:paraId="09DC040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kern w:val="1"/>
          <w:sz w:val="24"/>
          <w:szCs w:val="24"/>
          <w:lang w:val="zh-CN"/>
        </w:rPr>
        <w:t>16.2 开标会由采购代理机构组织并主持。开标前，</w:t>
      </w:r>
      <w:r>
        <w:rPr>
          <w:rFonts w:hint="eastAsia" w:ascii="宋体" w:hAnsi="宋体" w:eastAsia="宋体" w:cs="宋体"/>
          <w:sz w:val="24"/>
          <w:szCs w:val="24"/>
          <w:lang w:val="zh-CN"/>
        </w:rPr>
        <w:t>由采购人代表及投标人代表检查投标文件的密封情况并当场宣布检查情况。</w:t>
      </w:r>
    </w:p>
    <w:p w14:paraId="3219708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16.3 开标时，采购代理机构将按照投标人提交的</w:t>
      </w:r>
      <w:r>
        <w:rPr>
          <w:rFonts w:hint="eastAsia" w:ascii="宋体" w:hAnsi="宋体" w:eastAsia="宋体" w:cs="宋体"/>
          <w:kern w:val="1"/>
          <w:sz w:val="24"/>
          <w:szCs w:val="24"/>
        </w:rPr>
        <w:t>“</w:t>
      </w:r>
      <w:r>
        <w:rPr>
          <w:rFonts w:hint="eastAsia" w:ascii="宋体" w:hAnsi="宋体" w:eastAsia="宋体" w:cs="宋体"/>
          <w:kern w:val="1"/>
          <w:sz w:val="24"/>
          <w:szCs w:val="24"/>
          <w:lang w:val="zh-CN"/>
        </w:rPr>
        <w:t>开标一览表</w:t>
      </w:r>
      <w:r>
        <w:rPr>
          <w:rFonts w:hint="eastAsia" w:ascii="宋体" w:hAnsi="宋体" w:eastAsia="宋体" w:cs="宋体"/>
          <w:kern w:val="1"/>
          <w:sz w:val="24"/>
          <w:szCs w:val="24"/>
        </w:rPr>
        <w:t>”</w:t>
      </w:r>
      <w:r>
        <w:rPr>
          <w:rFonts w:hint="eastAsia" w:ascii="宋体" w:hAnsi="宋体" w:eastAsia="宋体" w:cs="宋体"/>
          <w:kern w:val="1"/>
          <w:sz w:val="24"/>
          <w:szCs w:val="24"/>
          <w:lang w:val="zh-CN"/>
        </w:rPr>
        <w:t>，当众宣读投标人名称、修改和撤回投标的通知、投标价格、是否提交了投标保证金等内容。</w:t>
      </w:r>
    </w:p>
    <w:p w14:paraId="66A49F1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w:t>
      </w:r>
      <w:r>
        <w:rPr>
          <w:rFonts w:hint="eastAsia" w:ascii="宋体" w:hAnsi="宋体" w:eastAsia="宋体" w:cs="宋体"/>
          <w:kern w:val="1"/>
          <w:sz w:val="24"/>
          <w:szCs w:val="24"/>
        </w:rPr>
        <w:t>6</w:t>
      </w:r>
      <w:r>
        <w:rPr>
          <w:rFonts w:hint="eastAsia" w:ascii="宋体" w:hAnsi="宋体" w:eastAsia="宋体" w:cs="宋体"/>
          <w:kern w:val="1"/>
          <w:sz w:val="24"/>
          <w:szCs w:val="24"/>
          <w:lang w:val="zh-CN"/>
        </w:rPr>
        <w:t xml:space="preserve"> 按照投标人须知第14条的规定，提交了可接受的</w:t>
      </w:r>
      <w:r>
        <w:rPr>
          <w:rFonts w:hint="eastAsia" w:ascii="宋体" w:hAnsi="宋体" w:eastAsia="宋体" w:cs="宋体"/>
          <w:kern w:val="1"/>
          <w:sz w:val="24"/>
          <w:szCs w:val="24"/>
        </w:rPr>
        <w:t>“</w:t>
      </w:r>
      <w:r>
        <w:rPr>
          <w:rFonts w:hint="eastAsia" w:ascii="宋体" w:hAnsi="宋体" w:eastAsia="宋体" w:cs="宋体"/>
          <w:kern w:val="1"/>
          <w:sz w:val="24"/>
          <w:szCs w:val="24"/>
          <w:lang w:val="zh-CN"/>
        </w:rPr>
        <w:t>撤回</w:t>
      </w:r>
      <w:r>
        <w:rPr>
          <w:rFonts w:hint="eastAsia" w:ascii="宋体" w:hAnsi="宋体" w:eastAsia="宋体" w:cs="宋体"/>
          <w:kern w:val="1"/>
          <w:sz w:val="24"/>
          <w:szCs w:val="24"/>
        </w:rPr>
        <w:t>”</w:t>
      </w:r>
      <w:r>
        <w:rPr>
          <w:rFonts w:hint="eastAsia" w:ascii="宋体" w:hAnsi="宋体" w:eastAsia="宋体" w:cs="宋体"/>
          <w:kern w:val="1"/>
          <w:sz w:val="24"/>
          <w:szCs w:val="24"/>
          <w:lang w:val="zh-CN"/>
        </w:rPr>
        <w:t>通知的投标将不予开封。撤回的投标书将原封退回投标人。</w:t>
      </w:r>
    </w:p>
    <w:p w14:paraId="6182710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w:t>
      </w:r>
      <w:r>
        <w:rPr>
          <w:rFonts w:hint="eastAsia" w:ascii="宋体" w:hAnsi="宋体" w:eastAsia="宋体" w:cs="宋体"/>
          <w:kern w:val="1"/>
          <w:sz w:val="24"/>
          <w:szCs w:val="24"/>
        </w:rPr>
        <w:t>5</w:t>
      </w:r>
      <w:r>
        <w:rPr>
          <w:rFonts w:hint="eastAsia" w:ascii="宋体" w:hAnsi="宋体" w:eastAsia="宋体" w:cs="宋体"/>
          <w:kern w:val="1"/>
          <w:sz w:val="24"/>
          <w:szCs w:val="24"/>
          <w:lang w:val="zh-CN"/>
        </w:rPr>
        <w:t xml:space="preserve"> 采购代理机构将做开标记录，开标记录包括按本须知第16.3款的规定在开标时宣读的全部内容。开标记录将在开标后由监督人员或者投标人代表签字确认。</w:t>
      </w:r>
    </w:p>
    <w:p w14:paraId="39D6A17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16.7 开标时有下列情形之一的为无效投标：</w:t>
      </w:r>
    </w:p>
    <w:p w14:paraId="3F40468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（1）投标文件在规定的投标截止时间以后送达的；</w:t>
      </w:r>
    </w:p>
    <w:p w14:paraId="4933BC9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2</w:t>
      </w:r>
      <w:r>
        <w:rPr>
          <w:rFonts w:hint="eastAsia" w:ascii="宋体" w:hAnsi="宋体" w:eastAsia="宋体" w:cs="宋体"/>
          <w:kern w:val="1"/>
          <w:sz w:val="24"/>
          <w:szCs w:val="24"/>
          <w:lang w:val="zh-CN"/>
        </w:rPr>
        <w:t>）未按照招标文件的规定提交投标保证金的；</w:t>
      </w:r>
    </w:p>
    <w:p w14:paraId="220B326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3</w:t>
      </w:r>
      <w:r>
        <w:rPr>
          <w:rFonts w:hint="eastAsia" w:ascii="宋体" w:hAnsi="宋体" w:eastAsia="宋体" w:cs="宋体"/>
          <w:kern w:val="1"/>
          <w:sz w:val="24"/>
          <w:szCs w:val="24"/>
          <w:lang w:val="zh-CN"/>
        </w:rPr>
        <w:t>）投标文件未按招标文件要求签署、盖章的；</w:t>
      </w:r>
    </w:p>
    <w:p w14:paraId="3C260AA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4</w:t>
      </w:r>
      <w:r>
        <w:rPr>
          <w:rFonts w:hint="eastAsia" w:ascii="宋体" w:hAnsi="宋体" w:eastAsia="宋体" w:cs="宋体"/>
          <w:kern w:val="1"/>
          <w:sz w:val="24"/>
          <w:szCs w:val="24"/>
          <w:lang w:val="zh-CN"/>
        </w:rPr>
        <w:t>）不具备招标文件中规定的资格要求的；</w:t>
      </w:r>
    </w:p>
    <w:p w14:paraId="3F708FE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5</w:t>
      </w:r>
      <w:r>
        <w:rPr>
          <w:rFonts w:hint="eastAsia" w:ascii="宋体" w:hAnsi="宋体" w:eastAsia="宋体" w:cs="宋体"/>
          <w:kern w:val="1"/>
          <w:sz w:val="24"/>
          <w:szCs w:val="24"/>
          <w:lang w:val="zh-CN"/>
        </w:rPr>
        <w:t>）报价超过招标文件中规定的预算金额或者最高限价的；</w:t>
      </w:r>
    </w:p>
    <w:p w14:paraId="4DB2BD9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6</w:t>
      </w:r>
      <w:r>
        <w:rPr>
          <w:rFonts w:hint="eastAsia" w:ascii="宋体" w:hAnsi="宋体" w:eastAsia="宋体" w:cs="宋体"/>
          <w:kern w:val="1"/>
          <w:sz w:val="24"/>
          <w:szCs w:val="24"/>
          <w:lang w:val="zh-CN"/>
        </w:rPr>
        <w:t>）投标文件含有采购人不能接受的附加条件的；</w:t>
      </w:r>
    </w:p>
    <w:p w14:paraId="73D44AD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7</w:t>
      </w:r>
      <w:r>
        <w:rPr>
          <w:rFonts w:hint="eastAsia" w:ascii="宋体" w:hAnsi="宋体" w:eastAsia="宋体" w:cs="宋体"/>
          <w:kern w:val="1"/>
          <w:sz w:val="24"/>
          <w:szCs w:val="24"/>
          <w:lang w:val="zh-CN"/>
        </w:rPr>
        <w:t>）法律、法规和招标文件规定的其他无效情形。</w:t>
      </w:r>
    </w:p>
    <w:p w14:paraId="0E6177A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16.8 开标时有下列情形之一的，采购代理机构有权宣布本项目招标失败：</w:t>
      </w:r>
    </w:p>
    <w:p w14:paraId="44CAA35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（1）服务期限符合招标文件要求的投标人不足三家的；</w:t>
      </w:r>
    </w:p>
    <w:p w14:paraId="281D3F11">
      <w:pPr>
        <w:pageBreakBefore w:val="0"/>
        <w:kinsoku/>
        <w:wordWrap/>
        <w:overflowPunct/>
        <w:topLinePunct w:val="0"/>
        <w:bidi w:val="0"/>
        <w:spacing w:beforeAutospacing="0" w:afterAutospacing="0" w:line="360" w:lineRule="auto"/>
        <w:textAlignment w:val="auto"/>
        <w:rPr>
          <w:rFonts w:hint="eastAsia" w:ascii="宋体" w:hAnsi="宋体" w:eastAsia="宋体" w:cs="宋体"/>
          <w:b/>
          <w:kern w:val="1"/>
          <w:sz w:val="24"/>
          <w:szCs w:val="24"/>
          <w:lang w:val="zh-CN"/>
        </w:rPr>
      </w:pPr>
      <w:r>
        <w:rPr>
          <w:rFonts w:hint="eastAsia" w:ascii="宋体" w:hAnsi="宋体" w:eastAsia="宋体" w:cs="宋体"/>
          <w:kern w:val="1"/>
          <w:sz w:val="24"/>
          <w:szCs w:val="24"/>
          <w:lang w:val="zh-CN"/>
        </w:rPr>
        <w:t>（2）所有投标人的报价均超过最高投标限价的，采购人不能支付的。</w:t>
      </w:r>
    </w:p>
    <w:p w14:paraId="30004B1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首次招标失败后将重新招标，重新招标仍出现本款情形的，可按本须知第19条规定处理。</w:t>
      </w:r>
    </w:p>
    <w:p w14:paraId="1C930F8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17. 评标过程的保密性：</w:t>
      </w:r>
      <w:r>
        <w:rPr>
          <w:rFonts w:hint="eastAsia" w:ascii="宋体" w:hAnsi="宋体" w:eastAsia="宋体" w:cs="宋体"/>
          <w:kern w:val="1"/>
          <w:sz w:val="24"/>
          <w:szCs w:val="24"/>
          <w:lang w:val="zh-CN"/>
        </w:rPr>
        <w:t>公开开标后，直至向中标的投标人授予合同时止，除按招标文件规定予以公开的评标结果外，凡与审查、澄清、评价和比较投标有关的资料以及授标意见等，均不得向投标人及与评标无关的其他人透露。</w:t>
      </w:r>
    </w:p>
    <w:p w14:paraId="7DF2ADF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18. 评标</w:t>
      </w:r>
    </w:p>
    <w:p w14:paraId="4A8C827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18.1 评标工作由采购代理机构负责组织，具体评标工作由采购人依法组建的评标委员会负责。</w:t>
      </w:r>
      <w:r>
        <w:rPr>
          <w:rFonts w:hint="eastAsia" w:ascii="宋体" w:hAnsi="宋体" w:eastAsia="宋体" w:cs="宋体"/>
          <w:kern w:val="1"/>
          <w:sz w:val="24"/>
          <w:szCs w:val="24"/>
          <w:lang w:val="zh-CN"/>
        </w:rPr>
        <w:t>评标委员会由有关的技术、经济方面的专家组成。评标委员会的专家成员由专家库中随机抽取产生。需要设立评标委员会主任的，评标委员会主任由专家担任，由评标委员会成员选举产生，负责主持具体评标工作。评标委员会根据有关法律法规和招标文件规定的方法和标准独立评标，负责完成评标的全过程直至评定中标单位。采购代理机构只负责评标组织工作，不参加评标。</w:t>
      </w:r>
    </w:p>
    <w:p w14:paraId="19234BB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18.2 审查是否所有投标人的报价均超过报价控制范围的：</w:t>
      </w:r>
      <w:r>
        <w:rPr>
          <w:rFonts w:hint="eastAsia" w:ascii="宋体" w:hAnsi="宋体" w:eastAsia="宋体" w:cs="宋体"/>
          <w:kern w:val="1"/>
          <w:sz w:val="24"/>
          <w:szCs w:val="24"/>
          <w:lang w:val="zh-CN"/>
        </w:rPr>
        <w:t>根据招标文件相关规定，所有投标人的报价均超过报价控制范围的，应予否决投标处理。</w:t>
      </w:r>
    </w:p>
    <w:p w14:paraId="410CDDC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18.3 审查投标人是否存在串通投标行为：</w:t>
      </w:r>
      <w:r>
        <w:rPr>
          <w:rFonts w:hint="eastAsia" w:ascii="宋体" w:hAnsi="宋体" w:eastAsia="宋体" w:cs="宋体"/>
          <w:kern w:val="1"/>
          <w:sz w:val="24"/>
          <w:szCs w:val="24"/>
          <w:lang w:val="zh-CN"/>
        </w:rPr>
        <w:t>评标委员会发现投标人有下列情形之一的，将认定属于串通投标行为，相关投标人的投标应作否决处理。评标结束后，招标机构将以书面形式报告吉林省政府招标监督管理部门：</w:t>
      </w:r>
    </w:p>
    <w:p w14:paraId="0564ECB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w:t>
      </w:r>
      <w:r>
        <w:rPr>
          <w:rFonts w:hint="eastAsia" w:ascii="宋体" w:hAnsi="宋体" w:eastAsia="宋体" w:cs="宋体"/>
          <w:kern w:val="1"/>
          <w:sz w:val="24"/>
          <w:szCs w:val="24"/>
          <w:lang w:val="zh-CN"/>
        </w:rPr>
        <w:t>）供应商直接或者间接从采购人或者采购代理机构处获得其他供应商的相关情况并修改其投标文件或者响应文件；    </w:t>
      </w:r>
    </w:p>
    <w:p w14:paraId="55282BF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2</w:t>
      </w:r>
      <w:r>
        <w:rPr>
          <w:rFonts w:hint="eastAsia" w:ascii="宋体" w:hAnsi="宋体" w:eastAsia="宋体" w:cs="宋体"/>
          <w:kern w:val="1"/>
          <w:sz w:val="24"/>
          <w:szCs w:val="24"/>
          <w:lang w:val="zh-CN"/>
        </w:rPr>
        <w:t>）供应商按照采购人或者采购代理机构的授意撤换、修改投标文件或者响应文件；    </w:t>
      </w:r>
    </w:p>
    <w:p w14:paraId="6CDB392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3</w:t>
      </w:r>
      <w:r>
        <w:rPr>
          <w:rFonts w:hint="eastAsia" w:ascii="宋体" w:hAnsi="宋体" w:eastAsia="宋体" w:cs="宋体"/>
          <w:kern w:val="1"/>
          <w:sz w:val="24"/>
          <w:szCs w:val="24"/>
          <w:lang w:val="zh-CN"/>
        </w:rPr>
        <w:t>）供应商之间协商报价、技术方案等投标文件或者响应文件的实质性内容；    </w:t>
      </w:r>
    </w:p>
    <w:p w14:paraId="620CD61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4</w:t>
      </w:r>
      <w:r>
        <w:rPr>
          <w:rFonts w:hint="eastAsia" w:ascii="宋体" w:hAnsi="宋体" w:eastAsia="宋体" w:cs="宋体"/>
          <w:kern w:val="1"/>
          <w:sz w:val="24"/>
          <w:szCs w:val="24"/>
          <w:lang w:val="zh-CN"/>
        </w:rPr>
        <w:t>）属于同一集团、协会、商会等组织成员的供应商按照该组织要求协同参加政府采购活动；    </w:t>
      </w:r>
    </w:p>
    <w:p w14:paraId="1B27D76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5</w:t>
      </w:r>
      <w:r>
        <w:rPr>
          <w:rFonts w:hint="eastAsia" w:ascii="宋体" w:hAnsi="宋体" w:eastAsia="宋体" w:cs="宋体"/>
          <w:kern w:val="1"/>
          <w:sz w:val="24"/>
          <w:szCs w:val="24"/>
          <w:lang w:val="zh-CN"/>
        </w:rPr>
        <w:t>）供应商之间事先约定由某一特定供应商中标、成交；    </w:t>
      </w:r>
    </w:p>
    <w:p w14:paraId="6400D42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6</w:t>
      </w:r>
      <w:r>
        <w:rPr>
          <w:rFonts w:hint="eastAsia" w:ascii="宋体" w:hAnsi="宋体" w:eastAsia="宋体" w:cs="宋体"/>
          <w:kern w:val="1"/>
          <w:sz w:val="24"/>
          <w:szCs w:val="24"/>
          <w:lang w:val="zh-CN"/>
        </w:rPr>
        <w:t>）供应商之间商定部分供应商放弃参加政府采购活动或者放弃中标、成交；    </w:t>
      </w:r>
    </w:p>
    <w:p w14:paraId="561D924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7</w:t>
      </w:r>
      <w:r>
        <w:rPr>
          <w:rFonts w:hint="eastAsia" w:ascii="宋体" w:hAnsi="宋体" w:eastAsia="宋体" w:cs="宋体"/>
          <w:kern w:val="1"/>
          <w:sz w:val="24"/>
          <w:szCs w:val="24"/>
          <w:lang w:val="zh-CN"/>
        </w:rPr>
        <w:t>）供应商与采购人或者采购代理机构之间、供应商相互之间，为谋求特定供应商中标、成交或者排斥其他供应商的其他串通行为。</w:t>
      </w:r>
    </w:p>
    <w:p w14:paraId="728CDD6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8</w:t>
      </w:r>
      <w:r>
        <w:rPr>
          <w:rFonts w:hint="eastAsia" w:ascii="宋体" w:hAnsi="宋体" w:eastAsia="宋体" w:cs="宋体"/>
          <w:kern w:val="1"/>
          <w:sz w:val="24"/>
          <w:szCs w:val="24"/>
          <w:lang w:val="zh-CN"/>
        </w:rPr>
        <w:t>）不同投标人的投标文件由同一单位或者个人编制；</w:t>
      </w:r>
    </w:p>
    <w:p w14:paraId="3FF556F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9</w:t>
      </w:r>
      <w:r>
        <w:rPr>
          <w:rFonts w:hint="eastAsia" w:ascii="宋体" w:hAnsi="宋体" w:eastAsia="宋体" w:cs="宋体"/>
          <w:kern w:val="1"/>
          <w:sz w:val="24"/>
          <w:szCs w:val="24"/>
          <w:lang w:val="zh-CN"/>
        </w:rPr>
        <w:t>）不同投标人委托同一单位或者个人办理投标事宜；</w:t>
      </w:r>
    </w:p>
    <w:p w14:paraId="4F30F36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10</w:t>
      </w:r>
      <w:r>
        <w:rPr>
          <w:rFonts w:hint="eastAsia" w:ascii="宋体" w:hAnsi="宋体" w:eastAsia="宋体" w:cs="宋体"/>
          <w:kern w:val="1"/>
          <w:sz w:val="24"/>
          <w:szCs w:val="24"/>
          <w:lang w:val="zh-CN"/>
        </w:rPr>
        <w:t>）不同投标人的投标文件载明的项目管理成员或者联系人员为同一人；</w:t>
      </w:r>
    </w:p>
    <w:p w14:paraId="260D02F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11</w:t>
      </w:r>
      <w:r>
        <w:rPr>
          <w:rFonts w:hint="eastAsia" w:ascii="宋体" w:hAnsi="宋体" w:eastAsia="宋体" w:cs="宋体"/>
          <w:kern w:val="1"/>
          <w:sz w:val="24"/>
          <w:szCs w:val="24"/>
          <w:lang w:val="zh-CN"/>
        </w:rPr>
        <w:t>）不同投标人的投标文件异常一致或者投标报价呈规律性差异；</w:t>
      </w:r>
    </w:p>
    <w:p w14:paraId="53C412F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12</w:t>
      </w:r>
      <w:r>
        <w:rPr>
          <w:rFonts w:hint="eastAsia" w:ascii="宋体" w:hAnsi="宋体" w:eastAsia="宋体" w:cs="宋体"/>
          <w:kern w:val="1"/>
          <w:sz w:val="24"/>
          <w:szCs w:val="24"/>
          <w:lang w:val="zh-CN"/>
        </w:rPr>
        <w:t>）不同投标人的投标文件相互混装；</w:t>
      </w:r>
    </w:p>
    <w:p w14:paraId="3D32EA5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13</w:t>
      </w:r>
      <w:r>
        <w:rPr>
          <w:rFonts w:hint="eastAsia" w:ascii="宋体" w:hAnsi="宋体" w:eastAsia="宋体" w:cs="宋体"/>
          <w:kern w:val="1"/>
          <w:sz w:val="24"/>
          <w:szCs w:val="24"/>
          <w:lang w:val="zh-CN"/>
        </w:rPr>
        <w:t>）不同投标人的投标保证金从同一单位或者个人的账户转出。</w:t>
      </w:r>
    </w:p>
    <w:p w14:paraId="75EDE6D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18.4 对投标文件商务部分（投标人资格）进行审查：</w:t>
      </w:r>
      <w:r>
        <w:rPr>
          <w:rFonts w:hint="eastAsia" w:ascii="宋体" w:hAnsi="宋体" w:eastAsia="宋体" w:cs="宋体"/>
          <w:kern w:val="1"/>
          <w:sz w:val="24"/>
          <w:szCs w:val="24"/>
          <w:lang w:val="zh-CN"/>
        </w:rPr>
        <w:t>评标委员会将审查每个投标人提交的商务文件是否齐全完整，是否合法有效，是否有重大偏离和保留，是否符合招标文件要求。商务（投标人资格）审查不符合招标文件要求的投标文件将被拒绝。</w:t>
      </w:r>
    </w:p>
    <w:p w14:paraId="3ECBE7C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18.5 对投标文件技术部分进行评审：</w:t>
      </w:r>
    </w:p>
    <w:p w14:paraId="7A1A037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 xml:space="preserve">18.5.1 </w:t>
      </w:r>
      <w:r>
        <w:rPr>
          <w:rFonts w:hint="eastAsia" w:ascii="宋体" w:hAnsi="宋体" w:eastAsia="宋体" w:cs="宋体"/>
          <w:kern w:val="1"/>
          <w:sz w:val="24"/>
          <w:szCs w:val="24"/>
          <w:lang w:val="zh-CN"/>
        </w:rPr>
        <w:t>对于商务审查合格的投标人，评标委员会将审查其投标文件技术部分是否对招标文件规定的事项、格式、条款和技术规格等要求都做出了实质性响应。</w:t>
      </w:r>
    </w:p>
    <w:p w14:paraId="3C8B80AE">
      <w:pPr>
        <w:pageBreakBefore w:val="0"/>
        <w:kinsoku/>
        <w:wordWrap/>
        <w:overflowPunct/>
        <w:topLinePunct w:val="0"/>
        <w:bidi w:val="0"/>
        <w:spacing w:beforeAutospacing="0" w:afterAutospacing="0" w:line="360" w:lineRule="auto"/>
        <w:textAlignment w:val="auto"/>
        <w:rPr>
          <w:rFonts w:hint="eastAsia" w:ascii="宋体" w:hAnsi="宋体" w:eastAsia="宋体" w:cs="宋体"/>
          <w:b/>
          <w:kern w:val="1"/>
          <w:sz w:val="24"/>
          <w:szCs w:val="24"/>
          <w:lang w:val="zh-CN"/>
        </w:rPr>
      </w:pPr>
      <w:r>
        <w:rPr>
          <w:rFonts w:hint="eastAsia" w:ascii="宋体" w:hAnsi="宋体" w:eastAsia="宋体" w:cs="宋体"/>
          <w:b/>
          <w:kern w:val="1"/>
          <w:sz w:val="24"/>
          <w:szCs w:val="24"/>
          <w:lang w:val="zh-CN"/>
        </w:rPr>
        <w:t xml:space="preserve">18.5.2 </w:t>
      </w:r>
      <w:r>
        <w:rPr>
          <w:rFonts w:hint="eastAsia" w:ascii="宋体" w:hAnsi="宋体" w:eastAsia="宋体" w:cs="宋体"/>
          <w:kern w:val="1"/>
          <w:sz w:val="24"/>
          <w:szCs w:val="24"/>
          <w:lang w:val="zh-CN"/>
        </w:rPr>
        <w:t>实质性响应的投标是指与招标文件规定的事项、条款、条件和技术规格相符，没有重大偏离和保留。没有实质性响应招标文件要求的投标将被拒绝。</w:t>
      </w:r>
    </w:p>
    <w:p w14:paraId="4C66DFF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 xml:space="preserve">18.6 </w:t>
      </w:r>
      <w:r>
        <w:rPr>
          <w:rFonts w:hint="eastAsia" w:ascii="宋体" w:hAnsi="宋体" w:eastAsia="宋体" w:cs="宋体"/>
          <w:kern w:val="1"/>
          <w:sz w:val="24"/>
          <w:szCs w:val="24"/>
          <w:lang w:val="zh-CN"/>
        </w:rPr>
        <w:t>重大偏离和保留是指实质上影响合同的供货范围、质量和性能，或者实质上限制了合同中采购人的权利或投标人的义务。投标文件有下列情形之一的属于重大偏离和保留，将作否决处理：</w:t>
      </w:r>
    </w:p>
    <w:p w14:paraId="6D80940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（1）投标人未按招标文件规定提交所要求提交的全部文件或者提交的文件无效或者不符合招标文件的规定；</w:t>
      </w:r>
    </w:p>
    <w:p w14:paraId="1E9794F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（2）投标文件未按招标文件的规定有效签署和/或加盖公章；</w:t>
      </w:r>
    </w:p>
    <w:p w14:paraId="3C75657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（3）投标文件载明的项目完成期限超过招标文件规定的期限；</w:t>
      </w:r>
    </w:p>
    <w:p w14:paraId="3425235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（4）投标文件明显不符合招标文件规定的技术规格、技术标准要求；</w:t>
      </w:r>
    </w:p>
    <w:p w14:paraId="7D4EC1D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（5）投标文件附有采购人不能接受的条件；</w:t>
      </w:r>
    </w:p>
    <w:p w14:paraId="0D4DC93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（6）不符合招标文件规定的其他实质性要求。</w:t>
      </w:r>
    </w:p>
    <w:p w14:paraId="186E283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Cs/>
          <w:kern w:val="1"/>
          <w:sz w:val="24"/>
          <w:szCs w:val="24"/>
          <w:lang w:val="zh-CN"/>
        </w:rPr>
        <w:t>18.7</w:t>
      </w:r>
      <w:r>
        <w:rPr>
          <w:rFonts w:hint="eastAsia" w:ascii="宋体" w:hAnsi="宋体" w:eastAsia="宋体" w:cs="宋体"/>
          <w:kern w:val="1"/>
          <w:sz w:val="24"/>
          <w:szCs w:val="24"/>
          <w:lang w:val="zh-CN"/>
        </w:rPr>
        <w:t>评标委员会将允许修正投标文件中不构成重大偏离的细微偏离，但这些修正应不会对实质上响应招标文件要求的投标人的竞争地位（相互排序）产生不公正的影响。</w:t>
      </w:r>
    </w:p>
    <w:p w14:paraId="156DCAAE">
      <w:pPr>
        <w:pageBreakBefore w:val="0"/>
        <w:kinsoku/>
        <w:wordWrap/>
        <w:overflowPunct/>
        <w:topLinePunct w:val="0"/>
        <w:bidi w:val="0"/>
        <w:spacing w:beforeAutospacing="0" w:afterAutospacing="0" w:line="360" w:lineRule="auto"/>
        <w:textAlignment w:val="auto"/>
        <w:rPr>
          <w:rFonts w:hint="eastAsia" w:ascii="宋体" w:hAnsi="宋体" w:eastAsia="宋体" w:cs="宋体"/>
          <w:bCs/>
          <w:kern w:val="1"/>
          <w:sz w:val="24"/>
          <w:szCs w:val="24"/>
          <w:lang w:val="zh-CN"/>
        </w:rPr>
      </w:pPr>
      <w:r>
        <w:rPr>
          <w:rFonts w:hint="eastAsia" w:ascii="宋体" w:hAnsi="宋体" w:eastAsia="宋体" w:cs="宋体"/>
          <w:kern w:val="1"/>
          <w:sz w:val="24"/>
          <w:szCs w:val="24"/>
          <w:lang w:val="zh-CN"/>
        </w:rPr>
        <w:t>18.8 评标委员会对投标文件的判定，只依据投标文件内容本身，不依据任何外来证明。</w:t>
      </w:r>
    </w:p>
    <w:p w14:paraId="493265B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18.9 投标报价的审查：</w:t>
      </w:r>
      <w:r>
        <w:rPr>
          <w:rFonts w:hint="eastAsia" w:ascii="宋体" w:hAnsi="宋体" w:eastAsia="宋体" w:cs="宋体"/>
          <w:kern w:val="1"/>
          <w:sz w:val="24"/>
          <w:szCs w:val="24"/>
          <w:lang w:val="zh-CN"/>
        </w:rPr>
        <w:t>评标委员会将对商务审查、技术审查合格的投标文件的报价进行审核，看其是否有计算和累加上的错误。修正错误的原则如下：投标报价以《开标一览表》的报价为准，《分项报价表》的报价与《开标一览表》的报价不一致的，投标人应按《开标一览表》的报价相应修改《分项报价表》的报价，并相应修改分项报价。按上述原则调整后的价格为评标价，经投标人法定代表人或授权代理人签字确认后对投标人具有约束力。如果投标人不按照上述原则修正其投标报价及分项报价，则其投标将被拒绝。</w:t>
      </w:r>
    </w:p>
    <w:p w14:paraId="720896D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18.10 澄清：</w:t>
      </w:r>
      <w:r>
        <w:rPr>
          <w:rFonts w:hint="eastAsia" w:ascii="宋体" w:hAnsi="宋体" w:eastAsia="宋体" w:cs="宋体"/>
          <w:kern w:val="1"/>
          <w:sz w:val="24"/>
          <w:szCs w:val="24"/>
          <w:lang w:val="zh-CN"/>
        </w:rPr>
        <w:t>评标委员会对于投标文件实质性响应了招标文件要求，但在个别地方提供了不完整的技术信息和数据，以及同类问题表述不一致或者有明显文字和计算错误等细微偏离问题，将以书面形式（澄清细微偏离由评标委员会依据招标文件集体决定并由评标委员会专家签字）要求投标人在规定的时限内（在评标结束前）作出必要的澄清、说明或者补正。投标人的澄清、说明或者补正应当采用书面形式，由投标人法定代表人或其授权代理人签字（须提交签字人身份证件并与投标文件签字人一致），并不得超出投标文件的范围或者改变投标文件的实质性内容。投标人拒不进行澄清、说明、补正的，或者不能在规定时间内作出书面澄清、说明、补正的，评标委员会将拒绝其投标。</w:t>
      </w:r>
    </w:p>
    <w:p w14:paraId="6B44F66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 19.首次招标因评标过程中出现符合专业条件的投标人或者对招标文件作实质性响应的投标人不足三家情形而废标，重新招标仍然出现前述情形的，以及竞争性谈判、询价项目出现前述情形的，如果采购人需求紧急需要直接变更方式采购，经采购人代表现场提出，评标委员会专家成员和评标监督人员同意，可以在评标专家、采购人代表、评标监督人员、投标供应商授权代表以及采购中心或者采购代理机构工作人员同时在场的情况下直接变更采购方式继续采购，并按下述规定办理：</w:t>
      </w:r>
    </w:p>
    <w:p w14:paraId="7CC7859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（1）采用招标方式采购项目，重新招标出现前述情形的，如果有两家供应商投标或者经评审有两家合格投标供应商，可以直接变更为两家供应商竞争性谈判或者向两家供应商询价采购。</w:t>
      </w:r>
    </w:p>
    <w:p w14:paraId="0505FA8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采用竞争性谈判、询价方式采购的项目，出现前述情形的，如果有两家供应商投标或者经评审由两家合格投标供应商，原采购方式为竞争性谈判的，应当直接变更为两家供应商竞争性谈判；原采购方式为询价的，应当直接变更为两家供应商询价采购。</w:t>
      </w:r>
    </w:p>
    <w:p w14:paraId="5EC8B9C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（3）只有1家供应商投标，或者经评审只有1家合格供应商的，不得直接变更为单一来源方式采购。采购人需要变更为单一来源方式采购的，应当在废标后向采购办申请批准。</w:t>
      </w:r>
    </w:p>
    <w:p w14:paraId="096C837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4）招标失败后直接变更采购方式的项目，应当当场由评标专家、采购人代表、评标监督人员和相关投标供应商授权代表共同签署《招标失败后直接变更采购方式备忘录》。评标结束后，由采购中心或者采购代理机构将《招标失败后直接变更采购方式备忘录》和评标纪要（评标报告）包采购办备案。</w:t>
      </w:r>
    </w:p>
    <w:p w14:paraId="3DAD239A">
      <w:pPr>
        <w:pageBreakBefore w:val="0"/>
        <w:kinsoku/>
        <w:wordWrap/>
        <w:overflowPunct/>
        <w:topLinePunct w:val="0"/>
        <w:bidi w:val="0"/>
        <w:spacing w:beforeAutospacing="0" w:afterAutospacing="0" w:line="360" w:lineRule="auto"/>
        <w:textAlignment w:val="auto"/>
        <w:rPr>
          <w:rFonts w:hint="eastAsia" w:ascii="宋体" w:hAnsi="宋体" w:eastAsia="宋体" w:cs="宋体"/>
          <w:b/>
          <w:kern w:val="1"/>
          <w:sz w:val="24"/>
          <w:szCs w:val="24"/>
          <w:lang w:val="zh-CN"/>
        </w:rPr>
      </w:pPr>
      <w:r>
        <w:rPr>
          <w:rFonts w:hint="eastAsia" w:ascii="宋体" w:hAnsi="宋体" w:eastAsia="宋体" w:cs="宋体"/>
          <w:kern w:val="1"/>
          <w:sz w:val="24"/>
          <w:szCs w:val="24"/>
          <w:lang w:val="zh-CN"/>
        </w:rPr>
        <w:t>（5）招标失败后直接变更采购方式的条件应在采购文件中事先申明。</w:t>
      </w:r>
    </w:p>
    <w:p w14:paraId="585BD94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20. 评标方法和标准</w:t>
      </w:r>
    </w:p>
    <w:p w14:paraId="545BA2F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20.1评标委员会按照第四章 </w:t>
      </w:r>
      <w:r>
        <w:rPr>
          <w:rFonts w:hint="eastAsia" w:ascii="宋体" w:hAnsi="宋体" w:eastAsia="宋体" w:cs="宋体"/>
          <w:sz w:val="24"/>
          <w:szCs w:val="24"/>
          <w:lang w:val="zh-CN"/>
        </w:rPr>
        <w:t>评标标准和方法（综合评分法）</w:t>
      </w:r>
      <w:r>
        <w:rPr>
          <w:rFonts w:hint="eastAsia" w:ascii="宋体" w:hAnsi="宋体" w:eastAsia="宋体" w:cs="宋体"/>
          <w:kern w:val="1"/>
          <w:sz w:val="24"/>
          <w:szCs w:val="24"/>
          <w:lang w:val="zh-CN"/>
        </w:rPr>
        <w:t>规定的方法、评审因素、标准等对投标文件进行评审；</w:t>
      </w:r>
    </w:p>
    <w:p w14:paraId="53285EF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lang w:val="zh-CN"/>
        </w:rPr>
        <w:t xml:space="preserve">20.2 本项目采用综合评分法，详见第四章 </w:t>
      </w:r>
      <w:r>
        <w:rPr>
          <w:rFonts w:hint="eastAsia" w:ascii="宋体" w:hAnsi="宋体" w:eastAsia="宋体" w:cs="宋体"/>
          <w:sz w:val="24"/>
          <w:szCs w:val="24"/>
          <w:lang w:val="zh-CN"/>
        </w:rPr>
        <w:t>评标标准和方法（综合评分法）</w:t>
      </w:r>
      <w:r>
        <w:rPr>
          <w:rFonts w:hint="eastAsia" w:ascii="宋体" w:hAnsi="宋体" w:eastAsia="宋体" w:cs="宋体"/>
          <w:kern w:val="1"/>
          <w:sz w:val="24"/>
          <w:szCs w:val="24"/>
          <w:lang w:val="zh-CN"/>
        </w:rPr>
        <w:t>。</w:t>
      </w:r>
    </w:p>
    <w:p w14:paraId="61EF08B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 签订合同</w:t>
      </w:r>
    </w:p>
    <w:p w14:paraId="38F3B84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21.1采购代理机构将在投标有效期期满之前向中标单位发出《中标通知书》。中标通知书是合同的组成部分，对采购人和中标单位均具有法律约束力。</w:t>
      </w:r>
    </w:p>
    <w:p w14:paraId="76DD5CE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21.2中标通知书发出后，中标或者成交供应商拒绝与采购人签订合同的，采购人可以按照评审报告推荐的中标或者成交候选人名单排序，确定下一候选人为中标或者成交供应商，也可以重新开展政府采购活动。。</w:t>
      </w:r>
    </w:p>
    <w:p w14:paraId="03BD658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21.3中标单位应按中标通知书规定的时间与采购人签订合同。如果中标单位不在规定的时间内签署合同，视为自动放弃中标资格，其提交的投标保证金不予退还，列入不良行为记录名单，在一至三年内禁止参加政府招标活动并予以公告。投标人在被评标委员会评定为中标单位之后、中标通知书发出之前放弃中标的，按本条规定处理。</w:t>
      </w:r>
    </w:p>
    <w:p w14:paraId="757EC9E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21.4中标结果将在发布招标公告的媒体上公告，不再以书面方式通知未中标人。</w:t>
      </w:r>
    </w:p>
    <w:p w14:paraId="2AB5663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22.保密和披露</w:t>
      </w:r>
    </w:p>
    <w:p w14:paraId="1858D5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22.1投标截止时间前，采购人、采购代理机构和有关人员不得向他人透露已获取招标文件的潜在投标人的名称、数量以及可能影响公平竞争的有关招标投标的其他情况</w:t>
      </w:r>
      <w:r>
        <w:rPr>
          <w:rFonts w:hint="eastAsia" w:ascii="宋体" w:hAnsi="宋体" w:eastAsia="宋体" w:cs="宋体"/>
          <w:kern w:val="1"/>
          <w:sz w:val="24"/>
          <w:szCs w:val="24"/>
          <w:lang w:val="zh-CN"/>
        </w:rPr>
        <w:t>。</w:t>
      </w:r>
    </w:p>
    <w:p w14:paraId="1071629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22.2在下列情形下：当发布中标公告和其他公告时，当国家机关调查、审查、审计时，以及在其他符合法律规定的情形下，采购代理机构无须事先征求投标人/中标单位同意而可以披露关于招标过程、投标文件、合同文本、合同签署情况的资料、投标人/中标单位的名称及地址、招标内容的有关信息以及补充条款等，并且对任何已经公布过的内容或与之内容相同的资料无须再承担保密责任。</w:t>
      </w:r>
    </w:p>
    <w:p w14:paraId="15E857A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23</w:t>
      </w:r>
      <w:r>
        <w:rPr>
          <w:rFonts w:hint="eastAsia" w:ascii="宋体" w:hAnsi="宋体" w:eastAsia="宋体" w:cs="宋体"/>
          <w:kern w:val="1"/>
          <w:sz w:val="24"/>
          <w:szCs w:val="24"/>
          <w:lang w:val="zh-CN"/>
        </w:rPr>
        <w:t>.采购代理服务费</w:t>
      </w:r>
    </w:p>
    <w:p w14:paraId="199BE5A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执行国家发展计划委员会计价格〔2015〕299 号文件，参考招标代理服务费计费执行计价格〔2002〕1980 号文件、招标代理机构按国家发改委发改办价格〔2003〕857号文件费率标准计取，由中标人支付，本项目招标代理服务费</w:t>
      </w:r>
      <w:r>
        <w:rPr>
          <w:rFonts w:hint="eastAsia" w:ascii="宋体" w:hAnsi="宋体" w:eastAsia="宋体" w:cs="宋体"/>
          <w:kern w:val="1"/>
          <w:sz w:val="24"/>
          <w:szCs w:val="24"/>
        </w:rPr>
        <w:t>按照八折收取</w:t>
      </w:r>
      <w:r>
        <w:rPr>
          <w:rFonts w:hint="eastAsia" w:ascii="宋体" w:hAnsi="宋体" w:eastAsia="宋体" w:cs="宋体"/>
          <w:kern w:val="1"/>
          <w:sz w:val="24"/>
          <w:szCs w:val="24"/>
          <w:lang w:val="zh-CN"/>
        </w:rPr>
        <w:t>。</w:t>
      </w:r>
    </w:p>
    <w:p w14:paraId="0580DE7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.询问、质疑和投诉</w:t>
      </w:r>
    </w:p>
    <w:p w14:paraId="53D2DE7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 xml:space="preserve">.1询问 </w:t>
      </w:r>
    </w:p>
    <w:p w14:paraId="6D6750F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供应商对政府采购活动事项有疑问的，可以向采购人或者采购代理机构提出询问，采购人或者采购代理机构应当在3个工作日内对投标人依法提出的询问作出答复，但答复的内容不得涉及商业秘密。</w:t>
      </w:r>
    </w:p>
    <w:p w14:paraId="1A985B7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.2质疑</w:t>
      </w:r>
    </w:p>
    <w:p w14:paraId="1A2C5B9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.2.1供应商认为采购文件、采购过程、中标结果使自己的权益受到损害的，可以在知道或者应知其权益受到损害之日起7个工作日内，以书面形式向采购人、采购代理机构提出质疑。</w:t>
      </w:r>
    </w:p>
    <w:p w14:paraId="4EB13FC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供应商应在法定质疑期内一次性提出针对同一采购程序环节的质疑。</w:t>
      </w:r>
    </w:p>
    <w:p w14:paraId="1568F61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.2.2提出质疑的供应商（以下简称质疑供应商）应当是参与所质疑项目采购活动的供应商。</w:t>
      </w:r>
    </w:p>
    <w:p w14:paraId="1E9C4E9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潜在供应商已依法获取其可质疑的采购文件的，可以对该文件提出质疑。对采购文件提出质疑的，应当在获取采购文件或者采购文件公告期限届满之日起7个工作日内提出。</w:t>
      </w:r>
    </w:p>
    <w:p w14:paraId="40228E5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.2.3供应商提出质疑应当提交质疑函和必要的证明材料。质疑函应当包括下列内容：</w:t>
      </w:r>
    </w:p>
    <w:p w14:paraId="1EAA896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（1）供应商的姓名或者名称、地址、邮编、联系人及联系电话；</w:t>
      </w:r>
    </w:p>
    <w:p w14:paraId="6125822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（2）质疑项目的名称、编号；</w:t>
      </w:r>
    </w:p>
    <w:p w14:paraId="7FDBC41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（3）具体、明确的质疑事项和与质疑事项相关的请求；</w:t>
      </w:r>
    </w:p>
    <w:p w14:paraId="380D526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（4）事实依据；</w:t>
      </w:r>
    </w:p>
    <w:p w14:paraId="2B008BA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（5）必要的法律依据；</w:t>
      </w:r>
    </w:p>
    <w:p w14:paraId="2C19919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（6）提出质疑的日期。</w:t>
      </w:r>
    </w:p>
    <w:p w14:paraId="58F0743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供应商为自然人的，应当由本人签字；供应商为法人或者其他组织的，应当由法定代表人、主要负责人，或者其授权代表签字或者盖章，并加盖公章。</w:t>
      </w:r>
    </w:p>
    <w:p w14:paraId="3088B06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.2.4采购人、采购代理机构不得拒收质疑供应商在法定质疑期内发出的质疑函，应当在收到质疑函后 7 个工作日内作出答复，并以书面形式通知质疑供应商和其他有关供应商。</w:t>
      </w:r>
    </w:p>
    <w:p w14:paraId="752BDA1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.3投诉</w:t>
      </w:r>
    </w:p>
    <w:p w14:paraId="05AE0F7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质疑供应商对采购人、采购代理机构的答复不满意，或者采购人、采购代理机构未在规定时间内作出答复的，可以在答复期满后15个工作日内向同级采购监管部门投诉。</w:t>
      </w:r>
    </w:p>
    <w:p w14:paraId="147458E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25</w:t>
      </w:r>
      <w:r>
        <w:rPr>
          <w:rFonts w:hint="eastAsia" w:ascii="宋体" w:hAnsi="宋体" w:eastAsia="宋体" w:cs="宋体"/>
          <w:kern w:val="1"/>
          <w:sz w:val="24"/>
          <w:szCs w:val="24"/>
          <w:lang w:val="zh-CN"/>
        </w:rPr>
        <w:t>.供应商法律责任</w:t>
      </w:r>
    </w:p>
    <w:p w14:paraId="6651146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25</w:t>
      </w:r>
      <w:r>
        <w:rPr>
          <w:rFonts w:hint="eastAsia" w:ascii="宋体" w:hAnsi="宋体" w:eastAsia="宋体" w:cs="宋体"/>
          <w:kern w:val="1"/>
          <w:sz w:val="24"/>
          <w:szCs w:val="24"/>
          <w:lang w:val="zh-CN"/>
        </w:rPr>
        <w:t>.1《中华人民共和国政府采购法》相关规定：</w:t>
      </w:r>
    </w:p>
    <w:p w14:paraId="4B56D7B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2E7BF4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（一）提供虚假材料谋取中标、成交的；</w:t>
      </w:r>
    </w:p>
    <w:p w14:paraId="5E2817D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（二）采取不正当手段诋毁、排挤其他供应商的；</w:t>
      </w:r>
    </w:p>
    <w:p w14:paraId="2913F0B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（三）与采购人、其他供应商或者采购代理机构恶意串通的；</w:t>
      </w:r>
    </w:p>
    <w:p w14:paraId="548B894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（四）向采购人、采购代理机构行贿或者提供其他不正当利益的；</w:t>
      </w:r>
    </w:p>
    <w:p w14:paraId="743F891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（五）在招标采购过程中与采购人进行协商谈判的；</w:t>
      </w:r>
    </w:p>
    <w:p w14:paraId="51C4C6A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（六）拒绝有关部门监督检查或者提供虚假情况的。</w:t>
      </w:r>
    </w:p>
    <w:p w14:paraId="5C64B35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供应商有前款第（一）至（五）项情形之一的，中标、成交无效。</w:t>
      </w:r>
    </w:p>
    <w:p w14:paraId="4D86A04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第七十九条 政府采购当事人有本法第七十一条、第七十二条、第七十七条违法行为之一，给他人造成损失的，并应依照有关民事法律规定承担民事责任。</w:t>
      </w:r>
    </w:p>
    <w:p w14:paraId="3F223AC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w:t>
      </w:r>
      <w:r>
        <w:rPr>
          <w:rFonts w:hint="eastAsia" w:ascii="宋体" w:hAnsi="宋体" w:eastAsia="宋体" w:cs="宋体"/>
          <w:kern w:val="1"/>
          <w:sz w:val="24"/>
          <w:szCs w:val="24"/>
        </w:rPr>
        <w:t>5</w:t>
      </w:r>
      <w:r>
        <w:rPr>
          <w:rFonts w:hint="eastAsia" w:ascii="宋体" w:hAnsi="宋体" w:eastAsia="宋体" w:cs="宋体"/>
          <w:kern w:val="1"/>
          <w:sz w:val="24"/>
          <w:szCs w:val="24"/>
          <w:lang w:val="zh-CN"/>
        </w:rPr>
        <w:t>.2《中华人民共和国政府采购法实施条例》相关规定：</w:t>
      </w:r>
    </w:p>
    <w:p w14:paraId="17BD2ED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第七十二条 供应商有下列情形之一的，依照政府采购法第七十七条第一款的规定追究法律责任：</w:t>
      </w:r>
    </w:p>
    <w:p w14:paraId="343945D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（一）向评标委员会、竞争性谈判小组或者询价小组成员行贿或者提供其他不正当利益；</w:t>
      </w:r>
    </w:p>
    <w:p w14:paraId="7F431CF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（二）中标或者成交后无正当理由拒不与采购人签订政府采购合同；</w:t>
      </w:r>
    </w:p>
    <w:p w14:paraId="2FD8A1E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（三）未按照采购文件确定的事项签订政府采购合同；</w:t>
      </w:r>
    </w:p>
    <w:p w14:paraId="5B6439D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（四）将政府采购合同转包；</w:t>
      </w:r>
    </w:p>
    <w:p w14:paraId="0622252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（五）提供假冒伪劣产品；</w:t>
      </w:r>
    </w:p>
    <w:p w14:paraId="46F13FF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（六）擅自变更、中止或者终止政府采购合同。</w:t>
      </w:r>
    </w:p>
    <w:p w14:paraId="2A492E7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供应商有前款第一项规定情形的，中标、成交无效。评审阶段资格发生变化，供应商未依照本条例第二十一条的规定通知采购人和采购代理机构的，处以采购金额 5‰的罚款，列入不良行为记录名单，中标、成交无效。</w:t>
      </w:r>
    </w:p>
    <w:p w14:paraId="546198E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第七十四条 有下列情形之一的，属于恶意串通，对供应商依照政府采购法第七十七条第一款的规定追究法律责任，对采购人、采购代理机构及其工作人员依照政府采购法第七十二条的规定追究法律责任：</w:t>
      </w:r>
    </w:p>
    <w:p w14:paraId="135E20A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（一）供应商直接或者间接从采购人或者采购代理机构处获得其他供应商的相关情况并修改其投标文件或者投标文件；</w:t>
      </w:r>
    </w:p>
    <w:p w14:paraId="4F03C7A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（二）供应商按照采购人或者采购代理机构的授意撤换、修改投标文件或者投标文件；</w:t>
      </w:r>
    </w:p>
    <w:p w14:paraId="5B6234C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（三）供应商之间协商报价、技术方案等投标文件或者投标文件的实质性内容；</w:t>
      </w:r>
    </w:p>
    <w:p w14:paraId="0DD5BB9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（四）属于同一集团、协会、商会等组织成员的供应商按照该组织要求协同参加政府采购活动；</w:t>
      </w:r>
    </w:p>
    <w:p w14:paraId="5503490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（五）供应商之间事先约定由某一特定供应商中标、成交；</w:t>
      </w:r>
    </w:p>
    <w:p w14:paraId="7756697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（六）供应商之间商定部分供应商放弃参加政府采购活动或者放弃中标、成交；</w:t>
      </w:r>
    </w:p>
    <w:p w14:paraId="67293FE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（七）供应商与采购人或者采购代理机构之间、供应商相互之间，为谋求特定供应商中标、成交或者排斥其他供应商的其他串通行为。</w:t>
      </w:r>
    </w:p>
    <w:p w14:paraId="37362D5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25.3</w:t>
      </w:r>
      <w:r>
        <w:rPr>
          <w:rFonts w:hint="eastAsia" w:ascii="宋体" w:hAnsi="宋体" w:eastAsia="宋体" w:cs="宋体"/>
          <w:kern w:val="1"/>
          <w:sz w:val="24"/>
          <w:szCs w:val="24"/>
          <w:lang w:val="zh-CN"/>
        </w:rPr>
        <w:t>第七十六条 政府采购当事人违反政府采购法和本条例规定，给他人造成损失的，依法承担民事责任。</w:t>
      </w:r>
    </w:p>
    <w:p w14:paraId="3DF18A61">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26.其他要求</w:t>
      </w:r>
    </w:p>
    <w:p w14:paraId="29791782">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rPr>
        <w:t>26.1付款</w:t>
      </w:r>
      <w:r>
        <w:rPr>
          <w:rFonts w:hint="eastAsia" w:ascii="宋体" w:hAnsi="宋体" w:eastAsia="宋体" w:cs="宋体"/>
          <w:sz w:val="24"/>
          <w:szCs w:val="24"/>
          <w:highlight w:val="none"/>
        </w:rPr>
        <w:t>方式：合同签订且收到履约保证金后7个工作日内支付合同金额的50%作为预付款，安装、验收完毕后10个工作日内付清余款。付款方式：以人民币结算，通过银行转账方式支付。在采购人付款前，中标人应开具等额的增值税发票。（具体以实际签订合同为准）。</w:t>
      </w:r>
    </w:p>
    <w:p w14:paraId="034DF854">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26.2 履约保证金的收取和退还：</w:t>
      </w:r>
    </w:p>
    <w:p w14:paraId="44944209">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26.2.1中标人收到中标通知书后10个工作日内，应当以现金（包括银行汇款、转账等方式）或银行出具的保函等非现金形式提交履约保证金。</w:t>
      </w:r>
    </w:p>
    <w:p w14:paraId="3BA3A898">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保证金的金额占合同总价的比例:□5%  ☑10%。</w:t>
      </w:r>
    </w:p>
    <w:p w14:paraId="570A392F">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26.2.2中标人无法按时交货或货物不符合合同约定且整改后仍不合格的，履约保证金不予退还；如果中标人未能按合同约定全面履行义务，采购人有权从履约保证金中取得补偿或赔偿，且不影响采购人要求中标人承担合同约定的超过履约保证金的违约责任的权利。</w:t>
      </w:r>
    </w:p>
    <w:p w14:paraId="75B0F4D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26.2.3中标人无违约情形的，采购人在设备运行一年后无质量问题的，经使用科室确认，应将履约保证金无息退还中标人。（具体以实际签订合同为准）。</w:t>
      </w:r>
    </w:p>
    <w:p w14:paraId="424B8571">
      <w:pPr>
        <w:pStyle w:val="3"/>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br w:type="page"/>
      </w:r>
      <w:bookmarkStart w:id="81" w:name="_Toc7515"/>
      <w:bookmarkStart w:id="82" w:name="_Toc7939"/>
      <w:bookmarkStart w:id="83" w:name="_Toc17239"/>
      <w:r>
        <w:rPr>
          <w:rFonts w:hint="eastAsia" w:ascii="宋体" w:hAnsi="宋体" w:eastAsia="宋体" w:cs="宋体"/>
          <w:kern w:val="1"/>
          <w:sz w:val="32"/>
          <w:szCs w:val="32"/>
          <w:highlight w:val="none"/>
          <w:lang w:val="zh-CN"/>
        </w:rPr>
        <w:t xml:space="preserve">第三章  </w:t>
      </w:r>
      <w:bookmarkEnd w:id="81"/>
      <w:bookmarkEnd w:id="82"/>
      <w:r>
        <w:rPr>
          <w:rFonts w:hint="eastAsia" w:ascii="宋体" w:hAnsi="宋体" w:eastAsia="宋体" w:cs="宋体"/>
          <w:kern w:val="1"/>
          <w:sz w:val="32"/>
          <w:szCs w:val="32"/>
          <w:highlight w:val="none"/>
          <w:lang w:val="zh-CN"/>
        </w:rPr>
        <w:t>技术参数</w:t>
      </w:r>
      <w:bookmarkEnd w:id="83"/>
    </w:p>
    <w:p w14:paraId="1236AF0C">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bookmarkStart w:id="84" w:name="_Toc1353"/>
      <w:bookmarkStart w:id="85" w:name="_Toc32284"/>
      <w:bookmarkStart w:id="86" w:name="_Toc499930143"/>
    </w:p>
    <w:p w14:paraId="2ACD1CC4">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p>
    <w:p w14:paraId="33AFF967">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包1：</w:t>
      </w:r>
      <w:r>
        <w:rPr>
          <w:rFonts w:hint="eastAsia" w:ascii="宋体" w:hAnsi="宋体" w:eastAsia="宋体" w:cs="宋体"/>
          <w:sz w:val="24"/>
          <w:szCs w:val="24"/>
        </w:rPr>
        <w:t>加压调蓄设施（</w:t>
      </w:r>
      <w:r>
        <w:rPr>
          <w:rFonts w:hint="eastAsia" w:ascii="宋体" w:hAnsi="宋体" w:eastAsia="宋体" w:cs="宋体"/>
          <w:b/>
          <w:bCs/>
          <w:sz w:val="24"/>
          <w:szCs w:val="24"/>
        </w:rPr>
        <w:t>二次供水加压设备</w:t>
      </w:r>
      <w:r>
        <w:rPr>
          <w:rFonts w:hint="eastAsia" w:ascii="宋体" w:hAnsi="宋体" w:eastAsia="宋体" w:cs="宋体"/>
          <w:sz w:val="24"/>
          <w:szCs w:val="24"/>
        </w:rPr>
        <w:t>）</w:t>
      </w:r>
    </w:p>
    <w:p w14:paraId="23CC2552">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p>
    <w:p w14:paraId="127D66FD">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一、采购需求：</w:t>
      </w:r>
    </w:p>
    <w:p w14:paraId="64C52B86">
      <w:pPr>
        <w:pStyle w:val="95"/>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pacing w:val="-8"/>
          <w:sz w:val="24"/>
          <w:szCs w:val="24"/>
          <w:lang w:eastAsia="zh-CN"/>
        </w:rPr>
      </w:pPr>
      <w:r>
        <w:rPr>
          <w:rFonts w:hint="eastAsia" w:ascii="宋体" w:hAnsi="宋体" w:eastAsia="宋体" w:cs="宋体"/>
          <w:sz w:val="24"/>
          <w:szCs w:val="24"/>
          <w:lang w:eastAsia="zh-CN"/>
        </w:rPr>
        <w:t>本项目采购智能变频调速供水设备、智能无负压供水设备各1套，供水设备配套智能集成变频泵，水泵应自带变频、控制系统，且每台水</w:t>
      </w:r>
      <w:r>
        <w:rPr>
          <w:rFonts w:hint="eastAsia" w:ascii="宋体" w:hAnsi="宋体" w:eastAsia="宋体" w:cs="宋体"/>
          <w:spacing w:val="-8"/>
          <w:sz w:val="24"/>
          <w:szCs w:val="24"/>
          <w:lang w:eastAsia="zh-CN"/>
        </w:rPr>
        <w:t>泵能够独立工作，控制箱人机界面应配套触摸式屏幕。</w:t>
      </w:r>
    </w:p>
    <w:p w14:paraId="0E85B6D1">
      <w:pPr>
        <w:pStyle w:val="95"/>
        <w:pageBreakBefore w:val="0"/>
        <w:kinsoku/>
        <w:wordWrap/>
        <w:overflowPunct/>
        <w:topLinePunct w:val="0"/>
        <w:bidi w:val="0"/>
        <w:spacing w:beforeAutospacing="0" w:afterAutospacing="0" w:line="360" w:lineRule="auto"/>
        <w:ind w:firstLine="448" w:firstLineChars="200"/>
        <w:textAlignment w:val="auto"/>
        <w:rPr>
          <w:rFonts w:hint="eastAsia" w:ascii="宋体" w:hAnsi="宋体" w:eastAsia="宋体" w:cs="宋体"/>
          <w:spacing w:val="-8"/>
          <w:sz w:val="24"/>
          <w:szCs w:val="24"/>
          <w:lang w:eastAsia="zh-CN"/>
        </w:rPr>
      </w:pPr>
    </w:p>
    <w:p w14:paraId="7DA0CD31">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二、基本要求</w:t>
      </w:r>
    </w:p>
    <w:tbl>
      <w:tblPr>
        <w:tblStyle w:val="31"/>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043"/>
        <w:gridCol w:w="940"/>
        <w:gridCol w:w="1134"/>
        <w:gridCol w:w="3760"/>
      </w:tblGrid>
      <w:tr w14:paraId="3DC7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679" w:type="dxa"/>
            <w:noWrap/>
            <w:vAlign w:val="center"/>
          </w:tcPr>
          <w:p w14:paraId="2783781C">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043" w:type="dxa"/>
            <w:noWrap/>
            <w:vAlign w:val="center"/>
          </w:tcPr>
          <w:p w14:paraId="1A6A85D6">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940" w:type="dxa"/>
            <w:noWrap/>
            <w:vAlign w:val="center"/>
          </w:tcPr>
          <w:p w14:paraId="383DA38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1134" w:type="dxa"/>
            <w:noWrap/>
            <w:vAlign w:val="center"/>
          </w:tcPr>
          <w:p w14:paraId="48FD8CDF">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3760" w:type="dxa"/>
            <w:noWrap/>
            <w:vAlign w:val="center"/>
          </w:tcPr>
          <w:p w14:paraId="5D241CF8">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基础参数要求</w:t>
            </w:r>
          </w:p>
        </w:tc>
      </w:tr>
      <w:tr w14:paraId="710BB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14:paraId="0C0BA9E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043" w:type="dxa"/>
            <w:noWrap/>
            <w:vAlign w:val="center"/>
          </w:tcPr>
          <w:p w14:paraId="593686B4">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智能变频调速供水设备</w:t>
            </w:r>
          </w:p>
        </w:tc>
        <w:tc>
          <w:tcPr>
            <w:tcW w:w="940" w:type="dxa"/>
            <w:noWrap/>
            <w:vAlign w:val="center"/>
          </w:tcPr>
          <w:p w14:paraId="3319560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134" w:type="dxa"/>
            <w:noWrap/>
            <w:vAlign w:val="center"/>
          </w:tcPr>
          <w:p w14:paraId="30C898D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3760" w:type="dxa"/>
            <w:noWrap/>
            <w:vAlign w:val="center"/>
          </w:tcPr>
          <w:p w14:paraId="650E95C9">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1.设备需包含智能变频控制一体水泵2台、压力控制装置、阀门、设备配套管路（sus304不锈钢材质）、变频调速系统、控制系统等；</w:t>
            </w:r>
          </w:p>
          <w:p w14:paraId="65037021">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2.水泵单泵流量Q≥12m³/h、H≥38m、单泵功率N≥3Kw</w:t>
            </w:r>
          </w:p>
          <w:p w14:paraId="27C8138C">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3.智能监控系统：实现泵房数据采集及机组运行监控功能。</w:t>
            </w:r>
          </w:p>
        </w:tc>
      </w:tr>
      <w:tr w14:paraId="0527C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14:paraId="7EC1700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043" w:type="dxa"/>
            <w:noWrap/>
            <w:vAlign w:val="center"/>
          </w:tcPr>
          <w:p w14:paraId="10DF0F80">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智能无负压供水设备</w:t>
            </w:r>
          </w:p>
        </w:tc>
        <w:tc>
          <w:tcPr>
            <w:tcW w:w="940" w:type="dxa"/>
            <w:noWrap/>
            <w:vAlign w:val="center"/>
          </w:tcPr>
          <w:p w14:paraId="5A4B6937">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134" w:type="dxa"/>
            <w:noWrap/>
            <w:vAlign w:val="center"/>
          </w:tcPr>
          <w:p w14:paraId="765EB7A3">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3760" w:type="dxa"/>
            <w:noWrap/>
            <w:vAlign w:val="center"/>
          </w:tcPr>
          <w:p w14:paraId="5D779BC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供水设备成套供应：含智能变频控制一体水泵2台、压力控制装置、阀门、设备配套管路（sus304不锈钢材质）、变频调速系统、控制系统等；需实现无负压供水和变频水箱自动切换联合供水功能，另包括单独的热水循环泵4台；</w:t>
            </w:r>
          </w:p>
          <w:p w14:paraId="0184BED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2.水泵单泵流量Q≥18m³/h、H≥47m、单泵功率N≥5.5Kw</w:t>
            </w:r>
          </w:p>
          <w:p w14:paraId="39E77321">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3.热水循环水泵Q≥8m³/h、H≥18m、单泵功率N≥0.75kw</w:t>
            </w:r>
          </w:p>
          <w:p w14:paraId="51AB0763">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4.智能监控系统：实现生活冷水泵房数据采集及机组运行监控功能。</w:t>
            </w:r>
          </w:p>
        </w:tc>
      </w:tr>
    </w:tbl>
    <w:p w14:paraId="0C845F8A">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p>
    <w:p w14:paraId="6A8A04B0">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技术规范要求</w:t>
      </w:r>
    </w:p>
    <w:p w14:paraId="1B014C8D">
      <w:pPr>
        <w:pStyle w:val="95"/>
        <w:pageBreakBefore w:val="0"/>
        <w:kinsoku/>
        <w:wordWrap/>
        <w:overflowPunct/>
        <w:topLinePunct w:val="0"/>
        <w:bidi w:val="0"/>
        <w:adjustRightInd w:val="0"/>
        <w:snapToGrid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（一）供水设备整体要求：</w:t>
      </w:r>
    </w:p>
    <w:p w14:paraId="05C07433">
      <w:pPr>
        <w:pStyle w:val="95"/>
        <w:pageBreakBefore w:val="0"/>
        <w:kinsoku/>
        <w:wordWrap/>
        <w:overflowPunct/>
        <w:topLinePunct w:val="0"/>
        <w:bidi w:val="0"/>
        <w:adjustRightInd w:val="0"/>
        <w:snapToGrid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1.▲控制箱人机界面配套不低于10寸触摸式屏幕以便操作。电控柜需获得 CQC 认证证书（标书内附CQC认证证书）。</w:t>
      </w:r>
    </w:p>
    <w:p w14:paraId="787BD8DA">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1"/>
          <w:sz w:val="24"/>
          <w:szCs w:val="24"/>
          <w:lang w:eastAsia="zh-CN"/>
        </w:rPr>
        <w:t>★</w:t>
      </w:r>
      <w:r>
        <w:rPr>
          <w:rFonts w:hint="eastAsia" w:ascii="宋体" w:hAnsi="宋体" w:eastAsia="宋体" w:cs="宋体"/>
          <w:sz w:val="24"/>
          <w:szCs w:val="24"/>
          <w:lang w:eastAsia="zh-CN"/>
        </w:rPr>
        <w:t>配套电机须采用三相异步电动机，电机能效等级符合《中小型三相异步电动机能效限定值及能效等级》GB18613-2020中规定的2级及以上标准,电机冷却方式为风冷，防护等级不低于IP55。</w:t>
      </w:r>
    </w:p>
    <w:p w14:paraId="5658D309">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3.控制箱主要电气元器件采用投标单位原厂品牌或ABB、施耐德、西门子等同档次产品。</w:t>
      </w:r>
    </w:p>
    <w:p w14:paraId="0911534A">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spacing w:val="-1"/>
          <w:sz w:val="24"/>
          <w:szCs w:val="24"/>
          <w:lang w:eastAsia="zh-CN"/>
        </w:rPr>
        <w:t>★</w:t>
      </w:r>
      <w:r>
        <w:rPr>
          <w:rFonts w:hint="eastAsia" w:ascii="宋体" w:hAnsi="宋体" w:eastAsia="宋体" w:cs="宋体"/>
          <w:sz w:val="24"/>
          <w:szCs w:val="24"/>
          <w:lang w:eastAsia="zh-CN"/>
        </w:rPr>
        <w:t>产品整体要求：水泵及配套电机应是同一品牌或隶属同一集团子公司生产的智能立式多级离心泵，原厂生产、原厂出厂，生产完毕，须通知采购人检验后出厂。</w:t>
      </w:r>
    </w:p>
    <w:p w14:paraId="465783B7">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5▲设备主要过流部件包括钢板、钢管、变径、叶轮、泵轴、导叶、法兰、套筒采用S30408及以上不锈钢。（每个主要过流部件需提供具备CMA资质的第三方机构出具的检验报告证明资料）</w:t>
      </w:r>
    </w:p>
    <w:p w14:paraId="53D607DF">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p>
    <w:p w14:paraId="43B5189F">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（二）供水设备功能要求：</w:t>
      </w:r>
    </w:p>
    <w:p w14:paraId="2DD78443">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1.智能变频调速供水设备功能（包括但不限于以下功能）：</w:t>
      </w:r>
    </w:p>
    <w:p w14:paraId="7E74B3AC">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（1）供水能力：设备为多台水泵</w:t>
      </w:r>
      <w:r>
        <w:rPr>
          <w:rFonts w:hint="eastAsia" w:ascii="宋体" w:hAnsi="宋体" w:eastAsia="宋体" w:cs="宋体"/>
          <w:spacing w:val="1"/>
          <w:sz w:val="24"/>
          <w:szCs w:val="24"/>
          <w:lang w:eastAsia="zh-CN"/>
        </w:rPr>
        <w:t>（</w:t>
      </w:r>
      <w:r>
        <w:rPr>
          <w:rFonts w:hint="eastAsia" w:ascii="宋体" w:hAnsi="宋体" w:eastAsia="宋体" w:cs="宋体"/>
          <w:sz w:val="24"/>
          <w:szCs w:val="24"/>
          <w:lang w:eastAsia="zh-CN"/>
        </w:rPr>
        <w:t>两台及以上）并联供水，</w:t>
      </w:r>
      <w:r>
        <w:rPr>
          <w:rFonts w:hint="eastAsia" w:ascii="宋体" w:hAnsi="宋体" w:eastAsia="宋体" w:cs="宋体"/>
          <w:spacing w:val="-5"/>
          <w:sz w:val="24"/>
          <w:szCs w:val="24"/>
          <w:lang w:eastAsia="zh-CN"/>
        </w:rPr>
        <w:t>设备在工频下按设备扬程运行的全部工作泵</w:t>
      </w:r>
      <w:r>
        <w:rPr>
          <w:rFonts w:hint="eastAsia" w:ascii="宋体" w:hAnsi="宋体" w:eastAsia="宋体" w:cs="宋体"/>
          <w:spacing w:val="1"/>
          <w:sz w:val="24"/>
          <w:szCs w:val="24"/>
          <w:lang w:eastAsia="zh-CN"/>
        </w:rPr>
        <w:t>（</w:t>
      </w:r>
      <w:r>
        <w:rPr>
          <w:rFonts w:hint="eastAsia" w:ascii="宋体" w:hAnsi="宋体" w:eastAsia="宋体" w:cs="宋体"/>
          <w:spacing w:val="-5"/>
          <w:sz w:val="24"/>
          <w:szCs w:val="24"/>
          <w:lang w:eastAsia="zh-CN"/>
        </w:rPr>
        <w:t>不含备用泵）的实测流量损失不应大于单台工作泵在该扬程</w:t>
      </w:r>
      <w:r>
        <w:rPr>
          <w:rFonts w:hint="eastAsia" w:ascii="宋体" w:hAnsi="宋体" w:eastAsia="宋体" w:cs="宋体"/>
          <w:sz w:val="24"/>
          <w:szCs w:val="24"/>
          <w:lang w:eastAsia="zh-CN"/>
        </w:rPr>
        <w:t>下的流量之和的5%。</w:t>
      </w:r>
    </w:p>
    <w:p w14:paraId="7104DBF1">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（2）小流量运行功能：设备应具有小流量运行功能，当</w:t>
      </w:r>
      <w:r>
        <w:rPr>
          <w:rFonts w:hint="eastAsia" w:ascii="宋体" w:hAnsi="宋体" w:eastAsia="宋体" w:cs="宋体"/>
          <w:spacing w:val="-1"/>
          <w:sz w:val="24"/>
          <w:szCs w:val="24"/>
          <w:lang w:eastAsia="zh-CN"/>
        </w:rPr>
        <w:t>设备供水流量小于单台工作泵额定流量的25%时，设备</w:t>
      </w:r>
      <w:r>
        <w:rPr>
          <w:rFonts w:hint="eastAsia" w:ascii="宋体" w:hAnsi="宋体" w:eastAsia="宋体" w:cs="宋体"/>
          <w:sz w:val="24"/>
          <w:szCs w:val="24"/>
          <w:lang w:eastAsia="zh-CN"/>
        </w:rPr>
        <w:t>应能自动进入小流量运行的节能状态，并应满足用水</w:t>
      </w:r>
      <w:r>
        <w:rPr>
          <w:rFonts w:hint="eastAsia" w:ascii="宋体" w:hAnsi="宋体" w:eastAsia="宋体" w:cs="宋体"/>
          <w:spacing w:val="4"/>
          <w:sz w:val="24"/>
          <w:szCs w:val="24"/>
          <w:lang w:eastAsia="zh-CN"/>
        </w:rPr>
        <w:t>压力的要求。</w:t>
      </w:r>
    </w:p>
    <w:p w14:paraId="68D4C997">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（3）压力控制功能：设备应具有自动调节水泵转速和软</w:t>
      </w:r>
      <w:r>
        <w:rPr>
          <w:rFonts w:hint="eastAsia" w:ascii="宋体" w:hAnsi="宋体" w:eastAsia="宋体" w:cs="宋体"/>
          <w:spacing w:val="-9"/>
          <w:sz w:val="24"/>
          <w:szCs w:val="24"/>
          <w:lang w:eastAsia="zh-CN"/>
        </w:rPr>
        <w:t>启动的功能。在恒压给水时，设备的压力控制误差不应</w:t>
      </w:r>
      <w:r>
        <w:rPr>
          <w:rFonts w:hint="eastAsia" w:ascii="宋体" w:hAnsi="宋体" w:eastAsia="宋体" w:cs="宋体"/>
          <w:sz w:val="24"/>
          <w:szCs w:val="24"/>
          <w:lang w:eastAsia="zh-CN"/>
        </w:rPr>
        <w:t>超过士0.01MPa；变压给水时，设备的工作压力应按管</w:t>
      </w:r>
      <w:r>
        <w:rPr>
          <w:rFonts w:hint="eastAsia" w:ascii="宋体" w:hAnsi="宋体" w:eastAsia="宋体" w:cs="宋体"/>
          <w:spacing w:val="6"/>
          <w:sz w:val="24"/>
          <w:szCs w:val="24"/>
          <w:lang w:eastAsia="zh-CN"/>
        </w:rPr>
        <w:t>道特性曲线变化。</w:t>
      </w:r>
    </w:p>
    <w:p w14:paraId="59B23016">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（4）远程监测、监控、监视功能：设备应配备外部通信</w:t>
      </w:r>
      <w:r>
        <w:rPr>
          <w:rFonts w:hint="eastAsia" w:ascii="宋体" w:hAnsi="宋体" w:eastAsia="宋体" w:cs="宋体"/>
          <w:sz w:val="24"/>
          <w:szCs w:val="24"/>
          <w:lang w:eastAsia="zh-CN"/>
        </w:rPr>
        <w:t>端口，能通过无线、有线通信方式实现设备远程在线监测、监控、监视，并应具有接入智慧水务运行</w:t>
      </w:r>
      <w:r>
        <w:rPr>
          <w:rFonts w:hint="eastAsia" w:ascii="宋体" w:hAnsi="宋体" w:eastAsia="宋体" w:cs="宋体"/>
          <w:spacing w:val="-1"/>
          <w:sz w:val="24"/>
          <w:szCs w:val="24"/>
          <w:lang w:eastAsia="zh-CN"/>
        </w:rPr>
        <w:t>管理</w:t>
      </w:r>
      <w:r>
        <w:rPr>
          <w:rFonts w:hint="eastAsia" w:ascii="宋体" w:hAnsi="宋体" w:eastAsia="宋体" w:cs="宋体"/>
          <w:sz w:val="24"/>
          <w:szCs w:val="24"/>
          <w:lang w:eastAsia="zh-CN"/>
        </w:rPr>
        <w:t>平台的标准通信端口。设备具备与远程监控系统接入功能，实现出具采集、数据存储、数据展示、多方报警及运维管理功能，通过以上功能实现远程采集及分</w:t>
      </w:r>
      <w:r>
        <w:rPr>
          <w:rFonts w:hint="eastAsia" w:ascii="宋体" w:hAnsi="宋体" w:eastAsia="宋体" w:cs="宋体"/>
          <w:spacing w:val="9"/>
          <w:sz w:val="24"/>
          <w:szCs w:val="24"/>
          <w:lang w:eastAsia="zh-CN"/>
        </w:rPr>
        <w:t>析。</w:t>
      </w:r>
    </w:p>
    <w:p w14:paraId="01FC00B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（5）</w:t>
      </w:r>
      <w:r>
        <w:rPr>
          <w:rFonts w:hint="eastAsia" w:ascii="宋体" w:hAnsi="宋体" w:eastAsia="宋体" w:cs="宋体"/>
          <w:sz w:val="24"/>
          <w:szCs w:val="24"/>
          <w:lang w:eastAsia="zh-CN"/>
        </w:rPr>
        <w:t>▲</w:t>
      </w:r>
      <w:r>
        <w:rPr>
          <w:rFonts w:hint="eastAsia" w:ascii="宋体" w:hAnsi="宋体" w:eastAsia="宋体" w:cs="宋体"/>
          <w:spacing w:val="-6"/>
          <w:sz w:val="24"/>
          <w:szCs w:val="24"/>
          <w:lang w:eastAsia="zh-CN"/>
        </w:rPr>
        <w:t>变频变量变压控制：设备应具备变量变压功能</w:t>
      </w:r>
      <w:r>
        <w:rPr>
          <w:rFonts w:hint="eastAsia" w:ascii="宋体" w:hAnsi="宋体" w:eastAsia="宋体" w:cs="宋体"/>
          <w:spacing w:val="-7"/>
          <w:sz w:val="24"/>
          <w:szCs w:val="24"/>
          <w:lang w:eastAsia="zh-CN"/>
        </w:rPr>
        <w:t>，即</w:t>
      </w:r>
      <w:r>
        <w:rPr>
          <w:rFonts w:hint="eastAsia" w:ascii="宋体" w:hAnsi="宋体" w:eastAsia="宋体" w:cs="宋体"/>
          <w:spacing w:val="-5"/>
          <w:sz w:val="24"/>
          <w:szCs w:val="24"/>
          <w:lang w:eastAsia="zh-CN"/>
        </w:rPr>
        <w:t>设备出水口压力应按其流量变化的管道特性曲线而变</w:t>
      </w:r>
      <w:r>
        <w:rPr>
          <w:rFonts w:hint="eastAsia" w:ascii="宋体" w:hAnsi="宋体" w:eastAsia="宋体" w:cs="宋体"/>
          <w:spacing w:val="-9"/>
          <w:sz w:val="24"/>
          <w:szCs w:val="24"/>
          <w:lang w:eastAsia="zh-CN"/>
        </w:rPr>
        <w:t>化，保证设备节能运行。设备能够自动根据用水流量、</w:t>
      </w:r>
      <w:r>
        <w:rPr>
          <w:rFonts w:hint="eastAsia" w:ascii="宋体" w:hAnsi="宋体" w:eastAsia="宋体" w:cs="宋体"/>
          <w:spacing w:val="-5"/>
          <w:sz w:val="24"/>
          <w:szCs w:val="24"/>
          <w:lang w:eastAsia="zh-CN"/>
        </w:rPr>
        <w:t>压力的变化自动优化运行工艺，实现节能。</w:t>
      </w:r>
      <w:r>
        <w:rPr>
          <w:rFonts w:hint="eastAsia" w:ascii="宋体" w:hAnsi="宋体" w:eastAsia="宋体" w:cs="宋体"/>
          <w:sz w:val="24"/>
          <w:szCs w:val="24"/>
          <w:lang w:eastAsia="zh-CN"/>
        </w:rPr>
        <w:t>（提供具备CMA资质的第三方机构出具的检验报告证明资料）</w:t>
      </w:r>
    </w:p>
    <w:p w14:paraId="7BB36694">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pacing w:val="-2"/>
          <w:sz w:val="24"/>
          <w:szCs w:val="24"/>
          <w:lang w:eastAsia="zh-CN"/>
        </w:rPr>
      </w:pPr>
      <w:r>
        <w:rPr>
          <w:rFonts w:hint="eastAsia" w:ascii="宋体" w:hAnsi="宋体" w:eastAsia="宋体" w:cs="宋体"/>
          <w:spacing w:val="-1"/>
          <w:sz w:val="24"/>
          <w:szCs w:val="24"/>
          <w:lang w:eastAsia="zh-CN"/>
        </w:rPr>
        <w:t>（6）设备的内部通信功能：设备应具有内部通信端口实</w:t>
      </w:r>
      <w:r>
        <w:rPr>
          <w:rFonts w:hint="eastAsia" w:ascii="宋体" w:hAnsi="宋体" w:eastAsia="宋体" w:cs="宋体"/>
          <w:sz w:val="24"/>
          <w:szCs w:val="24"/>
          <w:lang w:eastAsia="zh-CN"/>
        </w:rPr>
        <w:t>现多台主辅泵变频控制器相互之间实时通信，所有功能参数、运行指令实时共享的功能。</w:t>
      </w:r>
    </w:p>
    <w:p w14:paraId="725191CA">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（7）控制柜显示及功能要求，控制柜面板应包括</w:t>
      </w:r>
      <w:r>
        <w:rPr>
          <w:rFonts w:hint="eastAsia" w:ascii="宋体" w:hAnsi="宋体" w:eastAsia="宋体" w:cs="宋体"/>
          <w:spacing w:val="-8"/>
          <w:sz w:val="24"/>
          <w:szCs w:val="24"/>
          <w:lang w:eastAsia="zh-CN"/>
        </w:rPr>
        <w:t>以下功</w:t>
      </w:r>
      <w:r>
        <w:rPr>
          <w:rFonts w:hint="eastAsia" w:ascii="宋体" w:hAnsi="宋体" w:eastAsia="宋体" w:cs="宋体"/>
          <w:spacing w:val="-2"/>
          <w:sz w:val="24"/>
          <w:szCs w:val="24"/>
          <w:lang w:eastAsia="zh-CN"/>
        </w:rPr>
        <w:t>能显示：</w:t>
      </w:r>
    </w:p>
    <w:p w14:paraId="5086C01C">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①</w:t>
      </w:r>
      <w:r>
        <w:rPr>
          <w:rFonts w:hint="eastAsia" w:ascii="宋体" w:hAnsi="宋体" w:eastAsia="宋体" w:cs="宋体"/>
          <w:sz w:val="24"/>
          <w:szCs w:val="24"/>
          <w:lang w:eastAsia="zh-CN"/>
        </w:rPr>
        <w:t>安全接地：控制柜的金属构件应有可靠的接地保</w:t>
      </w:r>
      <w:r>
        <w:rPr>
          <w:rFonts w:hint="eastAsia" w:ascii="宋体" w:hAnsi="宋体" w:eastAsia="宋体" w:cs="宋体"/>
          <w:spacing w:val="-2"/>
          <w:sz w:val="24"/>
          <w:szCs w:val="24"/>
          <w:lang w:eastAsia="zh-CN"/>
        </w:rPr>
        <w:t>护。</w:t>
      </w:r>
    </w:p>
    <w:p w14:paraId="7ED0D8F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②</w:t>
      </w:r>
      <w:r>
        <w:rPr>
          <w:rFonts w:hint="eastAsia" w:ascii="宋体" w:hAnsi="宋体" w:eastAsia="宋体" w:cs="宋体"/>
          <w:sz w:val="24"/>
          <w:szCs w:val="24"/>
          <w:lang w:eastAsia="zh-CN"/>
        </w:rPr>
        <w:t>电源电流、电压，水泵启、停显示；</w:t>
      </w:r>
    </w:p>
    <w:p w14:paraId="4A25777C">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③</w:t>
      </w:r>
      <w:r>
        <w:rPr>
          <w:rFonts w:hint="eastAsia" w:ascii="宋体" w:hAnsi="宋体" w:eastAsia="宋体" w:cs="宋体"/>
          <w:sz w:val="24"/>
          <w:szCs w:val="24"/>
          <w:lang w:eastAsia="zh-CN"/>
        </w:rPr>
        <w:t>设备压力、实际压力、水泵频率；</w:t>
      </w:r>
    </w:p>
    <w:p w14:paraId="67E5474D">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spacing w:val="1"/>
          <w:sz w:val="24"/>
          <w:szCs w:val="24"/>
          <w:lang w:eastAsia="zh-CN"/>
        </w:rPr>
        <w:t>④</w:t>
      </w:r>
      <w:r>
        <w:rPr>
          <w:rFonts w:hint="eastAsia" w:ascii="宋体" w:hAnsi="宋体" w:eastAsia="宋体" w:cs="宋体"/>
          <w:color w:val="auto"/>
          <w:sz w:val="24"/>
          <w:szCs w:val="24"/>
          <w:lang w:eastAsia="zh-CN"/>
        </w:rPr>
        <w:t>设有观察故障的显示窗口；</w:t>
      </w:r>
    </w:p>
    <w:p w14:paraId="1D83BED8">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⑤</w:t>
      </w:r>
      <w:r>
        <w:rPr>
          <w:rFonts w:hint="eastAsia" w:ascii="宋体" w:hAnsi="宋体" w:eastAsia="宋体" w:cs="宋体"/>
          <w:color w:val="auto"/>
          <w:sz w:val="24"/>
          <w:szCs w:val="24"/>
          <w:lang w:eastAsia="zh-CN"/>
        </w:rPr>
        <w:t>按钮、开关及仪表灯的功能标志齐全。</w:t>
      </w:r>
    </w:p>
    <w:p w14:paraId="4F652EED">
      <w:pPr>
        <w:pStyle w:val="95"/>
        <w:pageBreakBefore w:val="0"/>
        <w:kinsoku/>
        <w:wordWrap/>
        <w:overflowPunct/>
        <w:topLinePunct w:val="0"/>
        <w:bidi w:val="0"/>
        <w:adjustRightInd w:val="0"/>
        <w:snapToGrid w:val="0"/>
        <w:spacing w:beforeAutospacing="0" w:afterAutospacing="0" w:line="360" w:lineRule="auto"/>
        <w:ind w:right="120" w:rightChars="50"/>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7"/>
          <w:sz w:val="24"/>
          <w:szCs w:val="24"/>
          <w:lang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pacing w:val="-1"/>
          <w:sz w:val="24"/>
          <w:szCs w:val="24"/>
          <w:lang w:eastAsia="zh-CN"/>
        </w:rPr>
        <w:t>一拖一全变频控制功能：设备配套水泵应采用一对一变频，即每台水泵配置一个水泵专用变频控制器，平时自动交替运行。任一变频控制器出现故障时，自动切换为备用泵和备用变频控制器替代故障变频控制器，控制整套系统设备自动运行的功能。（提供具备CMA资质的第三方机构出具的检验报告证明资料）</w:t>
      </w:r>
    </w:p>
    <w:p w14:paraId="593D7A9A">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p>
    <w:p w14:paraId="73692024">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2.智能无负压供水设备（包括但不限于以下功能）：</w:t>
      </w:r>
    </w:p>
    <w:p w14:paraId="6C0B1856">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（1）无负压功能：设备应具有对市政给水管网或其他有压管网不产生负压的功能。</w:t>
      </w:r>
    </w:p>
    <w:p w14:paraId="3DF58D7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（2）压力控制误差：设备恒压供水时，压力控制误差不应超出土0.01MPa。</w:t>
      </w:r>
    </w:p>
    <w:p w14:paraId="4E7587B3">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（3）水压自检和自平衡供水功能：设备应具备智能自动检测管网压力的功能，并能自动调整供水量，使设备一直处于最佳动态平衡的供水状态。</w:t>
      </w:r>
    </w:p>
    <w:p w14:paraId="594F9208">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（4）自动能量优化功能：设备能够自动根据用水流量、压力的变化自动优化运行工艺，实现节能的功能，以达到能量和能耗优化的目的。</w:t>
      </w:r>
    </w:p>
    <w:p w14:paraId="1FB659A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（5）设备应具备自动保护功能：设备运行过程出现电源过压、欠压、过流、过载、缺相、断路、过热等故障时应自动停止运行并报警，对可恢复的故障应自动或手动消除，恢复正常运行。</w:t>
      </w:r>
    </w:p>
    <w:p w14:paraId="79796760">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p>
    <w:p w14:paraId="434B4D1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（三）供水设备关键部件要求：</w:t>
      </w:r>
    </w:p>
    <w:p w14:paraId="1C0EBFCA">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1.冷水水泵</w:t>
      </w:r>
    </w:p>
    <w:p w14:paraId="7F1A641D">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pacing w:val="11"/>
          <w:sz w:val="24"/>
          <w:szCs w:val="24"/>
          <w:lang w:eastAsia="zh-CN"/>
        </w:rPr>
      </w:pPr>
      <w:r>
        <w:rPr>
          <w:rFonts w:hint="eastAsia" w:ascii="宋体" w:hAnsi="宋体" w:eastAsia="宋体" w:cs="宋体"/>
          <w:spacing w:val="-1"/>
          <w:sz w:val="24"/>
          <w:szCs w:val="24"/>
          <w:lang w:eastAsia="zh-CN"/>
        </w:rPr>
        <w:t>（1）★</w:t>
      </w:r>
      <w:r>
        <w:rPr>
          <w:rFonts w:hint="eastAsia" w:ascii="宋体" w:hAnsi="宋体" w:eastAsia="宋体" w:cs="宋体"/>
          <w:sz w:val="24"/>
          <w:szCs w:val="24"/>
          <w:lang w:eastAsia="zh-CN"/>
        </w:rPr>
        <w:t>设备采用立式多级离心泵内置压力检测装置，水泵配套智能电机，智能电机须将变频驱动模块与智能控制单元内置封装于电机本体内部，禁止采用外挂独立变频器的分体式方案。</w:t>
      </w:r>
    </w:p>
    <w:p w14:paraId="5292B81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pacing w:val="4"/>
          <w:sz w:val="24"/>
          <w:szCs w:val="24"/>
          <w:lang w:eastAsia="zh-CN"/>
        </w:rPr>
      </w:pPr>
      <w:r>
        <w:rPr>
          <w:rFonts w:hint="eastAsia" w:ascii="宋体" w:hAnsi="宋体" w:eastAsia="宋体" w:cs="宋体"/>
          <w:spacing w:val="11"/>
          <w:sz w:val="24"/>
          <w:szCs w:val="24"/>
          <w:lang w:eastAsia="zh-CN"/>
        </w:rPr>
        <w:t>（2）</w:t>
      </w:r>
      <w:r>
        <w:rPr>
          <w:rFonts w:hint="eastAsia" w:ascii="宋体" w:hAnsi="宋体" w:eastAsia="宋体" w:cs="宋体"/>
          <w:sz w:val="24"/>
          <w:szCs w:val="24"/>
          <w:lang w:eastAsia="zh-CN"/>
        </w:rPr>
        <w:t>水泵应自身集成显示面板，应有设定压力、进水压力、出水压力、水泵频率显示，可对故障记录、水泵累计运行时间等参数进行查询；水泵自身应具有故障记录功能，自动记录故障</w:t>
      </w:r>
      <w:r>
        <w:rPr>
          <w:rFonts w:hint="eastAsia" w:ascii="宋体" w:hAnsi="宋体" w:eastAsia="宋体" w:cs="宋体"/>
          <w:spacing w:val="4"/>
          <w:sz w:val="24"/>
          <w:szCs w:val="24"/>
          <w:lang w:eastAsia="zh-CN"/>
        </w:rPr>
        <w:t>发生的时间/恢复时间、故障类别。</w:t>
      </w:r>
    </w:p>
    <w:p w14:paraId="064E9D1F">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（3）</w:t>
      </w:r>
      <w:r>
        <w:rPr>
          <w:rFonts w:hint="eastAsia" w:ascii="宋体" w:hAnsi="宋体" w:eastAsia="宋体" w:cs="宋体"/>
          <w:color w:val="auto"/>
          <w:sz w:val="24"/>
          <w:szCs w:val="24"/>
          <w:lang w:eastAsia="zh-CN"/>
        </w:rPr>
        <w:t>▲叶轮：SUS304不锈钢材质，水泵叶轮采用激光全焊接（满焊），不得采用点焊。（标书内附叶轮的实拍图片，并提供水泵生产厂家出具的承诺书及激光焊接设备采购合同）</w:t>
      </w:r>
    </w:p>
    <w:p w14:paraId="5D9DB97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（4）泵体上在泵的重心或对称位置处应设置不锈钢吊环、螺钉或吊耳等，以便泵的装卸。</w:t>
      </w:r>
    </w:p>
    <w:p w14:paraId="0CBBC335">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pacing w:val="-12"/>
          <w:sz w:val="24"/>
          <w:szCs w:val="24"/>
          <w:lang w:eastAsia="zh-CN"/>
        </w:rPr>
        <w:t>泵头：泵头等铸件表面做电覆处</w:t>
      </w:r>
      <w:r>
        <w:rPr>
          <w:rFonts w:hint="eastAsia" w:ascii="宋体" w:hAnsi="宋体" w:eastAsia="宋体" w:cs="宋体"/>
          <w:color w:val="auto"/>
          <w:spacing w:val="-2"/>
          <w:sz w:val="24"/>
          <w:szCs w:val="24"/>
          <w:lang w:eastAsia="zh-CN"/>
        </w:rPr>
        <w:t>理后再进行电泳工艺处理，</w:t>
      </w:r>
      <w:r>
        <w:rPr>
          <w:rFonts w:hint="eastAsia" w:ascii="宋体" w:hAnsi="宋体" w:eastAsia="宋体" w:cs="宋体"/>
          <w:color w:val="auto"/>
          <w:spacing w:val="7"/>
          <w:sz w:val="24"/>
          <w:szCs w:val="24"/>
          <w:lang w:eastAsia="zh-CN"/>
        </w:rPr>
        <w:t>泵头等铸件经铜加速乙酸盐雾试验（100h）检测结果应为10级。</w:t>
      </w:r>
      <w:r>
        <w:rPr>
          <w:rFonts w:hint="eastAsia" w:ascii="宋体" w:hAnsi="宋体" w:eastAsia="宋体" w:cs="宋体"/>
          <w:color w:val="auto"/>
          <w:sz w:val="24"/>
          <w:szCs w:val="24"/>
          <w:lang w:eastAsia="zh-CN"/>
        </w:rPr>
        <w:t>（提供第三方检验机构出具的检验报告证明资料）</w:t>
      </w:r>
    </w:p>
    <w:p w14:paraId="47B47237">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pacing w:val="-4"/>
          <w:sz w:val="24"/>
          <w:szCs w:val="24"/>
          <w:lang w:eastAsia="zh-CN"/>
        </w:rPr>
        <w:t>水泵的振动与噪音应符合 GB/T29529-2013《泵的噪声测量和评价方法》和 GB/T 29531-2013《泵的振动测量和评价方法》中的 A 级要求。</w:t>
      </w:r>
      <w:r>
        <w:rPr>
          <w:rFonts w:hint="eastAsia" w:ascii="宋体" w:hAnsi="宋体" w:eastAsia="宋体" w:cs="宋体"/>
          <w:color w:val="auto"/>
          <w:sz w:val="24"/>
          <w:szCs w:val="24"/>
          <w:lang w:eastAsia="zh-CN"/>
        </w:rPr>
        <w:t>（提供具备CMA资质的第三方机构出具的检验报告证明资料）</w:t>
      </w:r>
    </w:p>
    <w:p w14:paraId="5FA751F4">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（7）</w:t>
      </w:r>
      <w:r>
        <w:rPr>
          <w:rFonts w:hint="eastAsia" w:ascii="宋体" w:hAnsi="宋体" w:eastAsia="宋体" w:cs="宋体"/>
          <w:color w:val="auto"/>
          <w:spacing w:val="-4"/>
          <w:sz w:val="24"/>
          <w:szCs w:val="24"/>
          <w:lang w:eastAsia="zh-CN"/>
        </w:rPr>
        <w:t>泵头、泵座：泵头、泵座等铸造件外表面必须经过电覆等预处理工艺，确保20年不生锈，提供水泵生产厂家20年不生锈的承诺书。</w:t>
      </w:r>
    </w:p>
    <w:p w14:paraId="010E852A">
      <w:pPr>
        <w:pStyle w:val="95"/>
        <w:pageBreakBefore w:val="0"/>
        <w:kinsoku/>
        <w:wordWrap/>
        <w:overflowPunct/>
        <w:topLinePunct w:val="0"/>
        <w:bidi w:val="0"/>
        <w:adjustRightInd w:val="0"/>
        <w:snapToGrid w:val="0"/>
        <w:spacing w:beforeAutospacing="0" w:afterAutospacing="0" w:line="360" w:lineRule="auto"/>
        <w:ind w:right="120" w:rightChars="50"/>
        <w:textAlignment w:val="auto"/>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（8）</w:t>
      </w:r>
      <w:r>
        <w:rPr>
          <w:rFonts w:hint="eastAsia" w:ascii="宋体" w:hAnsi="宋体" w:eastAsia="宋体" w:cs="宋体"/>
          <w:color w:val="auto"/>
          <w:sz w:val="24"/>
          <w:szCs w:val="24"/>
          <w:lang w:eastAsia="zh-CN"/>
        </w:rPr>
        <w:t>▲水泵在整个工作范围内，不应有异常振动和汽蚀发生，泵 Q/H 性能曲线应从关阀时最大扬程开始连续下降。水泵应能在2分钟内允许逆向水流引起的反向旋转，反向最高转速为正常转速的130%。（提供具备CMA资质的第三方机构出具的检验报告证明资料）</w:t>
      </w:r>
    </w:p>
    <w:p w14:paraId="035D3BA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2.电机</w:t>
      </w:r>
    </w:p>
    <w:p w14:paraId="4097688D">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（1）在容许工作范围内运转时，电机轴承采用 FAG、NSK、SKF 或同等品质原装进口免注油滚动轴承，轴承精度不低于5级标准，轴承基本额定寿命大于50000小时； 机械密封在正常的使用工况下，使用寿命不得低于35000小时。</w:t>
      </w:r>
    </w:p>
    <w:p w14:paraId="0185933C">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电机与动力线连接的连接片采用H65黄铜材质，并应采取电镀抗氧化性能优于黄铜的金属防护层以防护铜件在空气中氧化生锈，降低整个电机系统因接触问题而宕机的风险（提供实物照片及具备CMA资质的第三方机构出具的检验报告证明资料）。</w:t>
      </w:r>
    </w:p>
    <w:p w14:paraId="558F7DBA">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（3）▲配套智能变速电机，智能变速电机需具有显示屏，实时数据显示功能，包括：电压、电流、频率、 电机转速、模块温度等数据显示，设有通讯接口， 便于数据读取、写入等。智能变速电机的输出频率分辨率不大于0.1Hz。（标书内附电机数据显示屏的实拍图片（数据显示包括但不限于电压、电流、频率、 电机转速、模块温度等），并提供具备CMA资质的第三方机构出具的检验报告证明资料）</w:t>
      </w:r>
    </w:p>
    <w:p w14:paraId="7D6FE36E">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（4）▲配套智能变速电机具有故障报警功能，具有过流保护，过压保护、过载保护、堵转保护、失压保护、过热保护功能以及报警输出功能，当有故障报警时，变频电机控制部分应有报警显示， 报警输出功能，变频电机能停止工作。（提供具备CMA资质的第三方机构出具的检验报告证明资料）</w:t>
      </w:r>
    </w:p>
    <w:p w14:paraId="3D2D15C3">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电机定子和转子采用50WW270级别优质冷轧无取向硅钢片一次性叠压而成，保证叠压系数的技术要求，确保端部无翘齿、整齐度高。转子表面进行喷漆处理，硅钢片间绝缘等级不低于H级，转子动平衡精度不低于GB9239中的G1.0级。</w:t>
      </w:r>
    </w:p>
    <w:p w14:paraId="5EF9FAEB">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（6）▲电机的绝缘胶带、绝缘套管、漆包线等主要绝缘材料绝缘等级采用H级（提供具备CMA资质的第三方机构出具的检验报告证明资料）。</w:t>
      </w:r>
    </w:p>
    <w:p w14:paraId="6B55F038">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（7）▲配套电机自身能够实现智能控制，具有不少于4路开关量输入，4路模拟量输入，2路开关量输出，2路模拟量输出。 根据接入的开关量输入信号及模拟量输入信号，根据负载的变化实时反馈，自动调节电机转速。（提供具备CMA资质的第三方机构出具的检验报告证明资料）</w:t>
      </w:r>
    </w:p>
    <w:p w14:paraId="4652B69F">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（8）▲电机获得中国质量认证中心颁发的低碳产品认证证书（标书中</w:t>
      </w:r>
      <w:r>
        <w:rPr>
          <w:rFonts w:hint="eastAsia" w:ascii="宋体" w:hAnsi="宋体" w:eastAsia="宋体" w:cs="宋体"/>
          <w:sz w:val="24"/>
          <w:szCs w:val="24"/>
          <w:lang w:eastAsia="zh-CN"/>
        </w:rPr>
        <w:t>提供证书复印件）</w:t>
      </w:r>
    </w:p>
    <w:p w14:paraId="4737DFE0">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3.管路、阀门及仪表的相关要求：</w:t>
      </w:r>
    </w:p>
    <w:p w14:paraId="046D74D7">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（1）设备及其管道的布置应做到结构合理、检修方便、</w:t>
      </w:r>
      <w:r>
        <w:rPr>
          <w:rFonts w:hint="eastAsia" w:ascii="宋体" w:hAnsi="宋体" w:eastAsia="宋体" w:cs="宋体"/>
          <w:sz w:val="24"/>
          <w:szCs w:val="24"/>
          <w:lang w:eastAsia="zh-CN"/>
        </w:rPr>
        <w:t>便于操作和观测，对≥DN50的管道壁厚不应&lt;3mm，且</w:t>
      </w:r>
      <w:r>
        <w:rPr>
          <w:rFonts w:hint="eastAsia" w:ascii="宋体" w:hAnsi="宋体" w:eastAsia="宋体" w:cs="宋体"/>
          <w:spacing w:val="-9"/>
          <w:sz w:val="24"/>
          <w:szCs w:val="24"/>
          <w:lang w:eastAsia="zh-CN"/>
        </w:rPr>
        <w:t>采用SUS304不锈钢材质，焊缝表面应均匀、牢固，不允许有气孔、夹渣、裂纹、成型不良等缺陷。</w:t>
      </w:r>
    </w:p>
    <w:p w14:paraId="0DF1702C">
      <w:pPr>
        <w:pageBreakBefore w:val="0"/>
        <w:kinsoku/>
        <w:wordWrap/>
        <w:overflowPunct/>
        <w:topLinePunct w:val="0"/>
        <w:bidi w:val="0"/>
        <w:spacing w:beforeAutospacing="0" w:afterAutospacing="0" w:line="360" w:lineRule="auto"/>
        <w:textAlignment w:val="auto"/>
        <w:rPr>
          <w:rFonts w:hint="eastAsia" w:ascii="宋体" w:hAnsi="宋体" w:eastAsia="宋体" w:cs="宋体"/>
          <w:spacing w:val="-7"/>
          <w:sz w:val="24"/>
          <w:szCs w:val="24"/>
        </w:rPr>
      </w:pPr>
      <w:r>
        <w:rPr>
          <w:rFonts w:hint="eastAsia" w:ascii="宋体" w:hAnsi="宋体" w:eastAsia="宋体" w:cs="宋体"/>
          <w:spacing w:val="-7"/>
          <w:sz w:val="24"/>
          <w:szCs w:val="24"/>
        </w:rPr>
        <w:t>（2）</w:t>
      </w:r>
      <w:r>
        <w:rPr>
          <w:rFonts w:hint="eastAsia" w:ascii="宋体" w:hAnsi="宋体" w:eastAsia="宋体" w:cs="宋体"/>
          <w:sz w:val="24"/>
          <w:szCs w:val="24"/>
        </w:rPr>
        <w:t>▲</w:t>
      </w:r>
      <w:r>
        <w:rPr>
          <w:rFonts w:hint="eastAsia" w:ascii="宋体" w:hAnsi="宋体" w:eastAsia="宋体" w:cs="宋体"/>
          <w:spacing w:val="-7"/>
          <w:sz w:val="24"/>
          <w:szCs w:val="24"/>
        </w:rPr>
        <w:t>不锈钢板：采用SUS316食品级不锈钢或SUS304不锈钢内衬食品级防腐材料，执行标准GB/T3280。（提供具备CMA资质的第三方机构出具的检验报告证明资料）</w:t>
      </w:r>
    </w:p>
    <w:p w14:paraId="1424D6DF">
      <w:pPr>
        <w:pageBreakBefore w:val="0"/>
        <w:kinsoku/>
        <w:wordWrap/>
        <w:overflowPunct/>
        <w:topLinePunct w:val="0"/>
        <w:bidi w:val="0"/>
        <w:spacing w:beforeAutospacing="0" w:afterAutospacing="0" w:line="360" w:lineRule="auto"/>
        <w:textAlignment w:val="auto"/>
        <w:rPr>
          <w:rFonts w:hint="eastAsia" w:ascii="宋体" w:hAnsi="宋体" w:eastAsia="宋体" w:cs="宋体"/>
          <w:spacing w:val="-7"/>
          <w:sz w:val="24"/>
          <w:szCs w:val="24"/>
        </w:rPr>
      </w:pPr>
      <w:r>
        <w:rPr>
          <w:rFonts w:hint="eastAsia" w:ascii="宋体" w:hAnsi="宋体" w:eastAsia="宋体" w:cs="宋体"/>
          <w:spacing w:val="-7"/>
          <w:sz w:val="24"/>
          <w:szCs w:val="24"/>
        </w:rPr>
        <w:t>（3）</w:t>
      </w:r>
      <w:r>
        <w:rPr>
          <w:rFonts w:hint="eastAsia" w:ascii="宋体" w:hAnsi="宋体" w:eastAsia="宋体" w:cs="宋体"/>
          <w:sz w:val="24"/>
          <w:szCs w:val="24"/>
        </w:rPr>
        <w:t>▲</w:t>
      </w:r>
      <w:r>
        <w:rPr>
          <w:rFonts w:hint="eastAsia" w:ascii="宋体" w:hAnsi="宋体" w:eastAsia="宋体" w:cs="宋体"/>
          <w:spacing w:val="-7"/>
          <w:sz w:val="24"/>
          <w:szCs w:val="24"/>
        </w:rPr>
        <w:t>不锈钢法兰：尺寸性能执行标准GB/T9119，采用SUS304不锈钢材质。（提供具备CMA资质的第三方机构出具的检验报告证明资料）</w:t>
      </w:r>
      <w:r>
        <w:rPr>
          <w:rFonts w:hint="eastAsia" w:ascii="宋体" w:hAnsi="宋体" w:eastAsia="宋体" w:cs="宋体"/>
          <w:spacing w:val="-7"/>
          <w:sz w:val="24"/>
          <w:szCs w:val="24"/>
        </w:rPr>
        <w:br w:type="textWrapping"/>
      </w:r>
      <w:r>
        <w:rPr>
          <w:rFonts w:hint="eastAsia" w:ascii="宋体" w:hAnsi="宋体" w:eastAsia="宋体" w:cs="宋体"/>
          <w:spacing w:val="-7"/>
          <w:sz w:val="24"/>
          <w:szCs w:val="24"/>
        </w:rPr>
        <w:t>（4）</w:t>
      </w:r>
      <w:r>
        <w:rPr>
          <w:rFonts w:hint="eastAsia" w:ascii="宋体" w:hAnsi="宋体" w:eastAsia="宋体" w:cs="宋体"/>
          <w:sz w:val="24"/>
          <w:szCs w:val="24"/>
        </w:rPr>
        <w:t>▲</w:t>
      </w:r>
      <w:r>
        <w:rPr>
          <w:rFonts w:hint="eastAsia" w:ascii="宋体" w:hAnsi="宋体" w:eastAsia="宋体" w:cs="宋体"/>
          <w:spacing w:val="-7"/>
          <w:sz w:val="24"/>
          <w:szCs w:val="24"/>
        </w:rPr>
        <w:t>弯头及变径：采用SUS316食品级不锈钢或SUS304不锈钢内衬食品级防腐材料。执行标准GB/T12459钢制</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"http://baike.baidu.com/subview/514730/514730.htm" \t "_blank" </w:instrText>
      </w:r>
      <w:r>
        <w:rPr>
          <w:rFonts w:hint="eastAsia" w:ascii="宋体" w:hAnsi="宋体" w:eastAsia="宋体" w:cs="宋体"/>
          <w:sz w:val="24"/>
          <w:szCs w:val="24"/>
        </w:rPr>
        <w:fldChar w:fldCharType="separate"/>
      </w:r>
      <w:r>
        <w:rPr>
          <w:rFonts w:hint="eastAsia" w:ascii="宋体" w:hAnsi="宋体" w:eastAsia="宋体" w:cs="宋体"/>
          <w:spacing w:val="-7"/>
          <w:sz w:val="24"/>
          <w:szCs w:val="24"/>
        </w:rPr>
        <w:t>对焊</w:t>
      </w:r>
      <w:r>
        <w:rPr>
          <w:rFonts w:hint="eastAsia" w:ascii="宋体" w:hAnsi="宋体" w:eastAsia="宋体" w:cs="宋体"/>
          <w:spacing w:val="-7"/>
          <w:sz w:val="24"/>
          <w:szCs w:val="24"/>
        </w:rPr>
        <w:fldChar w:fldCharType="end"/>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"http://baike.baidu.com/view/18744.htm" \t "_blank" </w:instrText>
      </w:r>
      <w:r>
        <w:rPr>
          <w:rFonts w:hint="eastAsia" w:ascii="宋体" w:hAnsi="宋体" w:eastAsia="宋体" w:cs="宋体"/>
          <w:sz w:val="24"/>
          <w:szCs w:val="24"/>
        </w:rPr>
        <w:fldChar w:fldCharType="separate"/>
      </w:r>
      <w:r>
        <w:rPr>
          <w:rFonts w:hint="eastAsia" w:ascii="宋体" w:hAnsi="宋体" w:eastAsia="宋体" w:cs="宋体"/>
          <w:spacing w:val="-7"/>
          <w:sz w:val="24"/>
          <w:szCs w:val="24"/>
        </w:rPr>
        <w:t>管件</w:t>
      </w:r>
      <w:r>
        <w:rPr>
          <w:rFonts w:hint="eastAsia" w:ascii="宋体" w:hAnsi="宋体" w:eastAsia="宋体" w:cs="宋体"/>
          <w:spacing w:val="-7"/>
          <w:sz w:val="24"/>
          <w:szCs w:val="24"/>
        </w:rPr>
        <w:fldChar w:fldCharType="end"/>
      </w:r>
      <w:r>
        <w:rPr>
          <w:rFonts w:hint="eastAsia" w:ascii="宋体" w:hAnsi="宋体" w:eastAsia="宋体" w:cs="宋体"/>
          <w:spacing w:val="-7"/>
          <w:sz w:val="24"/>
          <w:szCs w:val="24"/>
        </w:rPr>
        <w:t>。（提供具备CMA资质的第三方机构出具的检验报告证明资料）</w:t>
      </w:r>
      <w:r>
        <w:rPr>
          <w:rFonts w:hint="eastAsia" w:ascii="宋体" w:hAnsi="宋体" w:eastAsia="宋体" w:cs="宋体"/>
          <w:spacing w:val="-7"/>
          <w:sz w:val="24"/>
          <w:szCs w:val="24"/>
        </w:rPr>
        <w:br w:type="textWrapping"/>
      </w:r>
      <w:r>
        <w:rPr>
          <w:rFonts w:hint="eastAsia" w:ascii="宋体" w:hAnsi="宋体" w:eastAsia="宋体" w:cs="宋体"/>
          <w:spacing w:val="-7"/>
          <w:sz w:val="24"/>
          <w:szCs w:val="24"/>
        </w:rPr>
        <w:t xml:space="preserve"> （5）</w:t>
      </w:r>
      <w:r>
        <w:rPr>
          <w:rFonts w:hint="eastAsia" w:ascii="宋体" w:hAnsi="宋体" w:eastAsia="宋体" w:cs="宋体"/>
          <w:sz w:val="24"/>
          <w:szCs w:val="24"/>
        </w:rPr>
        <w:t>▲</w:t>
      </w:r>
      <w:r>
        <w:rPr>
          <w:rFonts w:hint="eastAsia" w:ascii="宋体" w:hAnsi="宋体" w:eastAsia="宋体" w:cs="宋体"/>
          <w:spacing w:val="-7"/>
          <w:sz w:val="24"/>
          <w:szCs w:val="24"/>
        </w:rPr>
        <w:t>不锈钢管道：采用SUS316食品级不锈钢或SUS304不锈钢内衬食品级防腐材料。执行标准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"http://www.baidu.com/link?url=IDUhl-ODgtGUjZfHIdt86S2XG0HJZZuLupMmn68gNdRTGhYTfFpTUdhj3IrdRXDRtltqkaBPUYTWJDf7G6cvnK" \t "_blank" </w:instrText>
      </w:r>
      <w:r>
        <w:rPr>
          <w:rFonts w:hint="eastAsia" w:ascii="宋体" w:hAnsi="宋体" w:eastAsia="宋体" w:cs="宋体"/>
          <w:sz w:val="24"/>
          <w:szCs w:val="24"/>
        </w:rPr>
        <w:fldChar w:fldCharType="separate"/>
      </w:r>
      <w:r>
        <w:rPr>
          <w:rFonts w:hint="eastAsia" w:ascii="宋体" w:hAnsi="宋体" w:eastAsia="宋体" w:cs="宋体"/>
          <w:spacing w:val="-7"/>
          <w:sz w:val="24"/>
          <w:szCs w:val="24"/>
        </w:rPr>
        <w:t>GB/T29038</w:t>
      </w:r>
      <w:r>
        <w:rPr>
          <w:rFonts w:hint="eastAsia" w:ascii="宋体" w:hAnsi="宋体" w:eastAsia="宋体" w:cs="宋体"/>
          <w:spacing w:val="-7"/>
          <w:sz w:val="24"/>
          <w:szCs w:val="24"/>
        </w:rPr>
        <w:fldChar w:fldCharType="end"/>
      </w:r>
      <w:r>
        <w:rPr>
          <w:rFonts w:hint="eastAsia" w:ascii="宋体" w:hAnsi="宋体" w:eastAsia="宋体" w:cs="宋体"/>
          <w:spacing w:val="-7"/>
          <w:sz w:val="24"/>
          <w:szCs w:val="24"/>
        </w:rPr>
        <w:t>。（提供具备CMA资质的第三方机构出具的检验报告证明资料）</w:t>
      </w:r>
    </w:p>
    <w:p w14:paraId="54D0E77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DBE6E32">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p>
    <w:p w14:paraId="7D82389F">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注：</w:t>
      </w:r>
    </w:p>
    <w:p w14:paraId="207C6FD3">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★（星号）为实质性条款，如不满足或有负偏离，则直接按照废标处理。</w:t>
      </w:r>
    </w:p>
    <w:p w14:paraId="0B377353">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▲条款为重要条例，满足该条款按照技术评分标准规定进行加分。</w:t>
      </w:r>
    </w:p>
    <w:p w14:paraId="5F6304C0">
      <w:pPr>
        <w:pStyle w:val="95"/>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其他条款为一般性条例，不满足无法获得技术加分。</w:t>
      </w:r>
    </w:p>
    <w:p w14:paraId="700ACE4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FC1E0EB">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p>
    <w:p w14:paraId="50D9811C">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p>
    <w:p w14:paraId="21C13BF8">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p>
    <w:p w14:paraId="33D0524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b/>
          <w:bCs/>
          <w:kern w:val="2"/>
          <w:sz w:val="24"/>
          <w:szCs w:val="24"/>
        </w:rPr>
        <w:t>商务参数：</w:t>
      </w:r>
      <w:r>
        <w:rPr>
          <w:rFonts w:hint="eastAsia" w:ascii="宋体" w:hAnsi="宋体" w:eastAsia="宋体" w:cs="宋体"/>
          <w:b/>
          <w:bCs/>
          <w:kern w:val="2"/>
          <w:sz w:val="24"/>
          <w:szCs w:val="24"/>
        </w:rPr>
        <w:br w:type="textWrapping"/>
      </w:r>
      <w:r>
        <w:rPr>
          <w:rFonts w:hint="eastAsia" w:ascii="宋体" w:hAnsi="宋体" w:eastAsia="宋体" w:cs="宋体"/>
          <w:sz w:val="24"/>
          <w:szCs w:val="24"/>
        </w:rPr>
        <w:t>1.质保期：整机质保至少 1 年，水泵质保不低于5年。质保期内，因产品制造质量不良而产生损坏或不能正常工作，乙方应免费维修，若维修后仍有故障，需无条件更换新机。（需提供由投标人和制造商盖章的承诺函）</w:t>
      </w:r>
    </w:p>
    <w:p w14:paraId="6A5B27E3">
      <w:pPr>
        <w:pStyle w:val="26"/>
        <w:pageBreakBefore w:val="0"/>
        <w:kinsoku/>
        <w:wordWrap/>
        <w:overflowPunct/>
        <w:topLinePunct w:val="0"/>
        <w:bidi w:val="0"/>
        <w:spacing w:before="0" w:beforeAutospacing="0" w:after="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2.售后服务：提供本地化售后服务，维修人员必须在接到维修电话后2 小时内赶到现场，并提供不间断的服务直到结束，常见故障需在12 小时内解决。</w:t>
      </w:r>
    </w:p>
    <w:p w14:paraId="0E35C910">
      <w:pPr>
        <w:pStyle w:val="26"/>
        <w:pageBreakBefore w:val="0"/>
        <w:kinsoku/>
        <w:wordWrap/>
        <w:overflowPunct/>
        <w:topLinePunct w:val="0"/>
        <w:bidi w:val="0"/>
        <w:spacing w:before="0" w:beforeAutospacing="0" w:after="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3.针对项目有符合医院实际的应急管理方案，确保医院各项工作能够正常开展。</w:t>
      </w:r>
    </w:p>
    <w:p w14:paraId="17F7D4B5">
      <w:pPr>
        <w:pStyle w:val="26"/>
        <w:pageBreakBefore w:val="0"/>
        <w:kinsoku/>
        <w:wordWrap/>
        <w:overflowPunct/>
        <w:topLinePunct w:val="0"/>
        <w:bidi w:val="0"/>
        <w:spacing w:before="0" w:beforeAutospacing="0" w:after="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4.安装及培训：供方负责成套供水设备的安装，并应对需方工作人员提供操作及维修培训，直至培训合格，并出具纸质版培训记录。</w:t>
      </w:r>
    </w:p>
    <w:p w14:paraId="418F4AF0">
      <w:pPr>
        <w:pStyle w:val="26"/>
        <w:pageBreakBefore w:val="0"/>
        <w:kinsoku/>
        <w:wordWrap/>
        <w:overflowPunct/>
        <w:topLinePunct w:val="0"/>
        <w:bidi w:val="0"/>
        <w:spacing w:before="0" w:beforeAutospacing="0" w:after="0" w:afterAutospacing="0"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5.每年至少按季度进行巡检，并出具纸质版巡检报告。</w:t>
      </w:r>
    </w:p>
    <w:p w14:paraId="06F1ECB4">
      <w:pPr>
        <w:pStyle w:val="26"/>
        <w:pageBreakBefore w:val="0"/>
        <w:kinsoku/>
        <w:wordWrap/>
        <w:overflowPunct/>
        <w:topLinePunct w:val="0"/>
        <w:bidi w:val="0"/>
        <w:spacing w:before="0" w:beforeAutospacing="0" w:after="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6.到货周期：签订合同并收到预付款后30个工作日内到货。</w:t>
      </w:r>
    </w:p>
    <w:p w14:paraId="4549BB3B">
      <w:pPr>
        <w:pStyle w:val="26"/>
        <w:pageBreakBefore w:val="0"/>
        <w:kinsoku/>
        <w:wordWrap/>
        <w:overflowPunct/>
        <w:topLinePunct w:val="0"/>
        <w:bidi w:val="0"/>
        <w:spacing w:before="0" w:beforeAutospacing="0" w:after="0" w:afterAutospacing="0" w:line="360" w:lineRule="auto"/>
        <w:jc w:val="both"/>
        <w:textAlignment w:val="auto"/>
        <w:rPr>
          <w:rFonts w:hint="eastAsia" w:ascii="宋体" w:hAnsi="宋体" w:eastAsia="宋体" w:cs="宋体"/>
          <w:sz w:val="24"/>
          <w:szCs w:val="24"/>
        </w:rPr>
      </w:pPr>
    </w:p>
    <w:p w14:paraId="42F1D467">
      <w:pPr>
        <w:pStyle w:val="26"/>
        <w:pageBreakBefore w:val="0"/>
        <w:kinsoku/>
        <w:wordWrap/>
        <w:overflowPunct/>
        <w:topLinePunct w:val="0"/>
        <w:bidi w:val="0"/>
        <w:spacing w:before="0" w:beforeAutospacing="0" w:after="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投标人须对投标文件中提供的材料的真实性、有效性负责，采购人有权组织对预中标人的供货能力、材料真实性等进行实地考察，如发现与投标文件中提供的材料不符，视为提供虚假材料，采购人有权取消其中标资格，列入政府采购黑名单并依法追究其相关责任。</w:t>
      </w:r>
    </w:p>
    <w:p w14:paraId="6F96848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17FA7E6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bookmarkStart w:id="87" w:name="_Toc14262"/>
    </w:p>
    <w:p w14:paraId="2C1A6245">
      <w:pPr>
        <w:pStyle w:val="3"/>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32"/>
          <w:szCs w:val="32"/>
          <w:highlight w:val="none"/>
          <w:lang w:val="zh-CN"/>
        </w:rPr>
      </w:pPr>
      <w:r>
        <w:rPr>
          <w:rFonts w:hint="eastAsia" w:ascii="宋体" w:hAnsi="宋体" w:eastAsia="宋体" w:cs="宋体"/>
          <w:kern w:val="1"/>
          <w:sz w:val="32"/>
          <w:szCs w:val="32"/>
          <w:highlight w:val="none"/>
          <w:lang w:val="zh-CN"/>
        </w:rPr>
        <w:t xml:space="preserve">第四章 </w:t>
      </w:r>
      <w:bookmarkEnd w:id="84"/>
      <w:bookmarkEnd w:id="85"/>
      <w:bookmarkEnd w:id="86"/>
      <w:r>
        <w:rPr>
          <w:rFonts w:hint="eastAsia" w:ascii="宋体" w:hAnsi="宋体" w:eastAsia="宋体" w:cs="宋体"/>
          <w:kern w:val="1"/>
          <w:sz w:val="32"/>
          <w:szCs w:val="32"/>
          <w:highlight w:val="none"/>
          <w:lang w:val="zh-CN"/>
        </w:rPr>
        <w:t xml:space="preserve"> 评标标准和方法</w:t>
      </w:r>
      <w:bookmarkEnd w:id="87"/>
    </w:p>
    <w:p w14:paraId="4E87802A">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kern w:val="1"/>
          <w:sz w:val="28"/>
          <w:szCs w:val="28"/>
          <w:lang w:val="zh-CN"/>
        </w:rPr>
      </w:pPr>
      <w:r>
        <w:rPr>
          <w:rFonts w:hint="eastAsia" w:ascii="宋体" w:hAnsi="宋体" w:eastAsia="宋体" w:cs="宋体"/>
          <w:b/>
          <w:bCs/>
          <w:kern w:val="1"/>
          <w:sz w:val="28"/>
          <w:szCs w:val="28"/>
          <w:lang w:val="zh-CN"/>
        </w:rPr>
        <w:t>（一）资格评审标准</w:t>
      </w:r>
    </w:p>
    <w:p w14:paraId="3DEB37C7">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kern w:val="0"/>
          <w:sz w:val="24"/>
          <w:szCs w:val="24"/>
          <w:lang w:val="zh-CN"/>
        </w:rPr>
      </w:pPr>
      <w:r>
        <w:rPr>
          <w:rFonts w:hint="eastAsia" w:ascii="宋体" w:hAnsi="宋体" w:eastAsia="宋体" w:cs="宋体"/>
          <w:sz w:val="24"/>
          <w:szCs w:val="24"/>
          <w:lang w:val="zh-CN"/>
        </w:rPr>
        <w:t>一、资格审查</w:t>
      </w:r>
      <w:r>
        <w:rPr>
          <w:rFonts w:hint="eastAsia" w:ascii="宋体" w:hAnsi="宋体" w:eastAsia="宋体" w:cs="宋体"/>
          <w:kern w:val="0"/>
          <w:sz w:val="24"/>
          <w:szCs w:val="24"/>
          <w:lang w:val="zh-CN"/>
        </w:rPr>
        <w:t>方法</w:t>
      </w:r>
    </w:p>
    <w:p w14:paraId="7709369C">
      <w:pPr>
        <w:pStyle w:val="14"/>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本项目由采购人或采购代理机构依法对投标人的资格进行审查。资格审查不合格的投标人，投标无效；资格审查合格投标人不足 3 家的，不得评标。</w:t>
      </w:r>
    </w:p>
    <w:p w14:paraId="59A6D5D8">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kern w:val="0"/>
          <w:sz w:val="24"/>
          <w:szCs w:val="24"/>
          <w:lang w:val="zh-CN"/>
        </w:rPr>
      </w:pPr>
    </w:p>
    <w:p w14:paraId="777B342D">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二、资格审查标准</w:t>
      </w:r>
    </w:p>
    <w:p w14:paraId="1AE781DA">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lang w:val="zh-CN"/>
        </w:rPr>
      </w:pPr>
      <w:r>
        <w:rPr>
          <w:rFonts w:hint="eastAsia" w:ascii="宋体" w:hAnsi="宋体" w:eastAsia="宋体" w:cs="宋体"/>
          <w:sz w:val="24"/>
          <w:szCs w:val="24"/>
          <w:lang w:val="zh-CN"/>
        </w:rPr>
        <w:t>说明：供应商为联合体的，联合体各方均应符合下列要求并提供相应证明材料。法律法规另有规定的，从其规定</w:t>
      </w:r>
    </w:p>
    <w:tbl>
      <w:tblPr>
        <w:tblStyle w:val="30"/>
        <w:tblW w:w="9577" w:type="dxa"/>
        <w:tblInd w:w="0" w:type="dxa"/>
        <w:tblLayout w:type="fixed"/>
        <w:tblCellMar>
          <w:top w:w="0" w:type="dxa"/>
          <w:left w:w="108" w:type="dxa"/>
          <w:bottom w:w="0" w:type="dxa"/>
          <w:right w:w="108" w:type="dxa"/>
        </w:tblCellMar>
      </w:tblPr>
      <w:tblGrid>
        <w:gridCol w:w="711"/>
        <w:gridCol w:w="1422"/>
        <w:gridCol w:w="6489"/>
        <w:gridCol w:w="955"/>
      </w:tblGrid>
      <w:tr w14:paraId="03A4B007">
        <w:tblPrEx>
          <w:tblCellMar>
            <w:top w:w="0" w:type="dxa"/>
            <w:left w:w="108" w:type="dxa"/>
            <w:bottom w:w="0" w:type="dxa"/>
            <w:right w:w="108" w:type="dxa"/>
          </w:tblCellMar>
        </w:tblPrEx>
        <w:trPr>
          <w:cantSplit/>
          <w:trHeight w:val="636" w:hRule="atLeast"/>
          <w:tblHeader/>
        </w:trPr>
        <w:tc>
          <w:tcPr>
            <w:tcW w:w="711" w:type="dxa"/>
            <w:tcBorders>
              <w:top w:val="single" w:color="000000" w:sz="4" w:space="0"/>
              <w:left w:val="single" w:color="000000" w:sz="4" w:space="0"/>
              <w:bottom w:val="single" w:color="auto" w:sz="4" w:space="0"/>
              <w:right w:val="single" w:color="000000" w:sz="4" w:space="0"/>
            </w:tcBorders>
            <w:vAlign w:val="center"/>
          </w:tcPr>
          <w:p w14:paraId="2F1C982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序号</w:t>
            </w:r>
          </w:p>
        </w:tc>
        <w:tc>
          <w:tcPr>
            <w:tcW w:w="1422" w:type="dxa"/>
            <w:tcBorders>
              <w:top w:val="single" w:color="000000" w:sz="4" w:space="0"/>
              <w:left w:val="single" w:color="000000" w:sz="4" w:space="0"/>
              <w:bottom w:val="single" w:color="000000" w:sz="4" w:space="0"/>
              <w:right w:val="single" w:color="000000" w:sz="4" w:space="0"/>
            </w:tcBorders>
            <w:vAlign w:val="center"/>
          </w:tcPr>
          <w:p w14:paraId="02F08DF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评审因素</w:t>
            </w:r>
          </w:p>
        </w:tc>
        <w:tc>
          <w:tcPr>
            <w:tcW w:w="6489" w:type="dxa"/>
            <w:tcBorders>
              <w:top w:val="single" w:color="000000" w:sz="4" w:space="0"/>
              <w:left w:val="single" w:color="000000" w:sz="4" w:space="0"/>
              <w:bottom w:val="single" w:color="000000" w:sz="4" w:space="0"/>
              <w:right w:val="single" w:color="000000" w:sz="4" w:space="0"/>
            </w:tcBorders>
            <w:vAlign w:val="center"/>
          </w:tcPr>
          <w:p w14:paraId="5EF0337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评审标准</w:t>
            </w:r>
          </w:p>
        </w:tc>
        <w:tc>
          <w:tcPr>
            <w:tcW w:w="955" w:type="dxa"/>
            <w:tcBorders>
              <w:top w:val="single" w:color="000000" w:sz="4" w:space="0"/>
              <w:left w:val="single" w:color="000000" w:sz="4" w:space="0"/>
              <w:bottom w:val="single" w:color="000000" w:sz="4" w:space="0"/>
              <w:right w:val="single" w:color="000000" w:sz="4" w:space="0"/>
            </w:tcBorders>
            <w:vAlign w:val="center"/>
          </w:tcPr>
          <w:p w14:paraId="6A7B297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投标人</w:t>
            </w:r>
          </w:p>
        </w:tc>
      </w:tr>
      <w:tr w14:paraId="7E411B18">
        <w:tblPrEx>
          <w:tblCellMar>
            <w:top w:w="0" w:type="dxa"/>
            <w:left w:w="108" w:type="dxa"/>
            <w:bottom w:w="0" w:type="dxa"/>
            <w:right w:w="108" w:type="dxa"/>
          </w:tblCellMar>
        </w:tblPrEx>
        <w:trPr>
          <w:cantSplit/>
          <w:trHeight w:val="690" w:hRule="atLeast"/>
        </w:trPr>
        <w:tc>
          <w:tcPr>
            <w:tcW w:w="711" w:type="dxa"/>
            <w:tcBorders>
              <w:top w:val="single" w:color="auto" w:sz="4" w:space="0"/>
              <w:left w:val="single" w:color="auto" w:sz="4" w:space="0"/>
              <w:bottom w:val="single" w:color="auto" w:sz="4" w:space="0"/>
              <w:right w:val="single" w:color="auto" w:sz="4" w:space="0"/>
            </w:tcBorders>
            <w:vAlign w:val="center"/>
          </w:tcPr>
          <w:p w14:paraId="3F51FA1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w:t>
            </w:r>
          </w:p>
        </w:tc>
        <w:tc>
          <w:tcPr>
            <w:tcW w:w="1422" w:type="dxa"/>
            <w:tcBorders>
              <w:top w:val="single" w:color="000000" w:sz="4" w:space="0"/>
              <w:left w:val="single" w:color="auto" w:sz="4" w:space="0"/>
              <w:bottom w:val="single" w:color="000000" w:sz="4" w:space="0"/>
              <w:right w:val="single" w:color="000000" w:sz="4" w:space="0"/>
            </w:tcBorders>
            <w:vAlign w:val="center"/>
          </w:tcPr>
          <w:p w14:paraId="4014E1E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营业执照</w:t>
            </w:r>
          </w:p>
        </w:tc>
        <w:tc>
          <w:tcPr>
            <w:tcW w:w="6489" w:type="dxa"/>
            <w:tcBorders>
              <w:top w:val="single" w:color="000000" w:sz="4" w:space="0"/>
              <w:left w:val="single" w:color="000000" w:sz="4" w:space="0"/>
              <w:bottom w:val="single" w:color="000000" w:sz="4" w:space="0"/>
              <w:right w:val="single" w:color="000000" w:sz="4" w:space="0"/>
            </w:tcBorders>
            <w:vAlign w:val="center"/>
          </w:tcPr>
          <w:p w14:paraId="709878A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投标人须具有独立承担民事责任的能力，具备有效的营业执照；</w:t>
            </w:r>
          </w:p>
          <w:p w14:paraId="7A29B12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投标文件内附营业执照复印件加盖单位公章。</w:t>
            </w:r>
          </w:p>
        </w:tc>
        <w:tc>
          <w:tcPr>
            <w:tcW w:w="955" w:type="dxa"/>
            <w:tcBorders>
              <w:top w:val="single" w:color="000000" w:sz="4" w:space="0"/>
              <w:left w:val="single" w:color="000000" w:sz="4" w:space="0"/>
              <w:bottom w:val="single" w:color="000000" w:sz="4" w:space="0"/>
              <w:right w:val="single" w:color="000000" w:sz="4" w:space="0"/>
            </w:tcBorders>
          </w:tcPr>
          <w:p w14:paraId="3081D12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6824B0AD">
        <w:tblPrEx>
          <w:tblCellMar>
            <w:top w:w="0" w:type="dxa"/>
            <w:left w:w="108" w:type="dxa"/>
            <w:bottom w:w="0" w:type="dxa"/>
            <w:right w:w="108" w:type="dxa"/>
          </w:tblCellMar>
        </w:tblPrEx>
        <w:trPr>
          <w:cantSplit/>
          <w:trHeight w:val="519" w:hRule="atLeast"/>
        </w:trPr>
        <w:tc>
          <w:tcPr>
            <w:tcW w:w="711" w:type="dxa"/>
            <w:tcBorders>
              <w:top w:val="single" w:color="auto" w:sz="4" w:space="0"/>
              <w:left w:val="single" w:color="auto" w:sz="4" w:space="0"/>
              <w:bottom w:val="single" w:color="auto" w:sz="4" w:space="0"/>
              <w:right w:val="single" w:color="auto" w:sz="4" w:space="0"/>
            </w:tcBorders>
            <w:vAlign w:val="center"/>
          </w:tcPr>
          <w:p w14:paraId="3A5D81A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w:t>
            </w:r>
          </w:p>
        </w:tc>
        <w:tc>
          <w:tcPr>
            <w:tcW w:w="1422" w:type="dxa"/>
            <w:tcBorders>
              <w:top w:val="single" w:color="000000" w:sz="4" w:space="0"/>
              <w:left w:val="single" w:color="auto" w:sz="4" w:space="0"/>
              <w:bottom w:val="single" w:color="000000" w:sz="4" w:space="0"/>
              <w:right w:val="single" w:color="000000" w:sz="4" w:space="0"/>
            </w:tcBorders>
            <w:vAlign w:val="center"/>
          </w:tcPr>
          <w:p w14:paraId="5B51A6C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资格</w:t>
            </w:r>
            <w:r>
              <w:rPr>
                <w:rFonts w:hint="eastAsia" w:ascii="宋体" w:hAnsi="宋体" w:eastAsia="宋体" w:cs="宋体"/>
                <w:sz w:val="24"/>
                <w:szCs w:val="24"/>
              </w:rPr>
              <w:t>要求</w:t>
            </w:r>
          </w:p>
        </w:tc>
        <w:tc>
          <w:tcPr>
            <w:tcW w:w="6489" w:type="dxa"/>
            <w:tcBorders>
              <w:top w:val="single" w:color="000000" w:sz="4" w:space="0"/>
              <w:left w:val="single" w:color="000000" w:sz="4" w:space="0"/>
              <w:bottom w:val="single" w:color="000000" w:sz="4" w:space="0"/>
              <w:right w:val="single" w:color="000000" w:sz="4" w:space="0"/>
            </w:tcBorders>
            <w:vAlign w:val="center"/>
          </w:tcPr>
          <w:p w14:paraId="195B5F5B">
            <w:pPr>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lang w:val="zh-CN"/>
              </w:rPr>
            </w:pPr>
            <w:r>
              <w:rPr>
                <w:rFonts w:hint="eastAsia" w:ascii="宋体" w:hAnsi="宋体" w:eastAsia="宋体" w:cs="宋体"/>
                <w:sz w:val="24"/>
                <w:szCs w:val="24"/>
                <w:lang w:val="zh-CN"/>
              </w:rPr>
              <w:t>包1：无。</w:t>
            </w:r>
          </w:p>
        </w:tc>
        <w:tc>
          <w:tcPr>
            <w:tcW w:w="955" w:type="dxa"/>
            <w:tcBorders>
              <w:top w:val="single" w:color="000000" w:sz="4" w:space="0"/>
              <w:left w:val="single" w:color="000000" w:sz="4" w:space="0"/>
              <w:bottom w:val="single" w:color="000000" w:sz="4" w:space="0"/>
              <w:right w:val="single" w:color="000000" w:sz="4" w:space="0"/>
            </w:tcBorders>
          </w:tcPr>
          <w:p w14:paraId="4EEC158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42485DBC">
        <w:tblPrEx>
          <w:tblCellMar>
            <w:top w:w="0" w:type="dxa"/>
            <w:left w:w="108" w:type="dxa"/>
            <w:bottom w:w="0" w:type="dxa"/>
            <w:right w:w="108" w:type="dxa"/>
          </w:tblCellMar>
        </w:tblPrEx>
        <w:trPr>
          <w:cantSplit/>
          <w:trHeight w:val="90" w:hRule="atLeast"/>
        </w:trPr>
        <w:tc>
          <w:tcPr>
            <w:tcW w:w="711" w:type="dxa"/>
            <w:tcBorders>
              <w:top w:val="single" w:color="auto" w:sz="4" w:space="0"/>
              <w:left w:val="single" w:color="auto" w:sz="4" w:space="0"/>
              <w:bottom w:val="single" w:color="auto" w:sz="4" w:space="0"/>
              <w:right w:val="single" w:color="auto" w:sz="4" w:space="0"/>
            </w:tcBorders>
            <w:vAlign w:val="center"/>
          </w:tcPr>
          <w:p w14:paraId="59DD1DA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3</w:t>
            </w:r>
          </w:p>
        </w:tc>
        <w:tc>
          <w:tcPr>
            <w:tcW w:w="1422" w:type="dxa"/>
            <w:vMerge w:val="restart"/>
            <w:tcBorders>
              <w:top w:val="single" w:color="auto" w:sz="4" w:space="0"/>
              <w:left w:val="single" w:color="auto" w:sz="4" w:space="0"/>
              <w:right w:val="single" w:color="auto" w:sz="4" w:space="0"/>
            </w:tcBorders>
            <w:vAlign w:val="center"/>
          </w:tcPr>
          <w:p w14:paraId="6BE9E8A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财务要求</w:t>
            </w:r>
          </w:p>
        </w:tc>
        <w:tc>
          <w:tcPr>
            <w:tcW w:w="6489" w:type="dxa"/>
            <w:tcBorders>
              <w:top w:val="single" w:color="000000" w:sz="4" w:space="0"/>
              <w:left w:val="single" w:color="auto" w:sz="4" w:space="0"/>
              <w:bottom w:val="single" w:color="000000" w:sz="4" w:space="0"/>
              <w:right w:val="single" w:color="000000" w:sz="4" w:space="0"/>
            </w:tcBorders>
            <w:vAlign w:val="center"/>
          </w:tcPr>
          <w:p w14:paraId="303E7B2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近三年（2023年度、2024年度、2025年度）有健全的财务制度，须提供近三年财务审计报告或财务报表；（当投标单位成立日期在2023年-2025年12月31日之间的，提供从成立日期起至2025年之间的经会计师事务所审计的财务审计报告或财务报表，2025年12月31以后新成立的公司无财务审计报告或财务报表的，需提供一份财务状况良好承诺书）。</w:t>
            </w:r>
          </w:p>
          <w:p w14:paraId="12F43A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投标文件内附财务审计报告或财务报表复印件加盖单位公章（</w:t>
            </w:r>
            <w:r>
              <w:rPr>
                <w:rFonts w:hint="eastAsia" w:ascii="宋体" w:hAnsi="宋体" w:eastAsia="宋体" w:cs="宋体"/>
                <w:sz w:val="24"/>
                <w:szCs w:val="24"/>
              </w:rPr>
              <w:t>至少包含利润表、现金流量表、资产负债表</w:t>
            </w:r>
            <w:r>
              <w:rPr>
                <w:rFonts w:hint="eastAsia" w:ascii="宋体" w:hAnsi="宋体" w:eastAsia="宋体" w:cs="宋体"/>
                <w:sz w:val="24"/>
                <w:szCs w:val="24"/>
                <w:lang w:val="zh-CN"/>
              </w:rPr>
              <w:t>）</w:t>
            </w:r>
          </w:p>
        </w:tc>
        <w:tc>
          <w:tcPr>
            <w:tcW w:w="955" w:type="dxa"/>
            <w:vMerge w:val="restart"/>
            <w:tcBorders>
              <w:top w:val="single" w:color="auto" w:sz="4" w:space="0"/>
              <w:left w:val="single" w:color="000000" w:sz="4" w:space="0"/>
              <w:right w:val="single" w:color="000000" w:sz="4" w:space="0"/>
            </w:tcBorders>
          </w:tcPr>
          <w:p w14:paraId="3C3074D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6F46DC06">
        <w:tblPrEx>
          <w:tblCellMar>
            <w:top w:w="0" w:type="dxa"/>
            <w:left w:w="108" w:type="dxa"/>
            <w:bottom w:w="0" w:type="dxa"/>
            <w:right w:w="108" w:type="dxa"/>
          </w:tblCellMar>
        </w:tblPrEx>
        <w:trPr>
          <w:cantSplit/>
          <w:trHeight w:val="1371" w:hRule="atLeast"/>
        </w:trPr>
        <w:tc>
          <w:tcPr>
            <w:tcW w:w="711" w:type="dxa"/>
            <w:tcBorders>
              <w:top w:val="single" w:color="auto" w:sz="4" w:space="0"/>
              <w:left w:val="single" w:color="auto" w:sz="4" w:space="0"/>
              <w:bottom w:val="single" w:color="auto" w:sz="4" w:space="0"/>
              <w:right w:val="single" w:color="auto" w:sz="4" w:space="0"/>
            </w:tcBorders>
            <w:vAlign w:val="center"/>
          </w:tcPr>
          <w:p w14:paraId="1CFCD40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4</w:t>
            </w:r>
          </w:p>
        </w:tc>
        <w:tc>
          <w:tcPr>
            <w:tcW w:w="1422" w:type="dxa"/>
            <w:vMerge w:val="continue"/>
            <w:tcBorders>
              <w:left w:val="single" w:color="auto" w:sz="4" w:space="0"/>
              <w:bottom w:val="single" w:color="auto" w:sz="4" w:space="0"/>
              <w:right w:val="single" w:color="auto" w:sz="4" w:space="0"/>
            </w:tcBorders>
            <w:vAlign w:val="center"/>
          </w:tcPr>
          <w:p w14:paraId="4A0AA18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6489" w:type="dxa"/>
            <w:tcBorders>
              <w:top w:val="single" w:color="000000" w:sz="4" w:space="0"/>
              <w:left w:val="single" w:color="auto" w:sz="4" w:space="0"/>
              <w:bottom w:val="single" w:color="000000" w:sz="4" w:space="0"/>
              <w:right w:val="single" w:color="000000" w:sz="4" w:space="0"/>
            </w:tcBorders>
            <w:vAlign w:val="center"/>
          </w:tcPr>
          <w:p w14:paraId="0389C3C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具有依法缴纳税收和社会保障资金的良好记录；</w:t>
            </w:r>
            <w:r>
              <w:rPr>
                <w:rFonts w:hint="eastAsia" w:ascii="宋体" w:hAnsi="宋体" w:eastAsia="宋体" w:cs="宋体"/>
                <w:sz w:val="24"/>
                <w:szCs w:val="24"/>
                <w:lang w:val="zh-CN"/>
              </w:rPr>
              <w:t>投标文件内附</w:t>
            </w:r>
            <w:r>
              <w:rPr>
                <w:rFonts w:hint="eastAsia" w:ascii="宋体" w:hAnsi="宋体" w:eastAsia="宋体" w:cs="宋体"/>
                <w:sz w:val="24"/>
                <w:szCs w:val="24"/>
              </w:rPr>
              <w:t>2026年01月至今任意一个月的缴纳税收和社会保障资金的证明材料</w:t>
            </w:r>
            <w:r>
              <w:rPr>
                <w:rFonts w:hint="eastAsia" w:ascii="宋体" w:hAnsi="宋体" w:eastAsia="宋体" w:cs="宋体"/>
                <w:sz w:val="24"/>
                <w:szCs w:val="24"/>
                <w:lang w:val="zh-CN"/>
              </w:rPr>
              <w:t>复印件加盖单位公章。（依法免缴</w:t>
            </w:r>
            <w:r>
              <w:rPr>
                <w:rFonts w:hint="eastAsia" w:ascii="宋体" w:hAnsi="宋体" w:eastAsia="宋体" w:cs="宋体"/>
                <w:sz w:val="24"/>
                <w:szCs w:val="24"/>
              </w:rPr>
              <w:t>税收和社会保障资金的，请提供相应证明材料复印件加盖单位公章</w:t>
            </w:r>
            <w:r>
              <w:rPr>
                <w:rFonts w:hint="eastAsia" w:ascii="宋体" w:hAnsi="宋体" w:eastAsia="宋体" w:cs="宋体"/>
                <w:sz w:val="24"/>
                <w:szCs w:val="24"/>
                <w:lang w:val="zh-CN"/>
              </w:rPr>
              <w:t>）</w:t>
            </w:r>
          </w:p>
        </w:tc>
        <w:tc>
          <w:tcPr>
            <w:tcW w:w="955" w:type="dxa"/>
            <w:vMerge w:val="continue"/>
            <w:tcBorders>
              <w:left w:val="single" w:color="000000" w:sz="4" w:space="0"/>
              <w:bottom w:val="single" w:color="000000" w:sz="4" w:space="0"/>
              <w:right w:val="single" w:color="000000" w:sz="4" w:space="0"/>
            </w:tcBorders>
          </w:tcPr>
          <w:p w14:paraId="7B9D14D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20118745">
        <w:tblPrEx>
          <w:tblCellMar>
            <w:top w:w="0" w:type="dxa"/>
            <w:left w:w="108" w:type="dxa"/>
            <w:bottom w:w="0" w:type="dxa"/>
            <w:right w:w="108" w:type="dxa"/>
          </w:tblCellMar>
        </w:tblPrEx>
        <w:trPr>
          <w:cantSplit/>
          <w:trHeight w:val="2391" w:hRule="atLeast"/>
        </w:trPr>
        <w:tc>
          <w:tcPr>
            <w:tcW w:w="711" w:type="dxa"/>
            <w:tcBorders>
              <w:top w:val="single" w:color="auto" w:sz="4" w:space="0"/>
              <w:left w:val="single" w:color="auto" w:sz="4" w:space="0"/>
              <w:bottom w:val="single" w:color="auto" w:sz="4" w:space="0"/>
              <w:right w:val="single" w:color="auto" w:sz="4" w:space="0"/>
            </w:tcBorders>
            <w:vAlign w:val="center"/>
          </w:tcPr>
          <w:p w14:paraId="7E5F283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5</w:t>
            </w:r>
          </w:p>
        </w:tc>
        <w:tc>
          <w:tcPr>
            <w:tcW w:w="1422" w:type="dxa"/>
            <w:tcBorders>
              <w:top w:val="single" w:color="auto" w:sz="4" w:space="0"/>
              <w:left w:val="single" w:color="auto" w:sz="4" w:space="0"/>
              <w:bottom w:val="single" w:color="auto" w:sz="4" w:space="0"/>
              <w:right w:val="single" w:color="000000" w:sz="4" w:space="0"/>
            </w:tcBorders>
            <w:vAlign w:val="center"/>
          </w:tcPr>
          <w:p w14:paraId="05029CE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sz w:val="24"/>
                <w:szCs w:val="24"/>
              </w:rPr>
              <w:t>信誉要求</w:t>
            </w:r>
          </w:p>
        </w:tc>
        <w:tc>
          <w:tcPr>
            <w:tcW w:w="6489" w:type="dxa"/>
            <w:tcBorders>
              <w:top w:val="single" w:color="000000" w:sz="4" w:space="0"/>
              <w:left w:val="single" w:color="000000" w:sz="4" w:space="0"/>
              <w:bottom w:val="single" w:color="auto" w:sz="4" w:space="0"/>
              <w:right w:val="single" w:color="000000" w:sz="4" w:space="0"/>
            </w:tcBorders>
            <w:vAlign w:val="center"/>
          </w:tcPr>
          <w:p w14:paraId="5D812A6C">
            <w:pPr>
              <w:pageBreakBefore w:val="0"/>
              <w:kinsoku/>
              <w:wordWrap/>
              <w:overflowPunct/>
              <w:topLinePunct w:val="0"/>
              <w:bidi w:val="0"/>
              <w:spacing w:beforeAutospacing="0" w:afterAutospacing="0" w:line="360" w:lineRule="auto"/>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(1)拒绝列入政府取消投标资格记录期间的企业或个人投标；</w:t>
            </w:r>
          </w:p>
          <w:p w14:paraId="614C80A3">
            <w:pPr>
              <w:pageBreakBefore w:val="0"/>
              <w:kinsoku/>
              <w:wordWrap/>
              <w:overflowPunct/>
              <w:topLinePunct w:val="0"/>
              <w:bidi w:val="0"/>
              <w:spacing w:beforeAutospacing="0" w:afterAutospacing="0" w:line="360" w:lineRule="auto"/>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(2)参加政府采购活动前3年内在经营活动中没有重大违法记录。</w:t>
            </w:r>
          </w:p>
          <w:p w14:paraId="45A5F054">
            <w:pPr>
              <w:pageBreakBefore w:val="0"/>
              <w:kinsoku/>
              <w:wordWrap/>
              <w:overflowPunct/>
              <w:topLinePunct w:val="0"/>
              <w:bidi w:val="0"/>
              <w:spacing w:beforeAutospacing="0" w:afterAutospacing="0" w:line="360" w:lineRule="auto"/>
              <w:textAlignment w:val="auto"/>
              <w:rPr>
                <w:rFonts w:hint="eastAsia" w:ascii="宋体" w:hAnsi="宋体" w:eastAsia="宋体" w:cs="宋体"/>
                <w:snapToGrid w:val="0"/>
                <w:sz w:val="24"/>
                <w:szCs w:val="24"/>
                <w:lang w:eastAsia="en-US"/>
              </w:rPr>
            </w:pPr>
            <w:r>
              <w:rPr>
                <w:rFonts w:hint="eastAsia" w:ascii="宋体" w:hAnsi="宋体" w:eastAsia="宋体" w:cs="宋体"/>
                <w:snapToGrid w:val="0"/>
                <w:sz w:val="24"/>
                <w:szCs w:val="24"/>
                <w:lang w:eastAsia="en-US"/>
              </w:rPr>
              <w:t>(3)未被“信用中国”网站（www.creditchina.gov.cn）列入重大税收违法失信主体、政府采购严重违法失信行为记录名单；未被中国执行信息公开网（http://zxgk.court.gov.cn）列入失信被执行人；未被中国政府采购网（www.ccgp.gov.cn）列入政府采购严重违法失信行为记录名单。</w:t>
            </w:r>
          </w:p>
          <w:p w14:paraId="5124147C">
            <w:pPr>
              <w:pageBreakBefore w:val="0"/>
              <w:kinsoku/>
              <w:wordWrap/>
              <w:overflowPunct/>
              <w:topLinePunct w:val="0"/>
              <w:bidi w:val="0"/>
              <w:spacing w:beforeAutospacing="0" w:afterAutospacing="0" w:line="360" w:lineRule="auto"/>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（4）单位负责人为同一人或者存在直接控股、管理关系的不同供应商，不得参加同一合同项下的政府采购活动。违反规定的，相关投标均无效。</w:t>
            </w:r>
          </w:p>
          <w:p w14:paraId="49F5A1B2">
            <w:pPr>
              <w:pageBreakBefore w:val="0"/>
              <w:kinsoku/>
              <w:wordWrap/>
              <w:overflowPunct/>
              <w:topLinePunct w:val="0"/>
              <w:bidi w:val="0"/>
              <w:spacing w:beforeAutospacing="0" w:afterAutospacing="0" w:line="360" w:lineRule="auto"/>
              <w:textAlignment w:val="auto"/>
              <w:rPr>
                <w:rFonts w:hint="eastAsia" w:ascii="宋体" w:hAnsi="宋体" w:eastAsia="宋体" w:cs="宋体"/>
                <w:b/>
                <w:kern w:val="1"/>
                <w:sz w:val="24"/>
                <w:szCs w:val="24"/>
              </w:rPr>
            </w:pPr>
            <w:r>
              <w:rPr>
                <w:rFonts w:hint="eastAsia" w:ascii="宋体" w:hAnsi="宋体" w:eastAsia="宋体" w:cs="宋体"/>
                <w:snapToGrid w:val="0"/>
                <w:sz w:val="24"/>
                <w:szCs w:val="24"/>
              </w:rPr>
              <w:t>投标文件内附信誉良好承诺书（格式自拟</w:t>
            </w:r>
            <w:r>
              <w:rPr>
                <w:rFonts w:hint="eastAsia" w:ascii="宋体" w:hAnsi="宋体" w:eastAsia="宋体" w:cs="宋体"/>
                <w:snapToGrid w:val="0"/>
                <w:sz w:val="24"/>
                <w:szCs w:val="24"/>
                <w:highlight w:val="none"/>
              </w:rPr>
              <w:t>）。后附“信用中国”网站（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napToGrid w:val="0"/>
                <w:sz w:val="24"/>
                <w:szCs w:val="24"/>
                <w:highlight w:val="none"/>
              </w:rPr>
              <w:t>www.creditchina.gov.cn</w:t>
            </w:r>
            <w:r>
              <w:rPr>
                <w:rFonts w:hint="eastAsia" w:ascii="宋体" w:hAnsi="宋体" w:eastAsia="宋体" w:cs="宋体"/>
                <w:snapToGrid w:val="0"/>
                <w:sz w:val="24"/>
                <w:szCs w:val="24"/>
                <w:highlight w:val="none"/>
              </w:rPr>
              <w:fldChar w:fldCharType="end"/>
            </w:r>
            <w:r>
              <w:rPr>
                <w:rFonts w:hint="eastAsia" w:ascii="宋体" w:hAnsi="宋体" w:eastAsia="宋体" w:cs="宋体"/>
                <w:snapToGrid w:val="0"/>
                <w:sz w:val="24"/>
                <w:szCs w:val="24"/>
                <w:highlight w:val="none"/>
              </w:rPr>
              <w:t>）、中国执行信息公开网（http://zxgk.court.gov.cn）、中国政府采购网（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"https://www.ccgp.gov.cn" </w:instrText>
            </w:r>
            <w:r>
              <w:rPr>
                <w:rFonts w:hint="eastAsia" w:ascii="宋体" w:hAnsi="宋体" w:eastAsia="宋体" w:cs="宋体"/>
                <w:sz w:val="24"/>
                <w:szCs w:val="24"/>
                <w:highlight w:val="none"/>
              </w:rPr>
              <w:fldChar w:fldCharType="separate"/>
            </w:r>
            <w:r>
              <w:rPr>
                <w:rFonts w:hint="eastAsia" w:ascii="宋体" w:hAnsi="宋体" w:eastAsia="宋体" w:cs="宋体"/>
                <w:snapToGrid w:val="0"/>
                <w:sz w:val="24"/>
                <w:szCs w:val="24"/>
                <w:highlight w:val="none"/>
              </w:rPr>
              <w:t>www.ccgp.gov.cn</w:t>
            </w:r>
            <w:r>
              <w:rPr>
                <w:rFonts w:hint="eastAsia" w:ascii="宋体" w:hAnsi="宋体" w:eastAsia="宋体" w:cs="宋体"/>
                <w:snapToGrid w:val="0"/>
                <w:sz w:val="24"/>
                <w:szCs w:val="24"/>
                <w:highlight w:val="none"/>
              </w:rPr>
              <w:fldChar w:fldCharType="end"/>
            </w:r>
            <w:r>
              <w:rPr>
                <w:rFonts w:hint="eastAsia" w:ascii="宋体" w:hAnsi="宋体" w:eastAsia="宋体" w:cs="宋体"/>
                <w:snapToGrid w:val="0"/>
                <w:sz w:val="24"/>
                <w:szCs w:val="24"/>
                <w:highlight w:val="none"/>
              </w:rPr>
              <w:t>）等渠道查询信用记录，查询截止时点为投标截止时间前的网页截图；此截图仅作为证据留存的依据，非否决项。评审现场由采购人或采购代理机构现场网上核实。</w:t>
            </w:r>
          </w:p>
        </w:tc>
        <w:tc>
          <w:tcPr>
            <w:tcW w:w="955" w:type="dxa"/>
            <w:tcBorders>
              <w:top w:val="single" w:color="000000" w:sz="4" w:space="0"/>
              <w:left w:val="single" w:color="000000" w:sz="4" w:space="0"/>
              <w:bottom w:val="single" w:color="auto" w:sz="4" w:space="0"/>
              <w:right w:val="single" w:color="000000" w:sz="4" w:space="0"/>
            </w:tcBorders>
          </w:tcPr>
          <w:p w14:paraId="15BDF0E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247C473E">
        <w:tblPrEx>
          <w:tblCellMar>
            <w:top w:w="0" w:type="dxa"/>
            <w:left w:w="108" w:type="dxa"/>
            <w:bottom w:w="0" w:type="dxa"/>
            <w:right w:w="108" w:type="dxa"/>
          </w:tblCellMar>
        </w:tblPrEx>
        <w:trPr>
          <w:cantSplit/>
          <w:trHeight w:val="1761" w:hRule="atLeast"/>
        </w:trPr>
        <w:tc>
          <w:tcPr>
            <w:tcW w:w="711" w:type="dxa"/>
            <w:tcBorders>
              <w:top w:val="single" w:color="auto" w:sz="4" w:space="0"/>
              <w:left w:val="single" w:color="auto" w:sz="4" w:space="0"/>
              <w:bottom w:val="single" w:color="auto" w:sz="4" w:space="0"/>
              <w:right w:val="single" w:color="auto" w:sz="4" w:space="0"/>
            </w:tcBorders>
            <w:vAlign w:val="center"/>
          </w:tcPr>
          <w:p w14:paraId="630830E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en-US" w:eastAsia="zh-CN"/>
              </w:rPr>
            </w:pPr>
            <w:r>
              <w:rPr>
                <w:rFonts w:hint="eastAsia" w:cs="宋体"/>
                <w:kern w:val="1"/>
                <w:sz w:val="24"/>
                <w:szCs w:val="24"/>
                <w:lang w:val="en-US" w:eastAsia="zh-CN"/>
              </w:rPr>
              <w:t>6</w:t>
            </w:r>
          </w:p>
        </w:tc>
        <w:tc>
          <w:tcPr>
            <w:tcW w:w="1422" w:type="dxa"/>
            <w:tcBorders>
              <w:top w:val="single" w:color="auto" w:sz="4" w:space="0"/>
              <w:left w:val="single" w:color="auto" w:sz="4" w:space="0"/>
              <w:bottom w:val="single" w:color="auto" w:sz="4" w:space="0"/>
              <w:right w:val="single" w:color="000000" w:sz="4" w:space="0"/>
            </w:tcBorders>
            <w:vAlign w:val="center"/>
          </w:tcPr>
          <w:p w14:paraId="4086F30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SA"/>
              </w:rPr>
              <w:t>中小企业</w:t>
            </w:r>
          </w:p>
        </w:tc>
        <w:tc>
          <w:tcPr>
            <w:tcW w:w="6489" w:type="dxa"/>
            <w:tcBorders>
              <w:top w:val="single" w:color="auto" w:sz="4" w:space="0"/>
              <w:left w:val="single" w:color="000000" w:sz="4" w:space="0"/>
              <w:bottom w:val="single" w:color="auto" w:sz="4" w:space="0"/>
              <w:right w:val="single" w:color="000000" w:sz="4" w:space="0"/>
            </w:tcBorders>
            <w:vAlign w:val="center"/>
          </w:tcPr>
          <w:p w14:paraId="2506121D">
            <w:pPr>
              <w:pageBreakBefore w:val="0"/>
              <w:kinsoku/>
              <w:wordWrap/>
              <w:overflowPunct/>
              <w:topLinePunct w:val="0"/>
              <w:bidi w:val="0"/>
              <w:spacing w:beforeAutospacing="0" w:afterAutospacing="0" w:line="360" w:lineRule="auto"/>
              <w:textAlignment w:val="auto"/>
              <w:rPr>
                <w:rFonts w:hint="default" w:ascii="宋体" w:hAnsi="宋体" w:eastAsia="宋体" w:cs="宋体"/>
                <w:sz w:val="24"/>
                <w:szCs w:val="24"/>
                <w:lang w:val="en-US" w:eastAsia="zh-CN"/>
              </w:rPr>
            </w:pPr>
            <w:r>
              <w:rPr>
                <w:rFonts w:hint="eastAsia" w:cs="宋体"/>
                <w:snapToGrid w:val="0"/>
                <w:sz w:val="24"/>
                <w:szCs w:val="24"/>
                <w:lang w:val="en-US" w:eastAsia="zh-CN"/>
              </w:rPr>
              <w:t>包1：</w:t>
            </w:r>
            <w:r>
              <w:rPr>
                <w:rFonts w:hint="eastAsia" w:ascii="宋体" w:hAnsi="宋体" w:cs="宋体"/>
                <w:sz w:val="24"/>
                <w:szCs w:val="24"/>
                <w:lang w:val="zh-CN"/>
              </w:rPr>
              <w:t>专门面向中小企业采购，供应商应为中小微企业</w:t>
            </w:r>
            <w:r>
              <w:rPr>
                <w:rFonts w:hint="eastAsia" w:ascii="宋体" w:hAnsi="宋体" w:eastAsia="宋体" w:cs="宋体"/>
                <w:sz w:val="24"/>
                <w:szCs w:val="24"/>
                <w:lang w:val="en-US" w:eastAsia="zh-CN"/>
              </w:rPr>
              <w:t>或</w:t>
            </w:r>
            <w:r>
              <w:rPr>
                <w:rFonts w:hint="eastAsia" w:ascii="宋体" w:hAnsi="宋体" w:cs="宋体"/>
                <w:sz w:val="24"/>
                <w:szCs w:val="24"/>
                <w:lang w:val="zh-CN"/>
              </w:rPr>
              <w:t>监狱企业</w:t>
            </w:r>
            <w:r>
              <w:rPr>
                <w:rFonts w:hint="eastAsia" w:ascii="宋体" w:hAnsi="宋体" w:eastAsia="宋体" w:cs="宋体"/>
                <w:sz w:val="24"/>
                <w:szCs w:val="24"/>
                <w:lang w:val="en-US" w:eastAsia="zh-CN"/>
              </w:rPr>
              <w:t>或</w:t>
            </w:r>
            <w:r>
              <w:rPr>
                <w:rFonts w:hint="eastAsia" w:ascii="宋体" w:hAnsi="宋体" w:cs="宋体"/>
                <w:sz w:val="24"/>
                <w:szCs w:val="24"/>
                <w:lang w:val="zh-CN"/>
              </w:rPr>
              <w:t>残疾人福利性单位。</w:t>
            </w:r>
            <w:r>
              <w:rPr>
                <w:rFonts w:hint="eastAsia" w:ascii="宋体" w:hAnsi="宋体" w:cs="宋体"/>
                <w:sz w:val="24"/>
                <w:szCs w:val="24"/>
              </w:rPr>
              <w:t>提供相关证明资料。</w:t>
            </w:r>
          </w:p>
        </w:tc>
        <w:tc>
          <w:tcPr>
            <w:tcW w:w="955" w:type="dxa"/>
            <w:tcBorders>
              <w:top w:val="single" w:color="auto" w:sz="4" w:space="0"/>
              <w:left w:val="single" w:color="000000" w:sz="4" w:space="0"/>
              <w:bottom w:val="single" w:color="auto" w:sz="4" w:space="0"/>
              <w:right w:val="single" w:color="auto" w:sz="4" w:space="0"/>
            </w:tcBorders>
          </w:tcPr>
          <w:p w14:paraId="4748B7B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bl>
    <w:p w14:paraId="1623903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w:t>
      </w:r>
    </w:p>
    <w:p w14:paraId="10022FA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有下列情形之一的，视为投标人串通投标，其投标无效：</w:t>
      </w:r>
    </w:p>
    <w:p w14:paraId="2968963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不同投标人的投标文件由同一单位或者个人编制；</w:t>
      </w:r>
    </w:p>
    <w:p w14:paraId="5C1BF65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不同投标人委托同一单位或者个人办理投标事宜；</w:t>
      </w:r>
    </w:p>
    <w:p w14:paraId="603B994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不同投标人的投标文件载明的项目管理成员或者联系人员为同一人；</w:t>
      </w:r>
    </w:p>
    <w:p w14:paraId="72403D3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不同投标人的投标文件异常一致或者投标报价呈规律性差异；</w:t>
      </w:r>
    </w:p>
    <w:p w14:paraId="7AF6158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不同投标人的投标文件相互混装；</w:t>
      </w:r>
    </w:p>
    <w:p w14:paraId="11C45A4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不同投标人的投标保证金从同一单位或者个人的账户转出。</w:t>
      </w:r>
    </w:p>
    <w:p w14:paraId="19491E8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31C3B39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79970082">
      <w:pPr>
        <w:pStyle w:val="3"/>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sz w:val="32"/>
          <w:szCs w:val="32"/>
          <w:lang w:val="zh-CN"/>
        </w:rPr>
      </w:pPr>
      <w:bookmarkStart w:id="88" w:name="_Toc12903"/>
      <w:bookmarkStart w:id="89" w:name="_Toc19126"/>
      <w:bookmarkStart w:id="90" w:name="_Toc19058"/>
      <w:r>
        <w:rPr>
          <w:rFonts w:hint="eastAsia" w:ascii="宋体" w:hAnsi="宋体" w:eastAsia="宋体" w:cs="宋体"/>
          <w:kern w:val="1"/>
          <w:sz w:val="32"/>
          <w:szCs w:val="32"/>
          <w:lang w:val="zh-CN"/>
        </w:rPr>
        <w:t>（二）评标方法、程序与标准</w:t>
      </w:r>
      <w:bookmarkEnd w:id="88"/>
      <w:bookmarkEnd w:id="89"/>
      <w:bookmarkEnd w:id="90"/>
    </w:p>
    <w:p w14:paraId="61ADFD08">
      <w:pPr>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一、评标方法</w:t>
      </w:r>
    </w:p>
    <w:p w14:paraId="16C6AF84">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本项目采用综合评分法评标。</w:t>
      </w:r>
    </w:p>
    <w:p w14:paraId="2055551F">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综合评分法，是指投标文件满足招标文件全部实质性要求，且按照评审因素的量化指标评审得分最高的投标人为中标候选人的评标方法。</w:t>
      </w:r>
    </w:p>
    <w:p w14:paraId="190F7D92">
      <w:pPr>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bookmarkStart w:id="91" w:name="二、评标程序"/>
      <w:bookmarkEnd w:id="91"/>
    </w:p>
    <w:p w14:paraId="2A742DB4">
      <w:pPr>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二、评标程序</w:t>
      </w:r>
    </w:p>
    <w:p w14:paraId="0AC150CB">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评标委员会按以下工作程序进行评标：符合性审查、澄清有关问题、综合比较与评价、复核评标结果、推荐中标候选人名单、确定中标人和编写评标报告。</w:t>
      </w:r>
    </w:p>
    <w:p w14:paraId="49CD5B42">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（一）符合性审查</w:t>
      </w:r>
    </w:p>
    <w:p w14:paraId="105BD258">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评标委员会应当对符合资格的投标人的投标文件进行符合性审查，以确定其是否满足招标文件的实质性要求。有下列情形之一的，符合性审查不合格，其投标无效。</w:t>
      </w:r>
    </w:p>
    <w:tbl>
      <w:tblPr>
        <w:tblStyle w:val="30"/>
        <w:tblW w:w="10138" w:type="dxa"/>
        <w:tblInd w:w="0" w:type="dxa"/>
        <w:tblLayout w:type="autofit"/>
        <w:tblCellMar>
          <w:top w:w="0" w:type="dxa"/>
          <w:left w:w="108" w:type="dxa"/>
          <w:bottom w:w="0" w:type="dxa"/>
          <w:right w:w="108" w:type="dxa"/>
        </w:tblCellMar>
      </w:tblPr>
      <w:tblGrid>
        <w:gridCol w:w="733"/>
        <w:gridCol w:w="1466"/>
        <w:gridCol w:w="6939"/>
        <w:gridCol w:w="1000"/>
      </w:tblGrid>
      <w:tr w14:paraId="2CAE1DB1">
        <w:tblPrEx>
          <w:tblCellMar>
            <w:top w:w="0" w:type="dxa"/>
            <w:left w:w="108" w:type="dxa"/>
            <w:bottom w:w="0" w:type="dxa"/>
            <w:right w:w="108" w:type="dxa"/>
          </w:tblCellMar>
        </w:tblPrEx>
        <w:trPr>
          <w:cantSplit/>
          <w:trHeight w:val="430" w:hRule="atLeast"/>
        </w:trPr>
        <w:tc>
          <w:tcPr>
            <w:tcW w:w="733" w:type="dxa"/>
            <w:tcBorders>
              <w:top w:val="single" w:color="auto" w:sz="4" w:space="0"/>
              <w:left w:val="single" w:color="000000" w:sz="4" w:space="0"/>
              <w:bottom w:val="single" w:color="auto" w:sz="4" w:space="0"/>
              <w:right w:val="single" w:color="000000" w:sz="4" w:space="0"/>
            </w:tcBorders>
            <w:vAlign w:val="center"/>
          </w:tcPr>
          <w:p w14:paraId="61D9243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序号</w:t>
            </w:r>
          </w:p>
        </w:tc>
        <w:tc>
          <w:tcPr>
            <w:tcW w:w="1466" w:type="dxa"/>
            <w:tcBorders>
              <w:top w:val="single" w:color="000000" w:sz="4" w:space="0"/>
              <w:left w:val="single" w:color="000000" w:sz="4" w:space="0"/>
              <w:bottom w:val="single" w:color="000000" w:sz="4" w:space="0"/>
              <w:right w:val="single" w:color="000000" w:sz="4" w:space="0"/>
            </w:tcBorders>
            <w:vAlign w:val="center"/>
          </w:tcPr>
          <w:p w14:paraId="2644071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评审因素</w:t>
            </w:r>
          </w:p>
        </w:tc>
        <w:tc>
          <w:tcPr>
            <w:tcW w:w="6939" w:type="dxa"/>
            <w:tcBorders>
              <w:top w:val="single" w:color="000000" w:sz="4" w:space="0"/>
              <w:left w:val="single" w:color="000000" w:sz="4" w:space="0"/>
              <w:bottom w:val="single" w:color="000000" w:sz="4" w:space="0"/>
              <w:right w:val="single" w:color="000000" w:sz="4" w:space="0"/>
            </w:tcBorders>
            <w:vAlign w:val="center"/>
          </w:tcPr>
          <w:p w14:paraId="77FD4F8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lang w:val="zh-CN"/>
              </w:rPr>
              <w:t>评审标准</w:t>
            </w:r>
          </w:p>
        </w:tc>
        <w:tc>
          <w:tcPr>
            <w:tcW w:w="1000" w:type="dxa"/>
            <w:tcBorders>
              <w:top w:val="single" w:color="000000" w:sz="4" w:space="0"/>
              <w:left w:val="single" w:color="000000" w:sz="4" w:space="0"/>
              <w:bottom w:val="single" w:color="000000" w:sz="4" w:space="0"/>
              <w:right w:val="single" w:color="000000" w:sz="4" w:space="0"/>
            </w:tcBorders>
            <w:vAlign w:val="center"/>
          </w:tcPr>
          <w:p w14:paraId="6711C32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投标人</w:t>
            </w:r>
          </w:p>
        </w:tc>
      </w:tr>
      <w:tr w14:paraId="75285BF3">
        <w:tblPrEx>
          <w:tblCellMar>
            <w:top w:w="0" w:type="dxa"/>
            <w:left w:w="108" w:type="dxa"/>
            <w:bottom w:w="0" w:type="dxa"/>
            <w:right w:w="108" w:type="dxa"/>
          </w:tblCellMar>
        </w:tblPrEx>
        <w:trPr>
          <w:cantSplit/>
          <w:trHeight w:val="430" w:hRule="atLeast"/>
        </w:trPr>
        <w:tc>
          <w:tcPr>
            <w:tcW w:w="733" w:type="dxa"/>
            <w:tcBorders>
              <w:top w:val="single" w:color="auto" w:sz="4" w:space="0"/>
              <w:left w:val="single" w:color="auto" w:sz="4" w:space="0"/>
              <w:bottom w:val="single" w:color="auto" w:sz="4" w:space="0"/>
              <w:right w:val="single" w:color="auto" w:sz="4" w:space="0"/>
            </w:tcBorders>
            <w:vAlign w:val="center"/>
          </w:tcPr>
          <w:p w14:paraId="0F9F668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w:t>
            </w:r>
          </w:p>
        </w:tc>
        <w:tc>
          <w:tcPr>
            <w:tcW w:w="1466" w:type="dxa"/>
            <w:tcBorders>
              <w:top w:val="single" w:color="000000" w:sz="4" w:space="0"/>
              <w:left w:val="single" w:color="auto" w:sz="4" w:space="0"/>
              <w:bottom w:val="single" w:color="000000" w:sz="4" w:space="0"/>
              <w:right w:val="single" w:color="000000" w:sz="4" w:space="0"/>
            </w:tcBorders>
            <w:vAlign w:val="center"/>
          </w:tcPr>
          <w:p w14:paraId="3B5F455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供货时间</w:t>
            </w:r>
          </w:p>
        </w:tc>
        <w:tc>
          <w:tcPr>
            <w:tcW w:w="6939" w:type="dxa"/>
            <w:tcBorders>
              <w:top w:val="single" w:color="000000" w:sz="4" w:space="0"/>
              <w:left w:val="single" w:color="000000" w:sz="4" w:space="0"/>
              <w:bottom w:val="single" w:color="000000" w:sz="4" w:space="0"/>
              <w:right w:val="single" w:color="000000" w:sz="4" w:space="0"/>
            </w:tcBorders>
            <w:vAlign w:val="center"/>
          </w:tcPr>
          <w:p w14:paraId="4477EA7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包1：合同签订后30个日历天以内交货，具备安装条件后5个日历天内安装调试并验收合格。</w:t>
            </w:r>
          </w:p>
        </w:tc>
        <w:tc>
          <w:tcPr>
            <w:tcW w:w="1000" w:type="dxa"/>
            <w:tcBorders>
              <w:top w:val="single" w:color="000000" w:sz="4" w:space="0"/>
              <w:left w:val="single" w:color="000000" w:sz="4" w:space="0"/>
              <w:bottom w:val="single" w:color="000000" w:sz="4" w:space="0"/>
              <w:right w:val="single" w:color="000000" w:sz="4" w:space="0"/>
            </w:tcBorders>
          </w:tcPr>
          <w:p w14:paraId="48DE5E88">
            <w:pPr>
              <w:pStyle w:val="22"/>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72DFEBB7">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119DFAD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w:t>
            </w:r>
          </w:p>
        </w:tc>
        <w:tc>
          <w:tcPr>
            <w:tcW w:w="1466" w:type="dxa"/>
            <w:tcBorders>
              <w:top w:val="single" w:color="000000" w:sz="4" w:space="0"/>
              <w:left w:val="single" w:color="auto" w:sz="4" w:space="0"/>
              <w:bottom w:val="single" w:color="000000" w:sz="4" w:space="0"/>
              <w:right w:val="single" w:color="000000" w:sz="4" w:space="0"/>
            </w:tcBorders>
            <w:vAlign w:val="center"/>
          </w:tcPr>
          <w:p w14:paraId="747F495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交货地点</w:t>
            </w:r>
          </w:p>
        </w:tc>
        <w:tc>
          <w:tcPr>
            <w:tcW w:w="6939" w:type="dxa"/>
            <w:tcBorders>
              <w:top w:val="single" w:color="000000" w:sz="4" w:space="0"/>
              <w:left w:val="single" w:color="000000" w:sz="4" w:space="0"/>
              <w:bottom w:val="single" w:color="000000" w:sz="4" w:space="0"/>
              <w:right w:val="single" w:color="000000" w:sz="4" w:space="0"/>
            </w:tcBorders>
            <w:vAlign w:val="center"/>
          </w:tcPr>
          <w:p w14:paraId="07CD5B0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sz w:val="24"/>
                <w:szCs w:val="24"/>
              </w:rPr>
              <w:t>采购人指定地点。</w:t>
            </w:r>
          </w:p>
        </w:tc>
        <w:tc>
          <w:tcPr>
            <w:tcW w:w="1000" w:type="dxa"/>
            <w:tcBorders>
              <w:top w:val="single" w:color="000000" w:sz="4" w:space="0"/>
              <w:left w:val="single" w:color="000000" w:sz="4" w:space="0"/>
              <w:bottom w:val="single" w:color="000000" w:sz="4" w:space="0"/>
              <w:right w:val="single" w:color="000000" w:sz="4" w:space="0"/>
            </w:tcBorders>
          </w:tcPr>
          <w:p w14:paraId="0E03BE7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36621BB2">
        <w:tblPrEx>
          <w:tblCellMar>
            <w:top w:w="0" w:type="dxa"/>
            <w:left w:w="108" w:type="dxa"/>
            <w:bottom w:w="0" w:type="dxa"/>
            <w:right w:w="108" w:type="dxa"/>
          </w:tblCellMar>
        </w:tblPrEx>
        <w:trPr>
          <w:cantSplit/>
          <w:trHeight w:val="678" w:hRule="atLeast"/>
        </w:trPr>
        <w:tc>
          <w:tcPr>
            <w:tcW w:w="733" w:type="dxa"/>
            <w:tcBorders>
              <w:top w:val="single" w:color="auto" w:sz="4" w:space="0"/>
              <w:left w:val="single" w:color="auto" w:sz="4" w:space="0"/>
              <w:bottom w:val="single" w:color="auto" w:sz="4" w:space="0"/>
              <w:right w:val="single" w:color="auto" w:sz="4" w:space="0"/>
            </w:tcBorders>
            <w:vAlign w:val="center"/>
          </w:tcPr>
          <w:p w14:paraId="2369337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3</w:t>
            </w:r>
          </w:p>
        </w:tc>
        <w:tc>
          <w:tcPr>
            <w:tcW w:w="1466" w:type="dxa"/>
            <w:tcBorders>
              <w:top w:val="single" w:color="000000" w:sz="4" w:space="0"/>
              <w:left w:val="single" w:color="auto" w:sz="4" w:space="0"/>
              <w:bottom w:val="single" w:color="000000" w:sz="4" w:space="0"/>
              <w:right w:val="single" w:color="000000" w:sz="4" w:space="0"/>
            </w:tcBorders>
            <w:vAlign w:val="center"/>
          </w:tcPr>
          <w:p w14:paraId="7D70499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质保期</w:t>
            </w:r>
          </w:p>
        </w:tc>
        <w:tc>
          <w:tcPr>
            <w:tcW w:w="6939" w:type="dxa"/>
            <w:tcBorders>
              <w:top w:val="single" w:color="000000" w:sz="4" w:space="0"/>
              <w:left w:val="single" w:color="000000" w:sz="4" w:space="0"/>
              <w:bottom w:val="single" w:color="000000" w:sz="4" w:space="0"/>
              <w:right w:val="single" w:color="000000" w:sz="4" w:space="0"/>
            </w:tcBorders>
            <w:vAlign w:val="center"/>
          </w:tcPr>
          <w:p w14:paraId="219C4B0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包1：自设备验收之日起整机质保至少1年（原厂保修，含易损件），水泵质保至少5年。</w:t>
            </w:r>
          </w:p>
        </w:tc>
        <w:tc>
          <w:tcPr>
            <w:tcW w:w="1000" w:type="dxa"/>
            <w:tcBorders>
              <w:top w:val="single" w:color="000000" w:sz="4" w:space="0"/>
              <w:left w:val="single" w:color="000000" w:sz="4" w:space="0"/>
              <w:bottom w:val="single" w:color="000000" w:sz="4" w:space="0"/>
              <w:right w:val="single" w:color="000000" w:sz="4" w:space="0"/>
            </w:tcBorders>
          </w:tcPr>
          <w:p w14:paraId="7316F1D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3A0F3471">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1BDFA3E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4</w:t>
            </w:r>
          </w:p>
        </w:tc>
        <w:tc>
          <w:tcPr>
            <w:tcW w:w="1466" w:type="dxa"/>
            <w:tcBorders>
              <w:top w:val="single" w:color="000000" w:sz="4" w:space="0"/>
              <w:left w:val="single" w:color="auto" w:sz="4" w:space="0"/>
              <w:bottom w:val="single" w:color="000000" w:sz="4" w:space="0"/>
              <w:right w:val="single" w:color="000000" w:sz="4" w:space="0"/>
            </w:tcBorders>
            <w:vAlign w:val="center"/>
          </w:tcPr>
          <w:p w14:paraId="0462917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权利与义务</w:t>
            </w:r>
          </w:p>
        </w:tc>
        <w:tc>
          <w:tcPr>
            <w:tcW w:w="6939" w:type="dxa"/>
            <w:tcBorders>
              <w:top w:val="single" w:color="000000" w:sz="4" w:space="0"/>
              <w:left w:val="single" w:color="000000" w:sz="4" w:space="0"/>
              <w:bottom w:val="single" w:color="000000" w:sz="4" w:space="0"/>
              <w:right w:val="single" w:color="000000" w:sz="4" w:space="0"/>
            </w:tcBorders>
            <w:vAlign w:val="center"/>
          </w:tcPr>
          <w:p w14:paraId="51BC68C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满足招标文件第五章 合同条款的约定。</w:t>
            </w:r>
          </w:p>
        </w:tc>
        <w:tc>
          <w:tcPr>
            <w:tcW w:w="1000" w:type="dxa"/>
            <w:tcBorders>
              <w:top w:val="single" w:color="000000" w:sz="4" w:space="0"/>
              <w:left w:val="single" w:color="000000" w:sz="4" w:space="0"/>
              <w:bottom w:val="single" w:color="000000" w:sz="4" w:space="0"/>
              <w:right w:val="single" w:color="000000" w:sz="4" w:space="0"/>
            </w:tcBorders>
          </w:tcPr>
          <w:p w14:paraId="4858572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0AFEC34E">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14F7C25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5</w:t>
            </w:r>
          </w:p>
        </w:tc>
        <w:tc>
          <w:tcPr>
            <w:tcW w:w="1466" w:type="dxa"/>
            <w:tcBorders>
              <w:top w:val="single" w:color="000000" w:sz="4" w:space="0"/>
              <w:left w:val="single" w:color="auto" w:sz="4" w:space="0"/>
              <w:bottom w:val="single" w:color="000000" w:sz="4" w:space="0"/>
              <w:right w:val="single" w:color="000000" w:sz="4" w:space="0"/>
            </w:tcBorders>
            <w:vAlign w:val="center"/>
          </w:tcPr>
          <w:p w14:paraId="0F231FF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投标有效期</w:t>
            </w:r>
          </w:p>
        </w:tc>
        <w:tc>
          <w:tcPr>
            <w:tcW w:w="6939" w:type="dxa"/>
            <w:tcBorders>
              <w:top w:val="single" w:color="000000" w:sz="4" w:space="0"/>
              <w:left w:val="single" w:color="000000" w:sz="4" w:space="0"/>
              <w:bottom w:val="single" w:color="000000" w:sz="4" w:space="0"/>
              <w:right w:val="single" w:color="000000" w:sz="4" w:space="0"/>
            </w:tcBorders>
            <w:vAlign w:val="center"/>
          </w:tcPr>
          <w:p w14:paraId="5EBC599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投标截止之日后90天（日历天）。</w:t>
            </w:r>
          </w:p>
        </w:tc>
        <w:tc>
          <w:tcPr>
            <w:tcW w:w="1000" w:type="dxa"/>
            <w:tcBorders>
              <w:top w:val="single" w:color="000000" w:sz="4" w:space="0"/>
              <w:left w:val="single" w:color="000000" w:sz="4" w:space="0"/>
              <w:bottom w:val="single" w:color="000000" w:sz="4" w:space="0"/>
              <w:right w:val="single" w:color="000000" w:sz="4" w:space="0"/>
            </w:tcBorders>
          </w:tcPr>
          <w:p w14:paraId="03AA5B1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7156401A">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379E663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6</w:t>
            </w:r>
          </w:p>
        </w:tc>
        <w:tc>
          <w:tcPr>
            <w:tcW w:w="1466" w:type="dxa"/>
            <w:tcBorders>
              <w:top w:val="single" w:color="000000" w:sz="4" w:space="0"/>
              <w:left w:val="single" w:color="auto" w:sz="4" w:space="0"/>
              <w:bottom w:val="single" w:color="000000" w:sz="4" w:space="0"/>
              <w:right w:val="single" w:color="000000" w:sz="4" w:space="0"/>
            </w:tcBorders>
            <w:vAlign w:val="center"/>
          </w:tcPr>
          <w:p w14:paraId="0901282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技术参数</w:t>
            </w:r>
          </w:p>
        </w:tc>
        <w:tc>
          <w:tcPr>
            <w:tcW w:w="6939" w:type="dxa"/>
            <w:tcBorders>
              <w:top w:val="single" w:color="000000" w:sz="4" w:space="0"/>
              <w:left w:val="single" w:color="000000" w:sz="4" w:space="0"/>
              <w:bottom w:val="single" w:color="000000" w:sz="4" w:space="0"/>
              <w:right w:val="single" w:color="000000" w:sz="4" w:space="0"/>
            </w:tcBorders>
            <w:vAlign w:val="center"/>
          </w:tcPr>
          <w:p w14:paraId="0AB5229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招标文件中</w:t>
            </w:r>
            <w:r>
              <w:rPr>
                <w:rFonts w:hint="eastAsia" w:ascii="宋体" w:hAnsi="宋体" w:eastAsia="宋体" w:cs="宋体"/>
                <w:sz w:val="24"/>
                <w:szCs w:val="24"/>
              </w:rPr>
              <w:t>要求的技术参数均</w:t>
            </w:r>
            <w:r>
              <w:rPr>
                <w:rFonts w:hint="eastAsia" w:ascii="宋体" w:hAnsi="宋体" w:eastAsia="宋体" w:cs="宋体"/>
                <w:sz w:val="24"/>
                <w:szCs w:val="24"/>
                <w:lang w:val="zh-CN"/>
              </w:rPr>
              <w:t>不允许负偏离。</w:t>
            </w:r>
          </w:p>
        </w:tc>
        <w:tc>
          <w:tcPr>
            <w:tcW w:w="1000" w:type="dxa"/>
            <w:tcBorders>
              <w:top w:val="single" w:color="000000" w:sz="4" w:space="0"/>
              <w:left w:val="single" w:color="000000" w:sz="4" w:space="0"/>
              <w:bottom w:val="single" w:color="000000" w:sz="4" w:space="0"/>
              <w:right w:val="single" w:color="000000" w:sz="4" w:space="0"/>
            </w:tcBorders>
          </w:tcPr>
          <w:p w14:paraId="1BD0952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288B5A16">
        <w:tblPrEx>
          <w:tblCellMar>
            <w:top w:w="0" w:type="dxa"/>
            <w:left w:w="108" w:type="dxa"/>
            <w:bottom w:w="0" w:type="dxa"/>
            <w:right w:w="108" w:type="dxa"/>
          </w:tblCellMar>
        </w:tblPrEx>
        <w:trPr>
          <w:cantSplit/>
          <w:trHeight w:val="678" w:hRule="atLeast"/>
        </w:trPr>
        <w:tc>
          <w:tcPr>
            <w:tcW w:w="733" w:type="dxa"/>
            <w:tcBorders>
              <w:top w:val="single" w:color="auto" w:sz="4" w:space="0"/>
              <w:left w:val="single" w:color="auto" w:sz="4" w:space="0"/>
              <w:bottom w:val="single" w:color="auto" w:sz="4" w:space="0"/>
              <w:right w:val="single" w:color="auto" w:sz="4" w:space="0"/>
            </w:tcBorders>
            <w:vAlign w:val="center"/>
          </w:tcPr>
          <w:p w14:paraId="45B031D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7</w:t>
            </w:r>
          </w:p>
        </w:tc>
        <w:tc>
          <w:tcPr>
            <w:tcW w:w="1466" w:type="dxa"/>
            <w:tcBorders>
              <w:top w:val="single" w:color="000000" w:sz="4" w:space="0"/>
              <w:left w:val="single" w:color="auto" w:sz="4" w:space="0"/>
              <w:bottom w:val="single" w:color="000000" w:sz="4" w:space="0"/>
              <w:right w:val="single" w:color="000000" w:sz="4" w:space="0"/>
            </w:tcBorders>
            <w:vAlign w:val="center"/>
          </w:tcPr>
          <w:p w14:paraId="3F61508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投标保证金</w:t>
            </w:r>
          </w:p>
        </w:tc>
        <w:tc>
          <w:tcPr>
            <w:tcW w:w="6939" w:type="dxa"/>
            <w:tcBorders>
              <w:top w:val="single" w:color="000000" w:sz="4" w:space="0"/>
              <w:left w:val="single" w:color="000000" w:sz="4" w:space="0"/>
              <w:bottom w:val="single" w:color="000000" w:sz="4" w:space="0"/>
              <w:right w:val="single" w:color="000000" w:sz="4" w:space="0"/>
            </w:tcBorders>
            <w:vAlign w:val="center"/>
          </w:tcPr>
          <w:p w14:paraId="3600633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标书内附投标保证金缴纳凭证或投标保函，及基本账户信息复印件加盖单位公章。</w:t>
            </w:r>
          </w:p>
        </w:tc>
        <w:tc>
          <w:tcPr>
            <w:tcW w:w="1000" w:type="dxa"/>
            <w:tcBorders>
              <w:top w:val="single" w:color="000000" w:sz="4" w:space="0"/>
              <w:left w:val="single" w:color="000000" w:sz="4" w:space="0"/>
              <w:bottom w:val="single" w:color="000000" w:sz="4" w:space="0"/>
              <w:right w:val="single" w:color="000000" w:sz="4" w:space="0"/>
            </w:tcBorders>
          </w:tcPr>
          <w:p w14:paraId="53D90CC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031B9748">
        <w:tblPrEx>
          <w:tblCellMar>
            <w:top w:w="0" w:type="dxa"/>
            <w:left w:w="108" w:type="dxa"/>
            <w:bottom w:w="0" w:type="dxa"/>
            <w:right w:w="108" w:type="dxa"/>
          </w:tblCellMar>
        </w:tblPrEx>
        <w:trPr>
          <w:cantSplit/>
          <w:trHeight w:val="1044" w:hRule="atLeast"/>
        </w:trPr>
        <w:tc>
          <w:tcPr>
            <w:tcW w:w="733" w:type="dxa"/>
            <w:tcBorders>
              <w:top w:val="single" w:color="auto" w:sz="4" w:space="0"/>
              <w:left w:val="single" w:color="auto" w:sz="4" w:space="0"/>
              <w:bottom w:val="single" w:color="auto" w:sz="4" w:space="0"/>
              <w:right w:val="single" w:color="auto" w:sz="4" w:space="0"/>
            </w:tcBorders>
            <w:vAlign w:val="center"/>
          </w:tcPr>
          <w:p w14:paraId="74CE12F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8</w:t>
            </w:r>
          </w:p>
        </w:tc>
        <w:tc>
          <w:tcPr>
            <w:tcW w:w="1466" w:type="dxa"/>
            <w:tcBorders>
              <w:top w:val="single" w:color="000000" w:sz="4" w:space="0"/>
              <w:left w:val="single" w:color="auto" w:sz="4" w:space="0"/>
              <w:bottom w:val="single" w:color="000000" w:sz="4" w:space="0"/>
              <w:right w:val="single" w:color="000000" w:sz="4" w:space="0"/>
            </w:tcBorders>
            <w:vAlign w:val="center"/>
          </w:tcPr>
          <w:p w14:paraId="1F9508E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投标报价</w:t>
            </w:r>
          </w:p>
        </w:tc>
        <w:tc>
          <w:tcPr>
            <w:tcW w:w="6939" w:type="dxa"/>
            <w:tcBorders>
              <w:top w:val="single" w:color="000000" w:sz="4" w:space="0"/>
              <w:left w:val="single" w:color="000000" w:sz="4" w:space="0"/>
              <w:bottom w:val="single" w:color="000000" w:sz="4" w:space="0"/>
              <w:right w:val="single" w:color="000000" w:sz="4" w:space="0"/>
            </w:tcBorders>
            <w:vAlign w:val="center"/>
          </w:tcPr>
          <w:p w14:paraId="292EBC9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不超出最高投标限价单价及总价。</w:t>
            </w:r>
          </w:p>
          <w:p w14:paraId="6D82CAF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注：超出采购预算的投标报价视为无效报价，投标将被否决。</w:t>
            </w:r>
          </w:p>
        </w:tc>
        <w:tc>
          <w:tcPr>
            <w:tcW w:w="1000" w:type="dxa"/>
            <w:tcBorders>
              <w:top w:val="single" w:color="000000" w:sz="4" w:space="0"/>
              <w:left w:val="single" w:color="000000" w:sz="4" w:space="0"/>
              <w:bottom w:val="single" w:color="000000" w:sz="4" w:space="0"/>
              <w:right w:val="single" w:color="000000" w:sz="4" w:space="0"/>
            </w:tcBorders>
          </w:tcPr>
          <w:p w14:paraId="7A8E6BD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12DC3465">
        <w:tblPrEx>
          <w:tblCellMar>
            <w:top w:w="0" w:type="dxa"/>
            <w:left w:w="108" w:type="dxa"/>
            <w:bottom w:w="0" w:type="dxa"/>
            <w:right w:w="108" w:type="dxa"/>
          </w:tblCellMar>
        </w:tblPrEx>
        <w:trPr>
          <w:cantSplit/>
          <w:trHeight w:val="624" w:hRule="atLeast"/>
        </w:trPr>
        <w:tc>
          <w:tcPr>
            <w:tcW w:w="733" w:type="dxa"/>
            <w:tcBorders>
              <w:top w:val="single" w:color="auto" w:sz="4" w:space="0"/>
              <w:left w:val="single" w:color="auto" w:sz="4" w:space="0"/>
              <w:bottom w:val="single" w:color="auto" w:sz="4" w:space="0"/>
              <w:right w:val="single" w:color="auto" w:sz="4" w:space="0"/>
            </w:tcBorders>
            <w:shd w:val="clear" w:color="auto" w:fill="auto"/>
            <w:vAlign w:val="center"/>
          </w:tcPr>
          <w:p w14:paraId="190EE39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9</w:t>
            </w:r>
          </w:p>
        </w:tc>
        <w:tc>
          <w:tcPr>
            <w:tcW w:w="1466" w:type="dxa"/>
            <w:tcBorders>
              <w:top w:val="single" w:color="000000" w:sz="4" w:space="0"/>
              <w:left w:val="single" w:color="auto" w:sz="4" w:space="0"/>
              <w:bottom w:val="single" w:color="000000" w:sz="4" w:space="0"/>
              <w:right w:val="single" w:color="000000" w:sz="4" w:space="0"/>
            </w:tcBorders>
            <w:shd w:val="clear" w:color="auto" w:fill="auto"/>
            <w:vAlign w:val="center"/>
          </w:tcPr>
          <w:p w14:paraId="73997BA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文件签署</w:t>
            </w:r>
          </w:p>
        </w:tc>
        <w:tc>
          <w:tcPr>
            <w:tcW w:w="6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1E8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w:t>
            </w:r>
            <w:r>
              <w:rPr>
                <w:rFonts w:hint="eastAsia" w:ascii="宋体" w:hAnsi="宋体" w:eastAsia="宋体" w:cs="宋体"/>
                <w:sz w:val="24"/>
                <w:szCs w:val="24"/>
                <w:lang w:val="zh-CN"/>
              </w:rPr>
              <w:t>文件上法定代表人或其授权代表人的签字齐全。</w:t>
            </w:r>
          </w:p>
        </w:tc>
        <w:tc>
          <w:tcPr>
            <w:tcW w:w="1000" w:type="dxa"/>
            <w:tcBorders>
              <w:top w:val="single" w:color="000000" w:sz="4" w:space="0"/>
              <w:left w:val="single" w:color="000000" w:sz="4" w:space="0"/>
              <w:bottom w:val="single" w:color="000000" w:sz="4" w:space="0"/>
              <w:right w:val="single" w:color="000000" w:sz="4" w:space="0"/>
            </w:tcBorders>
          </w:tcPr>
          <w:p w14:paraId="271E3AD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4B9A70BE">
        <w:tblPrEx>
          <w:tblCellMar>
            <w:top w:w="0" w:type="dxa"/>
            <w:left w:w="108" w:type="dxa"/>
            <w:bottom w:w="0" w:type="dxa"/>
            <w:right w:w="108" w:type="dxa"/>
          </w:tblCellMar>
        </w:tblPrEx>
        <w:trPr>
          <w:cantSplit/>
          <w:trHeight w:val="678" w:hRule="atLeast"/>
        </w:trPr>
        <w:tc>
          <w:tcPr>
            <w:tcW w:w="733" w:type="dxa"/>
            <w:tcBorders>
              <w:top w:val="single" w:color="auto" w:sz="4" w:space="0"/>
              <w:left w:val="single" w:color="auto" w:sz="4" w:space="0"/>
              <w:bottom w:val="single" w:color="auto" w:sz="4" w:space="0"/>
              <w:right w:val="single" w:color="auto" w:sz="4" w:space="0"/>
            </w:tcBorders>
            <w:shd w:val="clear" w:color="auto" w:fill="auto"/>
            <w:vAlign w:val="center"/>
          </w:tcPr>
          <w:p w14:paraId="5B322B3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10</w:t>
            </w:r>
          </w:p>
        </w:tc>
        <w:tc>
          <w:tcPr>
            <w:tcW w:w="1466" w:type="dxa"/>
            <w:tcBorders>
              <w:top w:val="single" w:color="000000" w:sz="4" w:space="0"/>
              <w:left w:val="single" w:color="auto" w:sz="4" w:space="0"/>
              <w:bottom w:val="single" w:color="000000" w:sz="4" w:space="0"/>
              <w:right w:val="single" w:color="000000" w:sz="4" w:space="0"/>
            </w:tcBorders>
            <w:shd w:val="clear" w:color="auto" w:fill="auto"/>
            <w:vAlign w:val="center"/>
          </w:tcPr>
          <w:p w14:paraId="48B8F2C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投标文件格式</w:t>
            </w:r>
          </w:p>
        </w:tc>
        <w:tc>
          <w:tcPr>
            <w:tcW w:w="6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B36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满足招标文件的要求</w:t>
            </w:r>
          </w:p>
        </w:tc>
        <w:tc>
          <w:tcPr>
            <w:tcW w:w="1000" w:type="dxa"/>
            <w:tcBorders>
              <w:top w:val="single" w:color="000000" w:sz="4" w:space="0"/>
              <w:left w:val="single" w:color="000000" w:sz="4" w:space="0"/>
              <w:bottom w:val="single" w:color="000000" w:sz="4" w:space="0"/>
              <w:right w:val="single" w:color="000000" w:sz="4" w:space="0"/>
            </w:tcBorders>
          </w:tcPr>
          <w:p w14:paraId="7950D90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2F529B14">
        <w:tblPrEx>
          <w:tblCellMar>
            <w:top w:w="0" w:type="dxa"/>
            <w:left w:w="108" w:type="dxa"/>
            <w:bottom w:w="0" w:type="dxa"/>
            <w:right w:w="108" w:type="dxa"/>
          </w:tblCellMar>
        </w:tblPrEx>
        <w:trPr>
          <w:cantSplit/>
          <w:trHeight w:val="624" w:hRule="atLeast"/>
        </w:trPr>
        <w:tc>
          <w:tcPr>
            <w:tcW w:w="733" w:type="dxa"/>
            <w:tcBorders>
              <w:top w:val="single" w:color="auto" w:sz="4" w:space="0"/>
              <w:left w:val="single" w:color="auto" w:sz="4" w:space="0"/>
              <w:bottom w:val="single" w:color="auto" w:sz="4" w:space="0"/>
              <w:right w:val="single" w:color="auto" w:sz="4" w:space="0"/>
            </w:tcBorders>
            <w:vAlign w:val="center"/>
          </w:tcPr>
          <w:p w14:paraId="03BA5D2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11</w:t>
            </w:r>
          </w:p>
        </w:tc>
        <w:tc>
          <w:tcPr>
            <w:tcW w:w="1466" w:type="dxa"/>
            <w:tcBorders>
              <w:top w:val="single" w:color="000000" w:sz="4" w:space="0"/>
              <w:left w:val="single" w:color="auto" w:sz="4" w:space="0"/>
              <w:bottom w:val="single" w:color="000000" w:sz="4" w:space="0"/>
              <w:right w:val="single" w:color="000000" w:sz="4" w:space="0"/>
            </w:tcBorders>
            <w:shd w:val="clear" w:color="auto" w:fill="auto"/>
            <w:vAlign w:val="center"/>
          </w:tcPr>
          <w:p w14:paraId="6AA5353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其他要求</w:t>
            </w:r>
          </w:p>
        </w:tc>
        <w:tc>
          <w:tcPr>
            <w:tcW w:w="6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61C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招标文件中要求其他需要满足的实质性内容。</w:t>
            </w:r>
          </w:p>
        </w:tc>
        <w:tc>
          <w:tcPr>
            <w:tcW w:w="1000" w:type="dxa"/>
            <w:tcBorders>
              <w:top w:val="single" w:color="000000" w:sz="4" w:space="0"/>
              <w:left w:val="single" w:color="000000" w:sz="4" w:space="0"/>
              <w:bottom w:val="single" w:color="000000" w:sz="4" w:space="0"/>
              <w:right w:val="single" w:color="000000" w:sz="4" w:space="0"/>
            </w:tcBorders>
          </w:tcPr>
          <w:p w14:paraId="26A2DFE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r w14:paraId="723C4CD9">
        <w:tblPrEx>
          <w:tblCellMar>
            <w:top w:w="0" w:type="dxa"/>
            <w:left w:w="108" w:type="dxa"/>
            <w:bottom w:w="0" w:type="dxa"/>
            <w:right w:w="108" w:type="dxa"/>
          </w:tblCellMar>
        </w:tblPrEx>
        <w:trPr>
          <w:cantSplit/>
          <w:trHeight w:val="635" w:hRule="atLeast"/>
        </w:trPr>
        <w:tc>
          <w:tcPr>
            <w:tcW w:w="9138" w:type="dxa"/>
            <w:gridSpan w:val="3"/>
            <w:tcBorders>
              <w:top w:val="single" w:color="000000" w:sz="4" w:space="0"/>
              <w:left w:val="single" w:color="000000" w:sz="4" w:space="0"/>
              <w:bottom w:val="single" w:color="000000" w:sz="4" w:space="0"/>
              <w:right w:val="single" w:color="000000" w:sz="4" w:space="0"/>
            </w:tcBorders>
            <w:vAlign w:val="center"/>
          </w:tcPr>
          <w:p w14:paraId="15B1C4AC">
            <w:pPr>
              <w:pStyle w:val="23"/>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评审结果</w:t>
            </w:r>
          </w:p>
        </w:tc>
        <w:tc>
          <w:tcPr>
            <w:tcW w:w="1000" w:type="dxa"/>
            <w:tcBorders>
              <w:top w:val="single" w:color="000000" w:sz="4" w:space="0"/>
              <w:left w:val="single" w:color="000000" w:sz="4" w:space="0"/>
              <w:bottom w:val="single" w:color="000000" w:sz="4" w:space="0"/>
              <w:right w:val="single" w:color="000000" w:sz="4" w:space="0"/>
            </w:tcBorders>
          </w:tcPr>
          <w:p w14:paraId="028840D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tc>
      </w:tr>
    </w:tbl>
    <w:p w14:paraId="1A57B8FA">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（二）澄清有关问题</w:t>
      </w:r>
    </w:p>
    <w:p w14:paraId="36F8E207">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1.对于投标文件中含义不明确、同类问题表述不一致或者有明显文字和计算错误的内容，评标委员会将向投标人发出通知并要求投标人在通知的时间内作出必要的澄清、说明或者补正。</w:t>
      </w:r>
    </w:p>
    <w:p w14:paraId="3FBE319B">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投标人应当按照要求提交澄清、说明或者补正。投标人的澄清、说明或者补正不得超出投标文件的范围或者改变投标文件的实质性内容。</w:t>
      </w:r>
    </w:p>
    <w:p w14:paraId="7B82CCF1">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2.投标文件报价出现前后不一致的，除招标文件另有规定外，按照下列规定修正：</w:t>
      </w:r>
    </w:p>
    <w:p w14:paraId="7F4EC5C0">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2C478A28">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305A9669">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77A69243">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2BD3CE0E">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同时出现两种以上不一致的，按照前款规定的顺序修正。修正后的报价需要供应商确认，投标人不确认的，其投标无效。</w:t>
      </w:r>
    </w:p>
    <w:p w14:paraId="5D516DB7">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评标委员会认为投标人的报价明显低于其他通过符合性审查投标人的报价，有可能影响产品质量或者不能诚信履约的，应当要求其在合理时间内进行说明，必要时提交相关证明材料；投标人不能证明其报价合理性的，评标委员会应当将其作为无效投标处理。</w:t>
      </w:r>
    </w:p>
    <w:p w14:paraId="4129AB00">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（三）综合比较与评价</w:t>
      </w:r>
    </w:p>
    <w:p w14:paraId="711BAB62">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评标委员会应当按照招标文件中规定的评标方法和标准，对符合性审查合格的投标文件进行商务和技术评估，综合比较与评价。</w:t>
      </w:r>
    </w:p>
    <w:p w14:paraId="1DA9CAF9">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（四）复核评标结果</w:t>
      </w:r>
    </w:p>
    <w:p w14:paraId="0D9674E5">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评标结果汇总完成后，除下列情形外，任何人不得修改评标结果：</w:t>
      </w:r>
    </w:p>
    <w:p w14:paraId="1781B30C">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（1）资格性检查认定错误的；</w:t>
      </w:r>
    </w:p>
    <w:p w14:paraId="2BDC212C">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（2）分值汇总计算错误的；</w:t>
      </w:r>
    </w:p>
    <w:p w14:paraId="452E2F6D">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（3）分项评分超出评分标准范围的；</w:t>
      </w:r>
    </w:p>
    <w:p w14:paraId="0B31821C">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（4）评标委员会成员对客观评审因素评分不一致的；</w:t>
      </w:r>
    </w:p>
    <w:p w14:paraId="140F0A71">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（5）经评标委员会认定评分畸高、畸低的。</w:t>
      </w:r>
    </w:p>
    <w:p w14:paraId="1612AF04">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8183F6E">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（五）推荐中标候选人名单</w:t>
      </w:r>
    </w:p>
    <w:p w14:paraId="6A83C458">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评标结果按评审后得分由高到低顺序排列；得分相同的，按投标报价（指投标报价经算术修正和落实政府采购政策需进行的价格扣除后的投标价格）由低到高顺序排列；得分且投标报价（落实政府采购政策需进行的价格扣除后的投标价格）相同的，按技术服务评分由高到低顺序排列；得分、投标报价（落实政府采购政策需进行的价格扣除后的投标价格）且技术服务评分相同的，按所投产品列入政府优先采购产品类别认证证书多少顺序排列；以上均相同的，按提交投标文件时间先后顺序排列。分包采购的，每包评标结果按上述规则排列。</w:t>
      </w:r>
    </w:p>
    <w:p w14:paraId="09E3A485">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1.评标委员会按照评标结果排列顺序确定中标候选人排名。</w:t>
      </w:r>
    </w:p>
    <w:p w14:paraId="53EAFD3A">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（六）确定中标人</w:t>
      </w:r>
    </w:p>
    <w:p w14:paraId="6EBEFEC9">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本项目受采购人委托评标委员会直接确定中标供应商。评标委员会应当根据综合评分情况，按照评审得分由高到低顺序推荐得分前三的投标人为本项目中标候选人，确定排名第一的中标候选人为本项目的中标人。</w:t>
      </w:r>
    </w:p>
    <w:p w14:paraId="60029B29">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（七）编写评标报告</w:t>
      </w:r>
    </w:p>
    <w:p w14:paraId="4AF2D90F">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根据全体评标成员签字的原始评标记录和评标结果编写评标报告。评标委员会应当在评标报告上签字，对自己的评审意见承担法律责任。对评标报告有异议的，应当在评标报告上签署不同意见，并说明理由，否则视为同意评标报告。</w:t>
      </w:r>
    </w:p>
    <w:p w14:paraId="24E4F9DD">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注：在招标采购中，出现下列情形之一的，应予废标：</w:t>
      </w:r>
    </w:p>
    <w:p w14:paraId="36F863BE">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（1）符合专业条件的供应商或者对招标文件作实质响应的供应商不足三家的；</w:t>
      </w:r>
    </w:p>
    <w:p w14:paraId="18A16903">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14:paraId="1BE0CFE4">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（3）投标人的报价均超过了采购预算，采购人不能支付的；</w:t>
      </w:r>
    </w:p>
    <w:p w14:paraId="09D898C1">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（4）因重大变故，采购任务取消的。</w:t>
      </w:r>
    </w:p>
    <w:p w14:paraId="0629A03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bookmarkStart w:id="92" w:name="三、评标标准"/>
      <w:bookmarkEnd w:id="92"/>
      <w:r>
        <w:rPr>
          <w:rFonts w:hint="eastAsia" w:ascii="宋体" w:hAnsi="宋体" w:eastAsia="宋体" w:cs="宋体"/>
          <w:sz w:val="24"/>
          <w:szCs w:val="24"/>
        </w:rPr>
        <w:t>三、评标标准</w:t>
      </w:r>
    </w:p>
    <w:p w14:paraId="27F058FD">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本项目评分满分100分，由</w:t>
      </w:r>
      <w:r>
        <w:rPr>
          <w:rFonts w:hint="eastAsia" w:ascii="宋体" w:hAnsi="宋体" w:eastAsia="宋体" w:cs="宋体"/>
          <w:kern w:val="1"/>
          <w:sz w:val="24"/>
          <w:szCs w:val="24"/>
          <w:lang w:val="zh-CN"/>
        </w:rPr>
        <w:t>技术部分、商务部分</w:t>
      </w:r>
      <w:r>
        <w:rPr>
          <w:rFonts w:hint="eastAsia" w:ascii="宋体" w:hAnsi="宋体" w:eastAsia="宋体" w:cs="宋体"/>
          <w:sz w:val="24"/>
          <w:szCs w:val="24"/>
        </w:rPr>
        <w:t>和投标报价三部分构成，具体评分细则附后，每项评分按四舍五入原则精确到小数点后两位。</w:t>
      </w:r>
    </w:p>
    <w:p w14:paraId="0ECFC859">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1.价格评分按以下两个步骤进行：</w:t>
      </w:r>
    </w:p>
    <w:p w14:paraId="57F1C057">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1.1落实政府采购政策需进行的价格扣除</w:t>
      </w:r>
    </w:p>
    <w:p w14:paraId="7A0474B5">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依照《政府采购促进中小企业发展管理办法》的规定，凡符合要求的有效投标人，按照本招标文件规定的比例给予相应的价格扣除。</w:t>
      </w:r>
    </w:p>
    <w:p w14:paraId="53850482">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1.2价格评分的计算</w:t>
      </w:r>
    </w:p>
    <w:p w14:paraId="7B537EB0">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价格分统一采用低价优先法计算，各有效投标人的评标价（指投标报价经算术修正和落实政府采购政策需进行的价格扣除后的价格）中，取最低价为评标基准价，其价格分为满分。其他投标人的价格分统一按照下列公式计算：</w:t>
      </w:r>
    </w:p>
    <w:p w14:paraId="33F543AD">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价格评分=（评标基准价／评标价）×价格评分分值</w:t>
      </w:r>
    </w:p>
    <w:p w14:paraId="6D37722D">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评标价仅用于计算价格评分，中标金额以实际投标价为准。</w:t>
      </w:r>
    </w:p>
    <w:p w14:paraId="0BAD018C">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技术服务评分和商务评分根据评审因素性质，分为主观评分项和客观评分项。主观评分项需要借助专业知识评判，应由评标委员会成员按照评分细则独立、公正评分；客观评分项的评分应由评标委员会成员共同认定，分值应当一致，存在不同意见的，评标委员会成员分别作出书面说明。</w:t>
      </w:r>
    </w:p>
    <w:p w14:paraId="1C61F8E0">
      <w:pPr>
        <w:pStyle w:val="64"/>
        <w:pageBreakBefore w:val="0"/>
        <w:kinsoku/>
        <w:wordWrap/>
        <w:overflowPunct/>
        <w:topLinePunct w:val="0"/>
        <w:bidi w:val="0"/>
        <w:spacing w:beforeAutospacing="0" w:afterAutospacing="0"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3.投标人得分为评标委员会所有成员评分之和的平均值。</w:t>
      </w:r>
    </w:p>
    <w:p w14:paraId="330B0D6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7F011D73">
      <w:pPr>
        <w:pStyle w:val="64"/>
        <w:pageBreakBefore w:val="0"/>
        <w:kinsoku/>
        <w:wordWrap/>
        <w:overflowPunct/>
        <w:topLinePunct w:val="0"/>
        <w:bidi w:val="0"/>
        <w:spacing w:beforeAutospacing="0" w:afterAutospacing="0" w:line="360" w:lineRule="auto"/>
        <w:ind w:firstLine="480"/>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评分细则</w:t>
      </w:r>
    </w:p>
    <w:p w14:paraId="0863A28A">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评标办法：【政府采购】综合评分法</w:t>
      </w:r>
    </w:p>
    <w:p w14:paraId="1853D4D6">
      <w:pPr>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包1：二次供水加压设备</w:t>
      </w:r>
    </w:p>
    <w:p w14:paraId="4A9B09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bl>
      <w:tblPr>
        <w:tblStyle w:val="30"/>
        <w:tblW w:w="0" w:type="auto"/>
        <w:jc w:val="center"/>
        <w:tblLayout w:type="fixed"/>
        <w:tblCellMar>
          <w:top w:w="0" w:type="dxa"/>
          <w:left w:w="108" w:type="dxa"/>
          <w:bottom w:w="0" w:type="dxa"/>
          <w:right w:w="108" w:type="dxa"/>
        </w:tblCellMar>
      </w:tblPr>
      <w:tblGrid>
        <w:gridCol w:w="799"/>
        <w:gridCol w:w="2165"/>
        <w:gridCol w:w="5425"/>
        <w:gridCol w:w="795"/>
      </w:tblGrid>
      <w:tr w14:paraId="537492FA">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3211B18A">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65" w:type="dxa"/>
            <w:tcBorders>
              <w:top w:val="single" w:color="auto" w:sz="4" w:space="0"/>
              <w:left w:val="single" w:color="auto" w:sz="4" w:space="0"/>
              <w:bottom w:val="single" w:color="auto" w:sz="4" w:space="0"/>
              <w:right w:val="single" w:color="auto" w:sz="4" w:space="0"/>
            </w:tcBorders>
            <w:vAlign w:val="center"/>
          </w:tcPr>
          <w:p w14:paraId="17D22A09">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评审项目</w:t>
            </w:r>
          </w:p>
        </w:tc>
        <w:tc>
          <w:tcPr>
            <w:tcW w:w="5425" w:type="dxa"/>
            <w:tcBorders>
              <w:top w:val="single" w:color="auto" w:sz="4" w:space="0"/>
              <w:left w:val="single" w:color="auto" w:sz="4" w:space="0"/>
              <w:bottom w:val="single" w:color="auto" w:sz="4" w:space="0"/>
              <w:right w:val="single" w:color="auto" w:sz="4" w:space="0"/>
            </w:tcBorders>
            <w:vAlign w:val="center"/>
          </w:tcPr>
          <w:p w14:paraId="38704AA1">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w:t>
            </w:r>
          </w:p>
        </w:tc>
        <w:tc>
          <w:tcPr>
            <w:tcW w:w="795" w:type="dxa"/>
            <w:tcBorders>
              <w:top w:val="single" w:color="auto" w:sz="4" w:space="0"/>
              <w:left w:val="single" w:color="auto" w:sz="4" w:space="0"/>
              <w:bottom w:val="single" w:color="auto" w:sz="4" w:space="0"/>
              <w:right w:val="single" w:color="auto" w:sz="4" w:space="0"/>
            </w:tcBorders>
            <w:vAlign w:val="center"/>
          </w:tcPr>
          <w:p w14:paraId="34F94673">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25A69DB7">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auto" w:sz="4" w:space="0"/>
            </w:tcBorders>
            <w:vAlign w:val="center"/>
          </w:tcPr>
          <w:p w14:paraId="0437F0E3">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一、价格因素</w:t>
            </w:r>
          </w:p>
        </w:tc>
        <w:tc>
          <w:tcPr>
            <w:tcW w:w="795" w:type="dxa"/>
            <w:tcBorders>
              <w:top w:val="single" w:color="auto" w:sz="4" w:space="0"/>
              <w:left w:val="single" w:color="auto" w:sz="4" w:space="0"/>
              <w:bottom w:val="single" w:color="auto" w:sz="4" w:space="0"/>
              <w:right w:val="single" w:color="auto" w:sz="4" w:space="0"/>
            </w:tcBorders>
            <w:vAlign w:val="center"/>
          </w:tcPr>
          <w:p w14:paraId="7FBB2B76">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r>
      <w:tr w14:paraId="70F01E39">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017E760F">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5" w:type="dxa"/>
            <w:tcBorders>
              <w:top w:val="single" w:color="auto" w:sz="4" w:space="0"/>
              <w:left w:val="single" w:color="auto" w:sz="4" w:space="0"/>
              <w:bottom w:val="single" w:color="auto" w:sz="4" w:space="0"/>
              <w:right w:val="single" w:color="auto" w:sz="4" w:space="0"/>
            </w:tcBorders>
            <w:vAlign w:val="center"/>
          </w:tcPr>
          <w:p w14:paraId="3D2F148C">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5425" w:type="dxa"/>
            <w:tcBorders>
              <w:top w:val="single" w:color="auto" w:sz="4" w:space="0"/>
              <w:left w:val="single" w:color="auto" w:sz="4" w:space="0"/>
              <w:bottom w:val="single" w:color="auto" w:sz="4" w:space="0"/>
              <w:right w:val="single" w:color="auto" w:sz="4" w:space="0"/>
            </w:tcBorders>
            <w:vAlign w:val="center"/>
          </w:tcPr>
          <w:p w14:paraId="52B2897E">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应当采用低价优先法计算，即满足招标文件要求且投标价格最低的投标报价为评标基准价，其价格分为满分。其他投标人的价格分统一按照下列公式计算：投标报价得分=(评标基准价／投标报价)×30%×100（注：因落实政府采购政策进行价格调整的，以调整后的价格计算评标基准价和投标报价）</w:t>
            </w:r>
          </w:p>
        </w:tc>
        <w:tc>
          <w:tcPr>
            <w:tcW w:w="795" w:type="dxa"/>
            <w:tcBorders>
              <w:top w:val="single" w:color="auto" w:sz="4" w:space="0"/>
              <w:left w:val="single" w:color="auto" w:sz="4" w:space="0"/>
              <w:bottom w:val="single" w:color="auto" w:sz="4" w:space="0"/>
              <w:right w:val="single" w:color="auto" w:sz="4" w:space="0"/>
            </w:tcBorders>
            <w:vAlign w:val="center"/>
          </w:tcPr>
          <w:p w14:paraId="5B913B1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r>
      <w:tr w14:paraId="6EA881FB">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auto" w:sz="4" w:space="0"/>
            </w:tcBorders>
            <w:vAlign w:val="center"/>
          </w:tcPr>
          <w:p w14:paraId="243CA796">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二、商务因素</w:t>
            </w:r>
          </w:p>
        </w:tc>
        <w:tc>
          <w:tcPr>
            <w:tcW w:w="795" w:type="dxa"/>
            <w:tcBorders>
              <w:top w:val="single" w:color="000000" w:sz="4" w:space="0"/>
              <w:left w:val="single" w:color="auto" w:sz="4" w:space="0"/>
              <w:bottom w:val="single" w:color="000000" w:sz="4" w:space="0"/>
              <w:right w:val="single" w:color="auto" w:sz="4" w:space="0"/>
            </w:tcBorders>
            <w:vAlign w:val="center"/>
          </w:tcPr>
          <w:p w14:paraId="1ECE88E0">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03124D16">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087EC08F">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5" w:type="dxa"/>
            <w:tcBorders>
              <w:top w:val="single" w:color="000000" w:sz="4" w:space="0"/>
              <w:left w:val="single" w:color="auto" w:sz="4" w:space="0"/>
              <w:bottom w:val="single" w:color="000000" w:sz="4" w:space="0"/>
              <w:right w:val="single" w:color="auto" w:sz="4" w:space="0"/>
            </w:tcBorders>
            <w:vAlign w:val="center"/>
          </w:tcPr>
          <w:p w14:paraId="5E18C51E">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同类业绩</w:t>
            </w:r>
          </w:p>
        </w:tc>
        <w:tc>
          <w:tcPr>
            <w:tcW w:w="5425" w:type="dxa"/>
            <w:tcBorders>
              <w:top w:val="single" w:color="auto" w:sz="4" w:space="0"/>
              <w:left w:val="single" w:color="auto" w:sz="4" w:space="0"/>
              <w:bottom w:val="single" w:color="auto" w:sz="4" w:space="0"/>
              <w:right w:val="single" w:color="auto" w:sz="4" w:space="0"/>
            </w:tcBorders>
            <w:vAlign w:val="center"/>
          </w:tcPr>
          <w:p w14:paraId="30EC1511">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每提供一项投标产品的</w:t>
            </w:r>
            <w:r>
              <w:rPr>
                <w:rStyle w:val="92"/>
                <w:rFonts w:hint="eastAsia" w:ascii="宋体" w:hAnsi="宋体" w:eastAsia="宋体" w:cs="宋体"/>
                <w:color w:val="auto"/>
                <w:sz w:val="24"/>
                <w:szCs w:val="24"/>
                <w:highlight w:val="none"/>
              </w:rPr>
              <w:t>（2023年1月1日（以合同签订时间为准）至今）同类项目业绩（采</w:t>
            </w:r>
            <w:r>
              <w:rPr>
                <w:rFonts w:hint="eastAsia" w:ascii="宋体" w:hAnsi="宋体" w:eastAsia="宋体" w:cs="宋体"/>
                <w:color w:val="auto"/>
                <w:sz w:val="24"/>
                <w:szCs w:val="24"/>
                <w:highlight w:val="none"/>
              </w:rPr>
              <w:t>购标的中含智能变频调速供水设备或智能无负压（叠压）供水设备</w:t>
            </w:r>
            <w:r>
              <w:rPr>
                <w:rStyle w:val="92"/>
                <w:rFonts w:hint="eastAsia" w:ascii="宋体" w:hAnsi="宋体" w:eastAsia="宋体" w:cs="宋体"/>
                <w:color w:val="auto"/>
                <w:sz w:val="24"/>
                <w:szCs w:val="24"/>
                <w:highlight w:val="none"/>
              </w:rPr>
              <w:t>得1分，满分2分。（评分依据：投标文件中附合同扫描件或复印件、设备。）</w:t>
            </w:r>
          </w:p>
        </w:tc>
        <w:tc>
          <w:tcPr>
            <w:tcW w:w="795" w:type="dxa"/>
            <w:tcBorders>
              <w:top w:val="single" w:color="auto" w:sz="4" w:space="0"/>
              <w:left w:val="single" w:color="auto" w:sz="4" w:space="0"/>
              <w:bottom w:val="single" w:color="auto" w:sz="4" w:space="0"/>
              <w:right w:val="single" w:color="auto" w:sz="4" w:space="0"/>
            </w:tcBorders>
            <w:vAlign w:val="center"/>
          </w:tcPr>
          <w:p w14:paraId="2527630B">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49E907A9">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509292B8">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65" w:type="dxa"/>
            <w:tcBorders>
              <w:top w:val="single" w:color="000000" w:sz="4" w:space="0"/>
              <w:left w:val="single" w:color="auto" w:sz="4" w:space="0"/>
              <w:bottom w:val="single" w:color="000000" w:sz="4" w:space="0"/>
              <w:right w:val="single" w:color="auto" w:sz="4" w:space="0"/>
            </w:tcBorders>
            <w:vAlign w:val="center"/>
          </w:tcPr>
          <w:p w14:paraId="32A0FF71">
            <w:pPr>
              <w:pageBreakBefore w:val="0"/>
              <w:kinsoku/>
              <w:wordWrap/>
              <w:overflowPunct/>
              <w:topLinePunct w:val="0"/>
              <w:bidi w:val="0"/>
              <w:spacing w:beforeAutospacing="0" w:afterAutospacing="0"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交货期</w:t>
            </w:r>
          </w:p>
        </w:tc>
        <w:tc>
          <w:tcPr>
            <w:tcW w:w="5425" w:type="dxa"/>
            <w:tcBorders>
              <w:top w:val="single" w:color="auto" w:sz="4" w:space="0"/>
              <w:left w:val="single" w:color="auto" w:sz="4" w:space="0"/>
              <w:bottom w:val="single" w:color="auto" w:sz="4" w:space="0"/>
              <w:right w:val="single" w:color="auto" w:sz="4" w:space="0"/>
            </w:tcBorders>
            <w:vAlign w:val="center"/>
          </w:tcPr>
          <w:p w14:paraId="68FA5444">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满足招标文件要求的交货期基础上，每提前5天加1分，此项最高得分2分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(评分依据：在投标文件中提供承诺书加盖投标人公章)</w:t>
            </w:r>
          </w:p>
        </w:tc>
        <w:tc>
          <w:tcPr>
            <w:tcW w:w="795" w:type="dxa"/>
            <w:tcBorders>
              <w:top w:val="single" w:color="auto" w:sz="4" w:space="0"/>
              <w:left w:val="single" w:color="auto" w:sz="4" w:space="0"/>
              <w:bottom w:val="single" w:color="auto" w:sz="4" w:space="0"/>
              <w:right w:val="single" w:color="auto" w:sz="4" w:space="0"/>
            </w:tcBorders>
            <w:vAlign w:val="center"/>
          </w:tcPr>
          <w:p w14:paraId="1DCC3BF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62C041A7">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505CAC8E">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65" w:type="dxa"/>
            <w:tcBorders>
              <w:top w:val="single" w:color="000000" w:sz="4" w:space="0"/>
              <w:left w:val="single" w:color="auto" w:sz="4" w:space="0"/>
              <w:bottom w:val="single" w:color="000000" w:sz="4" w:space="0"/>
              <w:right w:val="single" w:color="auto" w:sz="4" w:space="0"/>
            </w:tcBorders>
            <w:vAlign w:val="center"/>
          </w:tcPr>
          <w:p w14:paraId="69595A9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tc>
        <w:tc>
          <w:tcPr>
            <w:tcW w:w="5425" w:type="dxa"/>
            <w:tcBorders>
              <w:top w:val="single" w:color="auto" w:sz="4" w:space="0"/>
              <w:left w:val="single" w:color="auto" w:sz="4" w:space="0"/>
              <w:bottom w:val="single" w:color="auto" w:sz="4" w:space="0"/>
              <w:right w:val="single" w:color="auto" w:sz="4" w:space="0"/>
            </w:tcBorders>
            <w:vAlign w:val="center"/>
          </w:tcPr>
          <w:p w14:paraId="3AF9B77C">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承诺（1）整机质保（原厂保修，含易损件）至少1年。质保期内如有产品质量问题，无条件调换，非质量问题，保修期内免费维修及更换损坏配件。且质量保证措施方案内容完整、保证措施合理可行，在此基础上每延长一年，得1分，此项最高得分1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(评分依据：投标文件内需提供由投标人和制造商盖章的承诺函)</w:t>
            </w:r>
          </w:p>
          <w:p w14:paraId="1EC18318">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承诺（2）水泵质保至少5年。质保期内如有产品质量问题，无条件调换，非质量问题，保修期内免费维修及更换损坏配件。且质量保证措施方案内容完整、保证措施合理可行，在此基础上每延长2年，得1分，此项最高得分2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(评分依据：投标文件内需提供由投标人和制造商盖章的承诺函及质量保障措施方案)</w:t>
            </w:r>
          </w:p>
        </w:tc>
        <w:tc>
          <w:tcPr>
            <w:tcW w:w="795" w:type="dxa"/>
            <w:tcBorders>
              <w:top w:val="single" w:color="auto" w:sz="4" w:space="0"/>
              <w:left w:val="single" w:color="auto" w:sz="4" w:space="0"/>
              <w:bottom w:val="single" w:color="auto" w:sz="4" w:space="0"/>
              <w:right w:val="single" w:color="auto" w:sz="4" w:space="0"/>
            </w:tcBorders>
            <w:vAlign w:val="center"/>
          </w:tcPr>
          <w:p w14:paraId="4E55DB62">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r>
      <w:tr w14:paraId="7DDD23E8">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197D3B98">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65" w:type="dxa"/>
            <w:tcBorders>
              <w:top w:val="single" w:color="000000" w:sz="4" w:space="0"/>
              <w:left w:val="single" w:color="auto" w:sz="4" w:space="0"/>
              <w:bottom w:val="single" w:color="000000" w:sz="4" w:space="0"/>
              <w:right w:val="single" w:color="auto" w:sz="4" w:space="0"/>
            </w:tcBorders>
            <w:vAlign w:val="center"/>
          </w:tcPr>
          <w:p w14:paraId="4A02C225">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专利证书</w:t>
            </w:r>
          </w:p>
        </w:tc>
        <w:tc>
          <w:tcPr>
            <w:tcW w:w="5425" w:type="dxa"/>
            <w:tcBorders>
              <w:top w:val="single" w:color="auto" w:sz="4" w:space="0"/>
              <w:left w:val="single" w:color="auto" w:sz="4" w:space="0"/>
              <w:bottom w:val="single" w:color="auto" w:sz="4" w:space="0"/>
              <w:right w:val="single" w:color="auto" w:sz="4" w:space="0"/>
            </w:tcBorders>
            <w:vAlign w:val="center"/>
          </w:tcPr>
          <w:p w14:paraId="54763FCC">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投标人或制造商拥有和采购内容相关的成套无负压供水设备的授权发明专利，每个发明专利得0.5分，最多得3分。(评分依据：</w:t>
            </w:r>
            <w:r>
              <w:rPr>
                <w:rFonts w:hint="eastAsia" w:ascii="宋体" w:hAnsi="宋体" w:eastAsia="宋体" w:cs="宋体"/>
                <w:color w:val="auto"/>
                <w:sz w:val="24"/>
                <w:szCs w:val="24"/>
                <w:highlight w:val="none"/>
                <w:lang w:val="zh-CN"/>
              </w:rPr>
              <w:t>投标文件内附</w:t>
            </w:r>
            <w:r>
              <w:rPr>
                <w:rFonts w:hint="eastAsia" w:ascii="宋体" w:hAnsi="宋体" w:eastAsia="宋体" w:cs="宋体"/>
                <w:color w:val="auto"/>
                <w:sz w:val="24"/>
                <w:szCs w:val="24"/>
                <w:highlight w:val="none"/>
              </w:rPr>
              <w:t>成套无负压供水设备</w:t>
            </w:r>
            <w:r>
              <w:rPr>
                <w:rFonts w:hint="eastAsia" w:ascii="宋体" w:hAnsi="宋体" w:eastAsia="宋体" w:cs="宋体"/>
                <w:color w:val="auto"/>
                <w:sz w:val="24"/>
                <w:szCs w:val="24"/>
                <w:highlight w:val="none"/>
                <w:lang w:val="zh-CN"/>
              </w:rPr>
              <w:t>发明专利证书复印件，</w:t>
            </w:r>
            <w:r>
              <w:rPr>
                <w:rFonts w:hint="eastAsia" w:ascii="宋体" w:hAnsi="宋体" w:eastAsia="宋体" w:cs="宋体"/>
                <w:color w:val="auto"/>
                <w:sz w:val="24"/>
                <w:szCs w:val="24"/>
                <w:highlight w:val="none"/>
              </w:rPr>
              <w:t>国家知识产权局授权公告页、专利权利人须为投标人或制造商自身、专利处于有效状态。单独水泵或其他部件专利不得分。)</w:t>
            </w:r>
          </w:p>
        </w:tc>
        <w:tc>
          <w:tcPr>
            <w:tcW w:w="795" w:type="dxa"/>
            <w:tcBorders>
              <w:top w:val="single" w:color="auto" w:sz="4" w:space="0"/>
              <w:left w:val="single" w:color="auto" w:sz="4" w:space="0"/>
              <w:bottom w:val="single" w:color="auto" w:sz="4" w:space="0"/>
              <w:right w:val="single" w:color="auto" w:sz="4" w:space="0"/>
            </w:tcBorders>
            <w:vAlign w:val="center"/>
          </w:tcPr>
          <w:p w14:paraId="178ED24E">
            <w:pPr>
              <w:pageBreakBefore w:val="0"/>
              <w:widowControl/>
              <w:kinsoku/>
              <w:wordWrap/>
              <w:overflowPunct/>
              <w:topLinePunct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r>
      <w:tr w14:paraId="373E93E9">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auto" w:sz="4" w:space="0"/>
            </w:tcBorders>
            <w:vAlign w:val="center"/>
          </w:tcPr>
          <w:p w14:paraId="4B0AA026">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三、技术因素</w:t>
            </w:r>
          </w:p>
        </w:tc>
        <w:tc>
          <w:tcPr>
            <w:tcW w:w="795" w:type="dxa"/>
            <w:tcBorders>
              <w:top w:val="single" w:color="auto" w:sz="4" w:space="0"/>
              <w:left w:val="single" w:color="auto" w:sz="4" w:space="0"/>
              <w:bottom w:val="single" w:color="auto" w:sz="4" w:space="0"/>
              <w:right w:val="single" w:color="auto" w:sz="4" w:space="0"/>
            </w:tcBorders>
            <w:vAlign w:val="center"/>
          </w:tcPr>
          <w:p w14:paraId="41D2B9C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p>
        </w:tc>
      </w:tr>
      <w:tr w14:paraId="4FD69E96">
        <w:tblPrEx>
          <w:tblCellMar>
            <w:top w:w="0" w:type="dxa"/>
            <w:left w:w="108" w:type="dxa"/>
            <w:bottom w:w="0" w:type="dxa"/>
            <w:right w:w="108" w:type="dxa"/>
          </w:tblCellMar>
        </w:tblPrEx>
        <w:trPr>
          <w:trHeight w:val="90" w:hRule="atLeast"/>
          <w:jc w:val="center"/>
        </w:trPr>
        <w:tc>
          <w:tcPr>
            <w:tcW w:w="799" w:type="dxa"/>
            <w:vMerge w:val="restart"/>
            <w:tcBorders>
              <w:top w:val="single" w:color="000000" w:sz="4" w:space="0"/>
              <w:left w:val="single" w:color="000000" w:sz="4" w:space="0"/>
              <w:right w:val="single" w:color="auto" w:sz="4" w:space="0"/>
            </w:tcBorders>
            <w:vAlign w:val="center"/>
          </w:tcPr>
          <w:p w14:paraId="232A95A8">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5" w:type="dxa"/>
            <w:vMerge w:val="restart"/>
            <w:tcBorders>
              <w:top w:val="single" w:color="auto" w:sz="4" w:space="0"/>
              <w:left w:val="single" w:color="auto" w:sz="4" w:space="0"/>
              <w:right w:val="single" w:color="auto" w:sz="4" w:space="0"/>
            </w:tcBorders>
            <w:vAlign w:val="center"/>
          </w:tcPr>
          <w:p w14:paraId="56E18731">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r>
              <w:rPr>
                <w:rStyle w:val="92"/>
                <w:rFonts w:hint="eastAsia" w:ascii="宋体" w:hAnsi="宋体" w:eastAsia="宋体" w:cs="宋体"/>
                <w:color w:val="auto"/>
                <w:sz w:val="24"/>
                <w:szCs w:val="24"/>
                <w:highlight w:val="none"/>
              </w:rPr>
              <w:t>技术需求（评分依据：投标人需如实对招标文件中的技术需求进行点对点应答，并详细填写采购需求偏离表，并需在采购需求偏离表的备注栏标明佐证材料的对应页码，佐证材料可以为所投产品的技术白皮书、或制造厂商官网发布的产品说明书、或产品公开印刷的彩页、第三方检测机构出具的检测报告，否则不得分。如虚假响应或提供虚假佐证材料，采购人及评标委员会有权追究其法律责任，并将违法情况上报主管部门，申请将其行为公示于信用中国网站（www.creditchina.gov.cn）和中国政府采购网（www.ccgp.gov.cn））</w:t>
            </w: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6927DCC1">
            <w:pPr>
              <w:pStyle w:val="95"/>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1.</w:t>
            </w:r>
            <w:r>
              <w:rPr>
                <w:rFonts w:hint="eastAsia" w:ascii="宋体" w:hAnsi="宋体" w:eastAsia="宋体" w:cs="宋体"/>
                <w:color w:val="auto"/>
                <w:sz w:val="24"/>
                <w:szCs w:val="24"/>
                <w:highlight w:val="none"/>
                <w:lang w:eastAsia="zh-CN"/>
              </w:rPr>
              <w:t>▲电控柜人机界面配套不低于10寸触摸式屏幕以便操作，电控柜需获得 CQC 认证证书（标书内附CQC认证证书）</w:t>
            </w:r>
          </w:p>
        </w:tc>
        <w:tc>
          <w:tcPr>
            <w:tcW w:w="795" w:type="dxa"/>
            <w:tcBorders>
              <w:top w:val="single" w:color="auto" w:sz="4" w:space="0"/>
              <w:left w:val="single" w:color="auto" w:sz="4" w:space="0"/>
              <w:bottom w:val="single" w:color="auto" w:sz="4" w:space="0"/>
              <w:right w:val="single" w:color="auto" w:sz="4" w:space="0"/>
            </w:tcBorders>
            <w:vAlign w:val="center"/>
          </w:tcPr>
          <w:p w14:paraId="0A640076">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7AA3C352">
        <w:tblPrEx>
          <w:tblCellMar>
            <w:top w:w="0" w:type="dxa"/>
            <w:left w:w="108" w:type="dxa"/>
            <w:bottom w:w="0" w:type="dxa"/>
            <w:right w:w="108" w:type="dxa"/>
          </w:tblCellMar>
        </w:tblPrEx>
        <w:trPr>
          <w:trHeight w:val="722" w:hRule="atLeast"/>
          <w:jc w:val="center"/>
        </w:trPr>
        <w:tc>
          <w:tcPr>
            <w:tcW w:w="799" w:type="dxa"/>
            <w:vMerge w:val="continue"/>
            <w:tcBorders>
              <w:left w:val="single" w:color="000000" w:sz="4" w:space="0"/>
              <w:right w:val="single" w:color="auto" w:sz="4" w:space="0"/>
            </w:tcBorders>
            <w:vAlign w:val="center"/>
          </w:tcPr>
          <w:p w14:paraId="7FA0B84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7DCCACBF">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41EE0B01">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pacing w:val="-4"/>
                <w:sz w:val="24"/>
                <w:szCs w:val="24"/>
                <w:highlight w:val="none"/>
              </w:rPr>
              <w:t>5.</w:t>
            </w:r>
            <w:r>
              <w:rPr>
                <w:rFonts w:hint="eastAsia" w:ascii="宋体" w:hAnsi="宋体" w:eastAsia="宋体" w:cs="宋体"/>
                <w:color w:val="auto"/>
                <w:kern w:val="0"/>
                <w:sz w:val="24"/>
                <w:szCs w:val="24"/>
                <w:highlight w:val="none"/>
              </w:rPr>
              <w:t>▲设备主要过流部件包括钢板、钢管、变径、叶轮、泵轴、导叶、法兰、套筒采用S30408及以上不锈钢。（每个主要过流部件需提供具备CMA资质的第三方机构出具的检验报告证明资料）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31D6751C">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4FD9A8C4">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632BA7C8">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05CE6BF5">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47EDD3E8">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（5）</w:t>
            </w:r>
            <w:r>
              <w:rPr>
                <w:rFonts w:hint="eastAsia" w:ascii="宋体" w:hAnsi="宋体" w:eastAsia="宋体" w:cs="宋体"/>
                <w:color w:val="auto"/>
                <w:kern w:val="0"/>
                <w:sz w:val="24"/>
                <w:szCs w:val="24"/>
                <w:highlight w:val="none"/>
              </w:rPr>
              <w:t>▲变频变量变压控制：设备应具备变量变压功能，即设备出水口压力应按其流量变化的管道特性曲线而变化，保证设备节能运行。设备能够自动根据用水流量、压力的变化自动优化运行工艺，实现节能。（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6A713204">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0F3C06D5">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4A4F4684">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5D90CCCD">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3726E512">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（8）</w:t>
            </w:r>
            <w:r>
              <w:rPr>
                <w:rFonts w:hint="eastAsia" w:ascii="宋体" w:hAnsi="宋体" w:eastAsia="宋体" w:cs="宋体"/>
                <w:color w:val="auto"/>
                <w:kern w:val="0"/>
                <w:sz w:val="24"/>
                <w:szCs w:val="24"/>
                <w:highlight w:val="none"/>
              </w:rPr>
              <w:t>▲一拖一全变频控制功能：设备配套水泵应采用一对一变频，即每台水泵配置一个水泵专用变频控制器，平时自动交替运行。任一变频控制器出现故障时，自动切换为备用泵和备用变频控制器替代故障变频控制器，控制整套系统设备自动运行的功能。（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703A032E">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020BC14C">
        <w:tblPrEx>
          <w:tblCellMar>
            <w:top w:w="0" w:type="dxa"/>
            <w:left w:w="108" w:type="dxa"/>
            <w:bottom w:w="0" w:type="dxa"/>
            <w:right w:w="108" w:type="dxa"/>
          </w:tblCellMar>
        </w:tblPrEx>
        <w:trPr>
          <w:trHeight w:val="1218" w:hRule="atLeast"/>
          <w:jc w:val="center"/>
        </w:trPr>
        <w:tc>
          <w:tcPr>
            <w:tcW w:w="799" w:type="dxa"/>
            <w:vMerge w:val="continue"/>
            <w:tcBorders>
              <w:left w:val="single" w:color="000000" w:sz="4" w:space="0"/>
              <w:right w:val="single" w:color="auto" w:sz="4" w:space="0"/>
            </w:tcBorders>
            <w:vAlign w:val="center"/>
          </w:tcPr>
          <w:p w14:paraId="0068D41C">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472AB67E">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6A5FFB1F">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叶轮：SUS304不锈钢材质，水泵叶轮采用激光全焊接（满焊），不得采用点焊。（标书内附叶轮的实拍图片，并提供水泵生产厂家出具的承诺书及激光焊接设备采购合同）</w:t>
            </w:r>
          </w:p>
        </w:tc>
        <w:tc>
          <w:tcPr>
            <w:tcW w:w="795" w:type="dxa"/>
            <w:tcBorders>
              <w:top w:val="single" w:color="auto" w:sz="4" w:space="0"/>
              <w:left w:val="single" w:color="auto" w:sz="4" w:space="0"/>
              <w:bottom w:val="single" w:color="auto" w:sz="4" w:space="0"/>
              <w:right w:val="single" w:color="auto" w:sz="4" w:space="0"/>
            </w:tcBorders>
            <w:vAlign w:val="center"/>
          </w:tcPr>
          <w:p w14:paraId="0AE603CE">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462DD3FD">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30177A54">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00668739">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1A91277C">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w:t>
            </w:r>
            <w:r>
              <w:rPr>
                <w:rFonts w:hint="eastAsia" w:ascii="宋体" w:hAnsi="宋体" w:eastAsia="宋体" w:cs="宋体"/>
                <w:color w:val="auto"/>
                <w:kern w:val="0"/>
                <w:sz w:val="24"/>
                <w:szCs w:val="24"/>
                <w:highlight w:val="none"/>
              </w:rPr>
              <w:t>▲泵头：泵头等铸件表面做电覆处理后再进行电泳工艺处理，泵头等铸件经铜加速乙酸盐雾试验（100h）检测结果应为10级。（提供第三方检验机构出具的检验报告证明资料）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290AFDF5">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537A78CC">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700CB84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70B5BCB3">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42794695">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（6）</w:t>
            </w:r>
            <w:r>
              <w:rPr>
                <w:rFonts w:hint="eastAsia" w:ascii="宋体" w:hAnsi="宋体" w:eastAsia="宋体" w:cs="宋体"/>
                <w:color w:val="auto"/>
                <w:kern w:val="0"/>
                <w:sz w:val="24"/>
                <w:szCs w:val="24"/>
                <w:highlight w:val="none"/>
              </w:rPr>
              <w:t>▲水泵的振动与噪音应符合 GB/T29529-2013《泵的噪声测量和评价方法》和 GB/T 29531-2013《泵的振动测量和评价方法》中的 A 级要求。（提供具备CMA资质的第三方机构出具的检验报告证明资料）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19418F1B">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276414F4">
        <w:tblPrEx>
          <w:tblCellMar>
            <w:top w:w="0" w:type="dxa"/>
            <w:left w:w="108" w:type="dxa"/>
            <w:bottom w:w="0" w:type="dxa"/>
            <w:right w:w="108" w:type="dxa"/>
          </w:tblCellMar>
        </w:tblPrEx>
        <w:trPr>
          <w:trHeight w:val="90" w:hRule="atLeast"/>
          <w:jc w:val="center"/>
        </w:trPr>
        <w:tc>
          <w:tcPr>
            <w:tcW w:w="799" w:type="dxa"/>
            <w:vMerge w:val="continue"/>
            <w:tcBorders>
              <w:left w:val="single" w:color="000000" w:sz="4" w:space="0"/>
              <w:right w:val="single" w:color="auto" w:sz="4" w:space="0"/>
            </w:tcBorders>
            <w:vAlign w:val="center"/>
          </w:tcPr>
          <w:p w14:paraId="5A9342D1">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18DD81F5">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51C13E3B">
            <w:pPr>
              <w:pStyle w:val="95"/>
              <w:pageBreakBefore w:val="0"/>
              <w:kinsoku/>
              <w:wordWrap/>
              <w:overflowPunct/>
              <w:topLinePunct w:val="0"/>
              <w:bidi w:val="0"/>
              <w:adjustRightInd w:val="0"/>
              <w:snapToGrid w:val="0"/>
              <w:spacing w:beforeAutospacing="0" w:afterAutospacing="0" w:line="360" w:lineRule="auto"/>
              <w:ind w:right="120" w:rightChars="5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4"/>
                <w:sz w:val="24"/>
                <w:szCs w:val="24"/>
                <w:highlight w:val="none"/>
                <w:lang w:eastAsia="zh-CN"/>
              </w:rPr>
              <w:t>（8）</w:t>
            </w:r>
            <w:r>
              <w:rPr>
                <w:rFonts w:hint="eastAsia" w:ascii="宋体" w:hAnsi="宋体" w:eastAsia="宋体" w:cs="宋体"/>
                <w:color w:val="auto"/>
                <w:sz w:val="24"/>
                <w:szCs w:val="24"/>
                <w:highlight w:val="none"/>
                <w:lang w:eastAsia="zh-CN"/>
              </w:rPr>
              <w:t>水泵在整个工作范围内，不应有异常振动和汽蚀发生，泵 Q/H 性能曲线应从关阀时最大扬程开始连续下降。水泵应能在2分钟内允许逆向水流引起的反向旋转，反向最高转速为正常转速的130%。（提供具备CMA资质的第三方机构出具的检验报告证明资料）</w:t>
            </w:r>
          </w:p>
          <w:p w14:paraId="78BEBF25">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6EC40921">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5B2488C7">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272557ED">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4B44E388">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58D30516">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机与动力线连接的连接片采用H65黄铜材质，并应采取电镀抗氧化性能优于黄铜的金属防护层以防护铜件在空气中氧化生锈，降低整个电机系统因接触问题而宕机的风险。（标书内附电机数据显示屏的实拍图片（提供实物照片及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62BE508F">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5BF0006F">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3CD030B8">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7779B52D">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1FA9A264">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（3）▲配套智能变速电机，智能变速电机需具有显示屏，实时数据显示</w:t>
            </w:r>
            <w:bookmarkStart w:id="152" w:name="_GoBack"/>
            <w:bookmarkEnd w:id="152"/>
            <w:r>
              <w:rPr>
                <w:rFonts w:hint="eastAsia" w:ascii="宋体" w:hAnsi="宋体" w:eastAsia="宋体" w:cs="宋体"/>
                <w:color w:val="auto"/>
                <w:sz w:val="24"/>
                <w:szCs w:val="24"/>
                <w:highlight w:val="none"/>
              </w:rPr>
              <w:t>功能，包括：电压、电流、频率、 电机转速、模块温度等数据显示，设有通讯接口， 便于数据读取、写入等。智能变速电机的输出频率分辨率不大于0.1Hz。（数据显示包括但不限于电压、电流、频率、 电机转速、模块温度等），并提供具备CMA资质的第三方机构出具的检验报告证明资料）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0F1464DB">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7BB77CC4">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582F2A71">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3030D415">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61403E4D">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（4）▲配套智能变速电机具有故障报警功能，具有过流保护，过压保护、过载保护、堵转保护、失压保护、过热保护功能以及报警输出功能，当有故障报警时，变频电机控制部分应有报警显示， 报警输出功能，变频电机能停止工作。（提供具备CMA资质的第三方机构出具的检验报告证明资料）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37C1112D">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75878CAE">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239D91BD">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7B4F2B2B">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04E69969">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（6）▲电机的绝缘胶带、绝缘套管、漆包线等主要绝缘材料绝缘等级采用H级。（提供具备CMA资质的第三方机构出具的检验报告证明资料）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7C023082">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2E863860">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6348C8B4">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6000AF4E">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742DC382">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（7）▲配套电机自身能够实现智能控制，具有不少于4路开关量输入，4路模拟量输入，2路开关量输出，2路模拟量输出。 根据接入的开关量输入信号及模拟量输入信号，根据负载的变化实时反馈，自动调节电机转速。（提供具备CMA资质的第三方机构出具的检验报告证明资料）</w:t>
            </w:r>
          </w:p>
        </w:tc>
        <w:tc>
          <w:tcPr>
            <w:tcW w:w="795" w:type="dxa"/>
            <w:tcBorders>
              <w:top w:val="single" w:color="auto" w:sz="4" w:space="0"/>
              <w:left w:val="single" w:color="auto" w:sz="4" w:space="0"/>
              <w:bottom w:val="single" w:color="auto" w:sz="4" w:space="0"/>
              <w:right w:val="single" w:color="auto" w:sz="4" w:space="0"/>
            </w:tcBorders>
            <w:vAlign w:val="center"/>
          </w:tcPr>
          <w:p w14:paraId="543A3D08">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4B241CAB">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4DE0A329">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6E3EEFB2">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628BAE7F">
            <w:pPr>
              <w:pStyle w:val="29"/>
              <w:pageBreakBefore w:val="0"/>
              <w:kinsoku/>
              <w:wordWrap/>
              <w:overflowPunct/>
              <w:topLinePunct w:val="0"/>
              <w:bidi w:val="0"/>
              <w:spacing w:beforeAutospacing="0" w:after="0" w:afterAutospacing="0"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8)▲电机获得中国质量认证中心签发的低碳产品认证证书（标书内附低碳产品认证证书复印件）。</w:t>
            </w:r>
          </w:p>
        </w:tc>
        <w:tc>
          <w:tcPr>
            <w:tcW w:w="795" w:type="dxa"/>
            <w:tcBorders>
              <w:top w:val="single" w:color="auto" w:sz="4" w:space="0"/>
              <w:left w:val="single" w:color="auto" w:sz="4" w:space="0"/>
              <w:bottom w:val="single" w:color="auto" w:sz="4" w:space="0"/>
              <w:right w:val="single" w:color="auto" w:sz="4" w:space="0"/>
            </w:tcBorders>
            <w:vAlign w:val="center"/>
          </w:tcPr>
          <w:p w14:paraId="1775962E">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3200B65A">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6303142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3B48E3F9">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2694AB19">
            <w:pPr>
              <w:pStyle w:val="95"/>
              <w:pageBreakBefore w:val="0"/>
              <w:kinsoku/>
              <w:wordWrap/>
              <w:overflowPunct/>
              <w:topLinePunct w:val="0"/>
              <w:bidi w:val="0"/>
              <w:adjustRightInd w:val="0"/>
              <w:snapToGrid w:val="0"/>
              <w:spacing w:beforeAutospacing="0" w:afterAutospacing="0"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7"/>
                <w:sz w:val="24"/>
                <w:szCs w:val="24"/>
                <w:highlight w:val="none"/>
                <w:lang w:eastAsia="zh-CN"/>
              </w:rPr>
              <w:t>不锈钢板：采用SUS316食品级不锈钢或SUS304不锈钢内衬食品级防腐材料，执行标准GB/T3280。（</w:t>
            </w:r>
            <w:r>
              <w:rPr>
                <w:rFonts w:hint="eastAsia" w:ascii="宋体" w:hAnsi="宋体" w:eastAsia="宋体" w:cs="宋体"/>
                <w:color w:val="auto"/>
                <w:sz w:val="24"/>
                <w:szCs w:val="24"/>
                <w:highlight w:val="none"/>
                <w:lang w:eastAsia="zh-CN"/>
              </w:rPr>
              <w:t>提供具备CMA资质的第三方机构出具的检验报告证明资料</w:t>
            </w:r>
            <w:r>
              <w:rPr>
                <w:rFonts w:hint="eastAsia" w:ascii="宋体" w:hAnsi="宋体" w:eastAsia="宋体" w:cs="宋体"/>
                <w:color w:val="auto"/>
                <w:spacing w:val="-7"/>
                <w:sz w:val="24"/>
                <w:szCs w:val="24"/>
                <w:highlight w:val="none"/>
                <w:lang w:eastAsia="zh-CN"/>
              </w:rPr>
              <w:t>）</w:t>
            </w:r>
          </w:p>
        </w:tc>
        <w:tc>
          <w:tcPr>
            <w:tcW w:w="795" w:type="dxa"/>
            <w:tcBorders>
              <w:top w:val="single" w:color="auto" w:sz="4" w:space="0"/>
              <w:left w:val="single" w:color="auto" w:sz="4" w:space="0"/>
              <w:bottom w:val="single" w:color="auto" w:sz="4" w:space="0"/>
              <w:right w:val="single" w:color="auto" w:sz="4" w:space="0"/>
            </w:tcBorders>
            <w:vAlign w:val="center"/>
          </w:tcPr>
          <w:p w14:paraId="562048D5">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54B222E2">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518E2410">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21ECAE77">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4C0C3551">
            <w:pPr>
              <w:pStyle w:val="95"/>
              <w:pageBreakBefore w:val="0"/>
              <w:kinsoku/>
              <w:wordWrap/>
              <w:overflowPunct/>
              <w:topLinePunct w:val="0"/>
              <w:bidi w:val="0"/>
              <w:adjustRightInd w:val="0"/>
              <w:snapToGrid w:val="0"/>
              <w:spacing w:beforeAutospacing="0" w:afterAutospacing="0"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7"/>
                <w:sz w:val="24"/>
                <w:szCs w:val="24"/>
                <w:highlight w:val="none"/>
                <w:lang w:eastAsia="zh-CN"/>
              </w:rPr>
              <w:t>不锈钢法兰：尺寸性能执行标准GB/T9119，采用SUS304不锈钢材质。（</w:t>
            </w:r>
            <w:r>
              <w:rPr>
                <w:rFonts w:hint="eastAsia" w:ascii="宋体" w:hAnsi="宋体" w:eastAsia="宋体" w:cs="宋体"/>
                <w:color w:val="auto"/>
                <w:sz w:val="24"/>
                <w:szCs w:val="24"/>
                <w:highlight w:val="none"/>
                <w:lang w:eastAsia="zh-CN"/>
              </w:rPr>
              <w:t>提供具备CMA资质的第三方机构出具的检验报告证明资料</w:t>
            </w:r>
            <w:r>
              <w:rPr>
                <w:rFonts w:hint="eastAsia" w:ascii="宋体" w:hAnsi="宋体" w:eastAsia="宋体" w:cs="宋体"/>
                <w:color w:val="auto"/>
                <w:spacing w:val="-7"/>
                <w:sz w:val="24"/>
                <w:szCs w:val="24"/>
                <w:highlight w:val="none"/>
                <w:lang w:eastAsia="zh-CN"/>
              </w:rPr>
              <w:t>）</w:t>
            </w:r>
          </w:p>
        </w:tc>
        <w:tc>
          <w:tcPr>
            <w:tcW w:w="795" w:type="dxa"/>
            <w:tcBorders>
              <w:top w:val="single" w:color="auto" w:sz="4" w:space="0"/>
              <w:left w:val="single" w:color="auto" w:sz="4" w:space="0"/>
              <w:bottom w:val="single" w:color="auto" w:sz="4" w:space="0"/>
              <w:right w:val="single" w:color="auto" w:sz="4" w:space="0"/>
            </w:tcBorders>
            <w:vAlign w:val="center"/>
          </w:tcPr>
          <w:p w14:paraId="05B293C3">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080B9E06">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right w:val="single" w:color="auto" w:sz="4" w:space="0"/>
            </w:tcBorders>
            <w:vAlign w:val="center"/>
          </w:tcPr>
          <w:p w14:paraId="02AEC41C">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right w:val="single" w:color="auto" w:sz="4" w:space="0"/>
            </w:tcBorders>
            <w:vAlign w:val="center"/>
          </w:tcPr>
          <w:p w14:paraId="0BBC7074">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65A8FC0A">
            <w:pPr>
              <w:pStyle w:val="95"/>
              <w:pageBreakBefore w:val="0"/>
              <w:kinsoku/>
              <w:wordWrap/>
              <w:overflowPunct/>
              <w:topLinePunct w:val="0"/>
              <w:bidi w:val="0"/>
              <w:adjustRightInd w:val="0"/>
              <w:snapToGrid w:val="0"/>
              <w:spacing w:beforeAutospacing="0" w:afterAutospacing="0"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7"/>
                <w:sz w:val="24"/>
                <w:szCs w:val="24"/>
                <w:highlight w:val="none"/>
                <w:lang w:eastAsia="zh-CN"/>
              </w:rPr>
              <w:t>弯头及变径：采用SUS316食品级不锈钢或SUS304不锈钢内衬食品级防腐材料。执行标准GB/T12459钢制</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"http://baike.baidu.com/subview/514730/514730.htm"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7"/>
                <w:sz w:val="24"/>
                <w:szCs w:val="24"/>
                <w:highlight w:val="none"/>
                <w:lang w:eastAsia="zh-CN"/>
              </w:rPr>
              <w:t>对焊</w:t>
            </w:r>
            <w:r>
              <w:rPr>
                <w:rFonts w:hint="eastAsia" w:ascii="宋体" w:hAnsi="宋体" w:eastAsia="宋体" w:cs="宋体"/>
                <w:color w:val="auto"/>
                <w:spacing w:val="-7"/>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"http://baike.baidu.com/view/18744.htm"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7"/>
                <w:sz w:val="24"/>
                <w:szCs w:val="24"/>
                <w:highlight w:val="none"/>
                <w:lang w:eastAsia="zh-CN"/>
              </w:rPr>
              <w:t>管件</w:t>
            </w:r>
            <w:r>
              <w:rPr>
                <w:rFonts w:hint="eastAsia" w:ascii="宋体" w:hAnsi="宋体" w:eastAsia="宋体" w:cs="宋体"/>
                <w:color w:val="auto"/>
                <w:spacing w:val="-7"/>
                <w:sz w:val="24"/>
                <w:szCs w:val="24"/>
                <w:highlight w:val="none"/>
                <w:lang w:eastAsia="zh-CN"/>
              </w:rPr>
              <w:fldChar w:fldCharType="end"/>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z w:val="24"/>
                <w:szCs w:val="24"/>
                <w:highlight w:val="none"/>
                <w:lang w:eastAsia="zh-CN"/>
              </w:rPr>
              <w:t>提供具备CMA资质的第三方机构出具的检验报告证明资料</w:t>
            </w:r>
            <w:r>
              <w:rPr>
                <w:rFonts w:hint="eastAsia" w:ascii="宋体" w:hAnsi="宋体" w:eastAsia="宋体" w:cs="宋体"/>
                <w:color w:val="auto"/>
                <w:spacing w:val="-7"/>
                <w:sz w:val="24"/>
                <w:szCs w:val="24"/>
                <w:highlight w:val="none"/>
                <w:lang w:eastAsia="zh-CN"/>
              </w:rPr>
              <w:t>）</w:t>
            </w:r>
          </w:p>
        </w:tc>
        <w:tc>
          <w:tcPr>
            <w:tcW w:w="795" w:type="dxa"/>
            <w:tcBorders>
              <w:top w:val="single" w:color="auto" w:sz="4" w:space="0"/>
              <w:left w:val="single" w:color="auto" w:sz="4" w:space="0"/>
              <w:bottom w:val="single" w:color="auto" w:sz="4" w:space="0"/>
              <w:right w:val="single" w:color="auto" w:sz="4" w:space="0"/>
            </w:tcBorders>
            <w:vAlign w:val="center"/>
          </w:tcPr>
          <w:p w14:paraId="301FE2E5">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332B6C41">
        <w:tblPrEx>
          <w:tblCellMar>
            <w:top w:w="0" w:type="dxa"/>
            <w:left w:w="108" w:type="dxa"/>
            <w:bottom w:w="0" w:type="dxa"/>
            <w:right w:w="108" w:type="dxa"/>
          </w:tblCellMar>
        </w:tblPrEx>
        <w:trPr>
          <w:trHeight w:val="1134" w:hRule="atLeast"/>
          <w:jc w:val="center"/>
        </w:trPr>
        <w:tc>
          <w:tcPr>
            <w:tcW w:w="799" w:type="dxa"/>
            <w:vMerge w:val="continue"/>
            <w:tcBorders>
              <w:left w:val="single" w:color="000000" w:sz="4" w:space="0"/>
              <w:bottom w:val="single" w:color="auto" w:sz="4" w:space="0"/>
              <w:right w:val="single" w:color="auto" w:sz="4" w:space="0"/>
            </w:tcBorders>
            <w:vAlign w:val="center"/>
          </w:tcPr>
          <w:p w14:paraId="68A20FE6">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p>
        </w:tc>
        <w:tc>
          <w:tcPr>
            <w:tcW w:w="2165" w:type="dxa"/>
            <w:vMerge w:val="continue"/>
            <w:tcBorders>
              <w:left w:val="single" w:color="auto" w:sz="4" w:space="0"/>
              <w:bottom w:val="single" w:color="auto" w:sz="4" w:space="0"/>
              <w:right w:val="single" w:color="auto" w:sz="4" w:space="0"/>
            </w:tcBorders>
            <w:vAlign w:val="center"/>
          </w:tcPr>
          <w:p w14:paraId="645BFB7E">
            <w:pPr>
              <w:pageBreakBefore w:val="0"/>
              <w:kinsoku/>
              <w:wordWrap/>
              <w:overflowPunct/>
              <w:topLinePunct w:val="0"/>
              <w:bidi w:val="0"/>
              <w:spacing w:beforeAutospacing="0" w:afterAutospacing="0" w:line="36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73F2EF21">
            <w:pPr>
              <w:pStyle w:val="95"/>
              <w:pageBreakBefore w:val="0"/>
              <w:kinsoku/>
              <w:wordWrap/>
              <w:overflowPunct/>
              <w:topLinePunct w:val="0"/>
              <w:bidi w:val="0"/>
              <w:adjustRightInd w:val="0"/>
              <w:snapToGrid w:val="0"/>
              <w:spacing w:beforeAutospacing="0" w:afterAutospacing="0"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7"/>
                <w:sz w:val="24"/>
                <w:szCs w:val="24"/>
                <w:highlight w:val="none"/>
                <w:lang w:eastAsia="zh-CN"/>
              </w:rPr>
              <w:t>不锈钢管道：采用SUS316食品级不锈钢或SUS304不锈钢内衬食品级防腐材料。执行标准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"http://www.baidu.com/link?url=IDUhl-ODgtGUjZfHIdt86S2XG0HJZZuLupMmn68gNdRTGhYTfFpTUdhj3IrdRXDRtltqkaBPUYTWJDf7G6cvnK"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7"/>
                <w:sz w:val="24"/>
                <w:szCs w:val="24"/>
                <w:highlight w:val="none"/>
                <w:lang w:eastAsia="zh-CN"/>
              </w:rPr>
              <w:t>GB/T29038</w:t>
            </w:r>
            <w:r>
              <w:rPr>
                <w:rFonts w:hint="eastAsia" w:ascii="宋体" w:hAnsi="宋体" w:eastAsia="宋体" w:cs="宋体"/>
                <w:color w:val="auto"/>
                <w:spacing w:val="-7"/>
                <w:sz w:val="24"/>
                <w:szCs w:val="24"/>
                <w:highlight w:val="none"/>
                <w:lang w:eastAsia="zh-CN"/>
              </w:rPr>
              <w:fldChar w:fldCharType="end"/>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z w:val="24"/>
                <w:szCs w:val="24"/>
                <w:highlight w:val="none"/>
                <w:lang w:eastAsia="zh-CN"/>
              </w:rPr>
              <w:t>提供具备CMA资质的第三方机构出具的检验报告证明资料</w:t>
            </w:r>
            <w:r>
              <w:rPr>
                <w:rFonts w:hint="eastAsia" w:ascii="宋体" w:hAnsi="宋体" w:eastAsia="宋体" w:cs="宋体"/>
                <w:color w:val="auto"/>
                <w:spacing w:val="-7"/>
                <w:sz w:val="24"/>
                <w:szCs w:val="24"/>
                <w:highlight w:val="none"/>
                <w:lang w:eastAsia="zh-CN"/>
              </w:rPr>
              <w:t>）</w:t>
            </w:r>
          </w:p>
        </w:tc>
        <w:tc>
          <w:tcPr>
            <w:tcW w:w="795" w:type="dxa"/>
            <w:tcBorders>
              <w:top w:val="single" w:color="auto" w:sz="4" w:space="0"/>
              <w:left w:val="single" w:color="auto" w:sz="4" w:space="0"/>
              <w:bottom w:val="single" w:color="auto" w:sz="4" w:space="0"/>
              <w:right w:val="single" w:color="auto" w:sz="4" w:space="0"/>
            </w:tcBorders>
            <w:vAlign w:val="center"/>
          </w:tcPr>
          <w:p w14:paraId="3F9B8A49">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21E0F3A1">
        <w:tblPrEx>
          <w:tblCellMar>
            <w:top w:w="0" w:type="dxa"/>
            <w:left w:w="108" w:type="dxa"/>
            <w:bottom w:w="0" w:type="dxa"/>
            <w:right w:w="108" w:type="dxa"/>
          </w:tblCellMar>
        </w:tblPrEx>
        <w:trPr>
          <w:trHeight w:val="1134" w:hRule="atLeast"/>
          <w:jc w:val="center"/>
        </w:trPr>
        <w:tc>
          <w:tcPr>
            <w:tcW w:w="799" w:type="dxa"/>
            <w:tcBorders>
              <w:top w:val="single" w:color="auto" w:sz="4" w:space="0"/>
              <w:left w:val="single" w:color="000000" w:sz="4" w:space="0"/>
              <w:right w:val="single" w:color="auto" w:sz="4" w:space="0"/>
            </w:tcBorders>
            <w:vAlign w:val="center"/>
          </w:tcPr>
          <w:p w14:paraId="1B008BAB">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65" w:type="dxa"/>
            <w:tcBorders>
              <w:top w:val="single" w:color="auto" w:sz="4" w:space="0"/>
              <w:left w:val="single" w:color="auto" w:sz="4" w:space="0"/>
              <w:right w:val="single" w:color="auto" w:sz="4" w:space="0"/>
            </w:tcBorders>
            <w:vAlign w:val="center"/>
          </w:tcPr>
          <w:p w14:paraId="25EB2DB0">
            <w:pPr>
              <w:pageBreakBefore w:val="0"/>
              <w:widowControl/>
              <w:kinsoku/>
              <w:wordWrap/>
              <w:overflowPunct/>
              <w:topLinePunct w:val="0"/>
              <w:bidi w:val="0"/>
              <w:spacing w:beforeAutospacing="0" w:afterAutospacing="0" w:line="360" w:lineRule="auto"/>
              <w:jc w:val="center"/>
              <w:textAlignment w:val="auto"/>
              <w:rPr>
                <w:rStyle w:val="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技术服务及项目实施方案</w:t>
            </w:r>
          </w:p>
        </w:tc>
        <w:tc>
          <w:tcPr>
            <w:tcW w:w="5425" w:type="dxa"/>
            <w:tcBorders>
              <w:top w:val="single" w:color="auto" w:sz="4" w:space="0"/>
              <w:left w:val="single" w:color="auto" w:sz="4" w:space="0"/>
              <w:right w:val="single" w:color="auto" w:sz="4" w:space="0"/>
            </w:tcBorders>
            <w:shd w:val="clear" w:color="auto" w:fill="auto"/>
            <w:vAlign w:val="center"/>
          </w:tcPr>
          <w:p w14:paraId="57528829">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应包含但不限于以下内容：</w:t>
            </w:r>
          </w:p>
          <w:p w14:paraId="409CD2A0">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1.企业技术中心</w:t>
            </w:r>
          </w:p>
          <w:p w14:paraId="3AB92B48">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2.选用的原材料</w:t>
            </w:r>
          </w:p>
          <w:p w14:paraId="7E517585">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3.生产加工设备</w:t>
            </w:r>
          </w:p>
          <w:p w14:paraId="0A8F3730">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4.运输、安装及调试</w:t>
            </w:r>
          </w:p>
          <w:p w14:paraId="6238C026">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5.焊接检测（至少具备1名无损检测相关（如RT、UT等）Ⅱ级及以上资格证书的人员）</w:t>
            </w:r>
          </w:p>
          <w:p w14:paraId="7EAA8FBC">
            <w:pPr>
              <w:pageBreakBefore w:val="0"/>
              <w:kinsoku/>
              <w:wordWrap/>
              <w:overflowPunct/>
              <w:topLinePunct w:val="0"/>
              <w:bidi w:val="0"/>
              <w:spacing w:beforeAutospacing="0" w:afterAutospacing="0" w:line="360" w:lineRule="auto"/>
              <w:jc w:val="left"/>
              <w:textAlignment w:val="auto"/>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pPr>
            <w:r>
              <w:rPr>
                <w:rFonts w:hint="eastAsia" w:ascii="宋体" w:hAnsi="宋体" w:eastAsia="宋体" w:cs="宋体"/>
                <w:color w:val="auto"/>
                <w:sz w:val="24"/>
                <w:szCs w:val="24"/>
                <w:highlight w:val="none"/>
              </w:rPr>
              <w:t>具有国家级认定企业技术中心（含投标人或所投设 备制造商的集团公司），加工机床数量、精度及质量领先，对运输、安装及调试可能发生的事件均针对性提供了考虑周全，方案内容及证明资料详细，</w:t>
            </w:r>
            <w:r>
              <w:rPr>
                <w:rFonts w:hint="eastAsia" w:ascii="宋体" w:hAnsi="宋体" w:eastAsia="宋体" w:cs="宋体"/>
                <w:color w:val="auto"/>
                <w:spacing w:val="0"/>
                <w:position w:val="0"/>
                <w:sz w:val="24"/>
                <w:szCs w:val="24"/>
                <w:highlight w:val="none"/>
              </w:rPr>
              <w:t>每项内容全面合理、可操作性强</w:t>
            </w: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，完全符合项目需求的，以上每提供1项服务方案，得2分，共计10分；每项方案内容只有简单描述，存在缺陷或不足的的得1分；未提供不得分。</w:t>
            </w:r>
          </w:p>
          <w:p w14:paraId="2C53208A">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pacing w:val="-7"/>
                <w:sz w:val="24"/>
                <w:szCs w:val="24"/>
                <w:highlight w:val="none"/>
              </w:rPr>
            </w:pP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缺陷或不足是指：方案存在不适用项目实际情况的情形、与采购标的的实现及履约无关、内容前后不一致、套用其他方案、凭空编造、逻辑漏洞、科学原理错误以及不可能实现的夸大情形情况、不符合实际，存在偏离内容、文不对题、前后逻辑错误、无具体流程细节描述之处）</w:t>
            </w:r>
          </w:p>
        </w:tc>
        <w:tc>
          <w:tcPr>
            <w:tcW w:w="795" w:type="dxa"/>
            <w:tcBorders>
              <w:top w:val="single" w:color="auto" w:sz="4" w:space="0"/>
              <w:left w:val="single" w:color="auto" w:sz="4" w:space="0"/>
              <w:bottom w:val="single" w:color="auto" w:sz="4" w:space="0"/>
              <w:right w:val="single" w:color="auto" w:sz="4" w:space="0"/>
            </w:tcBorders>
            <w:vAlign w:val="center"/>
          </w:tcPr>
          <w:p w14:paraId="6773A007">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76E4A737">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000000" w:sz="4" w:space="0"/>
            </w:tcBorders>
            <w:vAlign w:val="center"/>
          </w:tcPr>
          <w:p w14:paraId="4A217BEA">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四、服务因素</w:t>
            </w:r>
          </w:p>
        </w:tc>
        <w:tc>
          <w:tcPr>
            <w:tcW w:w="795" w:type="dxa"/>
            <w:tcBorders>
              <w:top w:val="single" w:color="auto" w:sz="4" w:space="0"/>
              <w:left w:val="nil"/>
              <w:bottom w:val="single" w:color="000000" w:sz="4" w:space="0"/>
              <w:right w:val="single" w:color="000000" w:sz="4" w:space="0"/>
            </w:tcBorders>
            <w:vAlign w:val="center"/>
          </w:tcPr>
          <w:p w14:paraId="32963C3B">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r>
      <w:tr w14:paraId="3FFF5DDE">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right w:val="single" w:color="000000" w:sz="4" w:space="0"/>
            </w:tcBorders>
            <w:vAlign w:val="center"/>
          </w:tcPr>
          <w:p w14:paraId="5ACDBE5C">
            <w:pPr>
              <w:pageBreakBefore w:val="0"/>
              <w:widowControl/>
              <w:kinsoku/>
              <w:wordWrap/>
              <w:overflowPunct/>
              <w:topLinePunct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5" w:type="dxa"/>
            <w:tcBorders>
              <w:top w:val="single" w:color="000000" w:sz="4" w:space="0"/>
              <w:left w:val="nil"/>
              <w:right w:val="single" w:color="000000" w:sz="4" w:space="0"/>
            </w:tcBorders>
            <w:shd w:val="clear" w:color="auto" w:fill="auto"/>
            <w:vAlign w:val="center"/>
          </w:tcPr>
          <w:p w14:paraId="625731C0">
            <w:pPr>
              <w:pageBreakBefore w:val="0"/>
              <w:kinsoku/>
              <w:wordWrap/>
              <w:overflowPunct/>
              <w:topLinePunct w:val="0"/>
              <w:autoSpaceDE w:val="0"/>
              <w:autoSpaceDN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tc>
        <w:tc>
          <w:tcPr>
            <w:tcW w:w="5425" w:type="dxa"/>
            <w:tcBorders>
              <w:top w:val="single" w:color="000000" w:sz="4" w:space="0"/>
              <w:left w:val="nil"/>
              <w:right w:val="single" w:color="000000" w:sz="4" w:space="0"/>
            </w:tcBorders>
            <w:shd w:val="clear" w:color="auto" w:fill="auto"/>
            <w:vAlign w:val="center"/>
          </w:tcPr>
          <w:p w14:paraId="02EB7E68">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应包含但不限于以下内容：</w:t>
            </w:r>
          </w:p>
          <w:p w14:paraId="679CB9D0">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1.售后人员配置及提供咨询技术指导；</w:t>
            </w:r>
          </w:p>
          <w:p w14:paraId="4C1018A2">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2.提供日常巡检</w:t>
            </w:r>
          </w:p>
          <w:p w14:paraId="77B586C3">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3.提供定期回访；</w:t>
            </w:r>
          </w:p>
          <w:p w14:paraId="505CEEC2">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4.提供响应时间；</w:t>
            </w:r>
          </w:p>
          <w:p w14:paraId="3AA1B257">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5.提供产品保修等。</w:t>
            </w:r>
          </w:p>
          <w:p w14:paraId="07F213EA">
            <w:pPr>
              <w:pageBreakBefore w:val="0"/>
              <w:kinsoku/>
              <w:wordWrap/>
              <w:overflowPunct/>
              <w:topLinePunct w:val="0"/>
              <w:bidi w:val="0"/>
              <w:spacing w:beforeAutospacing="0" w:afterAutospacing="0" w:line="360" w:lineRule="auto"/>
              <w:jc w:val="left"/>
              <w:textAlignment w:val="auto"/>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pPr>
            <w:r>
              <w:rPr>
                <w:rFonts w:hint="eastAsia" w:ascii="宋体" w:hAnsi="宋体" w:eastAsia="宋体" w:cs="宋体"/>
                <w:color w:val="auto"/>
                <w:sz w:val="24"/>
                <w:szCs w:val="24"/>
                <w:highlight w:val="none"/>
              </w:rPr>
              <w:t>方案内容详细，对项目的特点理解准确，售后人员各专业配备齐全，切合实际，以往类似项目巡检制度及回访长效完善，证明材料齐全，</w:t>
            </w:r>
            <w:r>
              <w:rPr>
                <w:rFonts w:hint="eastAsia" w:ascii="宋体" w:hAnsi="宋体" w:eastAsia="宋体" w:cs="宋体"/>
                <w:color w:val="auto"/>
                <w:spacing w:val="0"/>
                <w:position w:val="0"/>
                <w:sz w:val="24"/>
                <w:szCs w:val="24"/>
                <w:highlight w:val="none"/>
              </w:rPr>
              <w:t>每项内容全面合理、可操作性强</w:t>
            </w: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，完全符合项目需求的，以上每提供1项服务方案，得2分，共计10分；每项方案内容只有简单描述，存在缺陷或不足的的得1分；未提供不得分。</w:t>
            </w:r>
          </w:p>
          <w:p w14:paraId="1EA7C75E">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缺陷或不足是指：方案存在不适用项目实际情况的情形、与采购标的的实现及履约无关、内容前后不一致、套用其他方案、凭空编造、逻辑漏洞、科学原理错误以及不可能实现的夸大情形情况、不符合实际，存在偏离内容、文不对题、前后逻辑错误、无具体流程细节描述之处）</w:t>
            </w:r>
          </w:p>
        </w:tc>
        <w:tc>
          <w:tcPr>
            <w:tcW w:w="795" w:type="dxa"/>
            <w:tcBorders>
              <w:top w:val="single" w:color="000000" w:sz="4" w:space="0"/>
              <w:left w:val="nil"/>
              <w:right w:val="single" w:color="000000" w:sz="4" w:space="0"/>
            </w:tcBorders>
            <w:shd w:val="clear" w:color="auto" w:fill="auto"/>
            <w:vAlign w:val="center"/>
          </w:tcPr>
          <w:p w14:paraId="4B499D05">
            <w:pPr>
              <w:pageBreakBefore w:val="0"/>
              <w:kinsoku/>
              <w:wordWrap/>
              <w:overflowPunct/>
              <w:topLinePunct w:val="0"/>
              <w:autoSpaceDE w:val="0"/>
              <w:autoSpaceDN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43336FD8">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right w:val="single" w:color="000000" w:sz="4" w:space="0"/>
            </w:tcBorders>
            <w:vAlign w:val="center"/>
          </w:tcPr>
          <w:p w14:paraId="795CF9DC">
            <w:pPr>
              <w:pageBreakBefore w:val="0"/>
              <w:widowControl/>
              <w:kinsoku/>
              <w:wordWrap/>
              <w:overflowPunct/>
              <w:topLinePunct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65" w:type="dxa"/>
            <w:tcBorders>
              <w:top w:val="single" w:color="000000" w:sz="4" w:space="0"/>
              <w:left w:val="nil"/>
              <w:right w:val="single" w:color="000000" w:sz="4" w:space="0"/>
            </w:tcBorders>
            <w:shd w:val="clear" w:color="auto" w:fill="auto"/>
            <w:vAlign w:val="center"/>
          </w:tcPr>
          <w:p w14:paraId="06106CBB">
            <w:pPr>
              <w:pageBreakBefore w:val="0"/>
              <w:kinsoku/>
              <w:wordWrap/>
              <w:overflowPunct/>
              <w:topLinePunct w:val="0"/>
              <w:autoSpaceDE w:val="0"/>
              <w:autoSpaceDN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w:t>
            </w:r>
          </w:p>
        </w:tc>
        <w:tc>
          <w:tcPr>
            <w:tcW w:w="5425" w:type="dxa"/>
            <w:tcBorders>
              <w:top w:val="single" w:color="000000" w:sz="4" w:space="0"/>
              <w:left w:val="nil"/>
              <w:right w:val="single" w:color="000000" w:sz="4" w:space="0"/>
            </w:tcBorders>
            <w:shd w:val="clear" w:color="auto" w:fill="auto"/>
            <w:vAlign w:val="center"/>
          </w:tcPr>
          <w:p w14:paraId="5EE66ECE">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应包含但不限于以下内容：</w:t>
            </w:r>
          </w:p>
          <w:p w14:paraId="17B5AF5E">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1.提供培训计划及培训讲义；</w:t>
            </w:r>
          </w:p>
          <w:p w14:paraId="6E9E3349">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2.提供实操指南；</w:t>
            </w:r>
          </w:p>
          <w:p w14:paraId="3E61D7B0">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3.提供人员分类培训及临时性培训等。</w:t>
            </w:r>
          </w:p>
          <w:p w14:paraId="22A840A8">
            <w:pPr>
              <w:pageBreakBefore w:val="0"/>
              <w:kinsoku/>
              <w:wordWrap/>
              <w:overflowPunct/>
              <w:topLinePunct w:val="0"/>
              <w:bidi w:val="0"/>
              <w:spacing w:beforeAutospacing="0" w:afterAutospacing="0" w:line="360" w:lineRule="auto"/>
              <w:jc w:val="left"/>
              <w:textAlignment w:val="auto"/>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pPr>
            <w:r>
              <w:rPr>
                <w:rFonts w:hint="eastAsia" w:ascii="宋体" w:hAnsi="宋体" w:eastAsia="宋体" w:cs="宋体"/>
                <w:color w:val="auto"/>
                <w:sz w:val="24"/>
                <w:szCs w:val="24"/>
                <w:highlight w:val="none"/>
              </w:rPr>
              <w:t>方案内容详细，对项目的特点理解准确，专门针对本项目，</w:t>
            </w:r>
            <w:r>
              <w:rPr>
                <w:rFonts w:hint="eastAsia" w:ascii="宋体" w:hAnsi="宋体" w:eastAsia="宋体" w:cs="宋体"/>
                <w:color w:val="auto"/>
                <w:spacing w:val="0"/>
                <w:position w:val="0"/>
                <w:sz w:val="24"/>
                <w:szCs w:val="24"/>
                <w:highlight w:val="none"/>
              </w:rPr>
              <w:t>每项内容全面合理、可操作性强</w:t>
            </w: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，完全符合项目需求的，以上每提供1项服务方案，得2分，共计6分；每项方案内容只有简单描述，存在缺陷或不足的的得1分；未提供不得分。</w:t>
            </w:r>
          </w:p>
          <w:p w14:paraId="6C47E0D7">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缺陷或不足是指：方案存在不适用项目实际情况的情形、与采购标的的实现及履约无关、内容前后不一致、套用其他方案、凭空编造、逻辑漏洞、科学原理错误以及不可能实现的夸大情形情况、不符合实际，存在偏离内容、文不对题、前后逻辑错误、无具体流程细节描述之处）</w:t>
            </w:r>
          </w:p>
        </w:tc>
        <w:tc>
          <w:tcPr>
            <w:tcW w:w="795" w:type="dxa"/>
            <w:tcBorders>
              <w:top w:val="single" w:color="000000" w:sz="4" w:space="0"/>
              <w:left w:val="nil"/>
              <w:right w:val="single" w:color="000000" w:sz="4" w:space="0"/>
            </w:tcBorders>
            <w:shd w:val="clear" w:color="auto" w:fill="auto"/>
            <w:vAlign w:val="center"/>
          </w:tcPr>
          <w:p w14:paraId="1E4E0985">
            <w:pPr>
              <w:pageBreakBefore w:val="0"/>
              <w:kinsoku/>
              <w:wordWrap/>
              <w:overflowPunct/>
              <w:topLinePunct w:val="0"/>
              <w:autoSpaceDE w:val="0"/>
              <w:autoSpaceDN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14:paraId="2D28F441">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right w:val="single" w:color="000000" w:sz="4" w:space="0"/>
            </w:tcBorders>
            <w:shd w:val="clear" w:color="auto" w:fill="auto"/>
            <w:vAlign w:val="center"/>
          </w:tcPr>
          <w:p w14:paraId="6F16B811">
            <w:pPr>
              <w:pageBreakBefore w:val="0"/>
              <w:widowControl/>
              <w:kinsoku/>
              <w:wordWrap/>
              <w:overflowPunct/>
              <w:topLinePunct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65" w:type="dxa"/>
            <w:tcBorders>
              <w:top w:val="single" w:color="000000" w:sz="4" w:space="0"/>
              <w:left w:val="nil"/>
              <w:right w:val="single" w:color="000000" w:sz="4" w:space="0"/>
            </w:tcBorders>
            <w:shd w:val="clear" w:color="auto" w:fill="auto"/>
            <w:vAlign w:val="center"/>
          </w:tcPr>
          <w:p w14:paraId="215A2FDC">
            <w:pPr>
              <w:pageBreakBefore w:val="0"/>
              <w:kinsoku/>
              <w:wordWrap/>
              <w:overflowPunct/>
              <w:topLinePunct w:val="0"/>
              <w:autoSpaceDE w:val="0"/>
              <w:autoSpaceDN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应急响应方案</w:t>
            </w:r>
          </w:p>
        </w:tc>
        <w:tc>
          <w:tcPr>
            <w:tcW w:w="5425" w:type="dxa"/>
            <w:tcBorders>
              <w:top w:val="single" w:color="000000" w:sz="4" w:space="0"/>
              <w:left w:val="nil"/>
              <w:right w:val="single" w:color="000000" w:sz="4" w:space="0"/>
            </w:tcBorders>
            <w:shd w:val="clear" w:color="auto" w:fill="auto"/>
            <w:vAlign w:val="center"/>
          </w:tcPr>
          <w:p w14:paraId="31D9CFBC">
            <w:pPr>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应包含但不限于以下内容：</w:t>
            </w:r>
          </w:p>
          <w:p w14:paraId="74B52A8D">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1.应急服务设备设施</w:t>
            </w:r>
          </w:p>
          <w:p w14:paraId="1B439023">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2.应急响应流程</w:t>
            </w:r>
          </w:p>
          <w:p w14:paraId="1E647CD9">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3.应急保障机构的设置</w:t>
            </w:r>
          </w:p>
          <w:p w14:paraId="082DF233">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4.项目过程中可能发生的各类突发事件的分析（人身伤害应急处理、设备事故应急处理）</w:t>
            </w:r>
          </w:p>
          <w:p w14:paraId="450F3587">
            <w:pPr>
              <w:pageBreakBefore w:val="0"/>
              <w:kinsoku/>
              <w:wordWrap/>
              <w:overflowPunct/>
              <w:topLinePunct w:val="0"/>
              <w:bidi w:val="0"/>
              <w:spacing w:beforeAutospacing="0" w:afterAutospacing="0" w:line="360" w:lineRule="auto"/>
              <w:jc w:val="left"/>
              <w:textAlignment w:val="auto"/>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pPr>
            <w:r>
              <w:rPr>
                <w:rFonts w:hint="eastAsia" w:ascii="宋体" w:hAnsi="宋体" w:eastAsia="宋体" w:cs="宋体"/>
                <w:color w:val="auto"/>
                <w:sz w:val="24"/>
                <w:szCs w:val="24"/>
                <w:highlight w:val="none"/>
              </w:rPr>
              <w:t>方案内容及证明资料详细，内容全面清晰、应急保障机构配制完善、应急响应及时、应急服务设备设施齐全，能够应对各类突发事件、可落地执行</w:t>
            </w:r>
            <w:r>
              <w:rPr>
                <w:rFonts w:hint="eastAsia" w:cs="宋体"/>
                <w:color w:val="auto"/>
                <w:sz w:val="24"/>
                <w:szCs w:val="24"/>
                <w:highlight w:val="none"/>
                <w:lang w:eastAsia="zh-CN"/>
              </w:rPr>
              <w:t>，</w:t>
            </w:r>
            <w:r>
              <w:rPr>
                <w:rFonts w:hint="eastAsia" w:ascii="宋体" w:hAnsi="宋体" w:eastAsia="宋体" w:cs="宋体"/>
                <w:color w:val="auto"/>
                <w:spacing w:val="0"/>
                <w:position w:val="0"/>
                <w:sz w:val="24"/>
                <w:szCs w:val="24"/>
                <w:highlight w:val="none"/>
              </w:rPr>
              <w:t>每项内容全面合理、可操作性强</w:t>
            </w: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，完全符合项目需求的，以上每提供1项服务方案得2分，共计8分；每项方案内容只有简单描述，存在缺陷或不足的的得1分；未提供不得分。</w:t>
            </w:r>
          </w:p>
          <w:p w14:paraId="2C8353BE">
            <w:pPr>
              <w:pageBreakBefore w:val="0"/>
              <w:kinsoku/>
              <w:wordWrap/>
              <w:overflowPunct/>
              <w:topLinePunct w:val="0"/>
              <w:autoSpaceDE w:val="0"/>
              <w:autoSpaceDN w:val="0"/>
              <w:bidi w:val="0"/>
              <w:spacing w:beforeAutospacing="0" w:afterAutospacing="0" w:line="360" w:lineRule="auto"/>
              <w:jc w:val="left"/>
              <w:textAlignment w:val="auto"/>
              <w:rPr>
                <w:rFonts w:hint="eastAsia" w:ascii="宋体" w:hAnsi="宋体" w:eastAsia="宋体" w:cs="宋体"/>
                <w:snapToGrid w:val="0"/>
                <w:color w:val="auto"/>
                <w:spacing w:val="7"/>
                <w:sz w:val="24"/>
                <w:szCs w:val="24"/>
                <w:highlight w:val="none"/>
              </w:rPr>
            </w:pPr>
            <w:r>
              <w:rPr>
                <w:rFonts w:hint="eastAsia" w:asciiTheme="minorEastAsia" w:hAnsiTheme="minorEastAsia" w:eastAsiaTheme="minorEastAsia" w:cstheme="minorEastAsia"/>
                <w:b w:val="0"/>
                <w:bCs w:val="0"/>
                <w:caps w:val="0"/>
                <w:color w:val="auto"/>
                <w:kern w:val="2"/>
                <w:sz w:val="24"/>
                <w:szCs w:val="24"/>
                <w:highlight w:val="none"/>
                <w:vertAlign w:val="baseline"/>
                <w:lang w:val="en-US" w:eastAsia="zh-CN" w:bidi="ar"/>
              </w:rPr>
              <w:t>（缺陷或不足是指：方案存在不适用项目实际情况的情形、与采购标的的实现及履约无关、内容前后不一致、套用其他方案、凭空编造、逻辑漏洞、科学原理错误以及不可能实现的夸大情形情况、不符合实际，存在偏离内容、文不对题、前后逻辑错误、无具体流程细节描述之处）</w:t>
            </w:r>
          </w:p>
        </w:tc>
        <w:tc>
          <w:tcPr>
            <w:tcW w:w="795" w:type="dxa"/>
            <w:tcBorders>
              <w:top w:val="single" w:color="000000" w:sz="4" w:space="0"/>
              <w:left w:val="nil"/>
              <w:right w:val="single" w:color="000000" w:sz="4" w:space="0"/>
            </w:tcBorders>
            <w:shd w:val="clear" w:color="auto" w:fill="auto"/>
            <w:vAlign w:val="center"/>
          </w:tcPr>
          <w:p w14:paraId="5650A66F">
            <w:pPr>
              <w:pageBreakBefore w:val="0"/>
              <w:kinsoku/>
              <w:wordWrap/>
              <w:overflowPunct/>
              <w:topLinePunct w:val="0"/>
              <w:autoSpaceDE w:val="0"/>
              <w:autoSpaceDN w:val="0"/>
              <w:bidi w:val="0"/>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r>
      <w:tr w14:paraId="3068D249">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000000" w:sz="4" w:space="0"/>
            </w:tcBorders>
            <w:vAlign w:val="center"/>
          </w:tcPr>
          <w:p w14:paraId="1A724592">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得分合计</w:t>
            </w:r>
          </w:p>
        </w:tc>
        <w:tc>
          <w:tcPr>
            <w:tcW w:w="795" w:type="dxa"/>
            <w:tcBorders>
              <w:top w:val="single" w:color="000000" w:sz="4" w:space="0"/>
              <w:left w:val="single" w:color="000000" w:sz="4" w:space="0"/>
              <w:bottom w:val="single" w:color="000000" w:sz="4" w:space="0"/>
              <w:right w:val="single" w:color="000000" w:sz="4" w:space="0"/>
            </w:tcBorders>
            <w:vAlign w:val="center"/>
          </w:tcPr>
          <w:p w14:paraId="6CF9BF66">
            <w:pPr>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bl>
    <w:p w14:paraId="078E6EB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2D51F2B">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773B4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注：1.如上述证明文件投标人提供的为虚假材料，则其投标将被否决；</w:t>
      </w:r>
    </w:p>
    <w:p w14:paraId="707DA24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2.详细评审阶段请评标委员会对比所有投标人递交的投标文件，进行综合比较后给出分数，并有据可依。</w:t>
      </w:r>
    </w:p>
    <w:p w14:paraId="755EBBF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br w:type="page"/>
      </w:r>
      <w:bookmarkStart w:id="93" w:name="_Toc4242"/>
      <w:bookmarkStart w:id="94" w:name="_Toc499930144"/>
      <w:bookmarkStart w:id="95" w:name="_Toc19628"/>
    </w:p>
    <w:p w14:paraId="2A2A938B">
      <w:pPr>
        <w:pStyle w:val="3"/>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32"/>
          <w:szCs w:val="32"/>
          <w:highlight w:val="none"/>
          <w:lang w:val="zh-CN"/>
        </w:rPr>
      </w:pPr>
      <w:bookmarkStart w:id="96" w:name="_Toc19343"/>
      <w:r>
        <w:rPr>
          <w:rFonts w:hint="eastAsia" w:ascii="宋体" w:hAnsi="宋体" w:eastAsia="宋体" w:cs="宋体"/>
          <w:kern w:val="1"/>
          <w:sz w:val="32"/>
          <w:szCs w:val="32"/>
          <w:highlight w:val="none"/>
          <w:lang w:val="zh-CN"/>
        </w:rPr>
        <w:t>第五章 合同条款</w:t>
      </w:r>
      <w:bookmarkEnd w:id="93"/>
      <w:bookmarkEnd w:id="94"/>
      <w:bookmarkEnd w:id="95"/>
      <w:bookmarkEnd w:id="96"/>
    </w:p>
    <w:p w14:paraId="05954F3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lang w:val="zh-CN"/>
        </w:rPr>
      </w:pPr>
    </w:p>
    <w:p w14:paraId="14EBF2E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合同编号：</w:t>
      </w:r>
    </w:p>
    <w:p w14:paraId="1D03117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吉林大学口腔医院设备采购合同</w:t>
      </w:r>
    </w:p>
    <w:p w14:paraId="7249F9B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甲方：吉林大学口腔医院</w:t>
      </w:r>
    </w:p>
    <w:p w14:paraId="578BF3D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乙方：</w:t>
      </w:r>
    </w:p>
    <w:p w14:paraId="2FE9FCB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32E3F5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根据《中华人民共和国民法典》及相关法律法规，甲乙双方根据招投标文件/采购意向及响应文件相关内容，自愿签订本合同。</w:t>
      </w:r>
    </w:p>
    <w:p w14:paraId="44F47E0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1.采购信息</w:t>
      </w:r>
    </w:p>
    <w:p w14:paraId="255FD67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1.1采购项目名称及项目编号：</w:t>
      </w:r>
    </w:p>
    <w:p w14:paraId="0DEAB51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1.2货物清单及报价：单位：万元（人民币）</w:t>
      </w:r>
    </w:p>
    <w:tbl>
      <w:tblPr>
        <w:tblStyle w:val="30"/>
        <w:tblpPr w:leftFromText="180" w:rightFromText="180" w:vertAnchor="text" w:horzAnchor="margin" w:tblpY="135"/>
        <w:tblOverlap w:val="never"/>
        <w:tblW w:w="9216"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0"/>
        <w:gridCol w:w="1424"/>
        <w:gridCol w:w="1269"/>
        <w:gridCol w:w="850"/>
        <w:gridCol w:w="805"/>
        <w:gridCol w:w="755"/>
        <w:gridCol w:w="1108"/>
        <w:gridCol w:w="1435"/>
      </w:tblGrid>
      <w:tr w14:paraId="7B54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tblCellSpacing w:w="0" w:type="dxa"/>
        </w:trPr>
        <w:tc>
          <w:tcPr>
            <w:tcW w:w="1570" w:type="dxa"/>
            <w:vAlign w:val="center"/>
          </w:tcPr>
          <w:p w14:paraId="0D31CBFD">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设备名称</w:t>
            </w:r>
          </w:p>
        </w:tc>
        <w:tc>
          <w:tcPr>
            <w:tcW w:w="1424" w:type="dxa"/>
            <w:vAlign w:val="center"/>
          </w:tcPr>
          <w:p w14:paraId="0AE6A9FB">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1269" w:type="dxa"/>
            <w:vAlign w:val="center"/>
          </w:tcPr>
          <w:p w14:paraId="74B2898F">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生产厂家</w:t>
            </w:r>
          </w:p>
        </w:tc>
        <w:tc>
          <w:tcPr>
            <w:tcW w:w="850" w:type="dxa"/>
            <w:vAlign w:val="center"/>
          </w:tcPr>
          <w:p w14:paraId="4A5D4CC5">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805" w:type="dxa"/>
            <w:vAlign w:val="center"/>
          </w:tcPr>
          <w:p w14:paraId="630B7941">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755" w:type="dxa"/>
            <w:vAlign w:val="center"/>
          </w:tcPr>
          <w:p w14:paraId="39DF7840">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单价</w:t>
            </w:r>
          </w:p>
        </w:tc>
        <w:tc>
          <w:tcPr>
            <w:tcW w:w="1108" w:type="dxa"/>
            <w:vAlign w:val="center"/>
          </w:tcPr>
          <w:p w14:paraId="02B25465">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成交金额</w:t>
            </w:r>
          </w:p>
        </w:tc>
        <w:tc>
          <w:tcPr>
            <w:tcW w:w="1435" w:type="dxa"/>
            <w:vAlign w:val="center"/>
          </w:tcPr>
          <w:p w14:paraId="0F69D95D">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使用科室</w:t>
            </w:r>
          </w:p>
        </w:tc>
      </w:tr>
      <w:tr w14:paraId="2BDF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blCellSpacing w:w="0" w:type="dxa"/>
        </w:trPr>
        <w:tc>
          <w:tcPr>
            <w:tcW w:w="1570" w:type="dxa"/>
            <w:vAlign w:val="center"/>
          </w:tcPr>
          <w:p w14:paraId="6319084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24" w:type="dxa"/>
            <w:vAlign w:val="center"/>
          </w:tcPr>
          <w:p w14:paraId="167DCD8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69" w:type="dxa"/>
            <w:vAlign w:val="center"/>
          </w:tcPr>
          <w:p w14:paraId="428857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vAlign w:val="center"/>
          </w:tcPr>
          <w:p w14:paraId="5E3BAB0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05" w:type="dxa"/>
            <w:vAlign w:val="center"/>
          </w:tcPr>
          <w:p w14:paraId="46C61E9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5" w:type="dxa"/>
            <w:vAlign w:val="center"/>
          </w:tcPr>
          <w:p w14:paraId="09EFB1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08" w:type="dxa"/>
            <w:vAlign w:val="center"/>
          </w:tcPr>
          <w:p w14:paraId="42123EB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5" w:type="dxa"/>
            <w:tcBorders>
              <w:bottom w:val="single" w:color="auto" w:sz="4" w:space="0"/>
            </w:tcBorders>
            <w:vAlign w:val="center"/>
          </w:tcPr>
          <w:p w14:paraId="5C547E0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A56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blCellSpacing w:w="0" w:type="dxa"/>
        </w:trPr>
        <w:tc>
          <w:tcPr>
            <w:tcW w:w="1570" w:type="dxa"/>
            <w:vAlign w:val="center"/>
          </w:tcPr>
          <w:p w14:paraId="2E3CCFD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24" w:type="dxa"/>
            <w:vAlign w:val="center"/>
          </w:tcPr>
          <w:p w14:paraId="5355ACB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69" w:type="dxa"/>
            <w:vAlign w:val="center"/>
          </w:tcPr>
          <w:p w14:paraId="6A2EE3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vAlign w:val="center"/>
          </w:tcPr>
          <w:p w14:paraId="544B625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05" w:type="dxa"/>
            <w:vAlign w:val="center"/>
          </w:tcPr>
          <w:p w14:paraId="2343376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5" w:type="dxa"/>
            <w:vAlign w:val="center"/>
          </w:tcPr>
          <w:p w14:paraId="42BF386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08" w:type="dxa"/>
            <w:vAlign w:val="center"/>
          </w:tcPr>
          <w:p w14:paraId="2315B12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5" w:type="dxa"/>
            <w:tcBorders>
              <w:top w:val="single" w:color="auto" w:sz="4" w:space="0"/>
            </w:tcBorders>
            <w:vAlign w:val="center"/>
          </w:tcPr>
          <w:p w14:paraId="15AF5E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77378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tblCellSpacing w:w="0" w:type="dxa"/>
        </w:trPr>
        <w:tc>
          <w:tcPr>
            <w:tcW w:w="6673" w:type="dxa"/>
            <w:gridSpan w:val="6"/>
            <w:tcBorders>
              <w:right w:val="single" w:color="auto" w:sz="4" w:space="0"/>
            </w:tcBorders>
            <w:vAlign w:val="center"/>
          </w:tcPr>
          <w:p w14:paraId="60C2F75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合计金额（含税、大写）：</w:t>
            </w:r>
          </w:p>
        </w:tc>
        <w:tc>
          <w:tcPr>
            <w:tcW w:w="1108" w:type="dxa"/>
            <w:tcBorders>
              <w:left w:val="single" w:color="auto" w:sz="4" w:space="0"/>
            </w:tcBorders>
            <w:vAlign w:val="center"/>
          </w:tcPr>
          <w:p w14:paraId="433638C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F0E79D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5" w:type="dxa"/>
            <w:tcBorders>
              <w:tr2bl w:val="single" w:color="auto" w:sz="4" w:space="0"/>
            </w:tcBorders>
            <w:vAlign w:val="center"/>
          </w:tcPr>
          <w:p w14:paraId="6109766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bl>
    <w:p w14:paraId="144C49B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详细货物配置清单详见附件1</w:t>
      </w:r>
    </w:p>
    <w:p w14:paraId="5D3BBD0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2.技术规范</w:t>
      </w:r>
    </w:p>
    <w:p w14:paraId="72AD024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2.1提交货物的技术规范应满足招标文件规定的技术规范，且与其投标文件的技术规范相一致。若技术规范中无相应说明，则以国家有关部门最新颁布的相应标准及规范为准。</w:t>
      </w:r>
    </w:p>
    <w:p w14:paraId="6CA3E8B6">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2.2货物详细技术参数详见附件4。</w:t>
      </w:r>
    </w:p>
    <w:p w14:paraId="3A49F66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3.运输和交付</w:t>
      </w:r>
    </w:p>
    <w:p w14:paraId="6DD990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3.1乙方提供全部货物的包装应适应于远距离运输、防潮、防震、防锈和防粗暴装卸，确保货物安全无损运抵现场。由于包装不善所引起的货物质量变化、锈蚀、损坏和损失均由乙方承担。</w:t>
      </w:r>
    </w:p>
    <w:p w14:paraId="39CDED0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3.2每件包装箱内应附一份详细装箱单（随货同行单）及质量合格证。</w:t>
      </w:r>
    </w:p>
    <w:p w14:paraId="7AF6B8F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3.3交货时间：合同签订后   日内。</w:t>
      </w:r>
      <w:r>
        <w:rPr>
          <w:rFonts w:hint="eastAsia" w:ascii="宋体" w:hAnsi="宋体" w:eastAsia="宋体" w:cs="宋体"/>
          <w:sz w:val="24"/>
          <w:szCs w:val="24"/>
        </w:rPr>
        <w:tab/>
      </w:r>
    </w:p>
    <w:p w14:paraId="6A56E0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3.4交货地点和方式：现场交货，吉林大学口腔医院，长春市朝阳区清华路1500号。乙方负责办理运输、装卸和保险，将货物运抵现场。有关运输和保险的一切费用和风险由乙方承担。如因包装、运输问题导致货物损毁、丢失或者品质下降，甲方有权要求降价、换货、拒收部分或整批货物，由此产生的费用和损失，均由乙方承担。</w:t>
      </w:r>
    </w:p>
    <w:p w14:paraId="79250AA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 装箱单（随货同行单）随货物一并提交甲方供现场初步验货使用，进口设备还应当提供海关报关单。乙方在运输到达之前应提前通知甲方，并提示货物运输装卸的注意事项，甲方配合乙方做好货物的接收工作。</w:t>
      </w:r>
    </w:p>
    <w:p w14:paraId="7A4A0EA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3.6乙方应将每台设备和仪器的中文或英文技术资料一套，如目录索引、图纸、操作手册、使用指南、维修指南/服务手册、示意图等随设备同时交给甲方。</w:t>
      </w:r>
    </w:p>
    <w:p w14:paraId="2F6C731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4.安装、调试和验收</w:t>
      </w:r>
    </w:p>
    <w:p w14:paraId="43E143F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4.1在交货前，制造商应对照合同对发出货物的质量、规格、性能、数量等进行详细而全面的检验，并与随货同行单保持一致。</w:t>
      </w:r>
    </w:p>
    <w:p w14:paraId="7A744B4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4.2货物运抵现场后，甲乙双方应在 5个工作日内组织货物的数量、规格、重量及外包装、外观进行书面文件确认（开箱验收）。</w:t>
      </w:r>
    </w:p>
    <w:p w14:paraId="7483B52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4.3乙方根据甲方场地及需求进行场地布局、水电气等安装条件设计，并与施工单位充分沟通配合，由此发生的费用由乙方承担。</w:t>
      </w:r>
    </w:p>
    <w:p w14:paraId="38668B2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4.4在甲方的现场条件均按设备安装要求预留到位后，乙方负责全部设备的安装、调试工作，货物安装过程中出现损坏以及造成甲方或第三人人身或财产损害等情形的，由乙方承担因此造成的损失。</w:t>
      </w:r>
    </w:p>
    <w:p w14:paraId="638E04B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4.5货物安装和调试完毕，货物功能运转正常，双方进行验收并制作书面验收文件。甲方签署验收文件仅代表对货物外观和功能的确认，不免除乙方对货物潜在瑕疵的责任。</w:t>
      </w:r>
    </w:p>
    <w:p w14:paraId="1C07AD9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4.6乙方负责对甲方工作人员进行操作培训，直至熟练掌握为准。</w:t>
      </w:r>
    </w:p>
    <w:p w14:paraId="79F4FD2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5.保修及售后（根据采购需求及投标文件按需调整）</w:t>
      </w:r>
    </w:p>
    <w:p w14:paraId="4A35D1D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5.1自设备验收之日起整机质保  年，乙方定期对机器进行预防性随访检查和维护保养，并出具纸质版维保记录/报告。</w:t>
      </w:r>
    </w:p>
    <w:p w14:paraId="5B90B0C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5.2在质保期内，乙方应承担设备维修保养、易损件更换等全部费用。甲方设备报修后，乙方应在   小时内响应，   日内到达现场。</w:t>
      </w:r>
    </w:p>
    <w:p w14:paraId="0CAAE6F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5.3若保修期内出现严重质量问题，或虽原因不明但无法正常使用，乙方免费保更换新机器；</w:t>
      </w:r>
    </w:p>
    <w:p w14:paraId="1BD66DB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5.4乙方向甲方提供如下售后电话，甲方在使用中遇到相关问题，拨打售后电话等同于直接向乙方主张权利，售后单位的行为，由乙方直接向甲方负责。</w:t>
      </w:r>
    </w:p>
    <w:p w14:paraId="53D1252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售后服务联系人：，联系电话：。 </w:t>
      </w:r>
    </w:p>
    <w:p w14:paraId="1585457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5.9其他详细条款见合同附件4《售后服务承诺一览表》。</w:t>
      </w:r>
    </w:p>
    <w:p w14:paraId="16C6249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6.质量要求</w:t>
      </w:r>
    </w:p>
    <w:p w14:paraId="3E1CF16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6.1乙方应保证货物是全新、未使用过的，并完全符合强制性的国家技术质量规范和合同规定的质量、规格、性能和技术规范等的要求。</w:t>
      </w:r>
    </w:p>
    <w:p w14:paraId="255ABAC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6.2乙方应保证所提供的货物经正确安装、正常运转和保养，在其使用寿命期内应具有符合质量要求和产品说明书的性能。在货物质量保证期之内，乙方应对由于设计、工艺或材料的缺陷而发生的任何不足或故障负责，因此发生的一切费用（包括但不限于材料费、人工费、差旅费等）由乙方承担。</w:t>
      </w:r>
    </w:p>
    <w:p w14:paraId="0E60A66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6.3根据甲方按检验标准自己检验结果或委托具有资质的相关质检机构的检验结果，或者在质量保证期内，货物的数量、质量或规格与合同不符，或证实货物是有缺陷的，包括潜在的缺陷或使用不符合要求的材料等，甲方有权通知乙方提出索赔。乙方应在收到通知后15天内按招标文件要求免费维修或更换有缺陷的货物或部件。</w:t>
      </w:r>
    </w:p>
    <w:p w14:paraId="7E3D56B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6.4如果乙方在收到通知后15天内没有进行维修、更换和弥补缺失，甲方可采取必要的补救措施，无论该补救措施是否正确或科学、合理，因此所产生的风险、损失和费用由乙方承担。</w:t>
      </w:r>
    </w:p>
    <w:p w14:paraId="71E1B87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6.5乙方保证在货物交付前对其出售的货物享有合法的支配权且经过知识产权权利人合法授权。乙方保证在交付的货物上不存在抵押权等担保物权。如甲方使用上述货物构成对第三人侵权（包括知识产权）的，则由乙方承担给甲方造成的损失和维权成本。</w:t>
      </w:r>
    </w:p>
    <w:p w14:paraId="2CB0428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7.付款条件</w:t>
      </w:r>
    </w:p>
    <w:p w14:paraId="0B77F30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7.1合同内容只涉及单个设备的，签订合同且设备到达采购人现场，安装、调试、验收合格后采购人一次性支付合同总成交金额的100%；合同包含多个设备的，采购人将按照设备的实际安装、调试、验收合格进度分批次付款。</w:t>
      </w:r>
    </w:p>
    <w:p w14:paraId="026A903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7.2付款方式：以人民币结算，通过银行转账方式支付。在甲方付款前，乙方应开具等额的增值税发票。</w:t>
      </w:r>
    </w:p>
    <w:p w14:paraId="320FBF0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8.违约责任</w:t>
      </w:r>
    </w:p>
    <w:p w14:paraId="51CC15B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8.1质量瑕疵的违约责任</w:t>
      </w:r>
    </w:p>
    <w:p w14:paraId="7BF1C70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乙方提供的产品不符合合同约定的质量标准或存在产品质量缺陷，甲方有权要求乙方及时修理、重作、更换，并承担由此给甲方造成的损失。情节严重的，甲方有权向上级财政部门报告，并对乙方行为是否构成虚假应标进行鉴定。</w:t>
      </w:r>
    </w:p>
    <w:p w14:paraId="00C5E78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8.2迟延交货的违约责任</w:t>
      </w:r>
    </w:p>
    <w:p w14:paraId="5AF6A45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21D636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如果乙方没有按照合同规定的时间交货和提供相关服务，甲方有权从货款中扣除迟延交付违约金而不影响合同项下的其他补救方法，违约金按每日合同总价的0.1%执行。迟延交货超过30日的，甲方有权解除合同。</w:t>
      </w:r>
    </w:p>
    <w:p w14:paraId="609C970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9.履约保证金</w:t>
      </w:r>
    </w:p>
    <w:p w14:paraId="2B798DC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9.1甲方向乙方发出中标通知书后10个工作日内，乙方应当以现金（包括银行汇款、转账等方式）或银行出具的保函等非现金形式提交履约保证金。</w:t>
      </w:r>
    </w:p>
    <w:p w14:paraId="5533EF9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保证金的金额占合同总价的比例:□5%  □10%，即  元。</w:t>
      </w:r>
    </w:p>
    <w:p w14:paraId="5CE1A42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9.2 乙方无法按时交货或货物不符合合同约定且整改后仍不合格的，履约保证金不予退还；如果乙方未能按合同约定全面履行义务，甲方有权从履约保证金中取得补偿或赔偿，且不影响甲方要求乙方承担合同约定的超过履约保证金的违约责任的权利。</w:t>
      </w:r>
    </w:p>
    <w:p w14:paraId="2AC941D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9.3 乙方无违约情形的，甲方在设备运行一年后无质量问题的，经使用科室确认，应将履约保证金无息退还乙方。</w:t>
      </w:r>
    </w:p>
    <w:p w14:paraId="66BD9DF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10.争议的解决</w:t>
      </w:r>
    </w:p>
    <w:p w14:paraId="3D6034E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10.1双方应通过友好协商，解决在执行本合同中所发生的或与本合同的有关的一切争端。如果协商不成的，需在甲方吉林大学口腔医院所在地法院提起诉讼。</w:t>
      </w:r>
    </w:p>
    <w:p w14:paraId="4A42F09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11.通知</w:t>
      </w:r>
    </w:p>
    <w:p w14:paraId="3D45A82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11.1本合同任何一方给另一方的通知，都应以书面形式发送，而另一方也应以书面形式确定并发送到对方明确的地址。</w:t>
      </w:r>
    </w:p>
    <w:p w14:paraId="151AD4A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12.其他</w:t>
      </w:r>
    </w:p>
    <w:p w14:paraId="23A23B2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12.1该项目相关变更或补充协议、本合同、投标文件、中标通知书、招标文件、技术文本或图纸等均构成本合同的有效组成部分，如上述文件之间有任何抵触、矛盾或歧义，应按上述所列顺序解释。</w:t>
      </w:r>
    </w:p>
    <w:p w14:paraId="486C7C2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12.2对本合同的变更和补充须以书面补充协议的方式作出，否则视为未变更和补充。</w:t>
      </w:r>
    </w:p>
    <w:p w14:paraId="02DEA87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12.3本合同一式5份，甲方执3份，乙方执1份，经双方签字盖章后生效。</w:t>
      </w:r>
    </w:p>
    <w:p w14:paraId="0A4C027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F35136F">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849E8D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附件1：《货物配置清单》</w:t>
      </w:r>
    </w:p>
    <w:p w14:paraId="3299A49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附件2：《易损件报价清单一览表》</w:t>
      </w:r>
    </w:p>
    <w:p w14:paraId="53F400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附件3：《售后服务承诺一览表》</w:t>
      </w:r>
    </w:p>
    <w:p w14:paraId="35A5C64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附件4：《产品技术参数》</w:t>
      </w:r>
    </w:p>
    <w:p w14:paraId="12C46C56">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bookmarkStart w:id="97" w:name="OLE_LINK1"/>
    </w:p>
    <w:p w14:paraId="46D8A9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（本页无正文）</w:t>
      </w:r>
    </w:p>
    <w:p w14:paraId="6B520CA9">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sectPr>
          <w:headerReference r:id="rId3" w:type="default"/>
          <w:footerReference r:id="rId4" w:type="default"/>
          <w:pgSz w:w="11906" w:h="16838"/>
          <w:pgMar w:top="1440" w:right="1361" w:bottom="1440" w:left="1361" w:header="851" w:footer="992" w:gutter="0"/>
          <w:cols w:space="720" w:num="1"/>
          <w:docGrid w:type="linesAndChars" w:linePitch="312" w:charSpace="0"/>
        </w:sectPr>
      </w:pPr>
    </w:p>
    <w:p w14:paraId="62072CA4">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rPr>
      </w:pPr>
    </w:p>
    <w:p w14:paraId="7C3798E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sectPr>
          <w:type w:val="continuous"/>
          <w:pgSz w:w="11906" w:h="16838"/>
          <w:pgMar w:top="1440" w:right="1361" w:bottom="1440" w:left="1361" w:header="851" w:footer="992" w:gutter="0"/>
          <w:cols w:space="720" w:num="2"/>
          <w:docGrid w:type="linesAndChars" w:linePitch="312" w:charSpace="0"/>
        </w:sectPr>
      </w:pPr>
    </w:p>
    <w:p w14:paraId="03F2EFF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甲方：(盖章)               </w:t>
      </w:r>
    </w:p>
    <w:p w14:paraId="55DAB75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法定代表人：</w:t>
      </w:r>
    </w:p>
    <w:p w14:paraId="475AE8A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委托代理人：</w:t>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p>
    <w:p w14:paraId="1F01C4F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开户银行：建行长春红旗街支行</w:t>
      </w:r>
    </w:p>
    <w:p w14:paraId="1EE0D25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rPr>
      </w:pPr>
      <w:r>
        <w:rPr>
          <w:rFonts w:hint="eastAsia" w:ascii="宋体" w:hAnsi="宋体" w:eastAsia="宋体" w:cs="宋体"/>
          <w:sz w:val="24"/>
          <w:szCs w:val="24"/>
          <w:lang w:val="zh-TW"/>
        </w:rPr>
        <w:t>账号</w:t>
      </w:r>
      <w:r>
        <w:rPr>
          <w:rFonts w:hint="eastAsia" w:ascii="宋体" w:hAnsi="宋体" w:eastAsia="宋体" w:cs="宋体"/>
          <w:sz w:val="24"/>
          <w:szCs w:val="24"/>
          <w:lang w:val="zh-TW" w:eastAsia="zh-TW"/>
        </w:rPr>
        <w:t>：2205 0145 0200 0000 0152</w:t>
      </w:r>
    </w:p>
    <w:p w14:paraId="0ABA71A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地址：长春市清华路1500号</w:t>
      </w:r>
    </w:p>
    <w:p w14:paraId="7D79100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rPr>
      </w:pPr>
      <w:r>
        <w:rPr>
          <w:rFonts w:hint="eastAsia" w:ascii="宋体" w:hAnsi="宋体" w:eastAsia="宋体" w:cs="宋体"/>
          <w:sz w:val="24"/>
          <w:szCs w:val="24"/>
          <w:lang w:val="zh-TW" w:eastAsia="zh-TW"/>
        </w:rPr>
        <w:t>电话：0431-8</w:t>
      </w:r>
      <w:r>
        <w:rPr>
          <w:rFonts w:hint="eastAsia" w:ascii="宋体" w:hAnsi="宋体" w:eastAsia="宋体" w:cs="宋体"/>
          <w:sz w:val="24"/>
          <w:szCs w:val="24"/>
          <w:lang w:val="zh-TW"/>
        </w:rPr>
        <w:t>5579345</w:t>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p>
    <w:p w14:paraId="3F9700B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rPr>
      </w:pPr>
      <w:r>
        <w:rPr>
          <w:rFonts w:hint="eastAsia" w:ascii="宋体" w:hAnsi="宋体" w:eastAsia="宋体" w:cs="宋体"/>
          <w:sz w:val="24"/>
          <w:szCs w:val="24"/>
          <w:lang w:val="zh-TW" w:eastAsia="zh-TW"/>
        </w:rPr>
        <w:t>签署日期：</w:t>
      </w:r>
    </w:p>
    <w:p w14:paraId="2423FF92">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rPr>
      </w:pPr>
    </w:p>
    <w:p w14:paraId="5539C5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乙方：(盖章)</w:t>
      </w:r>
      <w:r>
        <w:rPr>
          <w:rFonts w:hint="eastAsia" w:ascii="宋体" w:hAnsi="宋体" w:eastAsia="宋体" w:cs="宋体"/>
          <w:sz w:val="24"/>
          <w:szCs w:val="24"/>
          <w:lang w:val="zh-TW" w:eastAsia="zh-TW"/>
        </w:rPr>
        <w:tab/>
      </w:r>
    </w:p>
    <w:bookmarkEnd w:id="97"/>
    <w:p w14:paraId="6A3BB5C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法定代表人：</w:t>
      </w:r>
    </w:p>
    <w:p w14:paraId="7999372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委托代理人：</w:t>
      </w:r>
    </w:p>
    <w:p w14:paraId="19BA996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开户银行：</w:t>
      </w:r>
    </w:p>
    <w:p w14:paraId="6B90395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账号：</w:t>
      </w:r>
    </w:p>
    <w:p w14:paraId="69407AB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地址：</w:t>
      </w:r>
    </w:p>
    <w:p w14:paraId="5F28626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电话：</w:t>
      </w:r>
    </w:p>
    <w:p w14:paraId="0E4E298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签署日期：</w:t>
      </w:r>
    </w:p>
    <w:p w14:paraId="064181D2">
      <w:pPr>
        <w:pStyle w:val="20"/>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lang w:val="zh-TW"/>
        </w:rPr>
        <w:sectPr>
          <w:type w:val="continuous"/>
          <w:pgSz w:w="11906" w:h="16838"/>
          <w:pgMar w:top="1440" w:right="1361" w:bottom="1440" w:left="1361" w:header="851" w:footer="992" w:gutter="0"/>
          <w:cols w:space="720" w:num="2"/>
          <w:docGrid w:type="linesAndChars" w:linePitch="312" w:charSpace="0"/>
        </w:sectPr>
      </w:pPr>
    </w:p>
    <w:p w14:paraId="20B87B75">
      <w:pPr>
        <w:pStyle w:val="20"/>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lang w:val="zh-TW"/>
        </w:rPr>
      </w:pPr>
    </w:p>
    <w:p w14:paraId="263963F0">
      <w:pPr>
        <w:pStyle w:val="20"/>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sectPr>
          <w:type w:val="continuous"/>
          <w:pgSz w:w="11906" w:h="16838"/>
          <w:pgMar w:top="1440" w:right="1361" w:bottom="1440" w:left="1361" w:header="851" w:footer="992" w:gutter="0"/>
          <w:cols w:space="720" w:num="2"/>
          <w:docGrid w:type="linesAndChars" w:linePitch="312" w:charSpace="0"/>
        </w:sectPr>
      </w:pPr>
    </w:p>
    <w:p w14:paraId="6F958351">
      <w:pPr>
        <w:pStyle w:val="3"/>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sz w:val="32"/>
          <w:szCs w:val="32"/>
          <w:lang w:val="zh-CN"/>
        </w:rPr>
      </w:pPr>
      <w:bookmarkStart w:id="98" w:name="_Toc15590"/>
      <w:bookmarkStart w:id="99" w:name="_Toc499930145"/>
      <w:bookmarkStart w:id="100" w:name="_Toc20148"/>
      <w:bookmarkStart w:id="101" w:name="_Toc32026"/>
      <w:r>
        <w:rPr>
          <w:rFonts w:hint="eastAsia" w:ascii="宋体" w:hAnsi="宋体" w:eastAsia="宋体" w:cs="宋体"/>
          <w:kern w:val="1"/>
          <w:sz w:val="32"/>
          <w:szCs w:val="32"/>
          <w:lang w:val="zh-CN"/>
        </w:rPr>
        <w:t>第六章  投标文件格式</w:t>
      </w:r>
      <w:bookmarkEnd w:id="98"/>
      <w:bookmarkEnd w:id="99"/>
      <w:bookmarkEnd w:id="100"/>
      <w:bookmarkEnd w:id="101"/>
    </w:p>
    <w:p w14:paraId="3A47EF4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1FDB85D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60FD2E0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39CE1C4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00965BF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17C049D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2C0FC2D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51F81FB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64B1C46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2B9E5A4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3A04FFF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4C298E4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592EA47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2DFD536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36AE511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01106D2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652DF01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236E5B2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307A52B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1C49F72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08860FF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6F18F31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7A9304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1577105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1E3BD96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7206D1D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74BD1A6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2DFD295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5BBFAC9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D11FB30">
      <w:pPr>
        <w:pageBreakBefore w:val="0"/>
        <w:kinsoku/>
        <w:wordWrap/>
        <w:overflowPunct/>
        <w:topLinePunct w:val="0"/>
        <w:bidi w:val="0"/>
        <w:spacing w:beforeAutospacing="0" w:afterAutospacing="0" w:line="360" w:lineRule="auto"/>
        <w:jc w:val="right"/>
        <w:textAlignment w:val="auto"/>
        <w:rPr>
          <w:rFonts w:hint="eastAsia" w:ascii="宋体" w:hAnsi="宋体" w:eastAsia="宋体" w:cs="宋体"/>
          <w:sz w:val="24"/>
          <w:szCs w:val="24"/>
        </w:rPr>
      </w:pPr>
      <w:r>
        <w:rPr>
          <w:rFonts w:hint="eastAsia" w:ascii="宋体" w:hAnsi="宋体" w:eastAsia="宋体" w:cs="宋体"/>
          <w:sz w:val="24"/>
          <w:szCs w:val="24"/>
        </w:rPr>
        <w:t>正本/副本</w:t>
      </w:r>
    </w:p>
    <w:p w14:paraId="491A608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B7AF40F">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FEEE1D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779308A">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rPr>
      </w:pPr>
      <w:bookmarkStart w:id="102" w:name="_Toc26856"/>
      <w:r>
        <w:rPr>
          <w:rFonts w:hint="eastAsia" w:ascii="宋体" w:hAnsi="宋体" w:eastAsia="宋体" w:cs="宋体"/>
          <w:kern w:val="1"/>
          <w:sz w:val="28"/>
          <w:szCs w:val="28"/>
        </w:rPr>
        <w:t>（项目名称）</w:t>
      </w:r>
      <w:bookmarkEnd w:id="102"/>
    </w:p>
    <w:p w14:paraId="47148D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8"/>
          <w:szCs w:val="28"/>
        </w:rPr>
      </w:pPr>
    </w:p>
    <w:p w14:paraId="6A500A8C">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lang w:eastAsia="zh-CN"/>
        </w:rPr>
      </w:pPr>
      <w:r>
        <w:rPr>
          <w:rFonts w:hint="eastAsia" w:cs="宋体"/>
          <w:sz w:val="24"/>
          <w:szCs w:val="24"/>
          <w:lang w:eastAsia="zh-CN"/>
        </w:rPr>
        <w:t>（</w:t>
      </w:r>
      <w:r>
        <w:rPr>
          <w:rFonts w:hint="eastAsia" w:cs="宋体"/>
          <w:sz w:val="24"/>
          <w:szCs w:val="24"/>
          <w:lang w:val="en-US" w:eastAsia="zh-CN"/>
        </w:rPr>
        <w:t>包1</w:t>
      </w:r>
      <w:r>
        <w:rPr>
          <w:rFonts w:hint="eastAsia" w:cs="宋体"/>
          <w:sz w:val="24"/>
          <w:szCs w:val="24"/>
          <w:lang w:eastAsia="zh-CN"/>
        </w:rPr>
        <w:t>）</w:t>
      </w:r>
    </w:p>
    <w:p w14:paraId="565A28F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094E47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FCA4CA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9FC793C">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112"/>
          <w:szCs w:val="112"/>
        </w:rPr>
      </w:pPr>
      <w:bookmarkStart w:id="103" w:name="_Toc4544"/>
      <w:bookmarkStart w:id="104" w:name="_Toc3386"/>
      <w:r>
        <w:rPr>
          <w:rFonts w:hint="eastAsia" w:ascii="宋体" w:hAnsi="宋体" w:eastAsia="宋体" w:cs="宋体"/>
          <w:sz w:val="112"/>
          <w:szCs w:val="112"/>
        </w:rPr>
        <w:t>投标文件</w:t>
      </w:r>
      <w:bookmarkEnd w:id="103"/>
      <w:bookmarkEnd w:id="104"/>
    </w:p>
    <w:p w14:paraId="5EBE9C7F">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727D0643">
      <w:pPr>
        <w:pageBreakBefore w:val="0"/>
        <w:kinsoku/>
        <w:wordWrap/>
        <w:overflowPunct/>
        <w:topLinePunct w:val="0"/>
        <w:bidi w:val="0"/>
        <w:spacing w:beforeAutospacing="0" w:afterAutospacing="0" w:line="360" w:lineRule="auto"/>
        <w:jc w:val="center"/>
        <w:textAlignment w:val="auto"/>
        <w:rPr>
          <w:rFonts w:hint="default" w:ascii="宋体" w:hAnsi="宋体" w:eastAsia="宋体" w:cs="宋体"/>
          <w:sz w:val="24"/>
          <w:szCs w:val="24"/>
          <w:lang w:val="en-US" w:eastAsia="zh-CN"/>
        </w:rPr>
      </w:pPr>
      <w:r>
        <w:rPr>
          <w:rFonts w:hint="eastAsia" w:cs="宋体"/>
          <w:sz w:val="24"/>
          <w:szCs w:val="24"/>
          <w:lang w:val="en-US" w:eastAsia="zh-CN"/>
        </w:rPr>
        <w:t>标段编号：</w:t>
      </w:r>
    </w:p>
    <w:p w14:paraId="59BFCE2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B4C412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76B371C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79A186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28FB3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16A31DF">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投标人：            （加盖单位公章）</w:t>
      </w:r>
    </w:p>
    <w:p w14:paraId="7DDBE821">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p>
    <w:p w14:paraId="00E101A9">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法定代表人或其授权委托人：             （签字或盖章）</w:t>
      </w:r>
    </w:p>
    <w:p w14:paraId="30542FEF">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p>
    <w:p w14:paraId="4C3FD479">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年     月     日</w:t>
      </w:r>
    </w:p>
    <w:p w14:paraId="5D04961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213095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2BACC538">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1DE22BE7">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4"/>
          <w:szCs w:val="24"/>
        </w:rPr>
      </w:pPr>
    </w:p>
    <w:p w14:paraId="2AB82FF9">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4"/>
          <w:szCs w:val="24"/>
        </w:rPr>
      </w:pPr>
    </w:p>
    <w:p w14:paraId="09F1EF62">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t>目录</w:t>
      </w:r>
    </w:p>
    <w:p w14:paraId="0EDD8F60">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（投标人自行编辑目录及相对应页码）</w:t>
      </w:r>
    </w:p>
    <w:p w14:paraId="50BC967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03717B7F">
      <w:pPr>
        <w:pStyle w:val="14"/>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第一部分  商务部分</w:t>
      </w:r>
    </w:p>
    <w:p w14:paraId="72828E0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EB7814C">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bookmarkStart w:id="105" w:name="_Toc316386653"/>
      <w:bookmarkEnd w:id="105"/>
    </w:p>
    <w:p w14:paraId="6F87FC2E">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4"/>
          <w:szCs w:val="24"/>
        </w:rPr>
        <w:br w:type="page"/>
      </w:r>
      <w:bookmarkStart w:id="106" w:name="_Toc414534006"/>
      <w:bookmarkEnd w:id="106"/>
      <w:r>
        <w:rPr>
          <w:rFonts w:hint="eastAsia" w:ascii="宋体" w:hAnsi="宋体" w:eastAsia="宋体" w:cs="宋体"/>
          <w:kern w:val="1"/>
          <w:sz w:val="28"/>
          <w:szCs w:val="28"/>
        </w:rPr>
        <w:t>一、投标函及投标函附录</w:t>
      </w:r>
    </w:p>
    <w:p w14:paraId="14C6C8B7">
      <w:pPr>
        <w:pStyle w:val="5"/>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bookmarkStart w:id="107" w:name="_Toc316386654"/>
      <w:bookmarkEnd w:id="107"/>
      <w:bookmarkStart w:id="108" w:name="_Toc414534007"/>
      <w:bookmarkEnd w:id="108"/>
      <w:bookmarkStart w:id="109" w:name="_Toc499930147"/>
      <w:r>
        <w:rPr>
          <w:rFonts w:hint="eastAsia" w:ascii="宋体" w:hAnsi="宋体" w:eastAsia="宋体" w:cs="宋体"/>
          <w:kern w:val="1"/>
          <w:sz w:val="28"/>
          <w:szCs w:val="28"/>
        </w:rPr>
        <w:t>（一）投标函</w:t>
      </w:r>
      <w:bookmarkEnd w:id="109"/>
    </w:p>
    <w:p w14:paraId="6E63953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w:t>
      </w:r>
      <w:r>
        <w:rPr>
          <w:rFonts w:hint="eastAsia" w:ascii="宋体" w:hAnsi="宋体" w:eastAsia="宋体" w:cs="宋体"/>
          <w:kern w:val="1"/>
          <w:sz w:val="24"/>
          <w:szCs w:val="24"/>
          <w:lang w:val="zh-CN"/>
        </w:rPr>
        <w:t>采购</w:t>
      </w:r>
      <w:r>
        <w:rPr>
          <w:rFonts w:hint="eastAsia" w:ascii="宋体" w:hAnsi="宋体" w:eastAsia="宋体" w:cs="宋体"/>
          <w:kern w:val="1"/>
          <w:sz w:val="24"/>
          <w:szCs w:val="24"/>
        </w:rPr>
        <w:t>人名称）：</w:t>
      </w:r>
    </w:p>
    <w:p w14:paraId="31802C2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086462DD">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1．我方已仔细研究了（项目名称、项目编号）招标文件的全部内容，愿意按招标文件要求，以元的总价完成本项目，供货时间：，交货地点：，质量标准： 。</w:t>
      </w:r>
    </w:p>
    <w:p w14:paraId="72845B31">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2．我方承诺在投标有效期内不修改、撤销投标文件。</w:t>
      </w:r>
    </w:p>
    <w:p w14:paraId="1D048B70">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3．如我方中标：</w:t>
      </w:r>
    </w:p>
    <w:p w14:paraId="564F9EC4">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（1）我方承诺在收到中标通知书后，在中标通知书规定的期限内与你方签订合同。</w:t>
      </w:r>
    </w:p>
    <w:p w14:paraId="619429E1">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（2）随同本投标函递交的投标函附录属于合同文件的组成部分。</w:t>
      </w:r>
    </w:p>
    <w:p w14:paraId="0B89CA66">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（3）我方承诺在合同约定的期限内完成并移交全部合同工程。</w:t>
      </w:r>
    </w:p>
    <w:p w14:paraId="0C3B6A5F">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4．我方在此声明，所递交的投标文件及有关资料内容完整、真实和准确。</w:t>
      </w:r>
    </w:p>
    <w:p w14:paraId="02E85912">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5.我公司若中标，我们保证在签定合同的同时按招标文件的规定，以现金或电汇等方式向代理公司一次性支付中标服务费用。</w:t>
      </w:r>
    </w:p>
    <w:p w14:paraId="427028A1">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6．（其他补充说明）。</w:t>
      </w:r>
    </w:p>
    <w:p w14:paraId="719E7B9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EBB1E8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4C38B4A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 标 人：（加盖单位公章）</w:t>
      </w:r>
    </w:p>
    <w:p w14:paraId="030B7F0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法定代表人或其委托代理人： （签字或盖章）</w:t>
      </w:r>
    </w:p>
    <w:p w14:paraId="6D34B43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地    址：</w:t>
      </w:r>
    </w:p>
    <w:p w14:paraId="0645CAF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网    址：</w:t>
      </w:r>
    </w:p>
    <w:p w14:paraId="5DD0134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电    话：</w:t>
      </w:r>
    </w:p>
    <w:p w14:paraId="1E4C813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u w:val="single"/>
        </w:rPr>
      </w:pPr>
      <w:r>
        <w:rPr>
          <w:rFonts w:hint="eastAsia" w:ascii="宋体" w:hAnsi="宋体" w:eastAsia="宋体" w:cs="宋体"/>
          <w:kern w:val="1"/>
          <w:sz w:val="24"/>
          <w:szCs w:val="24"/>
        </w:rPr>
        <w:t>邮政编码：</w:t>
      </w:r>
    </w:p>
    <w:p w14:paraId="6F37BD7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日期:年月日</w:t>
      </w:r>
      <w:bookmarkStart w:id="110" w:name="_Toc414534008"/>
      <w:bookmarkEnd w:id="110"/>
      <w:bookmarkStart w:id="111" w:name="_Toc316386655"/>
      <w:bookmarkEnd w:id="111"/>
      <w:bookmarkStart w:id="112" w:name="_Toc228260812"/>
      <w:bookmarkEnd w:id="112"/>
      <w:bookmarkStart w:id="113" w:name="_Toc499930148"/>
    </w:p>
    <w:p w14:paraId="4CC46458">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r>
        <w:rPr>
          <w:rFonts w:hint="eastAsia" w:ascii="宋体" w:hAnsi="宋体" w:eastAsia="宋体" w:cs="宋体"/>
          <w:b/>
          <w:bCs/>
          <w:kern w:val="1"/>
          <w:sz w:val="28"/>
          <w:szCs w:val="28"/>
        </w:rPr>
        <w:t>（二）投标函附录</w:t>
      </w:r>
      <w:bookmarkEnd w:id="113"/>
    </w:p>
    <w:p w14:paraId="47544B3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bl>
      <w:tblPr>
        <w:tblStyle w:val="30"/>
        <w:tblW w:w="0" w:type="auto"/>
        <w:tblInd w:w="288" w:type="dxa"/>
        <w:tblLayout w:type="fixed"/>
        <w:tblCellMar>
          <w:top w:w="0" w:type="dxa"/>
          <w:left w:w="108" w:type="dxa"/>
          <w:bottom w:w="0" w:type="dxa"/>
          <w:right w:w="108" w:type="dxa"/>
        </w:tblCellMar>
      </w:tblPr>
      <w:tblGrid>
        <w:gridCol w:w="846"/>
        <w:gridCol w:w="1962"/>
        <w:gridCol w:w="4212"/>
        <w:gridCol w:w="2340"/>
      </w:tblGrid>
      <w:tr w14:paraId="6178CC82">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14ACE8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序号</w:t>
            </w:r>
          </w:p>
        </w:tc>
        <w:tc>
          <w:tcPr>
            <w:tcW w:w="1962" w:type="dxa"/>
            <w:tcBorders>
              <w:top w:val="single" w:color="000000" w:sz="4" w:space="0"/>
              <w:left w:val="single" w:color="000000" w:sz="4" w:space="0"/>
              <w:bottom w:val="single" w:color="000000" w:sz="4" w:space="0"/>
              <w:right w:val="single" w:color="000000" w:sz="4" w:space="0"/>
            </w:tcBorders>
            <w:vAlign w:val="center"/>
          </w:tcPr>
          <w:p w14:paraId="7FE9735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条款名称</w:t>
            </w:r>
          </w:p>
        </w:tc>
        <w:tc>
          <w:tcPr>
            <w:tcW w:w="4212" w:type="dxa"/>
            <w:tcBorders>
              <w:top w:val="single" w:color="000000" w:sz="4" w:space="0"/>
              <w:left w:val="single" w:color="000000" w:sz="4" w:space="0"/>
              <w:bottom w:val="single" w:color="000000" w:sz="4" w:space="0"/>
              <w:right w:val="single" w:color="000000" w:sz="4" w:space="0"/>
            </w:tcBorders>
            <w:vAlign w:val="center"/>
          </w:tcPr>
          <w:p w14:paraId="62CE300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约定内容</w:t>
            </w:r>
          </w:p>
        </w:tc>
        <w:tc>
          <w:tcPr>
            <w:tcW w:w="2340" w:type="dxa"/>
            <w:tcBorders>
              <w:top w:val="single" w:color="000000" w:sz="4" w:space="0"/>
              <w:left w:val="single" w:color="000000" w:sz="4" w:space="0"/>
              <w:bottom w:val="single" w:color="000000" w:sz="4" w:space="0"/>
              <w:right w:val="single" w:color="000000" w:sz="4" w:space="0"/>
            </w:tcBorders>
            <w:vAlign w:val="center"/>
          </w:tcPr>
          <w:p w14:paraId="490F24D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是否响应</w:t>
            </w:r>
          </w:p>
        </w:tc>
      </w:tr>
      <w:tr w14:paraId="42DB0982">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41961A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w:t>
            </w:r>
          </w:p>
        </w:tc>
        <w:tc>
          <w:tcPr>
            <w:tcW w:w="1962" w:type="dxa"/>
            <w:tcBorders>
              <w:top w:val="single" w:color="000000" w:sz="4" w:space="0"/>
              <w:left w:val="single" w:color="000000" w:sz="4" w:space="0"/>
              <w:bottom w:val="single" w:color="000000" w:sz="4" w:space="0"/>
              <w:right w:val="single" w:color="000000" w:sz="4" w:space="0"/>
            </w:tcBorders>
            <w:vAlign w:val="center"/>
          </w:tcPr>
          <w:p w14:paraId="4EC37B4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供货时间</w:t>
            </w:r>
          </w:p>
        </w:tc>
        <w:tc>
          <w:tcPr>
            <w:tcW w:w="4212" w:type="dxa"/>
            <w:tcBorders>
              <w:top w:val="single" w:color="000000" w:sz="4" w:space="0"/>
              <w:left w:val="single" w:color="000000" w:sz="4" w:space="0"/>
              <w:bottom w:val="single" w:color="000000" w:sz="4" w:space="0"/>
              <w:right w:val="single" w:color="000000" w:sz="4" w:space="0"/>
            </w:tcBorders>
            <w:vAlign w:val="center"/>
          </w:tcPr>
          <w:p w14:paraId="57F124A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41A87A1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53EC8AE6">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FAB0F8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w:t>
            </w:r>
          </w:p>
        </w:tc>
        <w:tc>
          <w:tcPr>
            <w:tcW w:w="1962" w:type="dxa"/>
            <w:tcBorders>
              <w:top w:val="single" w:color="000000" w:sz="4" w:space="0"/>
              <w:left w:val="single" w:color="000000" w:sz="4" w:space="0"/>
              <w:bottom w:val="single" w:color="000000" w:sz="4" w:space="0"/>
              <w:right w:val="single" w:color="000000" w:sz="4" w:space="0"/>
            </w:tcBorders>
            <w:vAlign w:val="center"/>
          </w:tcPr>
          <w:p w14:paraId="3CD1BB4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交货地点</w:t>
            </w:r>
          </w:p>
        </w:tc>
        <w:tc>
          <w:tcPr>
            <w:tcW w:w="4212" w:type="dxa"/>
            <w:tcBorders>
              <w:top w:val="single" w:color="000000" w:sz="4" w:space="0"/>
              <w:left w:val="single" w:color="000000" w:sz="4" w:space="0"/>
              <w:bottom w:val="single" w:color="000000" w:sz="4" w:space="0"/>
              <w:right w:val="single" w:color="000000" w:sz="4" w:space="0"/>
            </w:tcBorders>
            <w:vAlign w:val="center"/>
          </w:tcPr>
          <w:p w14:paraId="0C815FF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56A9C8E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0B773F83">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32F608A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3</w:t>
            </w:r>
          </w:p>
        </w:tc>
        <w:tc>
          <w:tcPr>
            <w:tcW w:w="1962" w:type="dxa"/>
            <w:tcBorders>
              <w:top w:val="single" w:color="000000" w:sz="4" w:space="0"/>
              <w:left w:val="single" w:color="000000" w:sz="4" w:space="0"/>
              <w:bottom w:val="single" w:color="000000" w:sz="4" w:space="0"/>
              <w:right w:val="single" w:color="000000" w:sz="4" w:space="0"/>
            </w:tcBorders>
            <w:vAlign w:val="center"/>
          </w:tcPr>
          <w:p w14:paraId="45EAF6E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质保期</w:t>
            </w:r>
          </w:p>
        </w:tc>
        <w:tc>
          <w:tcPr>
            <w:tcW w:w="4212" w:type="dxa"/>
            <w:tcBorders>
              <w:top w:val="single" w:color="000000" w:sz="4" w:space="0"/>
              <w:left w:val="single" w:color="000000" w:sz="4" w:space="0"/>
              <w:bottom w:val="single" w:color="000000" w:sz="4" w:space="0"/>
              <w:right w:val="single" w:color="000000" w:sz="4" w:space="0"/>
            </w:tcBorders>
            <w:vAlign w:val="center"/>
          </w:tcPr>
          <w:p w14:paraId="601027F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0FE3F74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751D9674">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CE3256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4</w:t>
            </w:r>
          </w:p>
        </w:tc>
        <w:tc>
          <w:tcPr>
            <w:tcW w:w="1962" w:type="dxa"/>
            <w:tcBorders>
              <w:top w:val="single" w:color="000000" w:sz="4" w:space="0"/>
              <w:left w:val="single" w:color="000000" w:sz="4" w:space="0"/>
              <w:bottom w:val="single" w:color="000000" w:sz="4" w:space="0"/>
              <w:right w:val="single" w:color="000000" w:sz="4" w:space="0"/>
            </w:tcBorders>
            <w:vAlign w:val="center"/>
          </w:tcPr>
          <w:p w14:paraId="1E79DA6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权利与义务</w:t>
            </w:r>
          </w:p>
        </w:tc>
        <w:tc>
          <w:tcPr>
            <w:tcW w:w="4212" w:type="dxa"/>
            <w:tcBorders>
              <w:top w:val="single" w:color="000000" w:sz="4" w:space="0"/>
              <w:left w:val="single" w:color="000000" w:sz="4" w:space="0"/>
              <w:bottom w:val="single" w:color="000000" w:sz="4" w:space="0"/>
              <w:right w:val="single" w:color="000000" w:sz="4" w:space="0"/>
            </w:tcBorders>
            <w:vAlign w:val="center"/>
          </w:tcPr>
          <w:p w14:paraId="7CCA968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61966E6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3A3616EB">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4AE028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5</w:t>
            </w:r>
          </w:p>
        </w:tc>
        <w:tc>
          <w:tcPr>
            <w:tcW w:w="1962" w:type="dxa"/>
            <w:tcBorders>
              <w:top w:val="single" w:color="000000" w:sz="4" w:space="0"/>
              <w:left w:val="single" w:color="000000" w:sz="4" w:space="0"/>
              <w:bottom w:val="single" w:color="000000" w:sz="4" w:space="0"/>
              <w:right w:val="single" w:color="000000" w:sz="4" w:space="0"/>
            </w:tcBorders>
            <w:vAlign w:val="center"/>
          </w:tcPr>
          <w:p w14:paraId="219C157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质量标准</w:t>
            </w:r>
          </w:p>
        </w:tc>
        <w:tc>
          <w:tcPr>
            <w:tcW w:w="4212" w:type="dxa"/>
            <w:tcBorders>
              <w:top w:val="single" w:color="000000" w:sz="4" w:space="0"/>
              <w:left w:val="single" w:color="000000" w:sz="4" w:space="0"/>
              <w:bottom w:val="single" w:color="000000" w:sz="4" w:space="0"/>
              <w:right w:val="single" w:color="000000" w:sz="4" w:space="0"/>
            </w:tcBorders>
            <w:vAlign w:val="center"/>
          </w:tcPr>
          <w:p w14:paraId="009ACE8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220E06A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41778F9A">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71A17B4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6</w:t>
            </w:r>
          </w:p>
        </w:tc>
        <w:tc>
          <w:tcPr>
            <w:tcW w:w="1962" w:type="dxa"/>
            <w:tcBorders>
              <w:top w:val="single" w:color="000000" w:sz="4" w:space="0"/>
              <w:left w:val="single" w:color="000000" w:sz="4" w:space="0"/>
              <w:bottom w:val="single" w:color="000000" w:sz="4" w:space="0"/>
              <w:right w:val="single" w:color="000000" w:sz="4" w:space="0"/>
            </w:tcBorders>
            <w:vAlign w:val="center"/>
          </w:tcPr>
          <w:p w14:paraId="1CDECA7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投标有效期</w:t>
            </w:r>
          </w:p>
        </w:tc>
        <w:tc>
          <w:tcPr>
            <w:tcW w:w="4212" w:type="dxa"/>
            <w:tcBorders>
              <w:top w:val="single" w:color="000000" w:sz="4" w:space="0"/>
              <w:left w:val="single" w:color="000000" w:sz="4" w:space="0"/>
              <w:bottom w:val="single" w:color="000000" w:sz="4" w:space="0"/>
              <w:right w:val="single" w:color="000000" w:sz="4" w:space="0"/>
            </w:tcBorders>
            <w:vAlign w:val="center"/>
          </w:tcPr>
          <w:p w14:paraId="1126B12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2D2FABF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5182F8F1">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8D8E6B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7</w:t>
            </w:r>
          </w:p>
        </w:tc>
        <w:tc>
          <w:tcPr>
            <w:tcW w:w="1962" w:type="dxa"/>
            <w:tcBorders>
              <w:top w:val="single" w:color="000000" w:sz="4" w:space="0"/>
              <w:left w:val="single" w:color="000000" w:sz="4" w:space="0"/>
              <w:bottom w:val="single" w:color="000000" w:sz="4" w:space="0"/>
              <w:right w:val="single" w:color="000000" w:sz="4" w:space="0"/>
            </w:tcBorders>
            <w:vAlign w:val="center"/>
          </w:tcPr>
          <w:p w14:paraId="2E0295F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w:t>
            </w:r>
          </w:p>
        </w:tc>
        <w:tc>
          <w:tcPr>
            <w:tcW w:w="4212" w:type="dxa"/>
            <w:tcBorders>
              <w:top w:val="single" w:color="000000" w:sz="4" w:space="0"/>
              <w:left w:val="single" w:color="000000" w:sz="4" w:space="0"/>
              <w:bottom w:val="single" w:color="000000" w:sz="4" w:space="0"/>
              <w:right w:val="single" w:color="000000" w:sz="4" w:space="0"/>
            </w:tcBorders>
            <w:vAlign w:val="center"/>
          </w:tcPr>
          <w:p w14:paraId="3634810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7B6906B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bl>
    <w:p w14:paraId="314CE79E">
      <w:pPr>
        <w:pStyle w:val="5"/>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p>
    <w:p w14:paraId="6582D0A6">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bookmarkStart w:id="114" w:name="_Toc316386656"/>
      <w:bookmarkEnd w:id="114"/>
      <w:bookmarkStart w:id="115" w:name="_Toc414534009"/>
      <w:bookmarkEnd w:id="115"/>
      <w:bookmarkStart w:id="116" w:name="_Toc499930149"/>
      <w:r>
        <w:rPr>
          <w:rFonts w:hint="eastAsia" w:ascii="宋体" w:hAnsi="宋体" w:eastAsia="宋体" w:cs="宋体"/>
          <w:kern w:val="1"/>
          <w:sz w:val="28"/>
          <w:szCs w:val="28"/>
        </w:rPr>
        <w:t>二、法定代表人身份证明</w:t>
      </w:r>
      <w:bookmarkEnd w:id="116"/>
    </w:p>
    <w:p w14:paraId="592E5CD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8E4A3D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单位名称：</w:t>
      </w:r>
    </w:p>
    <w:p w14:paraId="0E6FC31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单位性质：</w:t>
      </w:r>
    </w:p>
    <w:p w14:paraId="0211089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详细地址及办公电话：</w:t>
      </w:r>
    </w:p>
    <w:p w14:paraId="348879F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成立时间：</w:t>
      </w:r>
    </w:p>
    <w:p w14:paraId="570D01F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 xml:space="preserve">姓名：          性别：          年龄：        职务 ：       </w:t>
      </w:r>
    </w:p>
    <w:p w14:paraId="6D22D82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系            （投标人单位名称）的法定代表人。</w:t>
      </w:r>
    </w:p>
    <w:p w14:paraId="095348E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D23DEA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特此证明！</w:t>
      </w:r>
    </w:p>
    <w:p w14:paraId="2953225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后附：法定代表人身份证复印件加盖单位公章。</w:t>
      </w:r>
    </w:p>
    <w:p w14:paraId="5A1C4BF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2C25D0C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14B2F67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投标人：（加盖单位公章）</w:t>
      </w:r>
    </w:p>
    <w:p w14:paraId="75870B2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031F023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日期:年月日</w:t>
      </w:r>
    </w:p>
    <w:p w14:paraId="0D281A8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C0DB2F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49454C8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44C7F1A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469B124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24C2926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3E9847E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788EE30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5EA274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08CF1B5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6FEA46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3F2CE06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72C226A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8ED38A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7833B80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bookmarkStart w:id="117" w:name="_Toc414534010"/>
      <w:bookmarkEnd w:id="117"/>
      <w:bookmarkStart w:id="118" w:name="_Toc316386657"/>
      <w:bookmarkEnd w:id="118"/>
      <w:bookmarkStart w:id="119" w:name="_Toc256013811"/>
      <w:bookmarkEnd w:id="119"/>
      <w:bookmarkStart w:id="120" w:name="_Toc499930150"/>
    </w:p>
    <w:p w14:paraId="16538A35">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三、法定代表人授权委托书</w:t>
      </w:r>
      <w:bookmarkEnd w:id="120"/>
    </w:p>
    <w:p w14:paraId="536491A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277BB661">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本人（姓名）系（投标人名称）的法定代表人，现委托（姓名）为我方代理人。代理人根据授权，以我方名义签署、澄清、说明、补正、递交、撤回、修改</w:t>
      </w:r>
      <w:r>
        <w:rPr>
          <w:rFonts w:hint="eastAsia" w:ascii="宋体" w:hAnsi="宋体" w:eastAsia="宋体" w:cs="宋体"/>
          <w:kern w:val="1"/>
          <w:sz w:val="24"/>
          <w:szCs w:val="24"/>
          <w:u w:val="single"/>
        </w:rPr>
        <w:t xml:space="preserve">       （项目名称）</w:t>
      </w:r>
      <w:r>
        <w:rPr>
          <w:rFonts w:hint="eastAsia" w:cs="宋体"/>
          <w:kern w:val="1"/>
          <w:sz w:val="24"/>
          <w:szCs w:val="24"/>
          <w:u w:val="single"/>
          <w:lang w:eastAsia="zh-CN"/>
        </w:rPr>
        <w:t>（</w:t>
      </w:r>
      <w:r>
        <w:rPr>
          <w:rFonts w:hint="eastAsia" w:cs="宋体"/>
          <w:kern w:val="1"/>
          <w:sz w:val="24"/>
          <w:szCs w:val="24"/>
          <w:u w:val="single"/>
          <w:lang w:val="en-US" w:eastAsia="zh-CN"/>
        </w:rPr>
        <w:t>包号：</w:t>
      </w:r>
      <w:r>
        <w:rPr>
          <w:rFonts w:hint="eastAsia" w:cs="宋体"/>
          <w:kern w:val="1"/>
          <w:sz w:val="24"/>
          <w:szCs w:val="24"/>
          <w:u w:val="single"/>
          <w:lang w:eastAsia="zh-CN"/>
        </w:rPr>
        <w:t>）</w:t>
      </w:r>
      <w:r>
        <w:rPr>
          <w:rFonts w:hint="eastAsia" w:ascii="宋体" w:hAnsi="宋体" w:eastAsia="宋体" w:cs="宋体"/>
          <w:kern w:val="1"/>
          <w:sz w:val="24"/>
          <w:szCs w:val="24"/>
        </w:rPr>
        <w:t>投标文件、签订合同和处理有关事宜，其法律后果由我方承担。</w:t>
      </w:r>
    </w:p>
    <w:p w14:paraId="35135BA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委托期限：。</w:t>
      </w:r>
    </w:p>
    <w:p w14:paraId="211718CE">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代理人无转委托权。</w:t>
      </w:r>
    </w:p>
    <w:p w14:paraId="6DB2C6AD">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附：委托代理人身份证复印件及法人身份证复印件加盖单位公章。</w:t>
      </w:r>
    </w:p>
    <w:p w14:paraId="36AA6AA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7A6414D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3BCEA32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4D113D9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037DA24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E06909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4C3C305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3196AD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投标人：（加盖单位公章）</w:t>
      </w:r>
    </w:p>
    <w:p w14:paraId="588BAED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法定代表人：（签字或盖章）</w:t>
      </w:r>
    </w:p>
    <w:p w14:paraId="1D09351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u w:val="single"/>
        </w:rPr>
      </w:pPr>
      <w:r>
        <w:rPr>
          <w:rFonts w:hint="eastAsia" w:ascii="宋体" w:hAnsi="宋体" w:eastAsia="宋体" w:cs="宋体"/>
          <w:kern w:val="1"/>
          <w:sz w:val="24"/>
          <w:szCs w:val="24"/>
        </w:rPr>
        <w:t>身份证号码：</w:t>
      </w:r>
    </w:p>
    <w:p w14:paraId="3DAE350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委托代理人：（签字或盖章）</w:t>
      </w:r>
    </w:p>
    <w:p w14:paraId="452542F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u w:val="single"/>
        </w:rPr>
      </w:pPr>
      <w:r>
        <w:rPr>
          <w:rFonts w:hint="eastAsia" w:ascii="宋体" w:hAnsi="宋体" w:eastAsia="宋体" w:cs="宋体"/>
          <w:kern w:val="1"/>
          <w:sz w:val="24"/>
          <w:szCs w:val="24"/>
        </w:rPr>
        <w:t>身份证号码：</w:t>
      </w:r>
    </w:p>
    <w:p w14:paraId="44956E1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9AAEE5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日期:年月日</w:t>
      </w:r>
    </w:p>
    <w:p w14:paraId="680FC32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36ABDF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13B5499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0C99094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7334C68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bookmarkStart w:id="121" w:name="_Toc256013813"/>
      <w:bookmarkEnd w:id="121"/>
      <w:bookmarkStart w:id="122" w:name="_Toc414534012"/>
      <w:bookmarkEnd w:id="122"/>
      <w:bookmarkStart w:id="123" w:name="_Toc316386659"/>
      <w:bookmarkEnd w:id="123"/>
      <w:bookmarkStart w:id="124" w:name="_Toc316386658"/>
      <w:bookmarkEnd w:id="124"/>
      <w:bookmarkStart w:id="125" w:name="_Toc414534011"/>
      <w:bookmarkEnd w:id="125"/>
      <w:bookmarkStart w:id="126" w:name="_Toc499930152"/>
      <w:r>
        <w:rPr>
          <w:rFonts w:hint="eastAsia" w:ascii="宋体" w:hAnsi="宋体" w:eastAsia="宋体" w:cs="宋体"/>
          <w:kern w:val="1"/>
          <w:sz w:val="24"/>
          <w:szCs w:val="24"/>
        </w:rPr>
        <w:br w:type="page"/>
      </w:r>
    </w:p>
    <w:p w14:paraId="1E1D6DA9">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kern w:val="1"/>
          <w:sz w:val="28"/>
          <w:szCs w:val="28"/>
        </w:rPr>
        <w:t>四、投标保证金</w:t>
      </w:r>
    </w:p>
    <w:p w14:paraId="10818D1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13296A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238760</wp:posOffset>
                </wp:positionV>
                <wp:extent cx="5760085" cy="2278380"/>
                <wp:effectExtent l="5080" t="4445" r="6985" b="22225"/>
                <wp:wrapNone/>
                <wp:docPr id="8" name="文本框 8"/>
                <wp:cNvGraphicFramePr/>
                <a:graphic xmlns:a="http://schemas.openxmlformats.org/drawingml/2006/main">
                  <a:graphicData uri="http://schemas.microsoft.com/office/word/2010/wordprocessingShape">
                    <wps:wsp>
                      <wps:cNvSpPr txBox="1"/>
                      <wps:spPr>
                        <a:xfrm>
                          <a:off x="0" y="0"/>
                          <a:ext cx="5760085" cy="2278380"/>
                        </a:xfrm>
                        <a:prstGeom prst="rect">
                          <a:avLst/>
                        </a:prstGeom>
                        <a:noFill/>
                        <a:ln w="9525" cap="flat" cmpd="sng">
                          <a:solidFill>
                            <a:srgbClr val="000000"/>
                          </a:solidFill>
                          <a:prstDash val="lgDashDot"/>
                          <a:miter/>
                          <a:headEnd type="none" w="med" len="med"/>
                          <a:tailEnd type="none" w="med" len="med"/>
                        </a:ln>
                        <a:effectLst/>
                      </wps:spPr>
                      <wps:txbx>
                        <w:txbxContent>
                          <w:p w14:paraId="2AFDF34D"/>
                          <w:p w14:paraId="2C743A5C"/>
                          <w:p w14:paraId="4C3F1F9E">
                            <w:r>
                              <w:rPr>
                                <w:rFonts w:hint="eastAsia"/>
                              </w:rPr>
                              <w:t>此处粘贴附投标保证金缴纳凭证或投标保函、基本账户信息复印件</w:t>
                            </w:r>
                          </w:p>
                        </w:txbxContent>
                      </wps:txbx>
                      <wps:bodyPr upright="1"/>
                    </wps:wsp>
                  </a:graphicData>
                </a:graphic>
              </wp:anchor>
            </w:drawing>
          </mc:Choice>
          <mc:Fallback>
            <w:pict>
              <v:shape id="_x0000_s1026" o:spid="_x0000_s1026" o:spt="202" type="#_x0000_t202" style="position:absolute;left:0pt;margin-left:0pt;margin-top:18.8pt;height:179.4pt;width:453.55pt;z-index:251659264;mso-width-relative:page;mso-height-relative:page;" filled="f" stroked="t" coordsize="21600,21600" o:gfxdata="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YtvvPWAAAABwEAAA8AAAAAAAAAAQAg&#10;AAAAIgAAAGRycy9kb3ducmV2LnhtbFBLAQIUABQAAAAIAIdO4kBlw1zlEAIAACAEAAAOAAAAAAAA&#10;AAEAIAAAACUBAABkcnMvZTJvRG9jLnhtbFBLBQYAAAAABgAGAFkBAACnBQAAAAA=&#10;">
                <v:fill on="f" focussize="0,0"/>
                <v:stroke color="#000000" joinstyle="miter" dashstyle="longDashDot"/>
                <v:imagedata o:title=""/>
                <o:lock v:ext="edit" aspectratio="f"/>
                <v:textbox>
                  <w:txbxContent>
                    <w:p w14:paraId="2AFDF34D"/>
                    <w:p w14:paraId="2C743A5C"/>
                    <w:p w14:paraId="4C3F1F9E">
                      <w:r>
                        <w:rPr>
                          <w:rFonts w:hint="eastAsia"/>
                        </w:rPr>
                        <w:t>此处粘贴附投标保证金缴纳凭证或投标保函、基本账户信息复印件</w:t>
                      </w:r>
                    </w:p>
                  </w:txbxContent>
                </v:textbox>
              </v:shape>
            </w:pict>
          </mc:Fallback>
        </mc:AlternateContent>
      </w:r>
    </w:p>
    <w:p w14:paraId="2C5B211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76657A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77BEAD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91C9A6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174E09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67CF37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FF17DF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83A53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A29C2D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384B34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933F74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72EA288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6F7D09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776E0E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投标人：            （单位盖章）       </w:t>
      </w:r>
    </w:p>
    <w:p w14:paraId="0322E5E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（签字或盖章）        </w:t>
      </w:r>
    </w:p>
    <w:p w14:paraId="696F1C5D">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kern w:val="0"/>
          <w:sz w:val="24"/>
          <w:szCs w:val="24"/>
        </w:rPr>
        <w:t>日期：  年  月  日</w:t>
      </w:r>
    </w:p>
    <w:p w14:paraId="4BE2A6D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7F178D0F">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五、开标一览表</w:t>
      </w:r>
      <w:bookmarkEnd w:id="126"/>
    </w:p>
    <w:p w14:paraId="22B79DC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项目名称：</w:t>
      </w:r>
    </w:p>
    <w:p w14:paraId="5DD47D0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项目编号：</w:t>
      </w:r>
    </w:p>
    <w:p w14:paraId="6E0F002A">
      <w:pPr>
        <w:pageBreakBefore w:val="0"/>
        <w:kinsoku/>
        <w:wordWrap/>
        <w:overflowPunct/>
        <w:topLinePunct w:val="0"/>
        <w:bidi w:val="0"/>
        <w:spacing w:beforeAutospacing="0" w:afterAutospacing="0" w:line="360" w:lineRule="auto"/>
        <w:textAlignment w:val="auto"/>
        <w:rPr>
          <w:rFonts w:hint="eastAsia" w:cs="宋体"/>
          <w:kern w:val="1"/>
          <w:sz w:val="24"/>
          <w:szCs w:val="24"/>
          <w:lang w:val="en-US" w:eastAsia="zh-CN"/>
        </w:rPr>
      </w:pPr>
      <w:r>
        <w:rPr>
          <w:rFonts w:hint="eastAsia" w:cs="宋体"/>
          <w:kern w:val="1"/>
          <w:sz w:val="24"/>
          <w:szCs w:val="24"/>
          <w:lang w:val="en-US" w:eastAsia="zh-CN"/>
        </w:rPr>
        <w:t>包号：</w:t>
      </w:r>
    </w:p>
    <w:p w14:paraId="0F4B0934">
      <w:pPr>
        <w:pageBreakBefore w:val="0"/>
        <w:kinsoku/>
        <w:wordWrap/>
        <w:overflowPunct/>
        <w:topLinePunct w:val="0"/>
        <w:bidi w:val="0"/>
        <w:spacing w:beforeAutospacing="0" w:afterAutospacing="0" w:line="360" w:lineRule="auto"/>
        <w:textAlignment w:val="auto"/>
        <w:rPr>
          <w:rFonts w:hint="default" w:cs="宋体"/>
          <w:kern w:val="1"/>
          <w:sz w:val="24"/>
          <w:szCs w:val="24"/>
          <w:lang w:val="en-US" w:eastAsia="zh-CN"/>
        </w:rPr>
      </w:pPr>
      <w:r>
        <w:rPr>
          <w:rFonts w:hint="eastAsia" w:cs="宋体"/>
          <w:kern w:val="1"/>
          <w:sz w:val="24"/>
          <w:szCs w:val="24"/>
          <w:lang w:val="en-US" w:eastAsia="zh-CN"/>
        </w:rPr>
        <w:t>标段编号：</w:t>
      </w:r>
    </w:p>
    <w:tbl>
      <w:tblPr>
        <w:tblStyle w:val="30"/>
        <w:tblW w:w="0" w:type="auto"/>
        <w:tblInd w:w="108" w:type="dxa"/>
        <w:tblLayout w:type="fixed"/>
        <w:tblCellMar>
          <w:top w:w="0" w:type="dxa"/>
          <w:left w:w="108" w:type="dxa"/>
          <w:bottom w:w="0" w:type="dxa"/>
          <w:right w:w="108" w:type="dxa"/>
        </w:tblCellMar>
      </w:tblPr>
      <w:tblGrid>
        <w:gridCol w:w="1524"/>
        <w:gridCol w:w="8016"/>
      </w:tblGrid>
      <w:tr w14:paraId="297EE608">
        <w:tblPrEx>
          <w:tblCellMar>
            <w:top w:w="0" w:type="dxa"/>
            <w:left w:w="108" w:type="dxa"/>
            <w:bottom w:w="0" w:type="dxa"/>
            <w:right w:w="108" w:type="dxa"/>
          </w:tblCellMar>
        </w:tblPrEx>
        <w:trPr>
          <w:trHeight w:val="932"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48A12E2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w:t>
            </w:r>
          </w:p>
        </w:tc>
        <w:tc>
          <w:tcPr>
            <w:tcW w:w="8016" w:type="dxa"/>
            <w:tcBorders>
              <w:top w:val="single" w:color="000000" w:sz="4" w:space="0"/>
              <w:left w:val="single" w:color="000000" w:sz="4" w:space="0"/>
              <w:bottom w:val="single" w:color="000000" w:sz="4" w:space="0"/>
              <w:right w:val="single" w:color="000000" w:sz="4" w:space="0"/>
            </w:tcBorders>
            <w:vAlign w:val="center"/>
          </w:tcPr>
          <w:p w14:paraId="548CAB4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02997252">
        <w:tblPrEx>
          <w:tblCellMar>
            <w:top w:w="0" w:type="dxa"/>
            <w:left w:w="108" w:type="dxa"/>
            <w:bottom w:w="0" w:type="dxa"/>
            <w:right w:w="108" w:type="dxa"/>
          </w:tblCellMar>
        </w:tblPrEx>
        <w:trPr>
          <w:trHeight w:val="1044"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6F7ACFB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投标总报价（元）</w:t>
            </w:r>
          </w:p>
        </w:tc>
        <w:tc>
          <w:tcPr>
            <w:tcW w:w="8016" w:type="dxa"/>
            <w:tcBorders>
              <w:top w:val="single" w:color="000000" w:sz="4" w:space="0"/>
              <w:left w:val="single" w:color="000000" w:sz="4" w:space="0"/>
              <w:bottom w:val="single" w:color="000000" w:sz="4" w:space="0"/>
              <w:right w:val="single" w:color="000000" w:sz="4" w:space="0"/>
            </w:tcBorders>
            <w:vAlign w:val="center"/>
          </w:tcPr>
          <w:p w14:paraId="557F24F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7F3F5358">
        <w:tblPrEx>
          <w:tblCellMar>
            <w:top w:w="0" w:type="dxa"/>
            <w:left w:w="108" w:type="dxa"/>
            <w:bottom w:w="0" w:type="dxa"/>
            <w:right w:w="108" w:type="dxa"/>
          </w:tblCellMar>
        </w:tblPrEx>
        <w:trPr>
          <w:trHeight w:val="1173"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3089C46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供货时间</w:t>
            </w:r>
          </w:p>
        </w:tc>
        <w:tc>
          <w:tcPr>
            <w:tcW w:w="8016" w:type="dxa"/>
            <w:tcBorders>
              <w:top w:val="single" w:color="000000" w:sz="4" w:space="0"/>
              <w:left w:val="single" w:color="000000" w:sz="4" w:space="0"/>
              <w:bottom w:val="single" w:color="000000" w:sz="4" w:space="0"/>
              <w:right w:val="single" w:color="000000" w:sz="4" w:space="0"/>
            </w:tcBorders>
            <w:vAlign w:val="center"/>
          </w:tcPr>
          <w:p w14:paraId="2EEE94E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21F1FD6B">
        <w:tblPrEx>
          <w:tblCellMar>
            <w:top w:w="0" w:type="dxa"/>
            <w:left w:w="108" w:type="dxa"/>
            <w:bottom w:w="0" w:type="dxa"/>
            <w:right w:w="108" w:type="dxa"/>
          </w:tblCellMar>
        </w:tblPrEx>
        <w:trPr>
          <w:trHeight w:val="1391"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25887D3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交货地点</w:t>
            </w:r>
          </w:p>
        </w:tc>
        <w:tc>
          <w:tcPr>
            <w:tcW w:w="8016" w:type="dxa"/>
            <w:tcBorders>
              <w:top w:val="single" w:color="000000" w:sz="4" w:space="0"/>
              <w:left w:val="single" w:color="000000" w:sz="4" w:space="0"/>
              <w:bottom w:val="single" w:color="000000" w:sz="4" w:space="0"/>
              <w:right w:val="single" w:color="000000" w:sz="4" w:space="0"/>
            </w:tcBorders>
            <w:vAlign w:val="center"/>
          </w:tcPr>
          <w:p w14:paraId="09B6F87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208DBE02">
        <w:tblPrEx>
          <w:tblCellMar>
            <w:top w:w="0" w:type="dxa"/>
            <w:left w:w="108" w:type="dxa"/>
            <w:bottom w:w="0" w:type="dxa"/>
            <w:right w:w="108" w:type="dxa"/>
          </w:tblCellMar>
        </w:tblPrEx>
        <w:trPr>
          <w:trHeight w:val="1391"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23DB5E9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质保期</w:t>
            </w:r>
          </w:p>
        </w:tc>
        <w:tc>
          <w:tcPr>
            <w:tcW w:w="8016" w:type="dxa"/>
            <w:tcBorders>
              <w:top w:val="single" w:color="000000" w:sz="4" w:space="0"/>
              <w:left w:val="single" w:color="000000" w:sz="4" w:space="0"/>
              <w:bottom w:val="single" w:color="000000" w:sz="4" w:space="0"/>
              <w:right w:val="single" w:color="000000" w:sz="4" w:space="0"/>
            </w:tcBorders>
            <w:vAlign w:val="center"/>
          </w:tcPr>
          <w:p w14:paraId="4A05B93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7A31880C">
        <w:tblPrEx>
          <w:tblCellMar>
            <w:top w:w="0" w:type="dxa"/>
            <w:left w:w="108" w:type="dxa"/>
            <w:bottom w:w="0" w:type="dxa"/>
            <w:right w:w="108" w:type="dxa"/>
          </w:tblCellMar>
        </w:tblPrEx>
        <w:trPr>
          <w:trHeight w:val="1572"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06E8886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备注</w:t>
            </w:r>
          </w:p>
        </w:tc>
        <w:tc>
          <w:tcPr>
            <w:tcW w:w="8016" w:type="dxa"/>
            <w:tcBorders>
              <w:top w:val="single" w:color="000000" w:sz="4" w:space="0"/>
              <w:left w:val="single" w:color="000000" w:sz="4" w:space="0"/>
              <w:bottom w:val="single" w:color="000000" w:sz="4" w:space="0"/>
              <w:right w:val="single" w:color="000000" w:sz="4" w:space="0"/>
            </w:tcBorders>
            <w:vAlign w:val="center"/>
          </w:tcPr>
          <w:p w14:paraId="37E78BC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本表须单独密封，与投标文件同时递交，只做唱标时使用，但本表的一切内容均具有法律效力，不得更改。</w:t>
            </w:r>
          </w:p>
          <w:p w14:paraId="2883B34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本表的内容必须与投标文件中的正本内容一致。如不一致，以投标文件正本中的投标函为准。</w:t>
            </w:r>
          </w:p>
          <w:p w14:paraId="6BD425E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投标报价以元为单位，小数点保留到后两位。</w:t>
            </w:r>
          </w:p>
        </w:tc>
      </w:tr>
      <w:tr w14:paraId="40652624">
        <w:tblPrEx>
          <w:tblCellMar>
            <w:top w:w="0" w:type="dxa"/>
            <w:left w:w="108" w:type="dxa"/>
            <w:bottom w:w="0" w:type="dxa"/>
            <w:right w:w="108" w:type="dxa"/>
          </w:tblCellMar>
        </w:tblPrEx>
        <w:trPr>
          <w:trHeight w:val="1377" w:hRule="atLeast"/>
        </w:trPr>
        <w:tc>
          <w:tcPr>
            <w:tcW w:w="9540" w:type="dxa"/>
            <w:gridSpan w:val="2"/>
            <w:tcBorders>
              <w:top w:val="single" w:color="000000" w:sz="4" w:space="0"/>
              <w:left w:val="single" w:color="000000" w:sz="4" w:space="0"/>
              <w:bottom w:val="single" w:color="000000" w:sz="4" w:space="0"/>
              <w:right w:val="single" w:color="000000" w:sz="4" w:space="0"/>
            </w:tcBorders>
            <w:vAlign w:val="center"/>
          </w:tcPr>
          <w:p w14:paraId="2989E7D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 xml:space="preserve">投标人：              （加盖单位公章）      </w:t>
            </w:r>
          </w:p>
          <w:p w14:paraId="246921B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0D1919C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法定代表人或授权代理人：       （签字或盖章）</w:t>
            </w:r>
          </w:p>
        </w:tc>
      </w:tr>
    </w:tbl>
    <w:p w14:paraId="1AEE19B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注：1、填报的内容必须和投标文件及投标函中的内容一致。</w:t>
      </w:r>
    </w:p>
    <w:p w14:paraId="6BA3E4C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2、开标一览表除在投标文件中包含外，还需要单独使用小信封密封一份，唱标时使用。</w:t>
      </w:r>
    </w:p>
    <w:p w14:paraId="5E733A4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737232C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sectPr>
          <w:footerReference r:id="rId7" w:type="first"/>
          <w:headerReference r:id="rId5" w:type="default"/>
          <w:footerReference r:id="rId6" w:type="default"/>
          <w:pgSz w:w="11906" w:h="16838"/>
          <w:pgMar w:top="1440" w:right="1080" w:bottom="1440" w:left="1080" w:header="510" w:footer="714" w:gutter="0"/>
          <w:pgNumType w:start="1"/>
          <w:cols w:space="720" w:num="1"/>
          <w:titlePg/>
        </w:sectPr>
      </w:pPr>
      <w:r>
        <w:rPr>
          <w:rFonts w:hint="eastAsia" w:ascii="宋体" w:hAnsi="宋体" w:eastAsia="宋体" w:cs="宋体"/>
          <w:kern w:val="1"/>
          <w:sz w:val="24"/>
          <w:szCs w:val="24"/>
        </w:rPr>
        <w:t>日期:年月日</w:t>
      </w:r>
    </w:p>
    <w:p w14:paraId="1802F15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附件1：</w:t>
      </w:r>
    </w:p>
    <w:p w14:paraId="0E5924C7">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报价明细表</w:t>
      </w:r>
    </w:p>
    <w:p w14:paraId="59642401">
      <w:pPr>
        <w:pStyle w:val="2"/>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kern w:val="0"/>
          <w:sz w:val="24"/>
          <w:szCs w:val="24"/>
        </w:rPr>
        <w:t>项目名称：</w:t>
      </w:r>
    </w:p>
    <w:p w14:paraId="6BED2D43">
      <w:pPr>
        <w:pStyle w:val="2"/>
        <w:pageBreakBefore w:val="0"/>
        <w:kinsoku/>
        <w:wordWrap/>
        <w:overflowPunct/>
        <w:topLinePunct w:val="0"/>
        <w:bidi w:val="0"/>
        <w:spacing w:beforeAutospacing="0" w:afterAutospacing="0"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项目编号：</w:t>
      </w:r>
    </w:p>
    <w:p w14:paraId="5EB15BBB">
      <w:pPr>
        <w:pStyle w:val="2"/>
        <w:pageBreakBefore w:val="0"/>
        <w:kinsoku/>
        <w:wordWrap/>
        <w:overflowPunct/>
        <w:topLinePunct w:val="0"/>
        <w:bidi w:val="0"/>
        <w:spacing w:beforeAutospacing="0" w:afterAutospacing="0" w:line="360" w:lineRule="auto"/>
        <w:textAlignment w:val="auto"/>
        <w:rPr>
          <w:rFonts w:hint="eastAsia" w:cs="宋体"/>
          <w:kern w:val="0"/>
          <w:sz w:val="24"/>
          <w:szCs w:val="24"/>
          <w:lang w:val="en-US" w:eastAsia="zh-CN"/>
        </w:rPr>
      </w:pPr>
      <w:r>
        <w:rPr>
          <w:rFonts w:hint="eastAsia" w:cs="宋体"/>
          <w:kern w:val="0"/>
          <w:sz w:val="24"/>
          <w:szCs w:val="24"/>
          <w:lang w:val="en-US" w:eastAsia="zh-CN"/>
        </w:rPr>
        <w:t>包号：</w:t>
      </w:r>
    </w:p>
    <w:p w14:paraId="013D5966">
      <w:pPr>
        <w:pStyle w:val="2"/>
        <w:pageBreakBefore w:val="0"/>
        <w:kinsoku/>
        <w:wordWrap/>
        <w:overflowPunct/>
        <w:topLinePunct w:val="0"/>
        <w:bidi w:val="0"/>
        <w:spacing w:beforeAutospacing="0" w:afterAutospacing="0" w:line="360" w:lineRule="auto"/>
        <w:textAlignment w:val="auto"/>
        <w:rPr>
          <w:rFonts w:hint="default" w:cs="宋体"/>
          <w:kern w:val="0"/>
          <w:sz w:val="24"/>
          <w:szCs w:val="24"/>
          <w:lang w:val="en-US" w:eastAsia="zh-CN"/>
        </w:rPr>
      </w:pPr>
      <w:r>
        <w:rPr>
          <w:rFonts w:hint="eastAsia" w:cs="宋体"/>
          <w:kern w:val="0"/>
          <w:sz w:val="24"/>
          <w:szCs w:val="24"/>
          <w:lang w:val="en-US" w:eastAsia="zh-CN"/>
        </w:rPr>
        <w:t>标段编号：</w:t>
      </w:r>
    </w:p>
    <w:tbl>
      <w:tblPr>
        <w:tblStyle w:val="30"/>
        <w:tblpPr w:leftFromText="180" w:rightFromText="180" w:vertAnchor="text" w:horzAnchor="page" w:tblpX="937" w:tblpY="2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18"/>
        <w:gridCol w:w="1245"/>
        <w:gridCol w:w="1033"/>
        <w:gridCol w:w="1255"/>
        <w:gridCol w:w="733"/>
        <w:gridCol w:w="1354"/>
        <w:gridCol w:w="2332"/>
        <w:gridCol w:w="1640"/>
        <w:gridCol w:w="1648"/>
        <w:gridCol w:w="1562"/>
        <w:gridCol w:w="1341"/>
      </w:tblGrid>
      <w:tr w14:paraId="0329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2E76CB7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序号 </w:t>
            </w:r>
          </w:p>
        </w:tc>
        <w:tc>
          <w:tcPr>
            <w:tcW w:w="1245" w:type="dxa"/>
            <w:tcMar>
              <w:top w:w="15" w:type="dxa"/>
              <w:left w:w="15" w:type="dxa"/>
              <w:bottom w:w="0" w:type="dxa"/>
              <w:right w:w="15" w:type="dxa"/>
            </w:tcMar>
            <w:vAlign w:val="center"/>
          </w:tcPr>
          <w:p w14:paraId="01DAA01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033" w:type="dxa"/>
            <w:tcMar>
              <w:top w:w="15" w:type="dxa"/>
              <w:left w:w="15" w:type="dxa"/>
              <w:bottom w:w="0" w:type="dxa"/>
              <w:right w:w="15" w:type="dxa"/>
            </w:tcMar>
            <w:vAlign w:val="center"/>
          </w:tcPr>
          <w:p w14:paraId="38C344F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品牌</w:t>
            </w:r>
          </w:p>
        </w:tc>
        <w:tc>
          <w:tcPr>
            <w:tcW w:w="1255" w:type="dxa"/>
            <w:tcMar>
              <w:top w:w="15" w:type="dxa"/>
              <w:left w:w="15" w:type="dxa"/>
              <w:bottom w:w="0" w:type="dxa"/>
              <w:right w:w="15" w:type="dxa"/>
            </w:tcMar>
            <w:vAlign w:val="center"/>
          </w:tcPr>
          <w:p w14:paraId="4DBECF1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制造商名称</w:t>
            </w:r>
          </w:p>
        </w:tc>
        <w:tc>
          <w:tcPr>
            <w:tcW w:w="733" w:type="dxa"/>
            <w:tcMar>
              <w:top w:w="15" w:type="dxa"/>
              <w:left w:w="15" w:type="dxa"/>
              <w:bottom w:w="0" w:type="dxa"/>
              <w:right w:w="15" w:type="dxa"/>
            </w:tcMar>
            <w:vAlign w:val="center"/>
          </w:tcPr>
          <w:p w14:paraId="6C9B3F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产地</w:t>
            </w:r>
          </w:p>
        </w:tc>
        <w:tc>
          <w:tcPr>
            <w:tcW w:w="1354" w:type="dxa"/>
            <w:tcMar>
              <w:top w:w="15" w:type="dxa"/>
              <w:left w:w="15" w:type="dxa"/>
              <w:bottom w:w="0" w:type="dxa"/>
              <w:right w:w="15" w:type="dxa"/>
            </w:tcMar>
            <w:vAlign w:val="center"/>
          </w:tcPr>
          <w:p w14:paraId="17275C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2332" w:type="dxa"/>
            <w:tcMar>
              <w:top w:w="15" w:type="dxa"/>
              <w:left w:w="15" w:type="dxa"/>
              <w:bottom w:w="0" w:type="dxa"/>
              <w:right w:w="15" w:type="dxa"/>
            </w:tcMar>
            <w:vAlign w:val="center"/>
          </w:tcPr>
          <w:p w14:paraId="01D2C13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1640" w:type="dxa"/>
            <w:tcMar>
              <w:top w:w="15" w:type="dxa"/>
              <w:left w:w="15" w:type="dxa"/>
              <w:bottom w:w="0" w:type="dxa"/>
              <w:right w:w="15" w:type="dxa"/>
            </w:tcMar>
            <w:vAlign w:val="center"/>
          </w:tcPr>
          <w:p w14:paraId="1071C18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648" w:type="dxa"/>
            <w:tcMar>
              <w:top w:w="15" w:type="dxa"/>
              <w:left w:w="15" w:type="dxa"/>
              <w:bottom w:w="0" w:type="dxa"/>
              <w:right w:w="15" w:type="dxa"/>
            </w:tcMar>
            <w:vAlign w:val="center"/>
          </w:tcPr>
          <w:p w14:paraId="47CD549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单价</w:t>
            </w:r>
          </w:p>
        </w:tc>
        <w:tc>
          <w:tcPr>
            <w:tcW w:w="1562" w:type="dxa"/>
            <w:tcMar>
              <w:top w:w="15" w:type="dxa"/>
              <w:left w:w="15" w:type="dxa"/>
              <w:bottom w:w="0" w:type="dxa"/>
              <w:right w:w="15" w:type="dxa"/>
            </w:tcMar>
            <w:vAlign w:val="center"/>
          </w:tcPr>
          <w:p w14:paraId="0A9D8EE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小计</w:t>
            </w:r>
          </w:p>
        </w:tc>
        <w:tc>
          <w:tcPr>
            <w:tcW w:w="1341" w:type="dxa"/>
            <w:tcMar>
              <w:top w:w="15" w:type="dxa"/>
              <w:left w:w="15" w:type="dxa"/>
              <w:bottom w:w="0" w:type="dxa"/>
              <w:right w:w="15" w:type="dxa"/>
            </w:tcMar>
            <w:vAlign w:val="center"/>
          </w:tcPr>
          <w:p w14:paraId="112EEC9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4B0A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554949D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470AAF4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033" w:type="dxa"/>
            <w:tcMar>
              <w:top w:w="15" w:type="dxa"/>
              <w:left w:w="15" w:type="dxa"/>
              <w:bottom w:w="0" w:type="dxa"/>
              <w:right w:w="15" w:type="dxa"/>
            </w:tcMar>
            <w:vAlign w:val="center"/>
          </w:tcPr>
          <w:p w14:paraId="2BC075A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1490094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03BDDB7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13D8A93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572DEE2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0BDBE8D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6BF735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62492D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1F0492B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3B2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24D63F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2100A55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033" w:type="dxa"/>
            <w:tcMar>
              <w:top w:w="15" w:type="dxa"/>
              <w:left w:w="15" w:type="dxa"/>
              <w:bottom w:w="0" w:type="dxa"/>
              <w:right w:w="15" w:type="dxa"/>
            </w:tcMar>
            <w:vAlign w:val="center"/>
          </w:tcPr>
          <w:p w14:paraId="6A1A230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4AFF392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4916D3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6524DBD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0647B6F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2461F27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7C54C62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640D2E2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561DAF5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191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49DFC6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73C776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033" w:type="dxa"/>
            <w:tcMar>
              <w:top w:w="15" w:type="dxa"/>
              <w:left w:w="15" w:type="dxa"/>
              <w:bottom w:w="0" w:type="dxa"/>
              <w:right w:w="15" w:type="dxa"/>
            </w:tcMar>
            <w:vAlign w:val="center"/>
          </w:tcPr>
          <w:p w14:paraId="15C320C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1DC3EF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1C9DAF8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7870E8D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2B91FE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04B71C7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3EDD788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40E7AE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456D823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9B5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13FD72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12535D9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1033" w:type="dxa"/>
            <w:tcMar>
              <w:top w:w="15" w:type="dxa"/>
              <w:left w:w="15" w:type="dxa"/>
              <w:bottom w:w="0" w:type="dxa"/>
              <w:right w:w="15" w:type="dxa"/>
            </w:tcMar>
            <w:vAlign w:val="center"/>
          </w:tcPr>
          <w:p w14:paraId="53013FE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70C19DD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1C1340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00541D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295BB64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4A0EB44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00A4966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7905D25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0EAC739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98B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0" w:hRule="atLeast"/>
        </w:trPr>
        <w:tc>
          <w:tcPr>
            <w:tcW w:w="6638" w:type="dxa"/>
            <w:gridSpan w:val="6"/>
            <w:tcMar>
              <w:top w:w="15" w:type="dxa"/>
              <w:left w:w="15" w:type="dxa"/>
              <w:bottom w:w="0" w:type="dxa"/>
              <w:right w:w="15" w:type="dxa"/>
            </w:tcMar>
            <w:vAlign w:val="center"/>
          </w:tcPr>
          <w:p w14:paraId="7DC16B5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投标总价：</w:t>
            </w:r>
          </w:p>
        </w:tc>
        <w:tc>
          <w:tcPr>
            <w:tcW w:w="8523" w:type="dxa"/>
            <w:gridSpan w:val="5"/>
            <w:tcMar>
              <w:top w:w="15" w:type="dxa"/>
              <w:left w:w="15" w:type="dxa"/>
              <w:bottom w:w="0" w:type="dxa"/>
              <w:right w:w="15" w:type="dxa"/>
            </w:tcMar>
            <w:vAlign w:val="center"/>
          </w:tcPr>
          <w:p w14:paraId="4878181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人民币大写：          小写：</w:t>
            </w:r>
          </w:p>
        </w:tc>
      </w:tr>
    </w:tbl>
    <w:p w14:paraId="3C325777">
      <w:pPr>
        <w:pStyle w:val="2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sectPr>
          <w:pgSz w:w="16838" w:h="11906" w:orient="landscape"/>
          <w:pgMar w:top="850" w:right="709" w:bottom="998" w:left="992" w:header="510" w:footer="714" w:gutter="0"/>
          <w:cols w:space="0" w:num="1"/>
          <w:titlePg/>
        </w:sectPr>
      </w:pPr>
    </w:p>
    <w:p w14:paraId="54D7263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bookmarkStart w:id="127" w:name="_Toc414534013"/>
      <w:bookmarkEnd w:id="127"/>
      <w:bookmarkStart w:id="128" w:name="_Toc316386661"/>
      <w:bookmarkEnd w:id="128"/>
      <w:bookmarkStart w:id="129" w:name="_Toc256013816"/>
      <w:bookmarkEnd w:id="129"/>
      <w:bookmarkStart w:id="130" w:name="_Toc499930153"/>
      <w:r>
        <w:rPr>
          <w:rFonts w:hint="eastAsia" w:ascii="宋体" w:hAnsi="宋体" w:eastAsia="宋体" w:cs="宋体"/>
          <w:sz w:val="24"/>
          <w:szCs w:val="24"/>
        </w:rPr>
        <w:t>附件1：</w:t>
      </w:r>
    </w:p>
    <w:p w14:paraId="72B24844">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设备配置清单一览表（单台配置）</w:t>
      </w:r>
    </w:p>
    <w:p w14:paraId="27EC56BC">
      <w:pPr>
        <w:pStyle w:val="29"/>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pPr>
    </w:p>
    <w:p w14:paraId="5DA19D1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u w:val="single"/>
          <w:lang w:bidi="zh-CN"/>
        </w:rPr>
      </w:pPr>
      <w:r>
        <w:rPr>
          <w:rFonts w:hint="eastAsia" w:ascii="宋体" w:hAnsi="宋体" w:eastAsia="宋体" w:cs="宋体"/>
          <w:sz w:val="24"/>
          <w:szCs w:val="24"/>
        </w:rPr>
        <w:t>设备名称：                      设备品牌、型号：</w:t>
      </w:r>
    </w:p>
    <w:tbl>
      <w:tblPr>
        <w:tblStyle w:val="30"/>
        <w:tblW w:w="9158" w:type="dxa"/>
        <w:tblInd w:w="123" w:type="dxa"/>
        <w:tblLayout w:type="fixed"/>
        <w:tblCellMar>
          <w:top w:w="0" w:type="dxa"/>
          <w:left w:w="0" w:type="dxa"/>
          <w:bottom w:w="0" w:type="dxa"/>
          <w:right w:w="0" w:type="dxa"/>
        </w:tblCellMar>
      </w:tblPr>
      <w:tblGrid>
        <w:gridCol w:w="400"/>
        <w:gridCol w:w="2520"/>
        <w:gridCol w:w="1275"/>
        <w:gridCol w:w="2535"/>
        <w:gridCol w:w="825"/>
        <w:gridCol w:w="850"/>
        <w:gridCol w:w="753"/>
      </w:tblGrid>
      <w:tr w14:paraId="788EFB53">
        <w:tblPrEx>
          <w:tblCellMar>
            <w:top w:w="0" w:type="dxa"/>
            <w:left w:w="0" w:type="dxa"/>
            <w:bottom w:w="0" w:type="dxa"/>
            <w:right w:w="0" w:type="dxa"/>
          </w:tblCellMar>
        </w:tblPrEx>
        <w:trPr>
          <w:trHeight w:val="814" w:hRule="atLeast"/>
        </w:trPr>
        <w:tc>
          <w:tcPr>
            <w:tcW w:w="400"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494B46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52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99AB7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配置名称</w:t>
            </w:r>
          </w:p>
        </w:tc>
        <w:tc>
          <w:tcPr>
            <w:tcW w:w="127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8A642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253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C8841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原产地和制造商名称</w:t>
            </w:r>
          </w:p>
        </w:tc>
        <w:tc>
          <w:tcPr>
            <w:tcW w:w="82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2CD9D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85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4A066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描述</w:t>
            </w:r>
          </w:p>
        </w:tc>
        <w:tc>
          <w:tcPr>
            <w:tcW w:w="753" w:type="dxa"/>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4FED15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16014FEA">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F2B0B8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915D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4E163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F8C41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9D85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73578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C67CC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A266A73">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FC83E0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8C1D6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8180F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FDB11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39547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7132B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592BB1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9C56999">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A264C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3AEDD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758DD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658FC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04985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FCADA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816E9F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1149D67">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AA8759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7882D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44542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CABE9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BE883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C5B47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75DB2E4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3B524E8">
        <w:tblPrEx>
          <w:tblCellMar>
            <w:top w:w="0" w:type="dxa"/>
            <w:left w:w="0" w:type="dxa"/>
            <w:bottom w:w="0" w:type="dxa"/>
            <w:right w:w="0" w:type="dxa"/>
          </w:tblCellMar>
        </w:tblPrEx>
        <w:trPr>
          <w:trHeight w:val="786"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4D8CD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CE00E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3D600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EF04A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CE67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53394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0B601F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333D1A1">
        <w:tblPrEx>
          <w:tblCellMar>
            <w:top w:w="0" w:type="dxa"/>
            <w:left w:w="0" w:type="dxa"/>
            <w:bottom w:w="0" w:type="dxa"/>
            <w:right w:w="0" w:type="dxa"/>
          </w:tblCellMar>
        </w:tblPrEx>
        <w:trPr>
          <w:trHeight w:val="786"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F94B54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E5F21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5910B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F2985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B36A1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4F668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14FB49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bl>
    <w:p w14:paraId="379AFC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7841015">
      <w:pPr>
        <w:pStyle w:val="29"/>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pPr>
    </w:p>
    <w:p w14:paraId="466E017C">
      <w:pPr>
        <w:pStyle w:val="29"/>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pPr>
    </w:p>
    <w:p w14:paraId="0E9F7D2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公司(盖章):</w:t>
      </w:r>
    </w:p>
    <w:p w14:paraId="4BFD1A28">
      <w:pPr>
        <w:pStyle w:val="29"/>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sectPr>
          <w:pgSz w:w="11906" w:h="16838"/>
          <w:pgMar w:top="1440" w:right="1361" w:bottom="1440" w:left="1361" w:header="851" w:footer="992" w:gutter="0"/>
          <w:cols w:space="720" w:num="1"/>
          <w:docGrid w:type="linesAndChars" w:linePitch="312" w:charSpace="0"/>
        </w:sectPr>
      </w:pPr>
    </w:p>
    <w:p w14:paraId="681927F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附件2：</w:t>
      </w:r>
    </w:p>
    <w:p w14:paraId="65DB09C2">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易损件报价清单一览表</w:t>
      </w:r>
    </w:p>
    <w:p w14:paraId="480AC94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76F939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u w:val="single"/>
          <w:lang w:bidi="zh-CN"/>
        </w:rPr>
      </w:pPr>
      <w:r>
        <w:rPr>
          <w:rFonts w:hint="eastAsia" w:ascii="宋体" w:hAnsi="宋体" w:eastAsia="宋体" w:cs="宋体"/>
          <w:sz w:val="24"/>
          <w:szCs w:val="24"/>
        </w:rPr>
        <w:t>设备名称：                  设备品牌、型号：</w:t>
      </w:r>
    </w:p>
    <w:p w14:paraId="29F4BBE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bl>
      <w:tblPr>
        <w:tblStyle w:val="30"/>
        <w:tblW w:w="8803" w:type="dxa"/>
        <w:tblInd w:w="15" w:type="dxa"/>
        <w:tblLayout w:type="fixed"/>
        <w:tblCellMar>
          <w:top w:w="0" w:type="dxa"/>
          <w:left w:w="0" w:type="dxa"/>
          <w:bottom w:w="0" w:type="dxa"/>
          <w:right w:w="0" w:type="dxa"/>
        </w:tblCellMar>
      </w:tblPr>
      <w:tblGrid>
        <w:gridCol w:w="865"/>
        <w:gridCol w:w="1519"/>
        <w:gridCol w:w="1678"/>
        <w:gridCol w:w="1309"/>
        <w:gridCol w:w="990"/>
        <w:gridCol w:w="1324"/>
        <w:gridCol w:w="1118"/>
      </w:tblGrid>
      <w:tr w14:paraId="1918F023">
        <w:tblPrEx>
          <w:tblCellMar>
            <w:top w:w="0" w:type="dxa"/>
            <w:left w:w="0" w:type="dxa"/>
            <w:bottom w:w="0" w:type="dxa"/>
            <w:right w:w="0" w:type="dxa"/>
          </w:tblCellMar>
        </w:tblPrEx>
        <w:trPr>
          <w:trHeight w:val="1387" w:hRule="atLeast"/>
        </w:trPr>
        <w:tc>
          <w:tcPr>
            <w:tcW w:w="865"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5DB719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519"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7DE5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678"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71AF9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生产厂家</w:t>
            </w:r>
          </w:p>
        </w:tc>
        <w:tc>
          <w:tcPr>
            <w:tcW w:w="1309"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43B78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99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E3F29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1324"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345B6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价格（单位：元）</w:t>
            </w:r>
          </w:p>
        </w:tc>
        <w:tc>
          <w:tcPr>
            <w:tcW w:w="1118" w:type="dxa"/>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2ABD3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7A8ADE2A">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D5D5ED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7B1AF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00A08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FAA5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182B66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2FFB9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8F6DD3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7A54974A">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338C3A5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829AF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B84AC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B0829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59641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3D8E8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A3A03A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11F1300">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C5D8EC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1BEF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9B78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00834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F5E8A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5990A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DDA0B1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9D122B4">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A034BC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7F995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7FAD5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16A42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96A43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8F2B3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B81D03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41A036FC">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781652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4FB7F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9EB84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DF338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A8BBF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BB367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561376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bl>
    <w:p w14:paraId="0216C3D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B82A95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公司(盖章):</w:t>
      </w:r>
    </w:p>
    <w:p w14:paraId="2222C84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sectPr>
          <w:pgSz w:w="11906" w:h="16838"/>
          <w:pgMar w:top="1440" w:right="1361" w:bottom="1440" w:left="1361" w:header="851" w:footer="992" w:gutter="0"/>
          <w:cols w:space="720" w:num="1"/>
          <w:docGrid w:type="linesAndChars" w:linePitch="312" w:charSpace="0"/>
        </w:sectPr>
      </w:pPr>
    </w:p>
    <w:p w14:paraId="2F9817E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附件3：</w:t>
      </w:r>
    </w:p>
    <w:p w14:paraId="5AB07389">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耗材报价清单一览表</w:t>
      </w:r>
    </w:p>
    <w:p w14:paraId="44D721A6">
      <w:pPr>
        <w:pStyle w:val="29"/>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pPr>
    </w:p>
    <w:tbl>
      <w:tblPr>
        <w:tblStyle w:val="30"/>
        <w:tblpPr w:leftFromText="180" w:rightFromText="180" w:vertAnchor="text" w:horzAnchor="page" w:tblpX="715" w:tblpY="461"/>
        <w:tblOverlap w:val="never"/>
        <w:tblW w:w="10094" w:type="dxa"/>
        <w:tblInd w:w="0" w:type="dxa"/>
        <w:tblLayout w:type="fixed"/>
        <w:tblCellMar>
          <w:top w:w="0" w:type="dxa"/>
          <w:left w:w="0" w:type="dxa"/>
          <w:bottom w:w="0" w:type="dxa"/>
          <w:right w:w="0" w:type="dxa"/>
        </w:tblCellMar>
      </w:tblPr>
      <w:tblGrid>
        <w:gridCol w:w="630"/>
        <w:gridCol w:w="1443"/>
        <w:gridCol w:w="1077"/>
        <w:gridCol w:w="1433"/>
        <w:gridCol w:w="1433"/>
        <w:gridCol w:w="891"/>
        <w:gridCol w:w="1135"/>
        <w:gridCol w:w="1157"/>
        <w:gridCol w:w="895"/>
      </w:tblGrid>
      <w:tr w14:paraId="6F3DFF06">
        <w:tblPrEx>
          <w:tblCellMar>
            <w:top w:w="0" w:type="dxa"/>
            <w:left w:w="0" w:type="dxa"/>
            <w:bottom w:w="0" w:type="dxa"/>
            <w:right w:w="0" w:type="dxa"/>
          </w:tblCellMar>
        </w:tblPrEx>
        <w:trPr>
          <w:trHeight w:val="970" w:hRule="atLeast"/>
        </w:trPr>
        <w:tc>
          <w:tcPr>
            <w:tcW w:w="630"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495835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443"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E72E2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077"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900EC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生产厂家</w:t>
            </w:r>
          </w:p>
        </w:tc>
        <w:tc>
          <w:tcPr>
            <w:tcW w:w="1433"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F104C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注册证号</w:t>
            </w:r>
          </w:p>
        </w:tc>
        <w:tc>
          <w:tcPr>
            <w:tcW w:w="1433"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7B4AE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891"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8D70E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113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531664">
            <w:pPr>
              <w:pageBreakBefore w:val="0"/>
              <w:kinsoku/>
              <w:wordWrap/>
              <w:overflowPunct/>
              <w:topLinePunct w:val="0"/>
              <w:bidi w:val="0"/>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价格（单位：元）</w:t>
            </w:r>
          </w:p>
        </w:tc>
        <w:tc>
          <w:tcPr>
            <w:tcW w:w="1157" w:type="dxa"/>
            <w:tcBorders>
              <w:top w:val="single" w:color="000000" w:sz="12" w:space="0"/>
              <w:left w:val="single" w:color="000000" w:sz="4" w:space="0"/>
              <w:bottom w:val="single" w:color="000000" w:sz="4" w:space="0"/>
              <w:right w:val="single" w:color="000000" w:sz="4" w:space="0"/>
            </w:tcBorders>
            <w:vAlign w:val="center"/>
          </w:tcPr>
          <w:p w14:paraId="54B73AC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医保码</w:t>
            </w:r>
          </w:p>
        </w:tc>
        <w:tc>
          <w:tcPr>
            <w:tcW w:w="895" w:type="dxa"/>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E734D9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是否专机专用</w:t>
            </w:r>
          </w:p>
        </w:tc>
      </w:tr>
      <w:tr w14:paraId="3D6AF04C">
        <w:tblPrEx>
          <w:tblCellMar>
            <w:top w:w="0" w:type="dxa"/>
            <w:left w:w="0" w:type="dxa"/>
            <w:bottom w:w="0" w:type="dxa"/>
            <w:right w:w="0" w:type="dxa"/>
          </w:tblCellMar>
        </w:tblPrEx>
        <w:trPr>
          <w:trHeight w:val="775" w:hRule="atLeast"/>
        </w:trPr>
        <w:tc>
          <w:tcPr>
            <w:tcW w:w="63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11B17E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24DBC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0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0B542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D98B9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35C61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35B02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3B3FE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57" w:type="dxa"/>
            <w:tcBorders>
              <w:top w:val="single" w:color="000000" w:sz="4" w:space="0"/>
              <w:left w:val="single" w:color="000000" w:sz="4" w:space="0"/>
              <w:bottom w:val="single" w:color="000000" w:sz="4" w:space="0"/>
              <w:right w:val="single" w:color="000000" w:sz="4" w:space="0"/>
            </w:tcBorders>
          </w:tcPr>
          <w:p w14:paraId="65E051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7F59D33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93952BD">
        <w:tblPrEx>
          <w:tblCellMar>
            <w:top w:w="0" w:type="dxa"/>
            <w:left w:w="0" w:type="dxa"/>
            <w:bottom w:w="0" w:type="dxa"/>
            <w:right w:w="0" w:type="dxa"/>
          </w:tblCellMar>
        </w:tblPrEx>
        <w:trPr>
          <w:trHeight w:val="775" w:hRule="atLeast"/>
        </w:trPr>
        <w:tc>
          <w:tcPr>
            <w:tcW w:w="63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D31F07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862EF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0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42BE1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13CB70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DCB5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932E0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36579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57" w:type="dxa"/>
            <w:tcBorders>
              <w:top w:val="single" w:color="000000" w:sz="4" w:space="0"/>
              <w:left w:val="single" w:color="000000" w:sz="4" w:space="0"/>
              <w:bottom w:val="single" w:color="000000" w:sz="4" w:space="0"/>
              <w:right w:val="single" w:color="000000" w:sz="4" w:space="0"/>
            </w:tcBorders>
          </w:tcPr>
          <w:p w14:paraId="4C8FC55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BBE919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772DE2AF">
        <w:tblPrEx>
          <w:tblCellMar>
            <w:top w:w="0" w:type="dxa"/>
            <w:left w:w="0" w:type="dxa"/>
            <w:bottom w:w="0" w:type="dxa"/>
            <w:right w:w="0" w:type="dxa"/>
          </w:tblCellMar>
        </w:tblPrEx>
        <w:trPr>
          <w:trHeight w:val="775" w:hRule="atLeast"/>
        </w:trPr>
        <w:tc>
          <w:tcPr>
            <w:tcW w:w="63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3D602F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284DE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0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15230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2E10B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24C0B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8A32D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82659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57" w:type="dxa"/>
            <w:tcBorders>
              <w:top w:val="single" w:color="000000" w:sz="4" w:space="0"/>
              <w:left w:val="single" w:color="000000" w:sz="4" w:space="0"/>
              <w:bottom w:val="single" w:color="000000" w:sz="4" w:space="0"/>
              <w:right w:val="single" w:color="000000" w:sz="4" w:space="0"/>
            </w:tcBorders>
          </w:tcPr>
          <w:p w14:paraId="2876EE6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5B33A2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FF4AD3D">
        <w:tblPrEx>
          <w:tblCellMar>
            <w:top w:w="0" w:type="dxa"/>
            <w:left w:w="0" w:type="dxa"/>
            <w:bottom w:w="0" w:type="dxa"/>
            <w:right w:w="0" w:type="dxa"/>
          </w:tblCellMar>
        </w:tblPrEx>
        <w:trPr>
          <w:trHeight w:val="1041" w:hRule="atLeast"/>
        </w:trPr>
        <w:tc>
          <w:tcPr>
            <w:tcW w:w="63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664D0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5E0B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0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E2FFE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2AA8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4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DF6B7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78D7A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F7E2E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157" w:type="dxa"/>
            <w:tcBorders>
              <w:top w:val="single" w:color="000000" w:sz="4" w:space="0"/>
              <w:left w:val="single" w:color="000000" w:sz="4" w:space="0"/>
              <w:bottom w:val="single" w:color="000000" w:sz="4" w:space="0"/>
              <w:right w:val="single" w:color="000000" w:sz="4" w:space="0"/>
            </w:tcBorders>
          </w:tcPr>
          <w:p w14:paraId="3582F5F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C3DA0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bl>
    <w:p w14:paraId="3FBCCCA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u w:val="single"/>
          <w:lang w:bidi="zh-CN"/>
        </w:rPr>
      </w:pPr>
      <w:r>
        <w:rPr>
          <w:rFonts w:hint="eastAsia" w:ascii="宋体" w:hAnsi="宋体" w:eastAsia="宋体" w:cs="宋体"/>
          <w:sz w:val="24"/>
          <w:szCs w:val="24"/>
        </w:rPr>
        <w:t>设备名称：                     设备品牌、型号：</w:t>
      </w:r>
    </w:p>
    <w:p w14:paraId="029CA65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28CAD3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BAC3DB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9C2042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1F4440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公司(盖章):</w:t>
      </w:r>
    </w:p>
    <w:p w14:paraId="467352E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AB1177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注：对由于市场波动、设备更新换代等因素造成的耗材价格起伏，采购人有权选择低于合同协议的市场价进行采购。</w:t>
      </w:r>
    </w:p>
    <w:p w14:paraId="7B51456D">
      <w:pPr>
        <w:pStyle w:val="29"/>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pPr>
    </w:p>
    <w:p w14:paraId="125635AA">
      <w:pPr>
        <w:pStyle w:val="20"/>
        <w:pageBreakBefore w:val="0"/>
        <w:kinsoku/>
        <w:wordWrap/>
        <w:overflowPunct/>
        <w:topLinePunct w:val="0"/>
        <w:bidi w:val="0"/>
        <w:spacing w:beforeAutospacing="0" w:after="0" w:afterAutospacing="0" w:line="360" w:lineRule="auto"/>
        <w:textAlignment w:val="auto"/>
        <w:rPr>
          <w:rFonts w:hint="eastAsia" w:ascii="宋体" w:hAnsi="宋体" w:eastAsia="宋体" w:cs="宋体"/>
          <w:sz w:val="24"/>
          <w:szCs w:val="24"/>
        </w:rPr>
      </w:pPr>
    </w:p>
    <w:p w14:paraId="3FAC6D7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AE6F36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7079DEF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4FFB8A16">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sz w:val="28"/>
          <w:szCs w:val="28"/>
        </w:rPr>
      </w:pPr>
      <w:r>
        <w:rPr>
          <w:rFonts w:hint="eastAsia" w:ascii="宋体" w:hAnsi="宋体" w:eastAsia="宋体" w:cs="宋体"/>
          <w:kern w:val="1"/>
          <w:sz w:val="28"/>
          <w:szCs w:val="28"/>
        </w:rPr>
        <w:t>六、投标人基本</w:t>
      </w:r>
      <w:bookmarkEnd w:id="130"/>
      <w:r>
        <w:rPr>
          <w:rFonts w:hint="eastAsia" w:ascii="宋体" w:hAnsi="宋体" w:eastAsia="宋体" w:cs="宋体"/>
          <w:kern w:val="1"/>
          <w:sz w:val="28"/>
          <w:szCs w:val="28"/>
        </w:rPr>
        <w:t>情况</w:t>
      </w:r>
    </w:p>
    <w:tbl>
      <w:tblPr>
        <w:tblStyle w:val="30"/>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4"/>
        <w:gridCol w:w="1238"/>
        <w:gridCol w:w="1081"/>
        <w:gridCol w:w="1226"/>
        <w:gridCol w:w="12"/>
        <w:gridCol w:w="1288"/>
        <w:gridCol w:w="285"/>
        <w:gridCol w:w="1312"/>
        <w:gridCol w:w="973"/>
      </w:tblGrid>
      <w:tr w14:paraId="0B33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1D5F4EB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投标人名称</w:t>
            </w:r>
          </w:p>
        </w:tc>
        <w:tc>
          <w:tcPr>
            <w:tcW w:w="7415" w:type="dxa"/>
            <w:gridSpan w:val="8"/>
            <w:noWrap/>
            <w:vAlign w:val="center"/>
          </w:tcPr>
          <w:p w14:paraId="6829FF1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2FEF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5AFE3E5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注册地址</w:t>
            </w:r>
          </w:p>
        </w:tc>
        <w:tc>
          <w:tcPr>
            <w:tcW w:w="3545" w:type="dxa"/>
            <w:gridSpan w:val="3"/>
            <w:noWrap/>
            <w:vAlign w:val="center"/>
          </w:tcPr>
          <w:p w14:paraId="6503E3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300" w:type="dxa"/>
            <w:gridSpan w:val="2"/>
            <w:noWrap/>
            <w:vAlign w:val="center"/>
          </w:tcPr>
          <w:p w14:paraId="41766A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邮政编码</w:t>
            </w:r>
          </w:p>
        </w:tc>
        <w:tc>
          <w:tcPr>
            <w:tcW w:w="2570" w:type="dxa"/>
            <w:gridSpan w:val="3"/>
            <w:noWrap/>
            <w:vAlign w:val="center"/>
          </w:tcPr>
          <w:p w14:paraId="5AA1524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3DDE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vMerge w:val="restart"/>
            <w:noWrap/>
            <w:vAlign w:val="center"/>
          </w:tcPr>
          <w:p w14:paraId="590AFF2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联系方式</w:t>
            </w:r>
          </w:p>
        </w:tc>
        <w:tc>
          <w:tcPr>
            <w:tcW w:w="1238" w:type="dxa"/>
            <w:noWrap/>
            <w:vAlign w:val="center"/>
          </w:tcPr>
          <w:p w14:paraId="1C2DB97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联系人</w:t>
            </w:r>
          </w:p>
        </w:tc>
        <w:tc>
          <w:tcPr>
            <w:tcW w:w="2307" w:type="dxa"/>
            <w:gridSpan w:val="2"/>
            <w:noWrap/>
            <w:vAlign w:val="center"/>
          </w:tcPr>
          <w:p w14:paraId="7DAECB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300" w:type="dxa"/>
            <w:gridSpan w:val="2"/>
            <w:noWrap/>
            <w:vAlign w:val="center"/>
          </w:tcPr>
          <w:p w14:paraId="539D4AD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电话</w:t>
            </w:r>
          </w:p>
        </w:tc>
        <w:tc>
          <w:tcPr>
            <w:tcW w:w="2570" w:type="dxa"/>
            <w:gridSpan w:val="3"/>
            <w:noWrap/>
            <w:vAlign w:val="center"/>
          </w:tcPr>
          <w:p w14:paraId="7631350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7A32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vMerge w:val="continue"/>
            <w:noWrap/>
            <w:vAlign w:val="center"/>
          </w:tcPr>
          <w:p w14:paraId="4D08E3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238" w:type="dxa"/>
            <w:noWrap/>
            <w:vAlign w:val="center"/>
          </w:tcPr>
          <w:p w14:paraId="4C77E89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传真</w:t>
            </w:r>
          </w:p>
        </w:tc>
        <w:tc>
          <w:tcPr>
            <w:tcW w:w="2307" w:type="dxa"/>
            <w:gridSpan w:val="2"/>
            <w:noWrap/>
            <w:vAlign w:val="center"/>
          </w:tcPr>
          <w:p w14:paraId="0624D0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300" w:type="dxa"/>
            <w:gridSpan w:val="2"/>
            <w:noWrap/>
            <w:vAlign w:val="center"/>
          </w:tcPr>
          <w:p w14:paraId="77C3F73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网址</w:t>
            </w:r>
          </w:p>
        </w:tc>
        <w:tc>
          <w:tcPr>
            <w:tcW w:w="2570" w:type="dxa"/>
            <w:gridSpan w:val="3"/>
            <w:noWrap/>
            <w:vAlign w:val="center"/>
          </w:tcPr>
          <w:p w14:paraId="1A1206D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3E88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74A9976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组织结构</w:t>
            </w:r>
          </w:p>
        </w:tc>
        <w:tc>
          <w:tcPr>
            <w:tcW w:w="7415" w:type="dxa"/>
            <w:gridSpan w:val="8"/>
            <w:noWrap/>
            <w:vAlign w:val="center"/>
          </w:tcPr>
          <w:p w14:paraId="4F82B56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0E6C8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0387673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法定代表人</w:t>
            </w:r>
          </w:p>
        </w:tc>
        <w:tc>
          <w:tcPr>
            <w:tcW w:w="1238" w:type="dxa"/>
            <w:noWrap/>
            <w:vAlign w:val="center"/>
          </w:tcPr>
          <w:p w14:paraId="15AD087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姓名</w:t>
            </w:r>
          </w:p>
        </w:tc>
        <w:tc>
          <w:tcPr>
            <w:tcW w:w="1081" w:type="dxa"/>
            <w:noWrap/>
            <w:vAlign w:val="center"/>
          </w:tcPr>
          <w:p w14:paraId="2091F34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238" w:type="dxa"/>
            <w:gridSpan w:val="2"/>
            <w:noWrap/>
            <w:vAlign w:val="center"/>
          </w:tcPr>
          <w:p w14:paraId="045A6DF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技术职称</w:t>
            </w:r>
          </w:p>
        </w:tc>
        <w:tc>
          <w:tcPr>
            <w:tcW w:w="1573" w:type="dxa"/>
            <w:gridSpan w:val="2"/>
            <w:noWrap/>
            <w:vAlign w:val="center"/>
          </w:tcPr>
          <w:p w14:paraId="6E266A3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312" w:type="dxa"/>
            <w:noWrap/>
            <w:vAlign w:val="center"/>
          </w:tcPr>
          <w:p w14:paraId="6A21C93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电话</w:t>
            </w:r>
          </w:p>
        </w:tc>
        <w:tc>
          <w:tcPr>
            <w:tcW w:w="973" w:type="dxa"/>
            <w:noWrap/>
            <w:vAlign w:val="center"/>
          </w:tcPr>
          <w:p w14:paraId="31FF4A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5C33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41EAC9E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技术负责人</w:t>
            </w:r>
          </w:p>
        </w:tc>
        <w:tc>
          <w:tcPr>
            <w:tcW w:w="1238" w:type="dxa"/>
            <w:noWrap/>
            <w:vAlign w:val="center"/>
          </w:tcPr>
          <w:p w14:paraId="125A9E5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姓名</w:t>
            </w:r>
          </w:p>
        </w:tc>
        <w:tc>
          <w:tcPr>
            <w:tcW w:w="1081" w:type="dxa"/>
            <w:noWrap/>
            <w:vAlign w:val="center"/>
          </w:tcPr>
          <w:p w14:paraId="588D74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238" w:type="dxa"/>
            <w:gridSpan w:val="2"/>
            <w:noWrap/>
            <w:vAlign w:val="center"/>
          </w:tcPr>
          <w:p w14:paraId="3CDE3D5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技术职称</w:t>
            </w:r>
          </w:p>
        </w:tc>
        <w:tc>
          <w:tcPr>
            <w:tcW w:w="1573" w:type="dxa"/>
            <w:gridSpan w:val="2"/>
            <w:noWrap/>
            <w:vAlign w:val="center"/>
          </w:tcPr>
          <w:p w14:paraId="7DC9A0A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1312" w:type="dxa"/>
            <w:noWrap/>
            <w:vAlign w:val="center"/>
          </w:tcPr>
          <w:p w14:paraId="6167395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电话</w:t>
            </w:r>
          </w:p>
        </w:tc>
        <w:tc>
          <w:tcPr>
            <w:tcW w:w="973" w:type="dxa"/>
            <w:noWrap/>
            <w:vAlign w:val="center"/>
          </w:tcPr>
          <w:p w14:paraId="5BAFDC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54EF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3F1ABC8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成立时间</w:t>
            </w:r>
          </w:p>
        </w:tc>
        <w:tc>
          <w:tcPr>
            <w:tcW w:w="2319" w:type="dxa"/>
            <w:gridSpan w:val="2"/>
            <w:noWrap/>
            <w:vAlign w:val="center"/>
          </w:tcPr>
          <w:p w14:paraId="057246B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c>
          <w:tcPr>
            <w:tcW w:w="5096" w:type="dxa"/>
            <w:gridSpan w:val="6"/>
            <w:noWrap/>
            <w:vAlign w:val="center"/>
          </w:tcPr>
          <w:p w14:paraId="3498D61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员工总人数：</w:t>
            </w:r>
          </w:p>
        </w:tc>
      </w:tr>
      <w:tr w14:paraId="7F361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160AC73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营业执照号</w:t>
            </w:r>
          </w:p>
        </w:tc>
        <w:tc>
          <w:tcPr>
            <w:tcW w:w="6177" w:type="dxa"/>
            <w:gridSpan w:val="7"/>
            <w:noWrap/>
            <w:vAlign w:val="center"/>
          </w:tcPr>
          <w:p w14:paraId="3E29D69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2C4C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23D1B58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注册资金</w:t>
            </w:r>
          </w:p>
        </w:tc>
        <w:tc>
          <w:tcPr>
            <w:tcW w:w="6177" w:type="dxa"/>
            <w:gridSpan w:val="7"/>
            <w:noWrap/>
            <w:vAlign w:val="center"/>
          </w:tcPr>
          <w:p w14:paraId="4CCA52F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07CE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0210EC1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开户银行</w:t>
            </w:r>
          </w:p>
        </w:tc>
        <w:tc>
          <w:tcPr>
            <w:tcW w:w="6177" w:type="dxa"/>
            <w:gridSpan w:val="7"/>
            <w:noWrap/>
            <w:vAlign w:val="center"/>
          </w:tcPr>
          <w:p w14:paraId="237A29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3AFB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6E222D6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账号</w:t>
            </w:r>
          </w:p>
        </w:tc>
        <w:tc>
          <w:tcPr>
            <w:tcW w:w="6177" w:type="dxa"/>
            <w:gridSpan w:val="7"/>
            <w:noWrap/>
            <w:vAlign w:val="center"/>
          </w:tcPr>
          <w:p w14:paraId="4066106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18F5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2" w:hRule="atLeast"/>
          <w:jc w:val="center"/>
        </w:trPr>
        <w:tc>
          <w:tcPr>
            <w:tcW w:w="3702" w:type="dxa"/>
            <w:gridSpan w:val="2"/>
            <w:noWrap/>
            <w:vAlign w:val="center"/>
          </w:tcPr>
          <w:p w14:paraId="7233663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经营范围</w:t>
            </w:r>
          </w:p>
        </w:tc>
        <w:tc>
          <w:tcPr>
            <w:tcW w:w="6177" w:type="dxa"/>
            <w:gridSpan w:val="7"/>
            <w:noWrap/>
            <w:vAlign w:val="center"/>
          </w:tcPr>
          <w:p w14:paraId="1557F0C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r w14:paraId="122C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jc w:val="center"/>
        </w:trPr>
        <w:tc>
          <w:tcPr>
            <w:tcW w:w="3702" w:type="dxa"/>
            <w:gridSpan w:val="2"/>
            <w:noWrap/>
            <w:vAlign w:val="center"/>
          </w:tcPr>
          <w:p w14:paraId="30B29836">
            <w:pPr>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lang w:val="zh-CN"/>
              </w:rPr>
            </w:pPr>
            <w:r>
              <w:rPr>
                <w:rFonts w:hint="eastAsia" w:ascii="宋体" w:hAnsi="宋体" w:eastAsia="宋体" w:cs="宋体"/>
                <w:sz w:val="24"/>
                <w:szCs w:val="24"/>
                <w:lang w:val="zh-CN"/>
              </w:rPr>
              <w:t>备注</w:t>
            </w:r>
          </w:p>
        </w:tc>
        <w:tc>
          <w:tcPr>
            <w:tcW w:w="6177" w:type="dxa"/>
            <w:gridSpan w:val="7"/>
            <w:noWrap/>
            <w:vAlign w:val="center"/>
          </w:tcPr>
          <w:p w14:paraId="2506B75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tc>
      </w:tr>
    </w:tbl>
    <w:p w14:paraId="751820B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56369503">
      <w:pPr>
        <w:pStyle w:val="5"/>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资格审查资料：</w:t>
      </w:r>
    </w:p>
    <w:p w14:paraId="1864FC61">
      <w:pPr>
        <w:pStyle w:val="5"/>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（一）营业执照</w:t>
      </w:r>
    </w:p>
    <w:p w14:paraId="7ABD3C41">
      <w:pPr>
        <w:pStyle w:val="5"/>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bookmarkStart w:id="131" w:name="_Toc316386663"/>
      <w:bookmarkEnd w:id="131"/>
      <w:bookmarkStart w:id="132" w:name="_Toc414534015"/>
      <w:bookmarkEnd w:id="132"/>
      <w:bookmarkStart w:id="133" w:name="_Toc499930154"/>
      <w:r>
        <w:rPr>
          <w:rFonts w:hint="eastAsia" w:ascii="宋体" w:hAnsi="宋体" w:eastAsia="宋体" w:cs="宋体"/>
          <w:kern w:val="1"/>
          <w:sz w:val="24"/>
          <w:szCs w:val="24"/>
        </w:rPr>
        <w:t>（二）</w:t>
      </w:r>
      <w:bookmarkEnd w:id="133"/>
      <w:r>
        <w:rPr>
          <w:rFonts w:hint="eastAsia" w:ascii="宋体" w:hAnsi="宋体" w:eastAsia="宋体" w:cs="宋体"/>
          <w:kern w:val="1"/>
          <w:sz w:val="24"/>
          <w:szCs w:val="24"/>
        </w:rPr>
        <w:t>资质证书（如有）</w:t>
      </w:r>
    </w:p>
    <w:p w14:paraId="5DB04684">
      <w:pPr>
        <w:pStyle w:val="5"/>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（三）财务审计报告或财务报表</w:t>
      </w:r>
    </w:p>
    <w:p w14:paraId="7E0972BA">
      <w:pPr>
        <w:pStyle w:val="5"/>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bookmarkStart w:id="134" w:name="_Toc316386664"/>
      <w:bookmarkEnd w:id="134"/>
      <w:bookmarkStart w:id="135" w:name="_Toc414534016"/>
      <w:bookmarkEnd w:id="135"/>
      <w:bookmarkStart w:id="136" w:name="_Toc499930155"/>
      <w:r>
        <w:rPr>
          <w:rFonts w:hint="eastAsia" w:ascii="宋体" w:hAnsi="宋体" w:eastAsia="宋体" w:cs="宋体"/>
          <w:kern w:val="1"/>
          <w:sz w:val="24"/>
          <w:szCs w:val="24"/>
        </w:rPr>
        <w:t>（四）缴纳税收及社会保障资金的证明材料</w:t>
      </w:r>
    </w:p>
    <w:p w14:paraId="27B04568">
      <w:pPr>
        <w:pStyle w:val="5"/>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（五）信誉截图及信誉良好承诺书</w:t>
      </w:r>
    </w:p>
    <w:p w14:paraId="0B29C859">
      <w:pPr>
        <w:pStyle w:val="5"/>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（六）其他投标人认为需要提供的证明材料</w:t>
      </w:r>
      <w:r>
        <w:rPr>
          <w:rFonts w:hint="eastAsia" w:ascii="宋体" w:hAnsi="宋体" w:eastAsia="宋体" w:cs="宋体"/>
          <w:kern w:val="1"/>
          <w:sz w:val="24"/>
          <w:szCs w:val="24"/>
        </w:rPr>
        <w:br w:type="page"/>
      </w:r>
    </w:p>
    <w:p w14:paraId="3D002558">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七、参加政府采购活动前三年内在经营活动中没有重大违法记录的书面声明</w:t>
      </w:r>
    </w:p>
    <w:p w14:paraId="780DC6C6">
      <w:pPr>
        <w:pStyle w:val="2"/>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C4A0A3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致：              ：</w:t>
      </w:r>
    </w:p>
    <w:p w14:paraId="2FF8245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58F0BD9">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（格式自拟）</w:t>
      </w:r>
    </w:p>
    <w:p w14:paraId="7952969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EE7977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DE1861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EA2760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特此声明。</w:t>
      </w:r>
    </w:p>
    <w:p w14:paraId="2177AB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72CA699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0067A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C13CEF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715B5ED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FDCD6C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投标人：            （单位盖章）       </w:t>
      </w:r>
    </w:p>
    <w:p w14:paraId="16B35A7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0A3CC5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（签字或盖章）        </w:t>
      </w:r>
    </w:p>
    <w:p w14:paraId="0328F35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D9283E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sz w:val="24"/>
          <w:szCs w:val="24"/>
        </w:rPr>
        <w:t>日期：    年    月    日</w:t>
      </w:r>
    </w:p>
    <w:p w14:paraId="73CD1B2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52B5501E">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kern w:val="1"/>
          <w:sz w:val="28"/>
          <w:szCs w:val="28"/>
        </w:rPr>
      </w:pPr>
      <w:r>
        <w:rPr>
          <w:rFonts w:hint="eastAsia" w:ascii="宋体" w:hAnsi="宋体" w:eastAsia="宋体" w:cs="宋体"/>
          <w:b/>
          <w:bCs/>
          <w:kern w:val="1"/>
          <w:sz w:val="28"/>
          <w:szCs w:val="28"/>
        </w:rPr>
        <w:t>八、无关联关系承诺函</w:t>
      </w:r>
    </w:p>
    <w:p w14:paraId="001214D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7874F5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F04D71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致：              ：</w:t>
      </w:r>
    </w:p>
    <w:p w14:paraId="25D29AC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7870D2F0">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（格式自拟）</w:t>
      </w:r>
    </w:p>
    <w:p w14:paraId="3165E97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78F17CA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276B2D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E20439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特此承诺。</w:t>
      </w:r>
    </w:p>
    <w:p w14:paraId="639A4C7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151C1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2303B2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616ED1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0D5C633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AE65E5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投标人：            （单位盖章）       </w:t>
      </w:r>
    </w:p>
    <w:p w14:paraId="3A1A971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075190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（签字或盖章）        </w:t>
      </w:r>
    </w:p>
    <w:p w14:paraId="325E59F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5D600D94">
      <w:pPr>
        <w:pageBreakBefore w:val="0"/>
        <w:kinsoku/>
        <w:wordWrap/>
        <w:overflowPunct/>
        <w:topLinePunct w:val="0"/>
        <w:bidi w:val="0"/>
        <w:spacing w:beforeAutospacing="0" w:afterAutospacing="0" w:line="360" w:lineRule="auto"/>
        <w:textAlignment w:val="auto"/>
        <w:rPr>
          <w:rFonts w:hint="eastAsia" w:ascii="宋体" w:hAnsi="宋体" w:eastAsia="宋体" w:cs="宋体"/>
          <w:b/>
          <w:kern w:val="1"/>
          <w:sz w:val="24"/>
          <w:szCs w:val="24"/>
        </w:rPr>
      </w:pPr>
      <w:r>
        <w:rPr>
          <w:rFonts w:hint="eastAsia" w:ascii="宋体" w:hAnsi="宋体" w:eastAsia="宋体" w:cs="宋体"/>
          <w:sz w:val="24"/>
          <w:szCs w:val="24"/>
        </w:rPr>
        <w:t>日期：    年    月    日</w:t>
      </w:r>
      <w:r>
        <w:rPr>
          <w:rFonts w:hint="eastAsia" w:ascii="宋体" w:hAnsi="宋体" w:eastAsia="宋体" w:cs="宋体"/>
          <w:b/>
          <w:kern w:val="1"/>
          <w:sz w:val="24"/>
          <w:szCs w:val="24"/>
        </w:rPr>
        <w:br w:type="page"/>
      </w:r>
    </w:p>
    <w:p w14:paraId="1A86CD34">
      <w:pPr>
        <w:pStyle w:val="5"/>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九、</w:t>
      </w:r>
      <w:bookmarkEnd w:id="136"/>
      <w:r>
        <w:rPr>
          <w:rFonts w:hint="eastAsia" w:ascii="宋体" w:hAnsi="宋体" w:eastAsia="宋体" w:cs="宋体"/>
          <w:kern w:val="1"/>
          <w:sz w:val="28"/>
          <w:szCs w:val="28"/>
        </w:rPr>
        <w:t>企业业绩</w:t>
      </w:r>
    </w:p>
    <w:tbl>
      <w:tblPr>
        <w:tblStyle w:val="30"/>
        <w:tblW w:w="0" w:type="auto"/>
        <w:tblInd w:w="0" w:type="dxa"/>
        <w:tblLayout w:type="fixed"/>
        <w:tblCellMar>
          <w:top w:w="0" w:type="dxa"/>
          <w:left w:w="108" w:type="dxa"/>
          <w:bottom w:w="0" w:type="dxa"/>
          <w:right w:w="108" w:type="dxa"/>
        </w:tblCellMar>
      </w:tblPr>
      <w:tblGrid>
        <w:gridCol w:w="978"/>
        <w:gridCol w:w="1535"/>
        <w:gridCol w:w="1371"/>
        <w:gridCol w:w="2026"/>
        <w:gridCol w:w="1371"/>
        <w:gridCol w:w="1371"/>
        <w:gridCol w:w="1342"/>
      </w:tblGrid>
      <w:tr w14:paraId="3559A28B">
        <w:tblPrEx>
          <w:tblCellMar>
            <w:top w:w="0" w:type="dxa"/>
            <w:left w:w="108" w:type="dxa"/>
            <w:bottom w:w="0" w:type="dxa"/>
            <w:right w:w="108" w:type="dxa"/>
          </w:tblCellMar>
        </w:tblPrEx>
        <w:trPr>
          <w:trHeight w:val="1005"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4F96676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序号</w:t>
            </w:r>
          </w:p>
        </w:tc>
        <w:tc>
          <w:tcPr>
            <w:tcW w:w="1535" w:type="dxa"/>
            <w:tcBorders>
              <w:top w:val="single" w:color="000000" w:sz="4" w:space="0"/>
              <w:left w:val="single" w:color="000000" w:sz="4" w:space="0"/>
              <w:bottom w:val="single" w:color="000000" w:sz="4" w:space="0"/>
              <w:right w:val="single" w:color="000000" w:sz="4" w:space="0"/>
            </w:tcBorders>
            <w:vAlign w:val="center"/>
          </w:tcPr>
          <w:p w14:paraId="5F4EE02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项目名称</w:t>
            </w:r>
          </w:p>
        </w:tc>
        <w:tc>
          <w:tcPr>
            <w:tcW w:w="1371" w:type="dxa"/>
            <w:tcBorders>
              <w:top w:val="single" w:color="000000" w:sz="4" w:space="0"/>
              <w:left w:val="single" w:color="000000" w:sz="4" w:space="0"/>
              <w:bottom w:val="single" w:color="000000" w:sz="4" w:space="0"/>
              <w:right w:val="single" w:color="000000" w:sz="4" w:space="0"/>
            </w:tcBorders>
            <w:vAlign w:val="center"/>
          </w:tcPr>
          <w:p w14:paraId="03BD7A6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服务时间</w:t>
            </w:r>
          </w:p>
        </w:tc>
        <w:tc>
          <w:tcPr>
            <w:tcW w:w="2026" w:type="dxa"/>
            <w:tcBorders>
              <w:top w:val="single" w:color="000000" w:sz="4" w:space="0"/>
              <w:left w:val="single" w:color="000000" w:sz="4" w:space="0"/>
              <w:bottom w:val="single" w:color="000000" w:sz="4" w:space="0"/>
              <w:right w:val="single" w:color="000000" w:sz="4" w:space="0"/>
            </w:tcBorders>
            <w:vAlign w:val="center"/>
          </w:tcPr>
          <w:p w14:paraId="2AB5D38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项目总投资额</w:t>
            </w:r>
          </w:p>
        </w:tc>
        <w:tc>
          <w:tcPr>
            <w:tcW w:w="1371" w:type="dxa"/>
            <w:tcBorders>
              <w:top w:val="single" w:color="000000" w:sz="4" w:space="0"/>
              <w:left w:val="single" w:color="000000" w:sz="4" w:space="0"/>
              <w:bottom w:val="single" w:color="000000" w:sz="4" w:space="0"/>
              <w:right w:val="single" w:color="000000" w:sz="4" w:space="0"/>
            </w:tcBorders>
            <w:vAlign w:val="center"/>
          </w:tcPr>
          <w:p w14:paraId="6F44DB5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委托单位</w:t>
            </w:r>
          </w:p>
        </w:tc>
        <w:tc>
          <w:tcPr>
            <w:tcW w:w="1371" w:type="dxa"/>
            <w:tcBorders>
              <w:top w:val="single" w:color="000000" w:sz="4" w:space="0"/>
              <w:left w:val="single" w:color="000000" w:sz="4" w:space="0"/>
              <w:bottom w:val="single" w:color="000000" w:sz="4" w:space="0"/>
              <w:right w:val="single" w:color="000000" w:sz="4" w:space="0"/>
            </w:tcBorders>
            <w:vAlign w:val="center"/>
          </w:tcPr>
          <w:p w14:paraId="6D92DF1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委托事项</w:t>
            </w:r>
          </w:p>
        </w:tc>
        <w:tc>
          <w:tcPr>
            <w:tcW w:w="1342" w:type="dxa"/>
            <w:tcBorders>
              <w:top w:val="single" w:color="000000" w:sz="4" w:space="0"/>
              <w:left w:val="single" w:color="000000" w:sz="4" w:space="0"/>
              <w:bottom w:val="single" w:color="000000" w:sz="4" w:space="0"/>
              <w:right w:val="single" w:color="000000" w:sz="4" w:space="0"/>
            </w:tcBorders>
            <w:vAlign w:val="center"/>
          </w:tcPr>
          <w:p w14:paraId="5E98FA2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备注</w:t>
            </w:r>
          </w:p>
        </w:tc>
      </w:tr>
      <w:tr w14:paraId="65263D24">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3DBD750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w:t>
            </w:r>
          </w:p>
        </w:tc>
        <w:tc>
          <w:tcPr>
            <w:tcW w:w="1535" w:type="dxa"/>
            <w:tcBorders>
              <w:top w:val="single" w:color="000000" w:sz="4" w:space="0"/>
              <w:left w:val="single" w:color="000000" w:sz="4" w:space="0"/>
              <w:bottom w:val="single" w:color="000000" w:sz="4" w:space="0"/>
              <w:right w:val="single" w:color="000000" w:sz="4" w:space="0"/>
            </w:tcBorders>
            <w:vAlign w:val="center"/>
          </w:tcPr>
          <w:p w14:paraId="56D5742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DC7166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680DCA4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6FDB1E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844681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5680A3A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7CB5ADE7">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697DF35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w:t>
            </w:r>
          </w:p>
        </w:tc>
        <w:tc>
          <w:tcPr>
            <w:tcW w:w="1535" w:type="dxa"/>
            <w:tcBorders>
              <w:top w:val="single" w:color="000000" w:sz="4" w:space="0"/>
              <w:left w:val="single" w:color="000000" w:sz="4" w:space="0"/>
              <w:bottom w:val="single" w:color="000000" w:sz="4" w:space="0"/>
              <w:right w:val="single" w:color="000000" w:sz="4" w:space="0"/>
            </w:tcBorders>
            <w:vAlign w:val="center"/>
          </w:tcPr>
          <w:p w14:paraId="20C8CD7E">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8E4A80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00BF66F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2D77A3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E28F7E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0A812F7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7BC0ADCC">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27E0CCF4">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3</w:t>
            </w:r>
          </w:p>
        </w:tc>
        <w:tc>
          <w:tcPr>
            <w:tcW w:w="1535" w:type="dxa"/>
            <w:tcBorders>
              <w:top w:val="single" w:color="000000" w:sz="4" w:space="0"/>
              <w:left w:val="single" w:color="000000" w:sz="4" w:space="0"/>
              <w:bottom w:val="single" w:color="000000" w:sz="4" w:space="0"/>
              <w:right w:val="single" w:color="000000" w:sz="4" w:space="0"/>
            </w:tcBorders>
            <w:vAlign w:val="center"/>
          </w:tcPr>
          <w:p w14:paraId="4A0AFC6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0382CF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5152243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39034C9">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BF6A24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7EF5428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6B913281">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35006D6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4</w:t>
            </w:r>
          </w:p>
        </w:tc>
        <w:tc>
          <w:tcPr>
            <w:tcW w:w="1535" w:type="dxa"/>
            <w:tcBorders>
              <w:top w:val="single" w:color="000000" w:sz="4" w:space="0"/>
              <w:left w:val="single" w:color="000000" w:sz="4" w:space="0"/>
              <w:bottom w:val="single" w:color="000000" w:sz="4" w:space="0"/>
              <w:right w:val="single" w:color="000000" w:sz="4" w:space="0"/>
            </w:tcBorders>
            <w:vAlign w:val="center"/>
          </w:tcPr>
          <w:p w14:paraId="20285F6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D15001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3DC2583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10B960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44D421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3134A92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18B27CCB">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07119B0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5</w:t>
            </w:r>
          </w:p>
        </w:tc>
        <w:tc>
          <w:tcPr>
            <w:tcW w:w="1535" w:type="dxa"/>
            <w:tcBorders>
              <w:top w:val="single" w:color="000000" w:sz="4" w:space="0"/>
              <w:left w:val="single" w:color="000000" w:sz="4" w:space="0"/>
              <w:bottom w:val="single" w:color="000000" w:sz="4" w:space="0"/>
              <w:right w:val="single" w:color="000000" w:sz="4" w:space="0"/>
            </w:tcBorders>
            <w:vAlign w:val="center"/>
          </w:tcPr>
          <w:p w14:paraId="35A93CD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C922F8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1B5B6ED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38D085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F5B473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1906659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255AF68B">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0C86566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6</w:t>
            </w:r>
          </w:p>
        </w:tc>
        <w:tc>
          <w:tcPr>
            <w:tcW w:w="1535" w:type="dxa"/>
            <w:tcBorders>
              <w:top w:val="single" w:color="000000" w:sz="4" w:space="0"/>
              <w:left w:val="single" w:color="000000" w:sz="4" w:space="0"/>
              <w:bottom w:val="single" w:color="000000" w:sz="4" w:space="0"/>
              <w:right w:val="single" w:color="000000" w:sz="4" w:space="0"/>
            </w:tcBorders>
            <w:vAlign w:val="center"/>
          </w:tcPr>
          <w:p w14:paraId="28D18C5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212CB0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75C68FB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0F1EF7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33021F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0341AE4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1B63F4F9">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5505049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7</w:t>
            </w:r>
          </w:p>
        </w:tc>
        <w:tc>
          <w:tcPr>
            <w:tcW w:w="1535" w:type="dxa"/>
            <w:tcBorders>
              <w:top w:val="single" w:color="000000" w:sz="4" w:space="0"/>
              <w:left w:val="single" w:color="000000" w:sz="4" w:space="0"/>
              <w:bottom w:val="single" w:color="000000" w:sz="4" w:space="0"/>
              <w:right w:val="single" w:color="000000" w:sz="4" w:space="0"/>
            </w:tcBorders>
            <w:vAlign w:val="center"/>
          </w:tcPr>
          <w:p w14:paraId="0BAC349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820531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511A557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4936E9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0DD397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45BD985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6C9C6D9D">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46B96BE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8</w:t>
            </w:r>
          </w:p>
        </w:tc>
        <w:tc>
          <w:tcPr>
            <w:tcW w:w="1535" w:type="dxa"/>
            <w:tcBorders>
              <w:top w:val="single" w:color="000000" w:sz="4" w:space="0"/>
              <w:left w:val="single" w:color="000000" w:sz="4" w:space="0"/>
              <w:bottom w:val="single" w:color="000000" w:sz="4" w:space="0"/>
              <w:right w:val="single" w:color="000000" w:sz="4" w:space="0"/>
            </w:tcBorders>
            <w:vAlign w:val="center"/>
          </w:tcPr>
          <w:p w14:paraId="44A0612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3F43DF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4301A76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E8C343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A7709E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1EA2F34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2780ECC4">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16BFEEF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9</w:t>
            </w:r>
          </w:p>
        </w:tc>
        <w:tc>
          <w:tcPr>
            <w:tcW w:w="1535" w:type="dxa"/>
            <w:tcBorders>
              <w:top w:val="single" w:color="000000" w:sz="4" w:space="0"/>
              <w:left w:val="single" w:color="000000" w:sz="4" w:space="0"/>
              <w:bottom w:val="single" w:color="000000" w:sz="4" w:space="0"/>
              <w:right w:val="single" w:color="000000" w:sz="4" w:space="0"/>
            </w:tcBorders>
            <w:vAlign w:val="center"/>
          </w:tcPr>
          <w:p w14:paraId="108B2ED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0ED83E1">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278E1B7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63A655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C90D96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23E59D40">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410902E0">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7767A89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10</w:t>
            </w:r>
          </w:p>
        </w:tc>
        <w:tc>
          <w:tcPr>
            <w:tcW w:w="1535" w:type="dxa"/>
            <w:tcBorders>
              <w:top w:val="single" w:color="000000" w:sz="4" w:space="0"/>
              <w:left w:val="single" w:color="000000" w:sz="4" w:space="0"/>
              <w:bottom w:val="single" w:color="000000" w:sz="4" w:space="0"/>
              <w:right w:val="single" w:color="000000" w:sz="4" w:space="0"/>
            </w:tcBorders>
            <w:vAlign w:val="center"/>
          </w:tcPr>
          <w:p w14:paraId="6199D09C">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C91B1C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0F53467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EB34EE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DA22796">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2B48208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r w14:paraId="4E3A1DC9">
        <w:tblPrEx>
          <w:tblCellMar>
            <w:top w:w="0" w:type="dxa"/>
            <w:left w:w="108" w:type="dxa"/>
            <w:bottom w:w="0" w:type="dxa"/>
            <w:right w:w="108" w:type="dxa"/>
          </w:tblCellMar>
        </w:tblPrEx>
        <w:trPr>
          <w:trHeight w:val="98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2370C89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w:t>
            </w:r>
          </w:p>
        </w:tc>
        <w:tc>
          <w:tcPr>
            <w:tcW w:w="1535" w:type="dxa"/>
            <w:tcBorders>
              <w:top w:val="single" w:color="000000" w:sz="4" w:space="0"/>
              <w:left w:val="single" w:color="000000" w:sz="4" w:space="0"/>
              <w:bottom w:val="single" w:color="000000" w:sz="4" w:space="0"/>
              <w:right w:val="single" w:color="000000" w:sz="4" w:space="0"/>
            </w:tcBorders>
            <w:vAlign w:val="center"/>
          </w:tcPr>
          <w:p w14:paraId="57F78628">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D8D58A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1466FD1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071474F">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64E0E8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621F92CD">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tc>
      </w:tr>
    </w:tbl>
    <w:p w14:paraId="441510A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后附：中标通知书或合同复印件加盖单位公章；</w:t>
      </w:r>
    </w:p>
    <w:p w14:paraId="01571B5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282161D8">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kern w:val="1"/>
          <w:sz w:val="28"/>
          <w:szCs w:val="28"/>
        </w:rPr>
      </w:pPr>
      <w:r>
        <w:rPr>
          <w:rFonts w:hint="eastAsia" w:ascii="宋体" w:hAnsi="宋体" w:eastAsia="宋体" w:cs="宋体"/>
          <w:b/>
          <w:bCs/>
          <w:kern w:val="1"/>
          <w:sz w:val="28"/>
          <w:szCs w:val="28"/>
        </w:rPr>
        <w:t>十、优惠条件及服务承诺</w:t>
      </w:r>
    </w:p>
    <w:p w14:paraId="11D8F9F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结合本项目实际情况，拟定方案（格式自拟）</w:t>
      </w:r>
    </w:p>
    <w:p w14:paraId="7DA5D323">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1CBACE76">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kern w:val="1"/>
          <w:sz w:val="28"/>
          <w:szCs w:val="28"/>
        </w:rPr>
      </w:pPr>
      <w:r>
        <w:rPr>
          <w:rFonts w:hint="eastAsia" w:ascii="宋体" w:hAnsi="宋体" w:eastAsia="宋体" w:cs="宋体"/>
          <w:b/>
          <w:bCs/>
          <w:kern w:val="1"/>
          <w:sz w:val="28"/>
          <w:szCs w:val="28"/>
        </w:rPr>
        <w:t>十一、承诺书</w:t>
      </w:r>
    </w:p>
    <w:p w14:paraId="013BCD91">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结合本项目实际情况，拟定方案（格式自拟）</w:t>
      </w:r>
    </w:p>
    <w:p w14:paraId="2757AC6F">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3F3FF5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（1）质保期延长承诺书</w:t>
      </w:r>
    </w:p>
    <w:p w14:paraId="0541154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（2）质量保障措施方案</w:t>
      </w:r>
    </w:p>
    <w:p w14:paraId="79E2E72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br w:type="page"/>
      </w:r>
    </w:p>
    <w:p w14:paraId="594EE9C2">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kern w:val="1"/>
          <w:sz w:val="32"/>
          <w:szCs w:val="32"/>
        </w:rPr>
      </w:pPr>
      <w:bookmarkStart w:id="137" w:name="_Toc414534019"/>
      <w:bookmarkEnd w:id="137"/>
      <w:bookmarkStart w:id="138" w:name="_Toc316386667"/>
      <w:bookmarkEnd w:id="138"/>
      <w:bookmarkStart w:id="139" w:name="_Toc499930156"/>
      <w:r>
        <w:rPr>
          <w:rFonts w:hint="eastAsia" w:ascii="宋体" w:hAnsi="宋体" w:eastAsia="宋体" w:cs="宋体"/>
          <w:b/>
          <w:bCs/>
          <w:kern w:val="1"/>
          <w:sz w:val="32"/>
          <w:szCs w:val="32"/>
        </w:rPr>
        <w:t>第二部分  技术部分</w:t>
      </w:r>
      <w:bookmarkEnd w:id="139"/>
    </w:p>
    <w:p w14:paraId="542EE04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702C07CD">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一、技术偏离表</w:t>
      </w:r>
    </w:p>
    <w:p w14:paraId="72E4E0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EB47FC8">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6B14E7D4">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3ABB283C">
      <w:pPr>
        <w:pStyle w:val="2"/>
        <w:ind w:left="0" w:leftChars="0" w:firstLine="0" w:firstLineChars="0"/>
        <w:rPr>
          <w:rFonts w:hint="eastAsia" w:cs="宋体"/>
          <w:kern w:val="1"/>
          <w:sz w:val="24"/>
          <w:szCs w:val="24"/>
          <w:lang w:val="en-US" w:eastAsia="zh-CN"/>
        </w:rPr>
      </w:pPr>
      <w:r>
        <w:rPr>
          <w:rFonts w:hint="eastAsia" w:cs="宋体"/>
          <w:kern w:val="1"/>
          <w:sz w:val="24"/>
          <w:szCs w:val="24"/>
          <w:lang w:val="en-US" w:eastAsia="zh-CN"/>
        </w:rPr>
        <w:t>包号：</w:t>
      </w:r>
    </w:p>
    <w:p w14:paraId="318A110D">
      <w:pPr>
        <w:pStyle w:val="2"/>
        <w:ind w:left="0" w:leftChars="0" w:firstLine="0" w:firstLineChars="0"/>
        <w:rPr>
          <w:rFonts w:hint="default" w:cs="宋体"/>
          <w:kern w:val="1"/>
          <w:sz w:val="24"/>
          <w:szCs w:val="24"/>
          <w:lang w:val="en-US" w:eastAsia="zh-CN"/>
        </w:rPr>
      </w:pPr>
      <w:r>
        <w:rPr>
          <w:rFonts w:hint="eastAsia" w:cs="宋体"/>
          <w:kern w:val="1"/>
          <w:sz w:val="24"/>
          <w:szCs w:val="24"/>
          <w:lang w:val="en-US" w:eastAsia="zh-CN"/>
        </w:rPr>
        <w:t>标段编号：</w:t>
      </w:r>
    </w:p>
    <w:p w14:paraId="5FABD3EF">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bl>
      <w:tblPr>
        <w:tblStyle w:val="3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1"/>
        <w:gridCol w:w="1467"/>
        <w:gridCol w:w="2592"/>
        <w:gridCol w:w="1842"/>
        <w:gridCol w:w="1806"/>
      </w:tblGrid>
      <w:tr w14:paraId="4530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931" w:type="dxa"/>
            <w:noWrap/>
            <w:vAlign w:val="center"/>
          </w:tcPr>
          <w:p w14:paraId="640500B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序 号</w:t>
            </w:r>
          </w:p>
        </w:tc>
        <w:tc>
          <w:tcPr>
            <w:tcW w:w="1467" w:type="dxa"/>
            <w:noWrap/>
            <w:vAlign w:val="center"/>
          </w:tcPr>
          <w:p w14:paraId="548FBAC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产品名称</w:t>
            </w:r>
          </w:p>
        </w:tc>
        <w:tc>
          <w:tcPr>
            <w:tcW w:w="2592" w:type="dxa"/>
            <w:noWrap/>
            <w:vAlign w:val="center"/>
          </w:tcPr>
          <w:p w14:paraId="648E09F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采购技术参数</w:t>
            </w:r>
          </w:p>
        </w:tc>
        <w:tc>
          <w:tcPr>
            <w:tcW w:w="1842" w:type="dxa"/>
            <w:noWrap/>
            <w:vAlign w:val="center"/>
          </w:tcPr>
          <w:p w14:paraId="7165BF2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投标单位所提供技术参数</w:t>
            </w:r>
          </w:p>
        </w:tc>
        <w:tc>
          <w:tcPr>
            <w:tcW w:w="1806" w:type="dxa"/>
            <w:noWrap/>
            <w:vAlign w:val="center"/>
          </w:tcPr>
          <w:p w14:paraId="463F580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是否偏离</w:t>
            </w:r>
          </w:p>
        </w:tc>
      </w:tr>
      <w:tr w14:paraId="6A2F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931" w:type="dxa"/>
            <w:noWrap/>
            <w:vAlign w:val="center"/>
          </w:tcPr>
          <w:p w14:paraId="44D3C67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467" w:type="dxa"/>
            <w:noWrap/>
            <w:vAlign w:val="center"/>
          </w:tcPr>
          <w:p w14:paraId="0E2B469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7CF79C0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03EC171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090C593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8208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6ABE07A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467" w:type="dxa"/>
            <w:noWrap/>
            <w:vAlign w:val="center"/>
          </w:tcPr>
          <w:p w14:paraId="43744B4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43CFF16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3106D5E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347886A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81B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4634BAD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467" w:type="dxa"/>
            <w:noWrap/>
            <w:vAlign w:val="center"/>
          </w:tcPr>
          <w:p w14:paraId="10C2B48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34B20F8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78B04D2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2BEA57E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725B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3931B5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467" w:type="dxa"/>
            <w:noWrap/>
            <w:vAlign w:val="center"/>
          </w:tcPr>
          <w:p w14:paraId="3BD314C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60D13C2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468C5A6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6607D0D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03F4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10640A7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467" w:type="dxa"/>
            <w:noWrap/>
            <w:vAlign w:val="center"/>
          </w:tcPr>
          <w:p w14:paraId="3BAE177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664617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5B65B35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042C8E6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2EF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4719B64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467" w:type="dxa"/>
            <w:noWrap/>
            <w:vAlign w:val="center"/>
          </w:tcPr>
          <w:p w14:paraId="5749B66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0B2CB1A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6431450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6077505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D14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03EF718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467" w:type="dxa"/>
            <w:noWrap/>
            <w:vAlign w:val="center"/>
          </w:tcPr>
          <w:p w14:paraId="79C709A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3BD659E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176FF36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74790B4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0AF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492825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467" w:type="dxa"/>
            <w:noWrap/>
            <w:vAlign w:val="center"/>
          </w:tcPr>
          <w:p w14:paraId="3F4CC0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53A04E7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7A59601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64AA227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14F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3F3A117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467" w:type="dxa"/>
            <w:noWrap/>
            <w:vAlign w:val="center"/>
          </w:tcPr>
          <w:p w14:paraId="2CB7251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4AFBD5B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5BD40D1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7BE2BA9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1EEB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14667AF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467" w:type="dxa"/>
            <w:noWrap/>
            <w:vAlign w:val="center"/>
          </w:tcPr>
          <w:p w14:paraId="686DC03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3AF9489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3F04CFC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05A8926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4764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110FB2F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467" w:type="dxa"/>
            <w:noWrap/>
            <w:vAlign w:val="center"/>
          </w:tcPr>
          <w:p w14:paraId="3239AA1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778C5ED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7CD3721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51365D2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C83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1931" w:type="dxa"/>
            <w:noWrap/>
            <w:vAlign w:val="center"/>
          </w:tcPr>
          <w:p w14:paraId="7935666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467" w:type="dxa"/>
            <w:noWrap/>
            <w:vAlign w:val="center"/>
          </w:tcPr>
          <w:p w14:paraId="0B84616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592" w:type="dxa"/>
            <w:noWrap/>
            <w:vAlign w:val="center"/>
          </w:tcPr>
          <w:p w14:paraId="1799F57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42" w:type="dxa"/>
            <w:noWrap/>
            <w:vAlign w:val="center"/>
          </w:tcPr>
          <w:p w14:paraId="30ECAF3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06" w:type="dxa"/>
            <w:noWrap/>
            <w:vAlign w:val="center"/>
          </w:tcPr>
          <w:p w14:paraId="6ABF324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bl>
    <w:p w14:paraId="17AFF68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（表格可自行扩充）</w:t>
      </w:r>
    </w:p>
    <w:p w14:paraId="3116154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后附：招标文件要求的技术文件等证明材料</w:t>
      </w:r>
      <w:r>
        <w:rPr>
          <w:rFonts w:hint="eastAsia" w:ascii="宋体" w:hAnsi="宋体" w:eastAsia="宋体" w:cs="宋体"/>
          <w:sz w:val="24"/>
          <w:szCs w:val="24"/>
        </w:rPr>
        <w:br w:type="page"/>
      </w:r>
    </w:p>
    <w:p w14:paraId="63BE6EF2">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二、随机软件、备品备件、专用工具、易损件、耗材清单</w:t>
      </w:r>
    </w:p>
    <w:p w14:paraId="6BB10E94">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79770290">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2948AEE4">
      <w:pPr>
        <w:pStyle w:val="2"/>
        <w:ind w:left="0" w:leftChars="0" w:firstLine="0" w:firstLineChars="0"/>
        <w:rPr>
          <w:rFonts w:hint="eastAsia" w:cs="宋体"/>
          <w:kern w:val="1"/>
          <w:sz w:val="24"/>
          <w:szCs w:val="24"/>
          <w:lang w:val="en-US" w:eastAsia="zh-CN"/>
        </w:rPr>
      </w:pPr>
      <w:r>
        <w:rPr>
          <w:rFonts w:hint="eastAsia" w:cs="宋体"/>
          <w:kern w:val="1"/>
          <w:sz w:val="24"/>
          <w:szCs w:val="24"/>
          <w:lang w:val="en-US" w:eastAsia="zh-CN"/>
        </w:rPr>
        <w:t>包号：</w:t>
      </w:r>
    </w:p>
    <w:p w14:paraId="45E78155">
      <w:pPr>
        <w:pStyle w:val="2"/>
        <w:ind w:left="0" w:leftChars="0" w:firstLine="0" w:firstLineChars="0"/>
        <w:rPr>
          <w:rFonts w:hint="default" w:cs="宋体"/>
          <w:kern w:val="1"/>
          <w:sz w:val="24"/>
          <w:szCs w:val="24"/>
          <w:lang w:val="en-US" w:eastAsia="zh-CN"/>
        </w:rPr>
      </w:pPr>
      <w:r>
        <w:rPr>
          <w:rFonts w:hint="eastAsia" w:cs="宋体"/>
          <w:kern w:val="1"/>
          <w:sz w:val="24"/>
          <w:szCs w:val="24"/>
          <w:lang w:val="en-US" w:eastAsia="zh-CN"/>
        </w:rPr>
        <w:t>标段编号：</w:t>
      </w:r>
    </w:p>
    <w:p w14:paraId="3F02600E">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2989"/>
        <w:gridCol w:w="1594"/>
        <w:gridCol w:w="1300"/>
        <w:gridCol w:w="2614"/>
      </w:tblGrid>
      <w:tr w14:paraId="2865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30" w:type="dxa"/>
            <w:noWrap/>
            <w:vAlign w:val="center"/>
          </w:tcPr>
          <w:p w14:paraId="6BBC401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序 号</w:t>
            </w:r>
          </w:p>
        </w:tc>
        <w:tc>
          <w:tcPr>
            <w:tcW w:w="2989" w:type="dxa"/>
            <w:noWrap/>
            <w:vAlign w:val="center"/>
          </w:tcPr>
          <w:p w14:paraId="1801E05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名  称</w:t>
            </w:r>
          </w:p>
        </w:tc>
        <w:tc>
          <w:tcPr>
            <w:tcW w:w="1594" w:type="dxa"/>
            <w:noWrap/>
            <w:vAlign w:val="center"/>
          </w:tcPr>
          <w:p w14:paraId="3912274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产地/厂家</w:t>
            </w:r>
          </w:p>
        </w:tc>
        <w:tc>
          <w:tcPr>
            <w:tcW w:w="1300" w:type="dxa"/>
            <w:noWrap/>
            <w:vAlign w:val="center"/>
          </w:tcPr>
          <w:p w14:paraId="3320AB9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型号规格</w:t>
            </w:r>
          </w:p>
        </w:tc>
        <w:tc>
          <w:tcPr>
            <w:tcW w:w="2614" w:type="dxa"/>
            <w:noWrap/>
            <w:vAlign w:val="center"/>
          </w:tcPr>
          <w:p w14:paraId="0649118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单价（元）</w:t>
            </w:r>
          </w:p>
        </w:tc>
      </w:tr>
      <w:tr w14:paraId="1FFB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30" w:type="dxa"/>
            <w:noWrap/>
            <w:vAlign w:val="center"/>
          </w:tcPr>
          <w:p w14:paraId="6491552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989" w:type="dxa"/>
            <w:noWrap/>
            <w:vAlign w:val="center"/>
          </w:tcPr>
          <w:p w14:paraId="54788A1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23E40B1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759AB7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0A44F14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2D8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7721BC0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989" w:type="dxa"/>
            <w:noWrap/>
            <w:vAlign w:val="center"/>
          </w:tcPr>
          <w:p w14:paraId="28B37FE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1945239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515293F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549E568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6C023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12DC497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989" w:type="dxa"/>
            <w:noWrap/>
            <w:vAlign w:val="center"/>
          </w:tcPr>
          <w:p w14:paraId="1BDA17A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1B195F6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13E6BD6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0AA43F9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476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0C68EB2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989" w:type="dxa"/>
            <w:noWrap/>
            <w:vAlign w:val="center"/>
          </w:tcPr>
          <w:p w14:paraId="01C75AB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43A14B3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5DB3069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4B5A0AD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0B2A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05A7D56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989" w:type="dxa"/>
            <w:noWrap/>
            <w:vAlign w:val="center"/>
          </w:tcPr>
          <w:p w14:paraId="7CCB2FB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5F835D0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3676A65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087150F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C10D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4FF5C80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989" w:type="dxa"/>
            <w:noWrap/>
            <w:vAlign w:val="center"/>
          </w:tcPr>
          <w:p w14:paraId="2C22CAC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58EA42F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596423A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3C625B5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E86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6B29183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2989" w:type="dxa"/>
            <w:noWrap/>
            <w:vAlign w:val="center"/>
          </w:tcPr>
          <w:p w14:paraId="6D05157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52A5DE8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5E54777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6B2A96E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4F103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7FF0D5A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2989" w:type="dxa"/>
            <w:noWrap/>
            <w:vAlign w:val="center"/>
          </w:tcPr>
          <w:p w14:paraId="59FA38B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145EB76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4EA6216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09B12CF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71E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1087EFF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2989" w:type="dxa"/>
            <w:noWrap/>
            <w:vAlign w:val="center"/>
          </w:tcPr>
          <w:p w14:paraId="474FE90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1B1C06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78151F5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10093FE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FCA1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363CB69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2989" w:type="dxa"/>
            <w:noWrap/>
            <w:vAlign w:val="center"/>
          </w:tcPr>
          <w:p w14:paraId="0686EE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6C6DF5B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7A280F7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15B11B2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0C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751C9BE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2989" w:type="dxa"/>
            <w:noWrap/>
            <w:vAlign w:val="center"/>
          </w:tcPr>
          <w:p w14:paraId="7E05D4A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609D10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50CBC12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3AEE9FA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2FC72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06FF1D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2989" w:type="dxa"/>
            <w:noWrap/>
            <w:vAlign w:val="center"/>
          </w:tcPr>
          <w:p w14:paraId="6B57ED6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594" w:type="dxa"/>
            <w:noWrap/>
            <w:vAlign w:val="center"/>
          </w:tcPr>
          <w:p w14:paraId="419DCC6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300" w:type="dxa"/>
            <w:noWrap/>
            <w:vAlign w:val="center"/>
          </w:tcPr>
          <w:p w14:paraId="7CC060D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2614" w:type="dxa"/>
            <w:noWrap/>
            <w:vAlign w:val="center"/>
          </w:tcPr>
          <w:p w14:paraId="489492C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bl>
    <w:p w14:paraId="6102C097">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（表格可自行扩充）</w:t>
      </w:r>
    </w:p>
    <w:p w14:paraId="6EB6311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49761E67">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三、投标人拟配主要人员的技术力量</w:t>
      </w:r>
    </w:p>
    <w:p w14:paraId="04910F6B">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3827BB27">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354299B7">
      <w:pPr>
        <w:pStyle w:val="2"/>
        <w:ind w:left="0" w:leftChars="0" w:firstLine="0" w:firstLineChars="0"/>
        <w:rPr>
          <w:rFonts w:hint="eastAsia" w:cs="宋体"/>
          <w:kern w:val="1"/>
          <w:sz w:val="24"/>
          <w:szCs w:val="24"/>
          <w:lang w:val="en-US" w:eastAsia="zh-CN"/>
        </w:rPr>
      </w:pPr>
      <w:r>
        <w:rPr>
          <w:rFonts w:hint="eastAsia" w:cs="宋体"/>
          <w:kern w:val="1"/>
          <w:sz w:val="24"/>
          <w:szCs w:val="24"/>
          <w:lang w:val="en-US" w:eastAsia="zh-CN"/>
        </w:rPr>
        <w:t>包号：</w:t>
      </w:r>
    </w:p>
    <w:p w14:paraId="4F8A5BEC">
      <w:pPr>
        <w:pStyle w:val="2"/>
        <w:ind w:left="0" w:leftChars="0" w:firstLine="0" w:firstLineChars="0"/>
        <w:rPr>
          <w:rFonts w:hint="default" w:cs="宋体"/>
          <w:kern w:val="1"/>
          <w:sz w:val="24"/>
          <w:szCs w:val="24"/>
          <w:lang w:val="en-US" w:eastAsia="zh-CN"/>
        </w:rPr>
      </w:pPr>
      <w:r>
        <w:rPr>
          <w:rFonts w:hint="eastAsia" w:cs="宋体"/>
          <w:kern w:val="1"/>
          <w:sz w:val="24"/>
          <w:szCs w:val="24"/>
          <w:lang w:val="en-US" w:eastAsia="zh-CN"/>
        </w:rPr>
        <w:t>标段编号：</w:t>
      </w:r>
    </w:p>
    <w:p w14:paraId="06646754">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bl>
      <w:tblPr>
        <w:tblStyle w:val="30"/>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0"/>
        <w:gridCol w:w="1757"/>
        <w:gridCol w:w="1824"/>
        <w:gridCol w:w="1824"/>
        <w:gridCol w:w="1824"/>
      </w:tblGrid>
      <w:tr w14:paraId="6CE2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1890" w:type="dxa"/>
            <w:noWrap/>
            <w:vAlign w:val="center"/>
          </w:tcPr>
          <w:p w14:paraId="3C0D10E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在本项目中所</w:t>
            </w:r>
          </w:p>
          <w:p w14:paraId="4B4454B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担任的职务</w:t>
            </w:r>
          </w:p>
        </w:tc>
        <w:tc>
          <w:tcPr>
            <w:tcW w:w="1757" w:type="dxa"/>
            <w:noWrap/>
            <w:vAlign w:val="center"/>
          </w:tcPr>
          <w:p w14:paraId="17A9F47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姓名</w:t>
            </w:r>
          </w:p>
        </w:tc>
        <w:tc>
          <w:tcPr>
            <w:tcW w:w="1824" w:type="dxa"/>
            <w:noWrap/>
            <w:vAlign w:val="center"/>
          </w:tcPr>
          <w:p w14:paraId="2C1A384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年龄</w:t>
            </w:r>
          </w:p>
        </w:tc>
        <w:tc>
          <w:tcPr>
            <w:tcW w:w="1824" w:type="dxa"/>
            <w:noWrap/>
            <w:vAlign w:val="center"/>
          </w:tcPr>
          <w:p w14:paraId="4820ABE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性别</w:t>
            </w:r>
          </w:p>
        </w:tc>
        <w:tc>
          <w:tcPr>
            <w:tcW w:w="1824" w:type="dxa"/>
            <w:noWrap/>
            <w:vAlign w:val="center"/>
          </w:tcPr>
          <w:p w14:paraId="3E56DBB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5755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76BBD8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757" w:type="dxa"/>
            <w:noWrap/>
            <w:vAlign w:val="center"/>
          </w:tcPr>
          <w:p w14:paraId="465388C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252F85E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2AC3FD7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tcPr>
          <w:p w14:paraId="11F2EC7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F12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671D06C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757" w:type="dxa"/>
            <w:noWrap/>
            <w:vAlign w:val="center"/>
          </w:tcPr>
          <w:p w14:paraId="670D227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5FE67B8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5440E5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tcPr>
          <w:p w14:paraId="6D8849F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083C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303C13E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757" w:type="dxa"/>
            <w:noWrap/>
            <w:vAlign w:val="center"/>
          </w:tcPr>
          <w:p w14:paraId="75FA21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071690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52DDD23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tcPr>
          <w:p w14:paraId="4B23968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774F5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37353F0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757" w:type="dxa"/>
            <w:noWrap/>
            <w:vAlign w:val="center"/>
          </w:tcPr>
          <w:p w14:paraId="28B7D46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031175F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4DF759F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tcPr>
          <w:p w14:paraId="38F4758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4DE54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2568B1F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757" w:type="dxa"/>
            <w:noWrap/>
            <w:vAlign w:val="center"/>
          </w:tcPr>
          <w:p w14:paraId="51EDF3E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25BF955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4BE170C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tcPr>
          <w:p w14:paraId="2D74150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67F4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890" w:type="dxa"/>
            <w:noWrap/>
            <w:vAlign w:val="center"/>
          </w:tcPr>
          <w:p w14:paraId="4D25FDD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1757" w:type="dxa"/>
            <w:noWrap/>
            <w:vAlign w:val="center"/>
          </w:tcPr>
          <w:p w14:paraId="6BA691D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2DE6AB9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vAlign w:val="center"/>
          </w:tcPr>
          <w:p w14:paraId="442346D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1824" w:type="dxa"/>
            <w:noWrap/>
          </w:tcPr>
          <w:p w14:paraId="7FF6A84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bl>
    <w:p w14:paraId="74B2A593">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（表格可自行扩充）</w:t>
      </w:r>
    </w:p>
    <w:p w14:paraId="5D15A099">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pacing w:val="20"/>
          <w:sz w:val="24"/>
          <w:szCs w:val="24"/>
        </w:rPr>
      </w:pPr>
      <w:r>
        <w:rPr>
          <w:rFonts w:hint="eastAsia" w:ascii="宋体" w:hAnsi="宋体" w:eastAsia="宋体" w:cs="宋体"/>
          <w:sz w:val="24"/>
          <w:szCs w:val="24"/>
        </w:rPr>
        <w:t>后附：人员职称证等证明资料。</w:t>
      </w:r>
    </w:p>
    <w:p w14:paraId="57B3E8C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sz w:val="24"/>
          <w:szCs w:val="24"/>
        </w:rPr>
        <w:br w:type="page"/>
      </w:r>
    </w:p>
    <w:p w14:paraId="7F9AA101">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kern w:val="1"/>
          <w:sz w:val="28"/>
          <w:szCs w:val="28"/>
        </w:rPr>
      </w:pPr>
      <w:r>
        <w:rPr>
          <w:rFonts w:hint="eastAsia" w:ascii="宋体" w:hAnsi="宋体" w:eastAsia="宋体" w:cs="宋体"/>
          <w:b/>
          <w:bCs/>
          <w:sz w:val="28"/>
          <w:szCs w:val="28"/>
        </w:rPr>
        <w:t>四、供货方案</w:t>
      </w:r>
    </w:p>
    <w:p w14:paraId="0592D45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63212DE5">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结合本项目实际情况，拟定供货方案（格式自拟）。</w:t>
      </w:r>
      <w:bookmarkStart w:id="140" w:name="_Toc316386673"/>
      <w:bookmarkEnd w:id="140"/>
      <w:bookmarkStart w:id="141" w:name="_Toc414534025"/>
      <w:bookmarkEnd w:id="141"/>
      <w:bookmarkStart w:id="142" w:name="_Toc499930161"/>
    </w:p>
    <w:bookmarkEnd w:id="142"/>
    <w:p w14:paraId="6156723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kern w:val="1"/>
          <w:sz w:val="24"/>
          <w:szCs w:val="24"/>
        </w:rPr>
        <w:br w:type="page"/>
      </w:r>
      <w:bookmarkStart w:id="143" w:name="_Toc316386674"/>
      <w:bookmarkEnd w:id="143"/>
      <w:bookmarkStart w:id="144" w:name="_Toc414534026"/>
      <w:bookmarkEnd w:id="144"/>
      <w:bookmarkStart w:id="145" w:name="_Toc499930162"/>
    </w:p>
    <w:p w14:paraId="3E942BE0">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五、售后服务</w:t>
      </w:r>
    </w:p>
    <w:p w14:paraId="1E7B7A27">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sectPr>
          <w:pgSz w:w="11906" w:h="16838"/>
          <w:pgMar w:top="1440" w:right="1080" w:bottom="1440" w:left="1080" w:header="510" w:footer="714" w:gutter="0"/>
          <w:cols w:space="0" w:num="1"/>
          <w:titlePg/>
        </w:sectPr>
      </w:pPr>
      <w:r>
        <w:rPr>
          <w:rFonts w:hint="eastAsia" w:ascii="宋体" w:hAnsi="宋体" w:eastAsia="宋体" w:cs="宋体"/>
          <w:kern w:val="1"/>
          <w:sz w:val="24"/>
          <w:szCs w:val="24"/>
        </w:rPr>
        <w:t>结合本项目实际情况，拟定方案（格式自拟）</w:t>
      </w:r>
    </w:p>
    <w:p w14:paraId="784A9695">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kern w:val="1"/>
          <w:sz w:val="28"/>
          <w:szCs w:val="28"/>
        </w:rPr>
        <w:t>六、</w:t>
      </w:r>
      <w:r>
        <w:rPr>
          <w:rFonts w:hint="eastAsia" w:ascii="宋体" w:hAnsi="宋体" w:eastAsia="宋体" w:cs="宋体"/>
          <w:b/>
          <w:bCs/>
          <w:sz w:val="28"/>
          <w:szCs w:val="28"/>
        </w:rPr>
        <w:t>售后服务网点情况表</w:t>
      </w:r>
    </w:p>
    <w:p w14:paraId="4F3BD993">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7B81B45B">
      <w:pPr>
        <w:pStyle w:val="2"/>
        <w:ind w:left="0" w:leftChars="0" w:firstLine="0" w:firstLineChars="0"/>
        <w:rPr>
          <w:rFonts w:hint="eastAsia" w:cs="宋体"/>
          <w:kern w:val="1"/>
          <w:sz w:val="24"/>
          <w:szCs w:val="24"/>
          <w:lang w:val="en-US" w:eastAsia="zh-CN"/>
        </w:rPr>
      </w:pPr>
      <w:r>
        <w:rPr>
          <w:rFonts w:hint="eastAsia" w:cs="宋体"/>
          <w:kern w:val="1"/>
          <w:sz w:val="24"/>
          <w:szCs w:val="24"/>
          <w:lang w:val="en-US" w:eastAsia="zh-CN"/>
        </w:rPr>
        <w:t>包号：</w:t>
      </w:r>
    </w:p>
    <w:p w14:paraId="1CE5E23C">
      <w:pPr>
        <w:pStyle w:val="2"/>
        <w:ind w:left="0" w:leftChars="0" w:firstLine="0" w:firstLineChars="0"/>
        <w:rPr>
          <w:rFonts w:hint="default" w:cs="宋体"/>
          <w:kern w:val="1"/>
          <w:sz w:val="24"/>
          <w:szCs w:val="24"/>
          <w:lang w:val="en-US" w:eastAsia="zh-CN"/>
        </w:rPr>
      </w:pPr>
      <w:r>
        <w:rPr>
          <w:rFonts w:hint="eastAsia" w:cs="宋体"/>
          <w:kern w:val="1"/>
          <w:sz w:val="24"/>
          <w:szCs w:val="24"/>
          <w:lang w:val="en-US" w:eastAsia="zh-CN"/>
        </w:rPr>
        <w:t>标段编号：</w:t>
      </w:r>
    </w:p>
    <w:p w14:paraId="043AF0FF">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bl>
      <w:tblPr>
        <w:tblStyle w:val="30"/>
        <w:tblpPr w:leftFromText="180" w:rightFromText="180" w:vertAnchor="text" w:horzAnchor="margin" w:tblpY="7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0"/>
        <w:gridCol w:w="3658"/>
        <w:gridCol w:w="3465"/>
        <w:gridCol w:w="5145"/>
      </w:tblGrid>
      <w:tr w14:paraId="1685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540" w:type="dxa"/>
            <w:noWrap/>
          </w:tcPr>
          <w:p w14:paraId="7E9793F1">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服务机构名称</w:t>
            </w:r>
          </w:p>
        </w:tc>
        <w:tc>
          <w:tcPr>
            <w:tcW w:w="3658" w:type="dxa"/>
            <w:noWrap/>
          </w:tcPr>
          <w:p w14:paraId="5B3CF326">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465" w:type="dxa"/>
            <w:noWrap/>
          </w:tcPr>
          <w:p w14:paraId="1394E135">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负责人</w:t>
            </w:r>
          </w:p>
        </w:tc>
        <w:tc>
          <w:tcPr>
            <w:tcW w:w="5145" w:type="dxa"/>
            <w:noWrap/>
          </w:tcPr>
          <w:p w14:paraId="79037E1E">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479A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7F9914BC">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b/>
                <w:sz w:val="24"/>
                <w:szCs w:val="24"/>
              </w:rPr>
            </w:pPr>
            <w:r>
              <w:rPr>
                <w:rFonts w:hint="eastAsia" w:ascii="宋体" w:hAnsi="宋体" w:eastAsia="宋体" w:cs="宋体"/>
                <w:sz w:val="24"/>
                <w:szCs w:val="24"/>
              </w:rPr>
              <w:t>机构地点</w:t>
            </w:r>
          </w:p>
        </w:tc>
        <w:tc>
          <w:tcPr>
            <w:tcW w:w="3658" w:type="dxa"/>
            <w:noWrap/>
          </w:tcPr>
          <w:p w14:paraId="17B64D56">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465" w:type="dxa"/>
            <w:noWrap/>
          </w:tcPr>
          <w:p w14:paraId="3593E229">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联系电话</w:t>
            </w:r>
          </w:p>
        </w:tc>
        <w:tc>
          <w:tcPr>
            <w:tcW w:w="5145" w:type="dxa"/>
            <w:noWrap/>
          </w:tcPr>
          <w:p w14:paraId="516A294B">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088B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7848EC02">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技术人员姓名</w:t>
            </w:r>
          </w:p>
        </w:tc>
        <w:tc>
          <w:tcPr>
            <w:tcW w:w="3658" w:type="dxa"/>
            <w:noWrap/>
          </w:tcPr>
          <w:p w14:paraId="56E4CBE0">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b/>
                <w:sz w:val="24"/>
                <w:szCs w:val="24"/>
              </w:rPr>
            </w:pPr>
            <w:r>
              <w:rPr>
                <w:rFonts w:hint="eastAsia" w:ascii="宋体" w:hAnsi="宋体" w:eastAsia="宋体" w:cs="宋体"/>
                <w:sz w:val="24"/>
                <w:szCs w:val="24"/>
              </w:rPr>
              <w:t>岗位</w:t>
            </w:r>
          </w:p>
        </w:tc>
        <w:tc>
          <w:tcPr>
            <w:tcW w:w="3465" w:type="dxa"/>
            <w:noWrap/>
          </w:tcPr>
          <w:p w14:paraId="28660CDA">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职称</w:t>
            </w:r>
          </w:p>
        </w:tc>
        <w:tc>
          <w:tcPr>
            <w:tcW w:w="5145" w:type="dxa"/>
            <w:noWrap/>
          </w:tcPr>
          <w:p w14:paraId="596EAB15">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经验描述</w:t>
            </w:r>
          </w:p>
        </w:tc>
      </w:tr>
      <w:tr w14:paraId="0F4D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3E0F5476">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658" w:type="dxa"/>
            <w:noWrap/>
          </w:tcPr>
          <w:p w14:paraId="10090C96">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465" w:type="dxa"/>
            <w:noWrap/>
          </w:tcPr>
          <w:p w14:paraId="545E7E16">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5145" w:type="dxa"/>
            <w:noWrap/>
          </w:tcPr>
          <w:p w14:paraId="78307D11">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318B8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61871563">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658" w:type="dxa"/>
            <w:noWrap/>
          </w:tcPr>
          <w:p w14:paraId="1E9C72B7">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465" w:type="dxa"/>
            <w:noWrap/>
          </w:tcPr>
          <w:p w14:paraId="3CE2D6B9">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5145" w:type="dxa"/>
            <w:noWrap/>
          </w:tcPr>
          <w:p w14:paraId="2F78BD1D">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12BA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0D7EE595">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658" w:type="dxa"/>
            <w:noWrap/>
          </w:tcPr>
          <w:p w14:paraId="760BA466">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465" w:type="dxa"/>
            <w:noWrap/>
          </w:tcPr>
          <w:p w14:paraId="466ECE3E">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5145" w:type="dxa"/>
            <w:noWrap/>
          </w:tcPr>
          <w:p w14:paraId="71DB5479">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5652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1074EB4E">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658" w:type="dxa"/>
            <w:noWrap/>
          </w:tcPr>
          <w:p w14:paraId="3BF6DC5C">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3465" w:type="dxa"/>
            <w:noWrap/>
          </w:tcPr>
          <w:p w14:paraId="57C5634E">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c>
          <w:tcPr>
            <w:tcW w:w="5145" w:type="dxa"/>
            <w:noWrap/>
          </w:tcPr>
          <w:p w14:paraId="129CAF31">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06BD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540" w:type="dxa"/>
            <w:noWrap/>
          </w:tcPr>
          <w:p w14:paraId="439E1AE5">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网点基础设备及车辆情况</w:t>
            </w:r>
          </w:p>
        </w:tc>
        <w:tc>
          <w:tcPr>
            <w:tcW w:w="12268" w:type="dxa"/>
            <w:gridSpan w:val="3"/>
            <w:noWrap/>
          </w:tcPr>
          <w:p w14:paraId="2B3E9752">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tc>
      </w:tr>
      <w:tr w14:paraId="0651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540" w:type="dxa"/>
            <w:noWrap/>
          </w:tcPr>
          <w:p w14:paraId="49842531">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售后服务机构资质</w:t>
            </w:r>
          </w:p>
        </w:tc>
        <w:tc>
          <w:tcPr>
            <w:tcW w:w="12268" w:type="dxa"/>
            <w:gridSpan w:val="3"/>
            <w:noWrap/>
          </w:tcPr>
          <w:p w14:paraId="3F386232">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（如有，须提供有相关证书复印件）</w:t>
            </w:r>
          </w:p>
        </w:tc>
      </w:tr>
    </w:tbl>
    <w:p w14:paraId="0086EB5B">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注：1、非投标单位作为服务机构另外还必须提供制造商与该服务机构对本产品服务承诺的联合声明书或厂家对该服务机构的任命文件及售后服务机构工商营业执照。</w:t>
      </w:r>
    </w:p>
    <w:p w14:paraId="4EE45617">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0C21DFB">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投标人： （盖单位公章）                            法定代表人或其委托代理人（签字或盖章）：                             日    期：</w:t>
      </w:r>
    </w:p>
    <w:p w14:paraId="11C0287A">
      <w:pPr>
        <w:pStyle w:val="18"/>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sectPr>
          <w:pgSz w:w="16838" w:h="11906" w:orient="landscape"/>
          <w:pgMar w:top="850" w:right="709" w:bottom="998" w:left="992" w:header="510" w:footer="714" w:gutter="0"/>
          <w:cols w:space="0" w:num="1"/>
          <w:titlePg/>
        </w:sectPr>
      </w:pPr>
    </w:p>
    <w:p w14:paraId="5F9BD163">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b/>
          <w:bCs w:val="0"/>
          <w:kern w:val="1"/>
          <w:sz w:val="28"/>
          <w:szCs w:val="28"/>
        </w:rPr>
      </w:pPr>
      <w:r>
        <w:rPr>
          <w:rFonts w:hint="eastAsia" w:ascii="宋体" w:hAnsi="宋体" w:eastAsia="宋体" w:cs="宋体"/>
          <w:b/>
          <w:bCs w:val="0"/>
          <w:kern w:val="1"/>
          <w:sz w:val="28"/>
          <w:szCs w:val="28"/>
        </w:rPr>
        <w:t>七、制造商授权书等相关材料</w:t>
      </w:r>
    </w:p>
    <w:p w14:paraId="1AE451E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如是进口产品投标必须提供制造商授权书</w:t>
      </w:r>
    </w:p>
    <w:p w14:paraId="73213C2A">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67E6FA57">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b/>
          <w:bCs w:val="0"/>
          <w:kern w:val="1"/>
          <w:sz w:val="28"/>
          <w:szCs w:val="28"/>
        </w:rPr>
      </w:pPr>
      <w:r>
        <w:rPr>
          <w:rFonts w:hint="eastAsia" w:ascii="宋体" w:hAnsi="宋体" w:eastAsia="宋体" w:cs="宋体"/>
          <w:b/>
          <w:bCs w:val="0"/>
          <w:kern w:val="1"/>
          <w:sz w:val="28"/>
          <w:szCs w:val="28"/>
        </w:rPr>
        <w:t>八、其他材料</w:t>
      </w:r>
      <w:bookmarkEnd w:id="145"/>
    </w:p>
    <w:p w14:paraId="6F2028AC">
      <w:pPr>
        <w:pageBreakBefore w:val="0"/>
        <w:kinsoku/>
        <w:wordWrap/>
        <w:overflowPunct/>
        <w:topLinePunct w:val="0"/>
        <w:bidi w:val="0"/>
        <w:spacing w:beforeAutospacing="0" w:afterAutospacing="0" w:line="360" w:lineRule="auto"/>
        <w:textAlignment w:val="auto"/>
        <w:rPr>
          <w:rFonts w:hint="eastAsia" w:ascii="宋体" w:hAnsi="宋体" w:eastAsia="宋体" w:cs="宋体"/>
          <w:b/>
          <w:kern w:val="1"/>
          <w:sz w:val="24"/>
          <w:szCs w:val="24"/>
        </w:rPr>
      </w:pPr>
      <w:r>
        <w:rPr>
          <w:rFonts w:hint="eastAsia" w:ascii="宋体" w:hAnsi="宋体" w:eastAsia="宋体" w:cs="宋体"/>
          <w:kern w:val="1"/>
          <w:sz w:val="24"/>
          <w:szCs w:val="24"/>
        </w:rPr>
        <w:t>招标文件中要求提交的其他证明材料或投标人认为有必要提供的其他技术、服务证明材料。（</w:t>
      </w:r>
      <w:r>
        <w:rPr>
          <w:rFonts w:hint="eastAsia" w:ascii="宋体" w:hAnsi="宋体" w:eastAsia="宋体" w:cs="宋体"/>
          <w:b/>
          <w:kern w:val="1"/>
          <w:sz w:val="24"/>
          <w:szCs w:val="24"/>
        </w:rPr>
        <w:t>格式自拟，加盖单位公章）</w:t>
      </w:r>
    </w:p>
    <w:p w14:paraId="78267C32">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2C494772">
      <w:pPr>
        <w:pStyle w:val="4"/>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九、</w:t>
      </w:r>
      <w:bookmarkStart w:id="146" w:name="_Toc31739"/>
      <w:r>
        <w:rPr>
          <w:rFonts w:hint="eastAsia" w:ascii="宋体" w:hAnsi="宋体" w:eastAsia="宋体" w:cs="宋体"/>
          <w:kern w:val="1"/>
          <w:sz w:val="28"/>
          <w:szCs w:val="28"/>
        </w:rPr>
        <w:t>中小企业声明函（格式）</w:t>
      </w:r>
      <w:bookmarkEnd w:id="146"/>
    </w:p>
    <w:p w14:paraId="7DCDD634">
      <w:pPr>
        <w:pStyle w:val="26"/>
        <w:snapToGrid w:val="0"/>
        <w:spacing w:beforeAutospacing="0" w:afterAutospacing="0" w:line="440" w:lineRule="exact"/>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中小企业声明函</w:t>
      </w:r>
    </w:p>
    <w:p w14:paraId="29FB8102">
      <w:pPr>
        <w:keepNext w:val="0"/>
        <w:keepLines w:val="0"/>
        <w:pageBreakBefore w:val="0"/>
        <w:widowControl w:val="0"/>
        <w:kinsoku/>
        <w:wordWrap/>
        <w:overflowPunct/>
        <w:topLinePunct w:val="0"/>
        <w:autoSpaceDE/>
        <w:autoSpaceDN/>
        <w:bidi w:val="0"/>
        <w:adjustRightInd w:val="0"/>
        <w:snapToGrid w:val="0"/>
        <w:spacing w:line="360" w:lineRule="auto"/>
        <w:ind w:firstLine="56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 </w:t>
      </w:r>
    </w:p>
    <w:p w14:paraId="3A2BC189">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56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（设备名称）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工业</w:t>
      </w:r>
      <w:r>
        <w:rPr>
          <w:rFonts w:hint="eastAsia" w:ascii="宋体" w:hAnsi="宋体" w:eastAsia="宋体" w:cs="宋体"/>
          <w:color w:val="auto"/>
          <w:sz w:val="24"/>
          <w:szCs w:val="24"/>
          <w:highlight w:val="none"/>
          <w:u w:val="single"/>
        </w:rPr>
        <w:t xml:space="preserve">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16D4D37E">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56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（设备名称）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工业</w:t>
      </w:r>
      <w:r>
        <w:rPr>
          <w:rFonts w:hint="eastAsia" w:ascii="宋体" w:hAnsi="宋体" w:eastAsia="宋体" w:cs="宋体"/>
          <w:color w:val="auto"/>
          <w:sz w:val="24"/>
          <w:szCs w:val="24"/>
          <w:highlight w:val="none"/>
          <w:u w:val="single"/>
        </w:rPr>
        <w:t xml:space="preserve">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CF172A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B7BED0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14:paraId="532C8B3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ind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370EB3B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ind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p>
    <w:p w14:paraId="30EF86D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textAlignment w:val="auto"/>
        <w:rPr>
          <w:rFonts w:hint="eastAsia" w:ascii="宋体" w:hAnsi="宋体" w:eastAsia="宋体" w:cs="宋体"/>
          <w:color w:val="auto"/>
          <w:sz w:val="24"/>
          <w:szCs w:val="24"/>
          <w:highlight w:val="none"/>
          <w:lang w:eastAsia="zh-CN"/>
        </w:rPr>
      </w:pPr>
    </w:p>
    <w:p w14:paraId="3CE154A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2F85F39E">
      <w:pPr>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4"/>
          <w:szCs w:val="24"/>
          <w:lang w:val="zh-CN"/>
        </w:rPr>
      </w:pPr>
      <w:r>
        <w:rPr>
          <w:rFonts w:hint="eastAsia" w:ascii="宋体" w:hAnsi="宋体" w:eastAsia="宋体" w:cs="宋体"/>
          <w:sz w:val="24"/>
          <w:szCs w:val="24"/>
        </w:rPr>
        <w:t>注：从业人员、营业收入、资产总额填报上一年度数据，无上一年度数据的新成立企业可不填报。</w:t>
      </w:r>
    </w:p>
    <w:p w14:paraId="2DAC082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1AF0BC12">
      <w:pPr>
        <w:pStyle w:val="14"/>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注：如投标人虚假承诺本声明函，中标的投标人采购人有权拒绝与其签署合同，并追究其法律责任，未中标投标人视为其虚假响应，并将此虚假响应情况报送主管部门处理。</w:t>
      </w:r>
    </w:p>
    <w:p w14:paraId="452F254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69E95ED7">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工业和信息化部 国家统计局  国家发展改革委  财政部</w:t>
      </w:r>
    </w:p>
    <w:p w14:paraId="3220E9E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工信部联企业[2011]300号</w:t>
      </w:r>
    </w:p>
    <w:p w14:paraId="6E6ACB0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关于印发中小企业划型标准规定的通知</w:t>
      </w:r>
    </w:p>
    <w:p w14:paraId="54BB9FA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各省、自治区、直辖市人民政府，国务院各部委、各直属机构及有关单位：</w:t>
      </w:r>
    </w:p>
    <w:p w14:paraId="0A81580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805F96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工业和信息化部  国家统计局</w:t>
      </w:r>
    </w:p>
    <w:p w14:paraId="0170CF1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国家发展和改革委员会  财政部</w:t>
      </w:r>
    </w:p>
    <w:p w14:paraId="238397C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二○一一年六月十八日</w:t>
      </w:r>
    </w:p>
    <w:p w14:paraId="2725519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中小企业划型标准规定</w:t>
      </w:r>
    </w:p>
    <w:p w14:paraId="5ABC661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一、根据《中华人民共和国中小企业促进法》和《国务院关于进一步促进中小企业发展的若干意见》(国发〔2009〕36号)，制定本规定。</w:t>
      </w:r>
    </w:p>
    <w:p w14:paraId="30B1E2A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二、中小企业划分为中型、小型、微型三种类型，具体标准根据企业从业人员、营业收入、资产总额等指标，结合行业特点制定。</w:t>
      </w:r>
    </w:p>
    <w:p w14:paraId="72DE8F0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803EA7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四、各行业划型标准为：</w:t>
      </w:r>
    </w:p>
    <w:p w14:paraId="63B7DB8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（一）农、林、牧、渔业。营业收入20000万元以下的为中小微型企业。其中，营业收入500万元及以上的为中型企业，营业收入50万元及以上的为小型企业，营业收入50万元以下的为微型企业。</w:t>
      </w:r>
    </w:p>
    <w:p w14:paraId="09420F3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1772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ED6B9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4D7642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31C937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E251F0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6F3F5B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C80225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729A4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E9217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3CD325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0F6D62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8F3B9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75379D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D139C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（十六）其他未列明行业。从业人员300人以下的为中小微型企业。其中，从业人员100人及以上的为中型企业；从业人员10人及以上的为小型企业；从业人员10人以下的为微型企业。</w:t>
      </w:r>
    </w:p>
    <w:p w14:paraId="286409D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五、企业类型的划分以统计部门的统计数据为依据。</w:t>
      </w:r>
    </w:p>
    <w:p w14:paraId="3D5E80BA">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六、本规定适用于在中华人民共和国境内依法设立的各类所有制和各种组织形式的企业。个体工商户和本规定以外的行业，参照本规定进行划型。</w:t>
      </w:r>
    </w:p>
    <w:p w14:paraId="580C665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07941B4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八、本规定由工业和信息化部、国家统计局会同有关部门根据《国民经济行业分类》修订情况和企业发展变化情况适时修订。</w:t>
      </w:r>
    </w:p>
    <w:p w14:paraId="1C80C8B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九、本规定由工业和信息化部、国家统计局会同有关部门负责解释。</w:t>
      </w:r>
    </w:p>
    <w:p w14:paraId="63EFD3E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十、本规定自发布之日起执行，原国家经贸委、原国家计委、财政部和国家统计局2003年颁布的《中小企业标准暂行规定》同时废止。</w:t>
      </w:r>
    </w:p>
    <w:p w14:paraId="01D4A92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6E27253">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sz w:val="24"/>
          <w:szCs w:val="24"/>
        </w:rPr>
      </w:pPr>
    </w:p>
    <w:p w14:paraId="0F31C4A4">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sz w:val="24"/>
          <w:szCs w:val="24"/>
        </w:rPr>
      </w:pPr>
    </w:p>
    <w:p w14:paraId="1D174611">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sz w:val="24"/>
          <w:szCs w:val="24"/>
        </w:rPr>
      </w:pPr>
    </w:p>
    <w:p w14:paraId="0F6A6F60">
      <w:pPr>
        <w:pStyle w:val="89"/>
        <w:pageBreakBefore w:val="0"/>
        <w:kinsoku/>
        <w:wordWrap/>
        <w:overflowPunct/>
        <w:topLinePunct w:val="0"/>
        <w:bidi w:val="0"/>
        <w:spacing w:beforeAutospacing="0" w:afterAutospacing="0" w:line="360" w:lineRule="auto"/>
        <w:textAlignment w:val="auto"/>
        <w:rPr>
          <w:rFonts w:hint="eastAsia" w:ascii="宋体" w:hAnsi="宋体" w:eastAsia="宋体" w:cs="宋体"/>
          <w:b/>
          <w:sz w:val="24"/>
          <w:szCs w:val="24"/>
        </w:rPr>
      </w:pPr>
    </w:p>
    <w:p w14:paraId="0801C6D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03BA5A08">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关于促进残疾人就业政府采购政策的通知</w:t>
      </w:r>
    </w:p>
    <w:p w14:paraId="22B4BBC3">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b/>
          <w:kern w:val="2"/>
          <w:sz w:val="24"/>
          <w:szCs w:val="24"/>
        </w:rPr>
      </w:pPr>
      <w:bookmarkStart w:id="147" w:name="sendNo"/>
      <w:r>
        <w:rPr>
          <w:rFonts w:hint="eastAsia" w:ascii="宋体" w:hAnsi="宋体" w:eastAsia="宋体" w:cs="宋体"/>
          <w:kern w:val="2"/>
          <w:sz w:val="24"/>
          <w:szCs w:val="24"/>
        </w:rPr>
        <w:t>财库〔</w:t>
      </w:r>
      <w:bookmarkEnd w:id="147"/>
      <w:r>
        <w:rPr>
          <w:rFonts w:hint="eastAsia" w:ascii="宋体" w:hAnsi="宋体" w:eastAsia="宋体" w:cs="宋体"/>
          <w:kern w:val="2"/>
          <w:sz w:val="24"/>
          <w:szCs w:val="24"/>
        </w:rPr>
        <w:t>2017〕141号</w:t>
      </w:r>
    </w:p>
    <w:p w14:paraId="4E2AB8E6">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148" w:name="toDeptId"/>
      <w:r>
        <w:rPr>
          <w:rFonts w:hint="eastAsia" w:ascii="宋体" w:hAnsi="宋体" w:eastAsia="宋体" w:cs="宋体"/>
          <w:sz w:val="24"/>
          <w:szCs w:val="24"/>
          <w:shd w:val="clear" w:color="auto" w:fill="FFFFFF"/>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148"/>
      <w:r>
        <w:rPr>
          <w:rFonts w:hint="eastAsia" w:ascii="宋体" w:hAnsi="宋体" w:eastAsia="宋体" w:cs="宋体"/>
          <w:sz w:val="24"/>
          <w:szCs w:val="24"/>
          <w:shd w:val="clear" w:color="auto" w:fill="FFFFFF"/>
        </w:rPr>
        <w:t>：</w:t>
      </w:r>
    </w:p>
    <w:p w14:paraId="6ECB622F">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为了发挥政府采购促进残疾人就业的作用，进一步保障残疾人权益，依照《政府采购法》、《残疾人保障法》等法律法规及相关规定，现就促进残疾人就业政府采购政策通知如下：</w:t>
      </w:r>
    </w:p>
    <w:p w14:paraId="7BADD5F8">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一、享受政府采购支持政策的残疾人福利性单位应当同时满足以下条件：</w:t>
      </w:r>
    </w:p>
    <w:p w14:paraId="3FC7F184">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（一）安置的残疾人占本单位在职职工人数的比例不低于25%（含25%），并且安置的残疾人人数不少于10人（含10人）；</w:t>
      </w:r>
    </w:p>
    <w:p w14:paraId="19531775">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（二）依法与安置的每位残疾人签订了一年以上（含一年）的劳动合同或服务协议；</w:t>
      </w:r>
    </w:p>
    <w:p w14:paraId="073EECF1">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（三）为安置的每位残疾人按月足额缴纳了基本养老保险、基本医疗保险、失业保险、工伤保险和生育保险等社会保险费；</w:t>
      </w:r>
    </w:p>
    <w:p w14:paraId="212FA6AF">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（四）通过银行等金融机构向安置的每位残疾人，按月支付了不低于单位所在区县适用的经省级人民政府批准的月最低工资标准的工资；</w:t>
      </w:r>
    </w:p>
    <w:p w14:paraId="3B19E3C5">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（五）提供本单位制造的货物、承担的工程或者服务（以下简称产品），或者提供其他残疾人福利性单位制造的货物（不包括使用非残疾人福利性单位注册商标的货物）。</w:t>
      </w:r>
    </w:p>
    <w:p w14:paraId="41E735A8">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4046926">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7508234">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中标、成交供应商为残疾人福利性单位的，采购人或者其委托的采购代理机构应当随中标、成交结果同时公告其《残疾人福利性单位声明函》，接受社会监督。</w:t>
      </w:r>
    </w:p>
    <w:p w14:paraId="17B27214">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供应商提供的《残疾人福利性单位声明函》与事实不符的，依照《政府采购法》第七十七条第一款的规定追究法律责任。</w:t>
      </w:r>
    </w:p>
    <w:p w14:paraId="198043F1">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B5E7F5D">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四、采购人采购公开招标数额标准以上的货物或者服务，因落实促进残疾人就业政策的需要，依法履行有关报批程序后，可采用公开招标以外的采购方式。</w:t>
      </w:r>
    </w:p>
    <w:p w14:paraId="4B210049">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8D41FD8">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1B4EED9F">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七、本通知自2017年10月1日起执行。</w:t>
      </w:r>
    </w:p>
    <w:p w14:paraId="15D12EA2">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财政部民政部中国残疾人联合会</w:t>
      </w:r>
    </w:p>
    <w:p w14:paraId="0E1EA2F8">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sz w:val="24"/>
          <w:szCs w:val="24"/>
        </w:rPr>
        <w:br w:type="page"/>
      </w:r>
      <w:bookmarkStart w:id="149" w:name="OLE_LINK13"/>
      <w:bookmarkStart w:id="150" w:name="OLE_LINK14"/>
      <w:r>
        <w:rPr>
          <w:rFonts w:hint="eastAsia" w:ascii="宋体" w:hAnsi="宋体" w:eastAsia="宋体" w:cs="宋体"/>
          <w:b/>
          <w:bCs/>
          <w:sz w:val="28"/>
          <w:szCs w:val="28"/>
        </w:rPr>
        <w:t>残疾人福利性单位声明函</w:t>
      </w:r>
    </w:p>
    <w:bookmarkEnd w:id="149"/>
    <w:bookmarkEnd w:id="150"/>
    <w:p w14:paraId="2044F61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C9DBDD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2007E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0B933E7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1A9451E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5757BA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FB4E8C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31B70D1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单位名称（盖章）：</w:t>
      </w:r>
    </w:p>
    <w:p w14:paraId="3E954D9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73808B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6D83221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日  期：</w:t>
      </w:r>
    </w:p>
    <w:p w14:paraId="4A1497AD">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744913BE">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财政部司法部关于政府采购支持监狱企业发展有关问题的通知</w:t>
      </w:r>
    </w:p>
    <w:p w14:paraId="6C376FF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财库〔2014〕68号</w:t>
      </w:r>
    </w:p>
    <w:p w14:paraId="6DA9B9C8">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14:paraId="3C02B2E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政府采购支持监狱和戒毒企业（以下简称监狱企业）发展对稳定监狱企业生产，提高公共财政预算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p>
    <w:p w14:paraId="542C9736">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FB8B7C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二、在政府采购活动中，监狱企业视同小型、微型企业，享受预留份额、评审中价格扣除等政府采购促进中小企业发展的政府采购政策。向监狱企业采购的金额，计入面向中小企业采购的统计数据。</w:t>
      </w:r>
    </w:p>
    <w:p w14:paraId="1B8A6B5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242FDA3F">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四、各地区可以结合本地区实际，对监狱企业生产的办公用品、家具用具、车辆维修和提供的保养服务、消防设备等，提出预留份额等政府采购支持措施，加大对监狱企业产品的采购力度。</w:t>
      </w:r>
    </w:p>
    <w:p w14:paraId="7F80E4F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56082CE8">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中华人民共和国财政部</w:t>
      </w:r>
    </w:p>
    <w:p w14:paraId="24D4770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中华人民共和国司法部</w:t>
      </w:r>
    </w:p>
    <w:p w14:paraId="55F25D1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4656DC81">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jc w:val="center"/>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b/>
          <w:bCs/>
          <w:i w:val="0"/>
          <w:iCs w:val="0"/>
          <w:caps w:val="0"/>
          <w:color w:val="333333"/>
          <w:spacing w:val="0"/>
          <w:sz w:val="24"/>
          <w:szCs w:val="24"/>
          <w:highlight w:val="none"/>
          <w:shd w:val="clear" w:fill="FFFFFF"/>
        </w:rPr>
        <w:t>关于符合本国产品标准的声明函</w:t>
      </w:r>
    </w:p>
    <w:p w14:paraId="5BF57221">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本公司（单位）郑重声明，根据《国务院办公厅关于在政府采购中实施本国产品标准及相关政策的通知》（国办发〔2025〕34号）的规定，本公司（单位）提供的以下产品属于本国产品。具体情况如下：</w:t>
      </w:r>
    </w:p>
    <w:p w14:paraId="6A4F8749">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1.（</w:t>
      </w:r>
      <w:r>
        <w:rPr>
          <w:rFonts w:hint="eastAsia" w:ascii="宋体" w:hAnsi="宋体" w:eastAsia="宋体" w:cs="宋体"/>
          <w:i/>
          <w:iCs/>
          <w:caps w:val="0"/>
          <w:color w:val="333333"/>
          <w:spacing w:val="0"/>
          <w:sz w:val="24"/>
          <w:szCs w:val="24"/>
          <w:shd w:val="clear" w:fill="FFFFFF"/>
        </w:rPr>
        <w:t>产品名称1）1，生产厂为（厂名）2，厂址为（生产厂址）。（产品名称1）的中国境内生产的组件成本占比≥（规定比例）3。（产品名称1）的（关键组件）4在中国境内生产。（产品名称1）的（关键工序）5在中国境内完成。</w:t>
      </w:r>
    </w:p>
    <w:p w14:paraId="2D3A457C">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2.</w:t>
      </w:r>
      <w:r>
        <w:rPr>
          <w:rFonts w:hint="eastAsia" w:ascii="宋体" w:hAnsi="宋体" w:eastAsia="宋体" w:cs="宋体"/>
          <w:i/>
          <w:iCs/>
          <w:caps w:val="0"/>
          <w:color w:val="333333"/>
          <w:spacing w:val="0"/>
          <w:sz w:val="24"/>
          <w:szCs w:val="24"/>
          <w:shd w:val="clear" w:fill="FFFFFF"/>
        </w:rPr>
        <w:t>（产品名称2），生产厂为（厂名），厂址为（生产厂址）。（产品名称2）的中国境内生产的组件成本占比≥（规定比例）。（产品名称2）的（关键组件）在中国境内生产。（产品名称2）的（关键工序）在中国境内完成。</w:t>
      </w:r>
    </w:p>
    <w:p w14:paraId="202E844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w:t>
      </w:r>
    </w:p>
    <w:p w14:paraId="3700646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本公司（单位）对上述声明内容的真实性负责。如有虚假，愿承担相应法律责任。</w:t>
      </w:r>
    </w:p>
    <w:p w14:paraId="099C4DC4">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公司（单位）名称（盖章）：</w:t>
      </w:r>
    </w:p>
    <w:p w14:paraId="1A9A62E6">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日期：        年　  月　  日</w:t>
      </w:r>
    </w:p>
    <w:p w14:paraId="4805A56B">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__________________</w:t>
      </w:r>
    </w:p>
    <w:p w14:paraId="0E9FAE18">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1.产品如有型号，请在“产品名称”栏一并填写。</w:t>
      </w:r>
    </w:p>
    <w:p w14:paraId="70321A1B">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2.生产厂名与厂址应与生产厂营业执照载明的相关信息保持一致。</w:t>
      </w:r>
    </w:p>
    <w:p w14:paraId="267E0E6A">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3.该产品的中国境内生产的组件成本占比相关要求实施前，“规定比例”栏可不填，下同。</w:t>
      </w:r>
    </w:p>
    <w:p w14:paraId="28EDA7A9">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4.该产品的关键组件要求实施前，“关键组件”栏可不填，下同。</w:t>
      </w:r>
    </w:p>
    <w:p w14:paraId="0B3F14FD">
      <w:pPr>
        <w:pStyle w:val="26"/>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5.该产品的关键工序要求实施前，“关键工序”栏可不填，下同。</w:t>
      </w:r>
    </w:p>
    <w:p w14:paraId="0C77FC5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p>
    <w:p w14:paraId="40B315D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1"/>
          <w:sz w:val="24"/>
          <w:szCs w:val="24"/>
        </w:rPr>
      </w:pPr>
    </w:p>
    <w:p w14:paraId="5207421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7462482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p>
    <w:p w14:paraId="53022181">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bookmarkStart w:id="151" w:name="_Toc423024748"/>
      <w:bookmarkEnd w:id="151"/>
    </w:p>
    <w:sectPr>
      <w:headerReference r:id="rId9" w:type="first"/>
      <w:footerReference r:id="rId11" w:type="first"/>
      <w:headerReference r:id="rId8" w:type="default"/>
      <w:footerReference r:id="rId10" w:type="default"/>
      <w:pgSz w:w="11906" w:h="16838"/>
      <w:pgMar w:top="1440" w:right="1080" w:bottom="1440" w:left="1080" w:header="510" w:footer="714" w:gutter="0"/>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2C86F">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9155" cy="273050"/>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859155" cy="273050"/>
                      </a:xfrm>
                      <a:prstGeom prst="rect">
                        <a:avLst/>
                      </a:prstGeom>
                      <a:noFill/>
                      <a:ln>
                        <a:noFill/>
                      </a:ln>
                      <a:effectLst/>
                    </wps:spPr>
                    <wps:txbx>
                      <w:txbxContent>
                        <w:p w14:paraId="136A4722">
                          <w:pPr>
                            <w:pStyle w:val="22"/>
                          </w:pPr>
                          <w:r>
                            <w:t>第</w:t>
                          </w:r>
                          <w:r>
                            <w:fldChar w:fldCharType="begin"/>
                          </w:r>
                          <w:r>
                            <w:instrText xml:space="preserve"> PAGE  \* MERGEFORMAT </w:instrText>
                          </w:r>
                          <w:r>
                            <w:fldChar w:fldCharType="separate"/>
                          </w:r>
                          <w:r>
                            <w:t>47</w:t>
                          </w:r>
                          <w:r>
                            <w:fldChar w:fldCharType="end"/>
                          </w:r>
                          <w:r>
                            <w:t>页共</w:t>
                          </w:r>
                          <w:r>
                            <w:fldChar w:fldCharType="begin"/>
                          </w:r>
                          <w:r>
                            <w:instrText xml:space="preserve"> NUMPAGES  \* MERGEFORMAT </w:instrText>
                          </w:r>
                          <w:r>
                            <w:fldChar w:fldCharType="separate"/>
                          </w:r>
                          <w:r>
                            <w:t>86</w:t>
                          </w:r>
                          <w:r>
                            <w:fldChar w:fldCharType="end"/>
                          </w:r>
                          <w:r>
                            <w:t>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21.5pt;width:67.65pt;mso-position-horizontal:center;mso-position-horizontal-relative:margin;mso-wrap-style:none;z-index:251660288;mso-width-relative:page;mso-height-relative:page;" filled="f" stroked="f" coordsize="21600,21600" o:gfxdata="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9grM0gAAAAQBAAAPAAAAAAAAAAEAIAAAACIA&#10;AABkcnMvZG93bnJldi54bWxQSwECFAAUAAAACACHTuJAJ3EB/w8CAAAQBAAADgAAAAAAAAABACAA&#10;AAAhAQAAZHJzL2Uyb0RvYy54bWxQSwUGAAAAAAYABgBZAQAAogUAAAAA&#10;">
              <v:fill on="f" focussize="0,0"/>
              <v:stroke on="f"/>
              <v:imagedata o:title=""/>
              <o:lock v:ext="edit" aspectratio="f"/>
              <v:textbox inset="0mm,0mm,0mm,0mm" style="mso-fit-shape-to-text:t;">
                <w:txbxContent>
                  <w:p w14:paraId="136A4722">
                    <w:pPr>
                      <w:pStyle w:val="22"/>
                    </w:pPr>
                    <w:r>
                      <w:t>第</w:t>
                    </w:r>
                    <w:r>
                      <w:fldChar w:fldCharType="begin"/>
                    </w:r>
                    <w:r>
                      <w:instrText xml:space="preserve"> PAGE  \* MERGEFORMAT </w:instrText>
                    </w:r>
                    <w:r>
                      <w:fldChar w:fldCharType="separate"/>
                    </w:r>
                    <w:r>
                      <w:t>47</w:t>
                    </w:r>
                    <w:r>
                      <w:fldChar w:fldCharType="end"/>
                    </w:r>
                    <w:r>
                      <w:t>页共</w:t>
                    </w:r>
                    <w:r>
                      <w:fldChar w:fldCharType="begin"/>
                    </w:r>
                    <w:r>
                      <w:instrText xml:space="preserve"> NUMPAGES  \* MERGEFORMAT </w:instrText>
                    </w:r>
                    <w:r>
                      <w:fldChar w:fldCharType="separate"/>
                    </w:r>
                    <w:r>
                      <w:t>86</w:t>
                    </w:r>
                    <w:r>
                      <w:fldChar w:fldCharType="end"/>
                    </w:r>
                    <w:r>
                      <w:t>页</w:t>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8D296">
    <w:pPr>
      <w:pStyle w:val="22"/>
    </w:pPr>
  </w:p>
  <w:p w14:paraId="1D3DADDE">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7868A">
    <w:pPr>
      <w:pStyle w:val="22"/>
    </w:pPr>
  </w:p>
  <w:p w14:paraId="3FDEF6E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ADA77">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2B15B">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67CCF">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80EAD">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68DF8">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02E37">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180C6"/>
    <w:multiLevelType w:val="singleLevel"/>
    <w:tmpl w:val="01C180C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gutterAtTop/>
  <w:documentProtection w:enforcement="0"/>
  <w:defaultTabStop w:val="420"/>
  <w:hyphenationZone w:val="425"/>
  <w:drawingGridHorizontalSpacing w:val="0"/>
  <w:drawingGridVerticalSpacing w:val="0"/>
  <w:displayHorizontalDrawingGridEvery w:val="1"/>
  <w:displayVerticalDrawingGridEvery w:val="1"/>
  <w:doNotUseMarginsForDrawingGridOrigin w:val="1"/>
  <w:drawingGridHorizontalOrigin w:val="0"/>
  <w:drawingGridVerticalOrigin w:val="0"/>
  <w:doNotShadeFormData w:val="1"/>
  <w:noPunctuationKerning w:val="1"/>
  <w:characterSpacingControl w:val="doNotCompress"/>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zMDJmM2FjNTM5NTExNjQ1MDdjMzQ3MmZkYmUzMjYifQ=="/>
  </w:docVars>
  <w:rsids>
    <w:rsidRoot w:val="001574E0"/>
    <w:rsid w:val="00041D75"/>
    <w:rsid w:val="00061C26"/>
    <w:rsid w:val="00065BB0"/>
    <w:rsid w:val="000A531D"/>
    <w:rsid w:val="000B44B8"/>
    <w:rsid w:val="000D26B4"/>
    <w:rsid w:val="000F595D"/>
    <w:rsid w:val="001574E0"/>
    <w:rsid w:val="00161B2A"/>
    <w:rsid w:val="0017563D"/>
    <w:rsid w:val="0018099E"/>
    <w:rsid w:val="00186578"/>
    <w:rsid w:val="001A3B3C"/>
    <w:rsid w:val="001B21E7"/>
    <w:rsid w:val="001E5753"/>
    <w:rsid w:val="00224D56"/>
    <w:rsid w:val="002B4109"/>
    <w:rsid w:val="002C3FB8"/>
    <w:rsid w:val="002E5EBE"/>
    <w:rsid w:val="003A2534"/>
    <w:rsid w:val="003C560D"/>
    <w:rsid w:val="004537BE"/>
    <w:rsid w:val="004575D1"/>
    <w:rsid w:val="00481577"/>
    <w:rsid w:val="004E43BF"/>
    <w:rsid w:val="00514DAF"/>
    <w:rsid w:val="005273A8"/>
    <w:rsid w:val="005328AA"/>
    <w:rsid w:val="00551F83"/>
    <w:rsid w:val="00580575"/>
    <w:rsid w:val="005C07C5"/>
    <w:rsid w:val="005C088A"/>
    <w:rsid w:val="005D2854"/>
    <w:rsid w:val="005E0DF8"/>
    <w:rsid w:val="006264A5"/>
    <w:rsid w:val="00641E35"/>
    <w:rsid w:val="006D07BC"/>
    <w:rsid w:val="006D28B3"/>
    <w:rsid w:val="006E2D52"/>
    <w:rsid w:val="00714935"/>
    <w:rsid w:val="007A1790"/>
    <w:rsid w:val="007A54CB"/>
    <w:rsid w:val="00882870"/>
    <w:rsid w:val="008A1CA1"/>
    <w:rsid w:val="008E7DC1"/>
    <w:rsid w:val="009B2581"/>
    <w:rsid w:val="00A27A64"/>
    <w:rsid w:val="00AC4AC7"/>
    <w:rsid w:val="00AF4DA8"/>
    <w:rsid w:val="00B44A75"/>
    <w:rsid w:val="00B559C3"/>
    <w:rsid w:val="00BB22D7"/>
    <w:rsid w:val="00BE02F0"/>
    <w:rsid w:val="00BF73AB"/>
    <w:rsid w:val="00C03B4D"/>
    <w:rsid w:val="00C11035"/>
    <w:rsid w:val="00C834F6"/>
    <w:rsid w:val="00CF6651"/>
    <w:rsid w:val="00CF744E"/>
    <w:rsid w:val="00D76BBE"/>
    <w:rsid w:val="00DD5489"/>
    <w:rsid w:val="00E16380"/>
    <w:rsid w:val="00E243BA"/>
    <w:rsid w:val="00E304D7"/>
    <w:rsid w:val="00E406EF"/>
    <w:rsid w:val="00E44FDB"/>
    <w:rsid w:val="00E62DE2"/>
    <w:rsid w:val="00E966FD"/>
    <w:rsid w:val="00F10555"/>
    <w:rsid w:val="010276DD"/>
    <w:rsid w:val="0116312F"/>
    <w:rsid w:val="01374E54"/>
    <w:rsid w:val="013E497D"/>
    <w:rsid w:val="017B7436"/>
    <w:rsid w:val="017D1E60"/>
    <w:rsid w:val="01866DCF"/>
    <w:rsid w:val="01C34939"/>
    <w:rsid w:val="01C81F50"/>
    <w:rsid w:val="01EF3980"/>
    <w:rsid w:val="01F3093F"/>
    <w:rsid w:val="01F42D45"/>
    <w:rsid w:val="020044B1"/>
    <w:rsid w:val="0216715F"/>
    <w:rsid w:val="02283B26"/>
    <w:rsid w:val="0288005D"/>
    <w:rsid w:val="02A12ECC"/>
    <w:rsid w:val="02EE7875"/>
    <w:rsid w:val="03144D5E"/>
    <w:rsid w:val="03425718"/>
    <w:rsid w:val="036F2525"/>
    <w:rsid w:val="03C52BEB"/>
    <w:rsid w:val="040E4592"/>
    <w:rsid w:val="04131F4B"/>
    <w:rsid w:val="041C5CC2"/>
    <w:rsid w:val="04492AD1"/>
    <w:rsid w:val="046D2356"/>
    <w:rsid w:val="04843E92"/>
    <w:rsid w:val="04AE7B23"/>
    <w:rsid w:val="04FF212C"/>
    <w:rsid w:val="053E1B65"/>
    <w:rsid w:val="05595C82"/>
    <w:rsid w:val="05850979"/>
    <w:rsid w:val="059E64D6"/>
    <w:rsid w:val="05A056BD"/>
    <w:rsid w:val="05D04016"/>
    <w:rsid w:val="05EE25BC"/>
    <w:rsid w:val="05FC2605"/>
    <w:rsid w:val="062E4A77"/>
    <w:rsid w:val="066606B5"/>
    <w:rsid w:val="066C1575"/>
    <w:rsid w:val="069A4776"/>
    <w:rsid w:val="06B807E5"/>
    <w:rsid w:val="06BE224E"/>
    <w:rsid w:val="06CB676A"/>
    <w:rsid w:val="06D373CC"/>
    <w:rsid w:val="06DA4BFF"/>
    <w:rsid w:val="06E1586B"/>
    <w:rsid w:val="07523E38"/>
    <w:rsid w:val="07797F74"/>
    <w:rsid w:val="07AE3138"/>
    <w:rsid w:val="07CB16D3"/>
    <w:rsid w:val="081A54FF"/>
    <w:rsid w:val="08206641"/>
    <w:rsid w:val="0825053C"/>
    <w:rsid w:val="084A1910"/>
    <w:rsid w:val="08A2766C"/>
    <w:rsid w:val="08BA4CE8"/>
    <w:rsid w:val="08BF5E5A"/>
    <w:rsid w:val="090C060C"/>
    <w:rsid w:val="095F3199"/>
    <w:rsid w:val="09652EA6"/>
    <w:rsid w:val="09C87119"/>
    <w:rsid w:val="09DB3D6F"/>
    <w:rsid w:val="09DB4F16"/>
    <w:rsid w:val="09DC0C8E"/>
    <w:rsid w:val="0A8A693C"/>
    <w:rsid w:val="0A913826"/>
    <w:rsid w:val="0AE24082"/>
    <w:rsid w:val="0AE9315F"/>
    <w:rsid w:val="0B093D05"/>
    <w:rsid w:val="0B420FC5"/>
    <w:rsid w:val="0B5A00BC"/>
    <w:rsid w:val="0B8F33A2"/>
    <w:rsid w:val="0C122745"/>
    <w:rsid w:val="0C1E558E"/>
    <w:rsid w:val="0C2D757F"/>
    <w:rsid w:val="0C5249C0"/>
    <w:rsid w:val="0C7B653C"/>
    <w:rsid w:val="0CCB3817"/>
    <w:rsid w:val="0CEC11E8"/>
    <w:rsid w:val="0D18022F"/>
    <w:rsid w:val="0D5A0848"/>
    <w:rsid w:val="0D782A7C"/>
    <w:rsid w:val="0D8238FA"/>
    <w:rsid w:val="0DA41AC3"/>
    <w:rsid w:val="0DC93EE2"/>
    <w:rsid w:val="0DE620DB"/>
    <w:rsid w:val="0E211365"/>
    <w:rsid w:val="0E3B3A45"/>
    <w:rsid w:val="0E6C0832"/>
    <w:rsid w:val="0E8421B7"/>
    <w:rsid w:val="0EA3246C"/>
    <w:rsid w:val="0EFD148A"/>
    <w:rsid w:val="0F0A005A"/>
    <w:rsid w:val="0F1A786C"/>
    <w:rsid w:val="0F20161D"/>
    <w:rsid w:val="0F215A03"/>
    <w:rsid w:val="0F220EF1"/>
    <w:rsid w:val="0F550903"/>
    <w:rsid w:val="0F600F7A"/>
    <w:rsid w:val="0F633CB0"/>
    <w:rsid w:val="0FAE6FD5"/>
    <w:rsid w:val="0FB87AA7"/>
    <w:rsid w:val="0FD50659"/>
    <w:rsid w:val="10142F30"/>
    <w:rsid w:val="104A4BA3"/>
    <w:rsid w:val="108D2CE2"/>
    <w:rsid w:val="108E5D72"/>
    <w:rsid w:val="10972567"/>
    <w:rsid w:val="10BE2E9B"/>
    <w:rsid w:val="10C009C2"/>
    <w:rsid w:val="10FF11AD"/>
    <w:rsid w:val="110C1E59"/>
    <w:rsid w:val="11302AA6"/>
    <w:rsid w:val="1157728C"/>
    <w:rsid w:val="117A3266"/>
    <w:rsid w:val="117B6FDE"/>
    <w:rsid w:val="11824B65"/>
    <w:rsid w:val="1247448D"/>
    <w:rsid w:val="126161D4"/>
    <w:rsid w:val="127A1044"/>
    <w:rsid w:val="129934F8"/>
    <w:rsid w:val="12A164EC"/>
    <w:rsid w:val="13580A0A"/>
    <w:rsid w:val="137F4B64"/>
    <w:rsid w:val="13867888"/>
    <w:rsid w:val="138F31C3"/>
    <w:rsid w:val="13ED001A"/>
    <w:rsid w:val="141C6857"/>
    <w:rsid w:val="143C0CA7"/>
    <w:rsid w:val="145F4995"/>
    <w:rsid w:val="146B333A"/>
    <w:rsid w:val="14A11363"/>
    <w:rsid w:val="14AB3737"/>
    <w:rsid w:val="14C9180D"/>
    <w:rsid w:val="14F670A8"/>
    <w:rsid w:val="150176F4"/>
    <w:rsid w:val="15115C90"/>
    <w:rsid w:val="15205ED3"/>
    <w:rsid w:val="154716B1"/>
    <w:rsid w:val="15877D00"/>
    <w:rsid w:val="15B025D8"/>
    <w:rsid w:val="15C2342E"/>
    <w:rsid w:val="15C84482"/>
    <w:rsid w:val="1606156C"/>
    <w:rsid w:val="161A5018"/>
    <w:rsid w:val="16306774"/>
    <w:rsid w:val="16377978"/>
    <w:rsid w:val="165C73DE"/>
    <w:rsid w:val="168C75FF"/>
    <w:rsid w:val="16BE3884"/>
    <w:rsid w:val="16F1579B"/>
    <w:rsid w:val="17233198"/>
    <w:rsid w:val="173739A8"/>
    <w:rsid w:val="173F012B"/>
    <w:rsid w:val="17400AAE"/>
    <w:rsid w:val="174A7237"/>
    <w:rsid w:val="17A74689"/>
    <w:rsid w:val="17CC40F0"/>
    <w:rsid w:val="17D93D1E"/>
    <w:rsid w:val="180715CC"/>
    <w:rsid w:val="180E295A"/>
    <w:rsid w:val="1820443C"/>
    <w:rsid w:val="189F7A56"/>
    <w:rsid w:val="18CE3E98"/>
    <w:rsid w:val="18DA283C"/>
    <w:rsid w:val="195B397D"/>
    <w:rsid w:val="197956DE"/>
    <w:rsid w:val="19C85E69"/>
    <w:rsid w:val="19CC0C9F"/>
    <w:rsid w:val="19FA7E71"/>
    <w:rsid w:val="1A293A7B"/>
    <w:rsid w:val="1B2E6E70"/>
    <w:rsid w:val="1BC14FF6"/>
    <w:rsid w:val="1C177904"/>
    <w:rsid w:val="1CA40115"/>
    <w:rsid w:val="1D392227"/>
    <w:rsid w:val="1D3E6013"/>
    <w:rsid w:val="1D570900"/>
    <w:rsid w:val="1D951428"/>
    <w:rsid w:val="1DB775F0"/>
    <w:rsid w:val="1DD761AF"/>
    <w:rsid w:val="1E075E82"/>
    <w:rsid w:val="1E6F53C0"/>
    <w:rsid w:val="1EBD0C36"/>
    <w:rsid w:val="1ECE074D"/>
    <w:rsid w:val="1EFE57A5"/>
    <w:rsid w:val="1F215001"/>
    <w:rsid w:val="1F30765A"/>
    <w:rsid w:val="1F354AA7"/>
    <w:rsid w:val="1F673948"/>
    <w:rsid w:val="1F7B1FE8"/>
    <w:rsid w:val="1F8E612F"/>
    <w:rsid w:val="1F95570F"/>
    <w:rsid w:val="1FCA1C74"/>
    <w:rsid w:val="202D3B9A"/>
    <w:rsid w:val="20321878"/>
    <w:rsid w:val="205B0707"/>
    <w:rsid w:val="20B971DB"/>
    <w:rsid w:val="20E35464"/>
    <w:rsid w:val="20E701EC"/>
    <w:rsid w:val="20F128E1"/>
    <w:rsid w:val="20FE379E"/>
    <w:rsid w:val="215F7D83"/>
    <w:rsid w:val="21837F15"/>
    <w:rsid w:val="219519F6"/>
    <w:rsid w:val="21A12149"/>
    <w:rsid w:val="21AE376B"/>
    <w:rsid w:val="22046143"/>
    <w:rsid w:val="221411C4"/>
    <w:rsid w:val="222334A6"/>
    <w:rsid w:val="22237002"/>
    <w:rsid w:val="22350AE4"/>
    <w:rsid w:val="22431452"/>
    <w:rsid w:val="224F5D1D"/>
    <w:rsid w:val="229A620D"/>
    <w:rsid w:val="22BD11A4"/>
    <w:rsid w:val="22E569AE"/>
    <w:rsid w:val="238B1303"/>
    <w:rsid w:val="23CB5BA3"/>
    <w:rsid w:val="23F21382"/>
    <w:rsid w:val="240C4B07"/>
    <w:rsid w:val="240E1D53"/>
    <w:rsid w:val="244871F4"/>
    <w:rsid w:val="2483647E"/>
    <w:rsid w:val="24A3442A"/>
    <w:rsid w:val="24EA197A"/>
    <w:rsid w:val="25145328"/>
    <w:rsid w:val="25180974"/>
    <w:rsid w:val="25203CCD"/>
    <w:rsid w:val="252217F3"/>
    <w:rsid w:val="25702528"/>
    <w:rsid w:val="257312A7"/>
    <w:rsid w:val="2574781A"/>
    <w:rsid w:val="257C53A7"/>
    <w:rsid w:val="25BC57A4"/>
    <w:rsid w:val="25D955D9"/>
    <w:rsid w:val="261F21D6"/>
    <w:rsid w:val="262670C1"/>
    <w:rsid w:val="26703501"/>
    <w:rsid w:val="269E759F"/>
    <w:rsid w:val="26AF355A"/>
    <w:rsid w:val="26DE5BEE"/>
    <w:rsid w:val="270A36B5"/>
    <w:rsid w:val="27610BA0"/>
    <w:rsid w:val="27A14D63"/>
    <w:rsid w:val="27D52B4D"/>
    <w:rsid w:val="28011B94"/>
    <w:rsid w:val="2801435B"/>
    <w:rsid w:val="284B72B3"/>
    <w:rsid w:val="28685937"/>
    <w:rsid w:val="286C23AE"/>
    <w:rsid w:val="28B210E0"/>
    <w:rsid w:val="28B65B55"/>
    <w:rsid w:val="29404C40"/>
    <w:rsid w:val="29431FF9"/>
    <w:rsid w:val="2987256D"/>
    <w:rsid w:val="29A22F02"/>
    <w:rsid w:val="29A80DCF"/>
    <w:rsid w:val="29C81F34"/>
    <w:rsid w:val="29D3130E"/>
    <w:rsid w:val="29DE105D"/>
    <w:rsid w:val="29F81618"/>
    <w:rsid w:val="29FB1163"/>
    <w:rsid w:val="2A070FB7"/>
    <w:rsid w:val="2A247DBB"/>
    <w:rsid w:val="2A256ADC"/>
    <w:rsid w:val="2A4D7312"/>
    <w:rsid w:val="2A5C57A7"/>
    <w:rsid w:val="2A685EFA"/>
    <w:rsid w:val="2A8C37E9"/>
    <w:rsid w:val="2AB32E93"/>
    <w:rsid w:val="2ADE440E"/>
    <w:rsid w:val="2AFC79F2"/>
    <w:rsid w:val="2B1B11BE"/>
    <w:rsid w:val="2B6174F2"/>
    <w:rsid w:val="2B6F5066"/>
    <w:rsid w:val="2BB86A0D"/>
    <w:rsid w:val="2C0437B8"/>
    <w:rsid w:val="2C171DD2"/>
    <w:rsid w:val="2C1A3056"/>
    <w:rsid w:val="2C2D29CF"/>
    <w:rsid w:val="2C4B5AD3"/>
    <w:rsid w:val="2C7A1F15"/>
    <w:rsid w:val="2C8B079D"/>
    <w:rsid w:val="2C912B23"/>
    <w:rsid w:val="2CC43190"/>
    <w:rsid w:val="2D060805"/>
    <w:rsid w:val="2D12214D"/>
    <w:rsid w:val="2D223ACB"/>
    <w:rsid w:val="2D7050C6"/>
    <w:rsid w:val="2D8C0151"/>
    <w:rsid w:val="2D982703"/>
    <w:rsid w:val="2DA97A79"/>
    <w:rsid w:val="2DCC054E"/>
    <w:rsid w:val="2DE0049D"/>
    <w:rsid w:val="2DEA131C"/>
    <w:rsid w:val="2E1819E5"/>
    <w:rsid w:val="2E1F0FC6"/>
    <w:rsid w:val="2E3C1B78"/>
    <w:rsid w:val="2E4A3E34"/>
    <w:rsid w:val="2E6E0B40"/>
    <w:rsid w:val="2E81758A"/>
    <w:rsid w:val="2E915CA0"/>
    <w:rsid w:val="2EED1238"/>
    <w:rsid w:val="2F300FB0"/>
    <w:rsid w:val="2F561738"/>
    <w:rsid w:val="2F744559"/>
    <w:rsid w:val="2FCA31B3"/>
    <w:rsid w:val="2FD1717E"/>
    <w:rsid w:val="300C557A"/>
    <w:rsid w:val="30155E33"/>
    <w:rsid w:val="303F6A4D"/>
    <w:rsid w:val="304E094E"/>
    <w:rsid w:val="30626A22"/>
    <w:rsid w:val="30BC25E9"/>
    <w:rsid w:val="30BF047A"/>
    <w:rsid w:val="30E42053"/>
    <w:rsid w:val="310F56D8"/>
    <w:rsid w:val="311C7A3E"/>
    <w:rsid w:val="315A40C3"/>
    <w:rsid w:val="31620CFF"/>
    <w:rsid w:val="31962600"/>
    <w:rsid w:val="31B616AB"/>
    <w:rsid w:val="31C35425"/>
    <w:rsid w:val="31D125D7"/>
    <w:rsid w:val="31DC0F7C"/>
    <w:rsid w:val="328E2276"/>
    <w:rsid w:val="32A95302"/>
    <w:rsid w:val="32BB6DE3"/>
    <w:rsid w:val="32C71C2C"/>
    <w:rsid w:val="32D560F7"/>
    <w:rsid w:val="33300966"/>
    <w:rsid w:val="33466FF4"/>
    <w:rsid w:val="33743B62"/>
    <w:rsid w:val="338054B7"/>
    <w:rsid w:val="339A10EE"/>
    <w:rsid w:val="339E0BDF"/>
    <w:rsid w:val="339F04B3"/>
    <w:rsid w:val="33DC5263"/>
    <w:rsid w:val="33DC7078"/>
    <w:rsid w:val="34036FB6"/>
    <w:rsid w:val="34125129"/>
    <w:rsid w:val="34232E92"/>
    <w:rsid w:val="34390907"/>
    <w:rsid w:val="34525525"/>
    <w:rsid w:val="34797724"/>
    <w:rsid w:val="34D523DE"/>
    <w:rsid w:val="34E42621"/>
    <w:rsid w:val="35213875"/>
    <w:rsid w:val="352E3AD5"/>
    <w:rsid w:val="357E6078"/>
    <w:rsid w:val="35FC1BEC"/>
    <w:rsid w:val="36652F5C"/>
    <w:rsid w:val="36A22794"/>
    <w:rsid w:val="36B349A1"/>
    <w:rsid w:val="36C22D9C"/>
    <w:rsid w:val="36C941C4"/>
    <w:rsid w:val="371A67CE"/>
    <w:rsid w:val="375021F0"/>
    <w:rsid w:val="37684878"/>
    <w:rsid w:val="37B409D1"/>
    <w:rsid w:val="37DC3E4C"/>
    <w:rsid w:val="38367638"/>
    <w:rsid w:val="383E029A"/>
    <w:rsid w:val="388613B1"/>
    <w:rsid w:val="388F6D48"/>
    <w:rsid w:val="38AC16A8"/>
    <w:rsid w:val="38E54BBA"/>
    <w:rsid w:val="39162FC5"/>
    <w:rsid w:val="395064D7"/>
    <w:rsid w:val="397B107A"/>
    <w:rsid w:val="39BF540B"/>
    <w:rsid w:val="39D27B3A"/>
    <w:rsid w:val="3A1C7480"/>
    <w:rsid w:val="3A577D39"/>
    <w:rsid w:val="3A7C5D33"/>
    <w:rsid w:val="3A83468A"/>
    <w:rsid w:val="3AAD1707"/>
    <w:rsid w:val="3B101AFC"/>
    <w:rsid w:val="3B651FE2"/>
    <w:rsid w:val="3B970796"/>
    <w:rsid w:val="3BA778C8"/>
    <w:rsid w:val="3BC431AC"/>
    <w:rsid w:val="3C895699"/>
    <w:rsid w:val="3CA8487C"/>
    <w:rsid w:val="3CFE449C"/>
    <w:rsid w:val="3D1A38C0"/>
    <w:rsid w:val="3D2959BD"/>
    <w:rsid w:val="3D464014"/>
    <w:rsid w:val="3D4709E6"/>
    <w:rsid w:val="3D5F318D"/>
    <w:rsid w:val="3D5F5D13"/>
    <w:rsid w:val="3D88284D"/>
    <w:rsid w:val="3D8B4BB3"/>
    <w:rsid w:val="3DA17FBF"/>
    <w:rsid w:val="3DAD45BB"/>
    <w:rsid w:val="3DDC1999"/>
    <w:rsid w:val="3DEB4A20"/>
    <w:rsid w:val="3DF80EEB"/>
    <w:rsid w:val="3E2D7827"/>
    <w:rsid w:val="3E316897"/>
    <w:rsid w:val="3E353EED"/>
    <w:rsid w:val="3E4F3046"/>
    <w:rsid w:val="3E927334"/>
    <w:rsid w:val="3EBF7C5B"/>
    <w:rsid w:val="3EC51715"/>
    <w:rsid w:val="3F05779E"/>
    <w:rsid w:val="3F30107F"/>
    <w:rsid w:val="3F357653"/>
    <w:rsid w:val="3F761345"/>
    <w:rsid w:val="3F8539D4"/>
    <w:rsid w:val="3F886AC6"/>
    <w:rsid w:val="3F974E81"/>
    <w:rsid w:val="3FD87226"/>
    <w:rsid w:val="40131D29"/>
    <w:rsid w:val="40267F92"/>
    <w:rsid w:val="4061721C"/>
    <w:rsid w:val="40640ABA"/>
    <w:rsid w:val="40BA6883"/>
    <w:rsid w:val="41110C42"/>
    <w:rsid w:val="416D1BF0"/>
    <w:rsid w:val="4190519B"/>
    <w:rsid w:val="41914DF6"/>
    <w:rsid w:val="41A03D74"/>
    <w:rsid w:val="41A15785"/>
    <w:rsid w:val="41A575DC"/>
    <w:rsid w:val="41B45A71"/>
    <w:rsid w:val="41C95079"/>
    <w:rsid w:val="41CA0DF1"/>
    <w:rsid w:val="41E023C2"/>
    <w:rsid w:val="41E9571B"/>
    <w:rsid w:val="41F36599"/>
    <w:rsid w:val="41F83BB0"/>
    <w:rsid w:val="42254279"/>
    <w:rsid w:val="422D5F24"/>
    <w:rsid w:val="425D02CF"/>
    <w:rsid w:val="42841C60"/>
    <w:rsid w:val="42E45EE2"/>
    <w:rsid w:val="43016A94"/>
    <w:rsid w:val="4348021F"/>
    <w:rsid w:val="438253F9"/>
    <w:rsid w:val="43D1290A"/>
    <w:rsid w:val="43F65ECD"/>
    <w:rsid w:val="44112D07"/>
    <w:rsid w:val="442944F4"/>
    <w:rsid w:val="44753F80"/>
    <w:rsid w:val="44C91833"/>
    <w:rsid w:val="45272388"/>
    <w:rsid w:val="458E4FC1"/>
    <w:rsid w:val="458F3751"/>
    <w:rsid w:val="45C2075D"/>
    <w:rsid w:val="45E85CE9"/>
    <w:rsid w:val="461E4B14"/>
    <w:rsid w:val="46320D70"/>
    <w:rsid w:val="4638473F"/>
    <w:rsid w:val="466F1F67"/>
    <w:rsid w:val="46893028"/>
    <w:rsid w:val="46A460D2"/>
    <w:rsid w:val="46AE2571"/>
    <w:rsid w:val="46F53662"/>
    <w:rsid w:val="473C009B"/>
    <w:rsid w:val="47441784"/>
    <w:rsid w:val="477C3C42"/>
    <w:rsid w:val="47B642F1"/>
    <w:rsid w:val="47C32BBE"/>
    <w:rsid w:val="47F60F1C"/>
    <w:rsid w:val="48032022"/>
    <w:rsid w:val="48036E0A"/>
    <w:rsid w:val="480A0199"/>
    <w:rsid w:val="4812529F"/>
    <w:rsid w:val="48256D81"/>
    <w:rsid w:val="483021D5"/>
    <w:rsid w:val="484E4529"/>
    <w:rsid w:val="489B34E7"/>
    <w:rsid w:val="48CE6139"/>
    <w:rsid w:val="492E7EB7"/>
    <w:rsid w:val="49460BCB"/>
    <w:rsid w:val="49956188"/>
    <w:rsid w:val="49BF6D61"/>
    <w:rsid w:val="4A4003E3"/>
    <w:rsid w:val="4AAD0B4E"/>
    <w:rsid w:val="4ABB7BDD"/>
    <w:rsid w:val="4AC62A9D"/>
    <w:rsid w:val="4B102263"/>
    <w:rsid w:val="4B315A3D"/>
    <w:rsid w:val="4B514880"/>
    <w:rsid w:val="4B751DCD"/>
    <w:rsid w:val="4B9E6E05"/>
    <w:rsid w:val="4BBE3774"/>
    <w:rsid w:val="4BC11945"/>
    <w:rsid w:val="4C080E93"/>
    <w:rsid w:val="4C2A69CF"/>
    <w:rsid w:val="4CB76577"/>
    <w:rsid w:val="4CB84B6F"/>
    <w:rsid w:val="4D2F5EED"/>
    <w:rsid w:val="4D3A32CE"/>
    <w:rsid w:val="4E141D71"/>
    <w:rsid w:val="4E160200"/>
    <w:rsid w:val="4E6E2950"/>
    <w:rsid w:val="4E8B2815"/>
    <w:rsid w:val="4F022BC1"/>
    <w:rsid w:val="4F2F6737"/>
    <w:rsid w:val="4F672375"/>
    <w:rsid w:val="4F7655B2"/>
    <w:rsid w:val="4F9B5B7A"/>
    <w:rsid w:val="4FAB0ED1"/>
    <w:rsid w:val="4FBF3F5F"/>
    <w:rsid w:val="4FEE03A0"/>
    <w:rsid w:val="505A0F6D"/>
    <w:rsid w:val="506A5C79"/>
    <w:rsid w:val="50A32F39"/>
    <w:rsid w:val="50BE3D52"/>
    <w:rsid w:val="50E22C56"/>
    <w:rsid w:val="50F9524E"/>
    <w:rsid w:val="51B03B5F"/>
    <w:rsid w:val="51D04201"/>
    <w:rsid w:val="51F223CA"/>
    <w:rsid w:val="524024F1"/>
    <w:rsid w:val="526D37FE"/>
    <w:rsid w:val="528B0128"/>
    <w:rsid w:val="52B70F1D"/>
    <w:rsid w:val="52E37F64"/>
    <w:rsid w:val="52E53CDC"/>
    <w:rsid w:val="52E9007A"/>
    <w:rsid w:val="5315408B"/>
    <w:rsid w:val="53436D51"/>
    <w:rsid w:val="53605111"/>
    <w:rsid w:val="53933738"/>
    <w:rsid w:val="53982A23"/>
    <w:rsid w:val="53C4217E"/>
    <w:rsid w:val="546155E5"/>
    <w:rsid w:val="54882B71"/>
    <w:rsid w:val="54920961"/>
    <w:rsid w:val="54B075F9"/>
    <w:rsid w:val="54B43966"/>
    <w:rsid w:val="54B90F7D"/>
    <w:rsid w:val="54CF15AD"/>
    <w:rsid w:val="55326F81"/>
    <w:rsid w:val="55356244"/>
    <w:rsid w:val="554D1385"/>
    <w:rsid w:val="55714BF5"/>
    <w:rsid w:val="558772CD"/>
    <w:rsid w:val="55913CA7"/>
    <w:rsid w:val="55A36BE1"/>
    <w:rsid w:val="55B31E70"/>
    <w:rsid w:val="55CA6A31"/>
    <w:rsid w:val="55D43B94"/>
    <w:rsid w:val="55E32B6F"/>
    <w:rsid w:val="55FC3817"/>
    <w:rsid w:val="55FD34DB"/>
    <w:rsid w:val="565D1DDC"/>
    <w:rsid w:val="56A10646"/>
    <w:rsid w:val="56C71D4F"/>
    <w:rsid w:val="56CD460E"/>
    <w:rsid w:val="56D93B58"/>
    <w:rsid w:val="56DD0E7E"/>
    <w:rsid w:val="56E16787"/>
    <w:rsid w:val="56E66562"/>
    <w:rsid w:val="57B679F5"/>
    <w:rsid w:val="57F6073B"/>
    <w:rsid w:val="590B6702"/>
    <w:rsid w:val="595E0345"/>
    <w:rsid w:val="5963595B"/>
    <w:rsid w:val="59814033"/>
    <w:rsid w:val="5A0E1D6B"/>
    <w:rsid w:val="5A266FC0"/>
    <w:rsid w:val="5A4214BD"/>
    <w:rsid w:val="5A701F43"/>
    <w:rsid w:val="5A785436"/>
    <w:rsid w:val="5AA004E9"/>
    <w:rsid w:val="5AB3021C"/>
    <w:rsid w:val="5B5639C9"/>
    <w:rsid w:val="5B8027F4"/>
    <w:rsid w:val="5B8F0C89"/>
    <w:rsid w:val="5BD3328F"/>
    <w:rsid w:val="5BF8682E"/>
    <w:rsid w:val="5C186ED1"/>
    <w:rsid w:val="5C846314"/>
    <w:rsid w:val="5CA02A22"/>
    <w:rsid w:val="5CFB3F96"/>
    <w:rsid w:val="5D2418A5"/>
    <w:rsid w:val="5D3E143E"/>
    <w:rsid w:val="5D6D0B56"/>
    <w:rsid w:val="5D866656"/>
    <w:rsid w:val="5D8B772D"/>
    <w:rsid w:val="5D953CD4"/>
    <w:rsid w:val="5DA12EF6"/>
    <w:rsid w:val="5DCF7A63"/>
    <w:rsid w:val="5DF64FF0"/>
    <w:rsid w:val="5E23390B"/>
    <w:rsid w:val="5E252DB2"/>
    <w:rsid w:val="5E4426FE"/>
    <w:rsid w:val="5E4A0B4A"/>
    <w:rsid w:val="5E4E6BDA"/>
    <w:rsid w:val="5E826883"/>
    <w:rsid w:val="5E8C325E"/>
    <w:rsid w:val="5EB804F7"/>
    <w:rsid w:val="5ED25EC4"/>
    <w:rsid w:val="5EEC73F6"/>
    <w:rsid w:val="5F096FA4"/>
    <w:rsid w:val="5F0A6496"/>
    <w:rsid w:val="5F18074E"/>
    <w:rsid w:val="5F2E35DE"/>
    <w:rsid w:val="5F3A715E"/>
    <w:rsid w:val="5F3F6363"/>
    <w:rsid w:val="5F742670"/>
    <w:rsid w:val="5F7A62E9"/>
    <w:rsid w:val="5FD255E8"/>
    <w:rsid w:val="5FEB0458"/>
    <w:rsid w:val="5FEF619A"/>
    <w:rsid w:val="60463F3B"/>
    <w:rsid w:val="605A15F9"/>
    <w:rsid w:val="607C7302"/>
    <w:rsid w:val="60A425A2"/>
    <w:rsid w:val="60C65F42"/>
    <w:rsid w:val="60D84E80"/>
    <w:rsid w:val="60EB4BB4"/>
    <w:rsid w:val="61463A1C"/>
    <w:rsid w:val="615D7847"/>
    <w:rsid w:val="616D381B"/>
    <w:rsid w:val="61811074"/>
    <w:rsid w:val="618160CC"/>
    <w:rsid w:val="618446C0"/>
    <w:rsid w:val="61B96225"/>
    <w:rsid w:val="61D03DA9"/>
    <w:rsid w:val="621517BC"/>
    <w:rsid w:val="62803B00"/>
    <w:rsid w:val="62B334AF"/>
    <w:rsid w:val="62CF46D7"/>
    <w:rsid w:val="62E6303A"/>
    <w:rsid w:val="62F74417"/>
    <w:rsid w:val="630261E5"/>
    <w:rsid w:val="63A65BE7"/>
    <w:rsid w:val="63AB4186"/>
    <w:rsid w:val="63B079EF"/>
    <w:rsid w:val="63D2462F"/>
    <w:rsid w:val="63ED29F1"/>
    <w:rsid w:val="642D3B9D"/>
    <w:rsid w:val="642D73C6"/>
    <w:rsid w:val="64342ECD"/>
    <w:rsid w:val="64395186"/>
    <w:rsid w:val="646913E8"/>
    <w:rsid w:val="64A77044"/>
    <w:rsid w:val="64AA2690"/>
    <w:rsid w:val="64C03C61"/>
    <w:rsid w:val="65AE7641"/>
    <w:rsid w:val="65C21C5B"/>
    <w:rsid w:val="65F76D25"/>
    <w:rsid w:val="662B42A8"/>
    <w:rsid w:val="664A237C"/>
    <w:rsid w:val="669E68AD"/>
    <w:rsid w:val="66AE5CE5"/>
    <w:rsid w:val="66D9341D"/>
    <w:rsid w:val="66E225B5"/>
    <w:rsid w:val="6712451C"/>
    <w:rsid w:val="672C3830"/>
    <w:rsid w:val="672F07F4"/>
    <w:rsid w:val="674A5ED1"/>
    <w:rsid w:val="678C0773"/>
    <w:rsid w:val="6793565D"/>
    <w:rsid w:val="67955170"/>
    <w:rsid w:val="68096587"/>
    <w:rsid w:val="68460921"/>
    <w:rsid w:val="68706A96"/>
    <w:rsid w:val="68751207"/>
    <w:rsid w:val="68831B76"/>
    <w:rsid w:val="68B83318"/>
    <w:rsid w:val="68BF2460"/>
    <w:rsid w:val="68EC14C9"/>
    <w:rsid w:val="690E58E3"/>
    <w:rsid w:val="69392234"/>
    <w:rsid w:val="6985242A"/>
    <w:rsid w:val="69927CE9"/>
    <w:rsid w:val="699658D9"/>
    <w:rsid w:val="699F29DF"/>
    <w:rsid w:val="69B31FE7"/>
    <w:rsid w:val="69C67F6C"/>
    <w:rsid w:val="69EC54F9"/>
    <w:rsid w:val="69F04FE9"/>
    <w:rsid w:val="6A141CAC"/>
    <w:rsid w:val="6A222CC8"/>
    <w:rsid w:val="6A2D7FEB"/>
    <w:rsid w:val="6A3273AF"/>
    <w:rsid w:val="6A4964A7"/>
    <w:rsid w:val="6A614823"/>
    <w:rsid w:val="6A6E23B2"/>
    <w:rsid w:val="6A92656C"/>
    <w:rsid w:val="6AB42D88"/>
    <w:rsid w:val="6AD62431"/>
    <w:rsid w:val="6B4849B1"/>
    <w:rsid w:val="6C1228B8"/>
    <w:rsid w:val="6C1E4A0B"/>
    <w:rsid w:val="6C5555D7"/>
    <w:rsid w:val="6C745D41"/>
    <w:rsid w:val="6CCE2ECC"/>
    <w:rsid w:val="6DA82745"/>
    <w:rsid w:val="6DAC56CB"/>
    <w:rsid w:val="6DC20286"/>
    <w:rsid w:val="6DD11EE7"/>
    <w:rsid w:val="6DE4727E"/>
    <w:rsid w:val="6DFE57FA"/>
    <w:rsid w:val="6E0B0643"/>
    <w:rsid w:val="6E7361E8"/>
    <w:rsid w:val="6EA03D5F"/>
    <w:rsid w:val="6EA93AA0"/>
    <w:rsid w:val="6EAB5982"/>
    <w:rsid w:val="6F263C21"/>
    <w:rsid w:val="6F3913DF"/>
    <w:rsid w:val="6F60740F"/>
    <w:rsid w:val="6F732C87"/>
    <w:rsid w:val="6F745D74"/>
    <w:rsid w:val="6F863CF9"/>
    <w:rsid w:val="6F936B31"/>
    <w:rsid w:val="6F963F3C"/>
    <w:rsid w:val="6FD20CED"/>
    <w:rsid w:val="6FE56C72"/>
    <w:rsid w:val="6FFB46E7"/>
    <w:rsid w:val="70001CFE"/>
    <w:rsid w:val="704D2DAE"/>
    <w:rsid w:val="70757FF6"/>
    <w:rsid w:val="71092E34"/>
    <w:rsid w:val="71094BE2"/>
    <w:rsid w:val="71120272"/>
    <w:rsid w:val="713A6130"/>
    <w:rsid w:val="715210DC"/>
    <w:rsid w:val="71970440"/>
    <w:rsid w:val="71D15700"/>
    <w:rsid w:val="71DE2066"/>
    <w:rsid w:val="71E455C0"/>
    <w:rsid w:val="71F149C3"/>
    <w:rsid w:val="7238577F"/>
    <w:rsid w:val="72606A84"/>
    <w:rsid w:val="7278201F"/>
    <w:rsid w:val="72AF5315"/>
    <w:rsid w:val="72BB00C2"/>
    <w:rsid w:val="72C963D7"/>
    <w:rsid w:val="72D82ABE"/>
    <w:rsid w:val="73012015"/>
    <w:rsid w:val="730E66E3"/>
    <w:rsid w:val="731E2BC7"/>
    <w:rsid w:val="732950C8"/>
    <w:rsid w:val="732E26DE"/>
    <w:rsid w:val="734931FB"/>
    <w:rsid w:val="73610D05"/>
    <w:rsid w:val="737D3686"/>
    <w:rsid w:val="738B1284"/>
    <w:rsid w:val="73C351CC"/>
    <w:rsid w:val="74E47344"/>
    <w:rsid w:val="74FC6F38"/>
    <w:rsid w:val="75195B31"/>
    <w:rsid w:val="752404AA"/>
    <w:rsid w:val="75596138"/>
    <w:rsid w:val="755B60CD"/>
    <w:rsid w:val="75BE2CC2"/>
    <w:rsid w:val="75C13CDD"/>
    <w:rsid w:val="75DC0B17"/>
    <w:rsid w:val="76116A13"/>
    <w:rsid w:val="76153F92"/>
    <w:rsid w:val="763C29C0"/>
    <w:rsid w:val="764A2C0E"/>
    <w:rsid w:val="76760FC6"/>
    <w:rsid w:val="769C084F"/>
    <w:rsid w:val="773D7394"/>
    <w:rsid w:val="77505319"/>
    <w:rsid w:val="777803CC"/>
    <w:rsid w:val="77927893"/>
    <w:rsid w:val="77977632"/>
    <w:rsid w:val="77B533CE"/>
    <w:rsid w:val="77BB6426"/>
    <w:rsid w:val="77CE5BF0"/>
    <w:rsid w:val="77E043E3"/>
    <w:rsid w:val="77FE2FC7"/>
    <w:rsid w:val="78174088"/>
    <w:rsid w:val="784433C4"/>
    <w:rsid w:val="785328F5"/>
    <w:rsid w:val="787D4D90"/>
    <w:rsid w:val="78BB4A14"/>
    <w:rsid w:val="78DD2BDC"/>
    <w:rsid w:val="792507FC"/>
    <w:rsid w:val="793338F9"/>
    <w:rsid w:val="798C161D"/>
    <w:rsid w:val="79954710"/>
    <w:rsid w:val="7A1C7734"/>
    <w:rsid w:val="7A57076C"/>
    <w:rsid w:val="7A94551C"/>
    <w:rsid w:val="7AAD4830"/>
    <w:rsid w:val="7AB1301D"/>
    <w:rsid w:val="7AF972BD"/>
    <w:rsid w:val="7AF97A75"/>
    <w:rsid w:val="7B220D7A"/>
    <w:rsid w:val="7BA06143"/>
    <w:rsid w:val="7BB309E9"/>
    <w:rsid w:val="7C084414"/>
    <w:rsid w:val="7C6A499A"/>
    <w:rsid w:val="7C896BD7"/>
    <w:rsid w:val="7C8E2635"/>
    <w:rsid w:val="7D0C1CE2"/>
    <w:rsid w:val="7D7C11A8"/>
    <w:rsid w:val="7D8364A5"/>
    <w:rsid w:val="7DB33242"/>
    <w:rsid w:val="7E0B01EB"/>
    <w:rsid w:val="7E413C0D"/>
    <w:rsid w:val="7E5E47BF"/>
    <w:rsid w:val="7E61605D"/>
    <w:rsid w:val="7EA83C8C"/>
    <w:rsid w:val="7EEA6053"/>
    <w:rsid w:val="7EEB6D53"/>
    <w:rsid w:val="7F00264D"/>
    <w:rsid w:val="7F286B7B"/>
    <w:rsid w:val="7F4B20B5"/>
    <w:rsid w:val="7F871AF4"/>
    <w:rsid w:val="7F93049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pt"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99" w:semiHidden="0"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宋体" w:eastAsia="宋体" w:cs="宋体"/>
      <w:sz w:val="24"/>
      <w:szCs w:val="24"/>
      <w:lang w:val="en-US" w:eastAsia="zh-CN" w:bidi="ar-SA"/>
    </w:rPr>
  </w:style>
  <w:style w:type="paragraph" w:styleId="3">
    <w:name w:val="heading 1"/>
    <w:basedOn w:val="1"/>
    <w:next w:val="1"/>
    <w:link w:val="57"/>
    <w:autoRedefine/>
    <w:qFormat/>
    <w:uiPriority w:val="0"/>
    <w:pPr>
      <w:keepNext/>
      <w:keepLines/>
      <w:spacing w:before="340" w:after="330" w:line="576" w:lineRule="auto"/>
      <w:outlineLvl w:val="0"/>
    </w:pPr>
    <w:rPr>
      <w:b/>
      <w:sz w:val="44"/>
    </w:rPr>
  </w:style>
  <w:style w:type="paragraph" w:styleId="4">
    <w:name w:val="heading 2"/>
    <w:basedOn w:val="1"/>
    <w:next w:val="1"/>
    <w:autoRedefine/>
    <w:qFormat/>
    <w:uiPriority w:val="0"/>
    <w:pPr>
      <w:keepNext/>
      <w:keepLines/>
      <w:spacing w:before="260" w:after="260" w:line="413" w:lineRule="auto"/>
      <w:outlineLvl w:val="1"/>
    </w:pPr>
    <w:rPr>
      <w:rFonts w:ascii="Cambria" w:hAnsi="Cambria" w:cs="Cambria"/>
      <w:b/>
      <w:sz w:val="32"/>
      <w:szCs w:val="32"/>
    </w:rPr>
  </w:style>
  <w:style w:type="paragraph" w:styleId="5">
    <w:name w:val="heading 3"/>
    <w:basedOn w:val="1"/>
    <w:next w:val="1"/>
    <w:autoRedefine/>
    <w:qFormat/>
    <w:uiPriority w:val="0"/>
    <w:pPr>
      <w:keepNext/>
      <w:keepLines/>
      <w:spacing w:before="260" w:after="260" w:line="413" w:lineRule="auto"/>
      <w:outlineLvl w:val="2"/>
    </w:pPr>
    <w:rPr>
      <w:b/>
      <w:sz w:val="32"/>
    </w:rPr>
  </w:style>
  <w:style w:type="paragraph" w:styleId="6">
    <w:name w:val="heading 4"/>
    <w:basedOn w:val="1"/>
    <w:next w:val="1"/>
    <w:autoRedefine/>
    <w:unhideWhenUsed/>
    <w:qFormat/>
    <w:uiPriority w:val="9"/>
    <w:pPr>
      <w:keepNext/>
      <w:keepLines/>
      <w:spacing w:before="40"/>
      <w:outlineLvl w:val="3"/>
    </w:pPr>
    <w:rPr>
      <w:rFonts w:asciiTheme="majorHAnsi" w:hAnsiTheme="majorHAnsi" w:eastAsiaTheme="majorEastAsia" w:cstheme="majorBidi"/>
      <w:i/>
      <w:iCs/>
      <w:color w:val="376092" w:themeColor="accent1" w:themeShade="BF"/>
    </w:rPr>
  </w:style>
  <w:style w:type="paragraph" w:styleId="7">
    <w:name w:val="heading 5"/>
    <w:basedOn w:val="1"/>
    <w:next w:val="1"/>
    <w:autoRedefine/>
    <w:unhideWhenUsed/>
    <w:qFormat/>
    <w:uiPriority w:val="9"/>
    <w:pPr>
      <w:keepNext/>
      <w:keepLines/>
      <w:spacing w:before="40"/>
      <w:outlineLvl w:val="4"/>
    </w:pPr>
    <w:rPr>
      <w:rFonts w:asciiTheme="majorHAnsi" w:hAnsiTheme="majorHAnsi" w:eastAsiaTheme="majorEastAsia" w:cstheme="majorBidi"/>
      <w:color w:val="376092" w:themeColor="accent1" w:themeShade="BF"/>
    </w:rPr>
  </w:style>
  <w:style w:type="paragraph" w:styleId="8">
    <w:name w:val="heading 6"/>
    <w:basedOn w:val="1"/>
    <w:next w:val="1"/>
    <w:autoRedefine/>
    <w:unhideWhenUsed/>
    <w:qFormat/>
    <w:uiPriority w:val="9"/>
    <w:pPr>
      <w:keepNext/>
      <w:keepLines/>
      <w:spacing w:before="40"/>
      <w:outlineLvl w:val="5"/>
    </w:pPr>
    <w:rPr>
      <w:rFonts w:asciiTheme="majorHAnsi" w:hAnsiTheme="majorHAnsi" w:eastAsiaTheme="majorEastAsia" w:cstheme="majorBidi"/>
      <w:color w:val="254061" w:themeColor="accent1" w:themeShade="80"/>
    </w:rPr>
  </w:style>
  <w:style w:type="paragraph" w:styleId="9">
    <w:name w:val="heading 7"/>
    <w:basedOn w:val="1"/>
    <w:next w:val="1"/>
    <w:autoRedefine/>
    <w:unhideWhenUsed/>
    <w:qFormat/>
    <w:uiPriority w:val="9"/>
    <w:pPr>
      <w:keepNext/>
      <w:keepLines/>
      <w:spacing w:before="40"/>
      <w:outlineLvl w:val="6"/>
    </w:pPr>
    <w:rPr>
      <w:rFonts w:asciiTheme="majorHAnsi" w:hAnsiTheme="majorHAnsi" w:eastAsiaTheme="majorEastAsia" w:cstheme="majorBidi"/>
      <w:i/>
      <w:iCs/>
      <w:color w:val="254061" w:themeColor="accent1" w:themeShade="80"/>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ind w:firstLine="420"/>
    </w:pPr>
    <w:rPr>
      <w:kern w:val="1"/>
    </w:rPr>
  </w:style>
  <w:style w:type="paragraph" w:styleId="10">
    <w:name w:val="caption"/>
    <w:basedOn w:val="1"/>
    <w:next w:val="1"/>
    <w:link w:val="60"/>
    <w:autoRedefine/>
    <w:unhideWhenUsed/>
    <w:qFormat/>
    <w:uiPriority w:val="35"/>
    <w:pPr>
      <w:keepNext/>
      <w:tabs>
        <w:tab w:val="center" w:pos="4153"/>
      </w:tabs>
      <w:wordWrap w:val="0"/>
      <w:spacing w:line="360" w:lineRule="auto"/>
      <w:ind w:firstLine="480" w:firstLineChars="200"/>
      <w:jc w:val="center"/>
    </w:pPr>
    <w:rPr>
      <w:rFonts w:eastAsia="黑体"/>
      <w:kern w:val="2"/>
      <w:lang w:val="en-GB"/>
    </w:rPr>
  </w:style>
  <w:style w:type="paragraph" w:styleId="11">
    <w:name w:val="annotation text"/>
    <w:basedOn w:val="1"/>
    <w:link w:val="65"/>
    <w:autoRedefine/>
    <w:semiHidden/>
    <w:unhideWhenUsed/>
    <w:qFormat/>
    <w:uiPriority w:val="99"/>
    <w:pPr>
      <w:jc w:val="left"/>
    </w:pPr>
  </w:style>
  <w:style w:type="paragraph" w:styleId="12">
    <w:name w:val="index 6"/>
    <w:basedOn w:val="1"/>
    <w:next w:val="1"/>
    <w:qFormat/>
    <w:uiPriority w:val="99"/>
    <w:pPr>
      <w:ind w:left="2100"/>
    </w:pPr>
  </w:style>
  <w:style w:type="paragraph" w:styleId="13">
    <w:name w:val="Body Text 3"/>
    <w:basedOn w:val="1"/>
    <w:autoRedefine/>
    <w:unhideWhenUsed/>
    <w:qFormat/>
    <w:uiPriority w:val="99"/>
  </w:style>
  <w:style w:type="paragraph" w:styleId="14">
    <w:name w:val="Body Text"/>
    <w:basedOn w:val="1"/>
    <w:autoRedefine/>
    <w:qFormat/>
    <w:uiPriority w:val="0"/>
    <w:rPr>
      <w:rFonts w:eastAsia="楷体"/>
      <w:kern w:val="1"/>
      <w:sz w:val="30"/>
    </w:rPr>
  </w:style>
  <w:style w:type="paragraph" w:styleId="15">
    <w:name w:val="Body Text Indent"/>
    <w:basedOn w:val="1"/>
    <w:autoRedefine/>
    <w:qFormat/>
    <w:uiPriority w:val="0"/>
    <w:pPr>
      <w:spacing w:after="120"/>
      <w:ind w:left="420"/>
    </w:pPr>
    <w:rPr>
      <w:kern w:val="1"/>
    </w:rPr>
  </w:style>
  <w:style w:type="paragraph" w:styleId="16">
    <w:name w:val="Block Text"/>
    <w:basedOn w:val="1"/>
    <w:autoRedefine/>
    <w:qFormat/>
    <w:uiPriority w:val="0"/>
    <w:pPr>
      <w:ind w:left="420" w:right="33"/>
      <w:jc w:val="left"/>
    </w:pPr>
  </w:style>
  <w:style w:type="paragraph" w:styleId="17">
    <w:name w:val="toc 3"/>
    <w:basedOn w:val="1"/>
    <w:next w:val="1"/>
    <w:autoRedefine/>
    <w:unhideWhenUsed/>
    <w:qFormat/>
    <w:uiPriority w:val="39"/>
    <w:pPr>
      <w:ind w:left="840" w:leftChars="400"/>
    </w:pPr>
  </w:style>
  <w:style w:type="paragraph" w:styleId="18">
    <w:name w:val="Plain Text"/>
    <w:basedOn w:val="1"/>
    <w:autoRedefine/>
    <w:qFormat/>
    <w:uiPriority w:val="99"/>
    <w:rPr>
      <w:rFonts w:cs="Courier New"/>
      <w:kern w:val="1"/>
    </w:rPr>
  </w:style>
  <w:style w:type="paragraph" w:styleId="19">
    <w:name w:val="Date"/>
    <w:basedOn w:val="1"/>
    <w:next w:val="1"/>
    <w:link w:val="44"/>
    <w:autoRedefine/>
    <w:qFormat/>
    <w:uiPriority w:val="99"/>
    <w:pPr>
      <w:ind w:left="100"/>
    </w:pPr>
    <w:rPr>
      <w:kern w:val="1"/>
      <w:sz w:val="36"/>
    </w:rPr>
  </w:style>
  <w:style w:type="paragraph" w:styleId="20">
    <w:name w:val="Body Text Indent 2"/>
    <w:basedOn w:val="1"/>
    <w:autoRedefine/>
    <w:qFormat/>
    <w:uiPriority w:val="0"/>
    <w:pPr>
      <w:spacing w:after="120" w:line="480" w:lineRule="auto"/>
      <w:ind w:left="420"/>
    </w:pPr>
    <w:rPr>
      <w:kern w:val="1"/>
    </w:rPr>
  </w:style>
  <w:style w:type="paragraph" w:styleId="21">
    <w:name w:val="Balloon Text"/>
    <w:basedOn w:val="1"/>
    <w:autoRedefine/>
    <w:qFormat/>
    <w:uiPriority w:val="0"/>
    <w:rPr>
      <w:kern w:val="1"/>
      <w:sz w:val="18"/>
    </w:rPr>
  </w:style>
  <w:style w:type="paragraph" w:styleId="22">
    <w:name w:val="footer"/>
    <w:basedOn w:val="1"/>
    <w:link w:val="62"/>
    <w:autoRedefine/>
    <w:qFormat/>
    <w:uiPriority w:val="99"/>
    <w:pPr>
      <w:tabs>
        <w:tab w:val="center" w:pos="4153"/>
        <w:tab w:val="right" w:pos="8306"/>
      </w:tabs>
      <w:jc w:val="left"/>
    </w:pPr>
    <w:rPr>
      <w:kern w:val="1"/>
      <w:sz w:val="18"/>
    </w:rPr>
  </w:style>
  <w:style w:type="paragraph" w:styleId="23">
    <w:name w:val="header"/>
    <w:basedOn w:val="1"/>
    <w:autoRedefine/>
    <w:qFormat/>
    <w:uiPriority w:val="0"/>
    <w:pPr>
      <w:pBdr>
        <w:bottom w:val="single" w:color="000000" w:sz="6" w:space="1"/>
      </w:pBdr>
      <w:tabs>
        <w:tab w:val="center" w:pos="4153"/>
        <w:tab w:val="right" w:pos="8306"/>
      </w:tabs>
      <w:jc w:val="center"/>
    </w:pPr>
    <w:rPr>
      <w:kern w:val="1"/>
      <w:sz w:val="18"/>
    </w:rPr>
  </w:style>
  <w:style w:type="paragraph" w:styleId="24">
    <w:name w:val="toc 1"/>
    <w:basedOn w:val="1"/>
    <w:next w:val="1"/>
    <w:autoRedefine/>
    <w:qFormat/>
    <w:uiPriority w:val="39"/>
    <w:rPr>
      <w:kern w:val="1"/>
    </w:rPr>
  </w:style>
  <w:style w:type="paragraph" w:styleId="25">
    <w:name w:val="toc 2"/>
    <w:basedOn w:val="1"/>
    <w:next w:val="1"/>
    <w:autoRedefine/>
    <w:unhideWhenUsed/>
    <w:qFormat/>
    <w:uiPriority w:val="39"/>
    <w:pPr>
      <w:ind w:left="420" w:leftChars="200"/>
    </w:pPr>
  </w:style>
  <w:style w:type="paragraph" w:styleId="26">
    <w:name w:val="Normal (Web)"/>
    <w:basedOn w:val="1"/>
    <w:link w:val="61"/>
    <w:autoRedefine/>
    <w:qFormat/>
    <w:uiPriority w:val="0"/>
    <w:pPr>
      <w:widowControl/>
      <w:spacing w:before="100" w:beforeAutospacing="1" w:after="100" w:afterAutospacing="1"/>
      <w:jc w:val="left"/>
    </w:pPr>
  </w:style>
  <w:style w:type="paragraph" w:styleId="27">
    <w:name w:val="annotation subject"/>
    <w:basedOn w:val="11"/>
    <w:next w:val="11"/>
    <w:link w:val="66"/>
    <w:autoRedefine/>
    <w:semiHidden/>
    <w:unhideWhenUsed/>
    <w:qFormat/>
    <w:uiPriority w:val="99"/>
    <w:rPr>
      <w:b/>
      <w:bCs/>
    </w:rPr>
  </w:style>
  <w:style w:type="paragraph" w:styleId="28">
    <w:name w:val="Body Text First Indent"/>
    <w:basedOn w:val="14"/>
    <w:autoRedefine/>
    <w:qFormat/>
    <w:uiPriority w:val="0"/>
    <w:pPr>
      <w:spacing w:line="312" w:lineRule="auto"/>
      <w:ind w:firstLine="420"/>
    </w:pPr>
  </w:style>
  <w:style w:type="paragraph" w:styleId="29">
    <w:name w:val="Body Text First Indent 2"/>
    <w:basedOn w:val="15"/>
    <w:autoRedefine/>
    <w:unhideWhenUsed/>
    <w:qFormat/>
    <w:uiPriority w:val="99"/>
    <w:pPr>
      <w:tabs>
        <w:tab w:val="left" w:pos="360"/>
      </w:tabs>
      <w:ind w:firstLine="420"/>
    </w:pPr>
  </w:style>
  <w:style w:type="table" w:styleId="31">
    <w:name w:val="Table Grid"/>
    <w:basedOn w:val="3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autoRedefine/>
    <w:qFormat/>
    <w:uiPriority w:val="0"/>
    <w:rPr>
      <w:b/>
    </w:rPr>
  </w:style>
  <w:style w:type="character" w:styleId="34">
    <w:name w:val="page number"/>
    <w:basedOn w:val="32"/>
    <w:autoRedefine/>
    <w:qFormat/>
    <w:uiPriority w:val="0"/>
  </w:style>
  <w:style w:type="character" w:styleId="35">
    <w:name w:val="Hyperlink"/>
    <w:autoRedefine/>
    <w:qFormat/>
    <w:uiPriority w:val="99"/>
    <w:rPr>
      <w:color w:val="0000FF"/>
      <w:u w:val="single"/>
    </w:rPr>
  </w:style>
  <w:style w:type="character" w:styleId="36">
    <w:name w:val="annotation reference"/>
    <w:basedOn w:val="32"/>
    <w:autoRedefine/>
    <w:semiHidden/>
    <w:unhideWhenUsed/>
    <w:qFormat/>
    <w:uiPriority w:val="99"/>
    <w:rPr>
      <w:sz w:val="21"/>
      <w:szCs w:val="21"/>
    </w:rPr>
  </w:style>
  <w:style w:type="character" w:styleId="37">
    <w:name w:val="HTML Sample"/>
    <w:basedOn w:val="32"/>
    <w:semiHidden/>
    <w:unhideWhenUsed/>
    <w:qFormat/>
    <w:uiPriority w:val="99"/>
    <w:rPr>
      <w:rFonts w:ascii="Courier New" w:hAnsi="Courier New"/>
    </w:rPr>
  </w:style>
  <w:style w:type="paragraph" w:customStyle="1" w:styleId="38">
    <w:name w:val="目录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39">
    <w:name w:val="Default"/>
    <w:next w:val="19"/>
    <w:autoRedefine/>
    <w:qFormat/>
    <w:uiPriority w:val="0"/>
    <w:pPr>
      <w:widowControl w:val="0"/>
    </w:pPr>
    <w:rPr>
      <w:rFonts w:ascii="宋体" w:hAnsi="宋体" w:eastAsia="宋体" w:cs="宋体"/>
      <w:color w:val="000000"/>
      <w:sz w:val="24"/>
      <w:szCs w:val="24"/>
      <w:lang w:val="en-US" w:eastAsia="zh-CN" w:bidi="ar-SA"/>
    </w:rPr>
  </w:style>
  <w:style w:type="paragraph" w:customStyle="1" w:styleId="40">
    <w:name w:val="BodyText1I2"/>
    <w:basedOn w:val="41"/>
    <w:autoRedefine/>
    <w:qFormat/>
    <w:uiPriority w:val="0"/>
    <w:pPr>
      <w:spacing w:after="120"/>
      <w:ind w:firstLine="420" w:firstLineChars="200"/>
    </w:pPr>
    <w:rPr>
      <w:szCs w:val="21"/>
    </w:rPr>
  </w:style>
  <w:style w:type="paragraph" w:customStyle="1" w:styleId="41">
    <w:name w:val="BodyTextIndent"/>
    <w:basedOn w:val="1"/>
    <w:next w:val="42"/>
    <w:autoRedefine/>
    <w:qFormat/>
    <w:uiPriority w:val="0"/>
    <w:pPr>
      <w:ind w:left="420" w:leftChars="200"/>
    </w:pPr>
  </w:style>
  <w:style w:type="paragraph" w:customStyle="1" w:styleId="42">
    <w:name w:val="EnvelopeReturn"/>
    <w:basedOn w:val="1"/>
    <w:autoRedefine/>
    <w:qFormat/>
    <w:uiPriority w:val="0"/>
    <w:pPr>
      <w:snapToGrid w:val="0"/>
    </w:pPr>
    <w:rPr>
      <w:rFonts w:ascii="Arial" w:hAnsi="Arial"/>
    </w:rPr>
  </w:style>
  <w:style w:type="character" w:customStyle="1" w:styleId="43">
    <w:name w:val="标题 2 Char"/>
    <w:autoRedefine/>
    <w:qFormat/>
    <w:uiPriority w:val="0"/>
    <w:rPr>
      <w:rFonts w:ascii="Cambria" w:hAnsi="Cambria" w:eastAsia="宋体" w:cs="Times New Roman"/>
      <w:b/>
      <w:kern w:val="1"/>
      <w:sz w:val="32"/>
      <w:szCs w:val="32"/>
    </w:rPr>
  </w:style>
  <w:style w:type="character" w:customStyle="1" w:styleId="44">
    <w:name w:val="日期 Char"/>
    <w:link w:val="19"/>
    <w:autoRedefine/>
    <w:qFormat/>
    <w:uiPriority w:val="99"/>
    <w:rPr>
      <w:color w:val="000000"/>
      <w:kern w:val="1"/>
      <w:sz w:val="36"/>
    </w:rPr>
  </w:style>
  <w:style w:type="character" w:customStyle="1" w:styleId="45">
    <w:name w:val="纯文本 Char"/>
    <w:autoRedefine/>
    <w:qFormat/>
    <w:uiPriority w:val="99"/>
    <w:rPr>
      <w:rFonts w:ascii="宋体" w:hAnsi="宋体" w:eastAsia="宋体"/>
      <w:kern w:val="1"/>
      <w:sz w:val="21"/>
      <w:lang w:val="en-US" w:eastAsia="zh-CN"/>
    </w:rPr>
  </w:style>
  <w:style w:type="character" w:customStyle="1" w:styleId="46">
    <w:name w:val="apple-converted-space"/>
    <w:basedOn w:val="32"/>
    <w:autoRedefine/>
    <w:qFormat/>
    <w:uiPriority w:val="0"/>
  </w:style>
  <w:style w:type="character" w:customStyle="1" w:styleId="47">
    <w:name w:val="g1481"/>
    <w:autoRedefine/>
    <w:qFormat/>
    <w:uiPriority w:val="0"/>
    <w:rPr>
      <w:color w:val="5F897B"/>
      <w:sz w:val="22"/>
    </w:rPr>
  </w:style>
  <w:style w:type="paragraph" w:customStyle="1" w:styleId="48">
    <w:name w:val="默认段落字体 Para Char"/>
    <w:basedOn w:val="1"/>
    <w:autoRedefine/>
    <w:qFormat/>
    <w:uiPriority w:val="0"/>
    <w:rPr>
      <w:rFonts w:ascii="Tahoma" w:hAnsi="Tahoma" w:cs="Tahoma"/>
      <w:kern w:val="1"/>
    </w:rPr>
  </w:style>
  <w:style w:type="paragraph" w:customStyle="1" w:styleId="49">
    <w:name w:val="Char Char Char"/>
    <w:basedOn w:val="1"/>
    <w:autoRedefine/>
    <w:qFormat/>
    <w:uiPriority w:val="0"/>
    <w:rPr>
      <w:kern w:val="1"/>
    </w:rPr>
  </w:style>
  <w:style w:type="paragraph" w:customStyle="1" w:styleId="50">
    <w:name w:val="默认段落字体 Para Char Char Char Char"/>
    <w:basedOn w:val="1"/>
    <w:autoRedefine/>
    <w:qFormat/>
    <w:uiPriority w:val="0"/>
    <w:rPr>
      <w:kern w:val="1"/>
    </w:rPr>
  </w:style>
  <w:style w:type="paragraph" w:customStyle="1" w:styleId="51">
    <w:name w:val="Char1"/>
    <w:basedOn w:val="1"/>
    <w:autoRedefine/>
    <w:qFormat/>
    <w:uiPriority w:val="0"/>
    <w:rPr>
      <w:rFonts w:ascii="Tahoma" w:hAnsi="Tahoma" w:cs="Tahoma"/>
      <w:kern w:val="1"/>
    </w:rPr>
  </w:style>
  <w:style w:type="paragraph" w:customStyle="1" w:styleId="52">
    <w:name w:val="Char"/>
    <w:basedOn w:val="1"/>
    <w:autoRedefine/>
    <w:qFormat/>
    <w:uiPriority w:val="0"/>
    <w:pPr>
      <w:widowControl/>
      <w:spacing w:after="160" w:line="240" w:lineRule="exact"/>
      <w:jc w:val="left"/>
    </w:pPr>
    <w:rPr>
      <w:rFonts w:ascii="Verdana" w:hAnsi="Verdana" w:eastAsia="仿宋" w:cs="Verdana"/>
      <w:lang w:eastAsia="en-US"/>
    </w:rPr>
  </w:style>
  <w:style w:type="paragraph" w:customStyle="1" w:styleId="5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rPr>
  </w:style>
  <w:style w:type="paragraph" w:customStyle="1" w:styleId="54">
    <w:name w:val="Char Char Char1"/>
    <w:basedOn w:val="1"/>
    <w:autoRedefine/>
    <w:qFormat/>
    <w:uiPriority w:val="0"/>
    <w:rPr>
      <w:rFonts w:ascii="Tahoma" w:hAnsi="Tahoma" w:cs="Tahoma"/>
      <w:kern w:val="1"/>
    </w:rPr>
  </w:style>
  <w:style w:type="paragraph" w:customStyle="1" w:styleId="55">
    <w:name w:val="列表段落1"/>
    <w:basedOn w:val="1"/>
    <w:link w:val="59"/>
    <w:autoRedefine/>
    <w:qFormat/>
    <w:uiPriority w:val="34"/>
    <w:pPr>
      <w:ind w:firstLine="420"/>
    </w:pPr>
    <w:rPr>
      <w:kern w:val="1"/>
      <w:sz w:val="36"/>
    </w:rPr>
  </w:style>
  <w:style w:type="paragraph" w:customStyle="1" w:styleId="56">
    <w:name w:val="Char2"/>
    <w:basedOn w:val="1"/>
    <w:autoRedefine/>
    <w:qFormat/>
    <w:uiPriority w:val="0"/>
    <w:pPr>
      <w:spacing w:line="360" w:lineRule="auto"/>
    </w:pPr>
  </w:style>
  <w:style w:type="character" w:customStyle="1" w:styleId="57">
    <w:name w:val="标题 1 Char"/>
    <w:link w:val="3"/>
    <w:autoRedefine/>
    <w:qFormat/>
    <w:uiPriority w:val="0"/>
    <w:rPr>
      <w:b/>
      <w:sz w:val="44"/>
    </w:rPr>
  </w:style>
  <w:style w:type="paragraph" w:customStyle="1" w:styleId="58">
    <w:name w:val="WPSOffice手动目录 1"/>
    <w:autoRedefine/>
    <w:qFormat/>
    <w:uiPriority w:val="0"/>
    <w:rPr>
      <w:rFonts w:asciiTheme="minorHAnsi" w:hAnsiTheme="minorHAnsi" w:eastAsiaTheme="minorEastAsia" w:cstheme="minorBidi"/>
      <w:lang w:val="en-US" w:eastAsia="zh-CN" w:bidi="ar-SA"/>
    </w:rPr>
  </w:style>
  <w:style w:type="character" w:customStyle="1" w:styleId="59">
    <w:name w:val="列表段落 字符"/>
    <w:link w:val="55"/>
    <w:autoRedefine/>
    <w:qFormat/>
    <w:uiPriority w:val="34"/>
    <w:rPr>
      <w:color w:val="000000"/>
      <w:kern w:val="1"/>
      <w:sz w:val="36"/>
    </w:rPr>
  </w:style>
  <w:style w:type="character" w:customStyle="1" w:styleId="60">
    <w:name w:val="题注 Char"/>
    <w:link w:val="10"/>
    <w:autoRedefine/>
    <w:qFormat/>
    <w:uiPriority w:val="35"/>
    <w:rPr>
      <w:rFonts w:eastAsia="黑体"/>
      <w:kern w:val="2"/>
      <w:sz w:val="24"/>
      <w:szCs w:val="24"/>
      <w:lang w:val="en-GB"/>
    </w:rPr>
  </w:style>
  <w:style w:type="character" w:customStyle="1" w:styleId="61">
    <w:name w:val="普通(网站) Char"/>
    <w:link w:val="26"/>
    <w:autoRedefine/>
    <w:qFormat/>
    <w:uiPriority w:val="99"/>
    <w:rPr>
      <w:rFonts w:ascii="宋体" w:hAnsi="宋体" w:cs="宋体"/>
      <w:color w:val="000000"/>
      <w:sz w:val="24"/>
    </w:rPr>
  </w:style>
  <w:style w:type="character" w:customStyle="1" w:styleId="62">
    <w:name w:val="页脚 Char"/>
    <w:basedOn w:val="32"/>
    <w:link w:val="22"/>
    <w:autoRedefine/>
    <w:qFormat/>
    <w:uiPriority w:val="99"/>
    <w:rPr>
      <w:color w:val="000000"/>
      <w:kern w:val="1"/>
      <w:sz w:val="18"/>
    </w:rPr>
  </w:style>
  <w:style w:type="paragraph" w:customStyle="1" w:styleId="63">
    <w:name w:val="my正文"/>
    <w:basedOn w:val="1"/>
    <w:autoRedefine/>
    <w:qFormat/>
    <w:uiPriority w:val="0"/>
    <w:pPr>
      <w:spacing w:line="360" w:lineRule="auto"/>
      <w:ind w:firstLine="480" w:firstLineChars="200"/>
    </w:pPr>
  </w:style>
  <w:style w:type="paragraph" w:styleId="64">
    <w:name w:val="List Paragraph"/>
    <w:basedOn w:val="1"/>
    <w:autoRedefine/>
    <w:qFormat/>
    <w:uiPriority w:val="34"/>
    <w:pPr>
      <w:ind w:firstLine="420" w:firstLineChars="200"/>
    </w:pPr>
    <w:rPr>
      <w:rFonts w:cstheme="minorBidi"/>
      <w:szCs w:val="22"/>
    </w:rPr>
  </w:style>
  <w:style w:type="character" w:customStyle="1" w:styleId="65">
    <w:name w:val="批注文字 Char"/>
    <w:basedOn w:val="32"/>
    <w:link w:val="11"/>
    <w:autoRedefine/>
    <w:semiHidden/>
    <w:qFormat/>
    <w:uiPriority w:val="99"/>
    <w:rPr>
      <w:color w:val="000000"/>
      <w:sz w:val="21"/>
    </w:rPr>
  </w:style>
  <w:style w:type="character" w:customStyle="1" w:styleId="66">
    <w:name w:val="批注主题 Char"/>
    <w:basedOn w:val="65"/>
    <w:link w:val="27"/>
    <w:autoRedefine/>
    <w:semiHidden/>
    <w:qFormat/>
    <w:uiPriority w:val="99"/>
    <w:rPr>
      <w:b/>
      <w:bCs/>
      <w:color w:val="000000"/>
      <w:sz w:val="21"/>
    </w:rPr>
  </w:style>
  <w:style w:type="paragraph" w:customStyle="1" w:styleId="67">
    <w:name w:val="修订1"/>
    <w:autoRedefine/>
    <w:hidden/>
    <w:semiHidden/>
    <w:qFormat/>
    <w:uiPriority w:val="99"/>
    <w:rPr>
      <w:rFonts w:ascii="Times New Roman" w:hAnsi="Times New Roman" w:eastAsia="宋体" w:cs="Times New Roman"/>
      <w:color w:val="000000"/>
      <w:sz w:val="21"/>
      <w:lang w:val="en-US" w:eastAsia="zh-CN" w:bidi="ar-SA"/>
    </w:rPr>
  </w:style>
  <w:style w:type="paragraph" w:customStyle="1" w:styleId="68">
    <w:name w:val="表格"/>
    <w:basedOn w:val="1"/>
    <w:autoRedefine/>
    <w:qFormat/>
    <w:uiPriority w:val="0"/>
    <w:pPr>
      <w:spacing w:line="400" w:lineRule="exact"/>
    </w:pPr>
  </w:style>
  <w:style w:type="character" w:customStyle="1" w:styleId="69">
    <w:name w:val="font51"/>
    <w:basedOn w:val="32"/>
    <w:autoRedefine/>
    <w:qFormat/>
    <w:uiPriority w:val="0"/>
    <w:rPr>
      <w:rFonts w:hint="eastAsia" w:ascii="仿宋" w:hAnsi="仿宋" w:eastAsia="仿宋" w:cs="仿宋"/>
      <w:color w:val="000000"/>
      <w:sz w:val="24"/>
      <w:szCs w:val="24"/>
      <w:u w:val="none"/>
    </w:rPr>
  </w:style>
  <w:style w:type="character" w:customStyle="1" w:styleId="70">
    <w:name w:val="font21"/>
    <w:basedOn w:val="32"/>
    <w:autoRedefine/>
    <w:qFormat/>
    <w:uiPriority w:val="0"/>
    <w:rPr>
      <w:rFonts w:hint="eastAsia" w:ascii="仿宋" w:hAnsi="仿宋" w:eastAsia="仿宋" w:cs="仿宋"/>
      <w:color w:val="000000"/>
      <w:sz w:val="24"/>
      <w:szCs w:val="24"/>
      <w:u w:val="none"/>
    </w:rPr>
  </w:style>
  <w:style w:type="character" w:customStyle="1" w:styleId="71">
    <w:name w:val="font41"/>
    <w:basedOn w:val="32"/>
    <w:autoRedefine/>
    <w:qFormat/>
    <w:uiPriority w:val="0"/>
    <w:rPr>
      <w:rFonts w:hint="eastAsia" w:ascii="仿宋" w:hAnsi="仿宋" w:eastAsia="仿宋" w:cs="仿宋"/>
      <w:color w:val="000000"/>
      <w:sz w:val="24"/>
      <w:szCs w:val="24"/>
      <w:u w:val="none"/>
    </w:rPr>
  </w:style>
  <w:style w:type="character" w:customStyle="1" w:styleId="72">
    <w:name w:val="font101"/>
    <w:basedOn w:val="32"/>
    <w:autoRedefine/>
    <w:qFormat/>
    <w:uiPriority w:val="0"/>
    <w:rPr>
      <w:rFonts w:hint="eastAsia" w:ascii="仿宋" w:hAnsi="仿宋" w:eastAsia="仿宋" w:cs="仿宋"/>
      <w:color w:val="000000"/>
      <w:sz w:val="24"/>
      <w:szCs w:val="24"/>
      <w:u w:val="none"/>
    </w:rPr>
  </w:style>
  <w:style w:type="character" w:customStyle="1" w:styleId="73">
    <w:name w:val="font121"/>
    <w:basedOn w:val="32"/>
    <w:autoRedefine/>
    <w:qFormat/>
    <w:uiPriority w:val="0"/>
    <w:rPr>
      <w:rFonts w:ascii="Cambria" w:hAnsi="Cambria" w:eastAsia="Cambria" w:cs="Cambria"/>
      <w:color w:val="000000"/>
      <w:sz w:val="24"/>
      <w:szCs w:val="24"/>
      <w:u w:val="none"/>
    </w:rPr>
  </w:style>
  <w:style w:type="character" w:customStyle="1" w:styleId="74">
    <w:name w:val="font131"/>
    <w:basedOn w:val="32"/>
    <w:autoRedefine/>
    <w:qFormat/>
    <w:uiPriority w:val="0"/>
    <w:rPr>
      <w:rFonts w:ascii="仿宋" w:hAnsi="仿宋" w:eastAsia="仿宋" w:cs="仿宋"/>
      <w:color w:val="000000"/>
      <w:sz w:val="24"/>
      <w:szCs w:val="24"/>
      <w:u w:val="none"/>
    </w:rPr>
  </w:style>
  <w:style w:type="character" w:customStyle="1" w:styleId="75">
    <w:name w:val="font112"/>
    <w:basedOn w:val="32"/>
    <w:autoRedefine/>
    <w:qFormat/>
    <w:uiPriority w:val="0"/>
    <w:rPr>
      <w:rFonts w:hint="eastAsia" w:ascii="仿宋" w:hAnsi="仿宋" w:eastAsia="仿宋" w:cs="仿宋"/>
      <w:b/>
      <w:bCs/>
      <w:color w:val="993300"/>
      <w:sz w:val="24"/>
      <w:szCs w:val="24"/>
      <w:u w:val="none"/>
    </w:rPr>
  </w:style>
  <w:style w:type="character" w:customStyle="1" w:styleId="76">
    <w:name w:val="font141"/>
    <w:basedOn w:val="32"/>
    <w:autoRedefine/>
    <w:qFormat/>
    <w:uiPriority w:val="0"/>
    <w:rPr>
      <w:rFonts w:hint="eastAsia" w:ascii="仿宋" w:hAnsi="仿宋" w:eastAsia="仿宋" w:cs="仿宋"/>
      <w:color w:val="FF0000"/>
      <w:sz w:val="24"/>
      <w:szCs w:val="24"/>
      <w:u w:val="none"/>
    </w:rPr>
  </w:style>
  <w:style w:type="character" w:customStyle="1" w:styleId="77">
    <w:name w:val="font151"/>
    <w:basedOn w:val="32"/>
    <w:autoRedefine/>
    <w:qFormat/>
    <w:uiPriority w:val="0"/>
    <w:rPr>
      <w:rFonts w:ascii="Calibri" w:hAnsi="Calibri" w:cs="Calibri"/>
      <w:color w:val="000000"/>
      <w:sz w:val="24"/>
      <w:szCs w:val="24"/>
      <w:u w:val="none"/>
    </w:rPr>
  </w:style>
  <w:style w:type="character" w:customStyle="1" w:styleId="78">
    <w:name w:val="font01"/>
    <w:basedOn w:val="32"/>
    <w:autoRedefine/>
    <w:qFormat/>
    <w:uiPriority w:val="0"/>
    <w:rPr>
      <w:rFonts w:hint="eastAsia" w:ascii="仿宋" w:hAnsi="仿宋" w:eastAsia="仿宋" w:cs="仿宋"/>
      <w:color w:val="000000"/>
      <w:sz w:val="24"/>
      <w:szCs w:val="24"/>
      <w:u w:val="none"/>
    </w:rPr>
  </w:style>
  <w:style w:type="character" w:customStyle="1" w:styleId="79">
    <w:name w:val="font91"/>
    <w:basedOn w:val="32"/>
    <w:autoRedefine/>
    <w:qFormat/>
    <w:uiPriority w:val="0"/>
    <w:rPr>
      <w:rFonts w:hint="default" w:ascii="Calibri" w:hAnsi="Calibri" w:cs="Calibri"/>
      <w:color w:val="000000"/>
      <w:sz w:val="24"/>
      <w:szCs w:val="24"/>
      <w:u w:val="none"/>
    </w:rPr>
  </w:style>
  <w:style w:type="character" w:customStyle="1" w:styleId="80">
    <w:name w:val="font81"/>
    <w:basedOn w:val="32"/>
    <w:autoRedefine/>
    <w:qFormat/>
    <w:uiPriority w:val="0"/>
    <w:rPr>
      <w:rFonts w:hint="eastAsia" w:ascii="仿宋" w:hAnsi="仿宋" w:eastAsia="仿宋" w:cs="仿宋"/>
      <w:b/>
      <w:bCs/>
      <w:color w:val="000000"/>
      <w:sz w:val="24"/>
      <w:szCs w:val="24"/>
      <w:u w:val="none"/>
    </w:rPr>
  </w:style>
  <w:style w:type="character" w:customStyle="1" w:styleId="81">
    <w:name w:val="font71"/>
    <w:basedOn w:val="32"/>
    <w:autoRedefine/>
    <w:qFormat/>
    <w:uiPriority w:val="0"/>
    <w:rPr>
      <w:rFonts w:hint="eastAsia" w:ascii="仿宋" w:hAnsi="仿宋" w:eastAsia="仿宋" w:cs="仿宋"/>
      <w:b/>
      <w:bCs/>
      <w:color w:val="000000"/>
      <w:sz w:val="24"/>
      <w:szCs w:val="24"/>
      <w:u w:val="none"/>
    </w:rPr>
  </w:style>
  <w:style w:type="character" w:customStyle="1" w:styleId="82">
    <w:name w:val="font161"/>
    <w:basedOn w:val="32"/>
    <w:autoRedefine/>
    <w:qFormat/>
    <w:uiPriority w:val="0"/>
    <w:rPr>
      <w:rFonts w:hint="eastAsia" w:ascii="仿宋" w:hAnsi="仿宋" w:eastAsia="仿宋" w:cs="仿宋"/>
      <w:color w:val="000000"/>
      <w:sz w:val="24"/>
      <w:szCs w:val="24"/>
      <w:u w:val="none"/>
    </w:rPr>
  </w:style>
  <w:style w:type="character" w:customStyle="1" w:styleId="83">
    <w:name w:val="font171"/>
    <w:basedOn w:val="32"/>
    <w:autoRedefine/>
    <w:qFormat/>
    <w:uiPriority w:val="0"/>
    <w:rPr>
      <w:rFonts w:ascii="微软雅黑" w:hAnsi="微软雅黑" w:eastAsia="微软雅黑" w:cs="微软雅黑"/>
      <w:color w:val="000000"/>
      <w:sz w:val="24"/>
      <w:szCs w:val="24"/>
      <w:u w:val="none"/>
    </w:rPr>
  </w:style>
  <w:style w:type="character" w:customStyle="1" w:styleId="84">
    <w:name w:val="font61"/>
    <w:basedOn w:val="32"/>
    <w:autoRedefine/>
    <w:qFormat/>
    <w:uiPriority w:val="0"/>
    <w:rPr>
      <w:rFonts w:hint="eastAsia" w:ascii="仿宋" w:hAnsi="仿宋" w:eastAsia="仿宋" w:cs="仿宋"/>
      <w:color w:val="000000"/>
      <w:sz w:val="24"/>
      <w:szCs w:val="24"/>
      <w:u w:val="none"/>
    </w:rPr>
  </w:style>
  <w:style w:type="character" w:customStyle="1" w:styleId="85">
    <w:name w:val="font31"/>
    <w:basedOn w:val="32"/>
    <w:autoRedefine/>
    <w:qFormat/>
    <w:uiPriority w:val="0"/>
    <w:rPr>
      <w:rFonts w:hint="eastAsia" w:ascii="仿宋" w:hAnsi="仿宋" w:eastAsia="仿宋" w:cs="仿宋"/>
      <w:b/>
      <w:bCs/>
      <w:color w:val="000000"/>
      <w:sz w:val="24"/>
      <w:szCs w:val="24"/>
      <w:u w:val="none"/>
    </w:rPr>
  </w:style>
  <w:style w:type="character" w:customStyle="1" w:styleId="86">
    <w:name w:val="font111"/>
    <w:basedOn w:val="32"/>
    <w:autoRedefine/>
    <w:qFormat/>
    <w:uiPriority w:val="0"/>
    <w:rPr>
      <w:rFonts w:ascii="楷体_GB2312" w:eastAsia="楷体_GB2312" w:cs="楷体_GB2312"/>
      <w:color w:val="000000"/>
      <w:sz w:val="20"/>
      <w:szCs w:val="20"/>
      <w:u w:val="none"/>
    </w:rPr>
  </w:style>
  <w:style w:type="character" w:customStyle="1" w:styleId="87">
    <w:name w:val="font122"/>
    <w:basedOn w:val="32"/>
    <w:autoRedefine/>
    <w:qFormat/>
    <w:uiPriority w:val="0"/>
    <w:rPr>
      <w:rFonts w:ascii="仿宋_GB2312" w:eastAsia="仿宋_GB2312" w:cs="仿宋_GB2312"/>
      <w:color w:val="000000"/>
      <w:sz w:val="20"/>
      <w:szCs w:val="20"/>
      <w:u w:val="none"/>
    </w:rPr>
  </w:style>
  <w:style w:type="paragraph" w:styleId="88">
    <w:name w:val="No Spacing"/>
    <w:autoRedefine/>
    <w:qFormat/>
    <w:uiPriority w:val="1"/>
    <w:pPr>
      <w:widowControl w:val="0"/>
      <w:jc w:val="both"/>
    </w:pPr>
    <w:rPr>
      <w:rFonts w:ascii="Times New Roman" w:hAnsi="Times New Roman" w:eastAsia="宋体" w:cs="Times New Roman"/>
      <w:kern w:val="2"/>
      <w:sz w:val="21"/>
      <w:szCs w:val="21"/>
      <w:lang w:val="en-US" w:eastAsia="zh-CN" w:bidi="ar-SA"/>
    </w:rPr>
  </w:style>
  <w:style w:type="paragraph" w:customStyle="1" w:styleId="89">
    <w:name w:val="_Style 3"/>
    <w:autoRedefine/>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90">
    <w:name w:val="列出段落1"/>
    <w:basedOn w:val="1"/>
    <w:autoRedefine/>
    <w:qFormat/>
    <w:uiPriority w:val="0"/>
    <w:pPr>
      <w:ind w:firstLine="420" w:firstLineChars="200"/>
    </w:pPr>
  </w:style>
  <w:style w:type="paragraph" w:customStyle="1" w:styleId="91">
    <w:name w:val="正文 A"/>
    <w:autoRedefine/>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92">
    <w:name w:val="NormalCharacter"/>
    <w:autoRedefine/>
    <w:qFormat/>
    <w:uiPriority w:val="0"/>
    <w:rPr>
      <w:rFonts w:ascii="Times New Roman" w:hAnsi="Times New Roman" w:eastAsia="宋体" w:cs="Times New Roman"/>
      <w:color w:val="000000"/>
      <w:sz w:val="21"/>
      <w:lang w:val="en-US" w:eastAsia="zh-CN" w:bidi="ar-SA"/>
    </w:rPr>
  </w:style>
  <w:style w:type="paragraph" w:customStyle="1" w:styleId="93">
    <w:name w:val="无间隔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4">
    <w:name w:val="Table Paragraph"/>
    <w:basedOn w:val="1"/>
    <w:qFormat/>
    <w:uiPriority w:val="1"/>
  </w:style>
  <w:style w:type="paragraph" w:customStyle="1" w:styleId="95">
    <w:name w:val="Table Text"/>
    <w:basedOn w:val="1"/>
    <w:semiHidden/>
    <w:qFormat/>
    <w:uiPriority w:val="0"/>
    <w:rPr>
      <w:sz w:val="20"/>
      <w:lang w:eastAsia="en-US"/>
    </w:rPr>
  </w:style>
  <w:style w:type="table" w:customStyle="1" w:styleId="9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97</Pages>
  <Words>22470</Words>
  <Characters>24025</Characters>
  <Lines>364</Lines>
  <Paragraphs>102</Paragraphs>
  <TotalTime>12</TotalTime>
  <ScaleCrop>false</ScaleCrop>
  <LinksUpToDate>false</LinksUpToDate>
  <CharactersWithSpaces>24215</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2026-06-15T02:28:00Z</dcterms:created>
  <dc:creator>yxl</dc:creator>
  <cp:lastModifiedBy>丫蛋儿</cp:lastModifiedBy>
  <cp:lastPrinted>2024-12-19T11:24:00Z</cp:lastPrinted>
  <dcterms:modified xsi:type="dcterms:W3CDTF">2026-07-07T07:42:50Z</dcterms:modified>
  <dc:title>吉林省政府采购中心</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42338D387EAA425E963061370E5B1EB3_13</vt:lpwstr>
  </property>
  <property fmtid="{D5CDD505-2E9C-101B-9397-08002B2CF9AE}" pid="4" name="MSIP_Label_9d258917-277f-42cd-a3cd-14c4e9ee58bc_Enabled">
    <vt:lpwstr>true</vt:lpwstr>
  </property>
  <property fmtid="{D5CDD505-2E9C-101B-9397-08002B2CF9AE}" pid="5" name="MSIP_Label_9d258917-277f-42cd-a3cd-14c4e9ee58bc_SetDate">
    <vt:lpwstr>2022-09-21T04:50:42Z</vt:lpwstr>
  </property>
  <property fmtid="{D5CDD505-2E9C-101B-9397-08002B2CF9AE}" pid="6" name="MSIP_Label_9d258917-277f-42cd-a3cd-14c4e9ee58bc_Method">
    <vt:lpwstr>Standard</vt:lpwstr>
  </property>
  <property fmtid="{D5CDD505-2E9C-101B-9397-08002B2CF9AE}" pid="7" name="MSIP_Label_9d258917-277f-42cd-a3cd-14c4e9ee58bc_Name">
    <vt:lpwstr>restricted</vt:lpwstr>
  </property>
  <property fmtid="{D5CDD505-2E9C-101B-9397-08002B2CF9AE}" pid="8" name="MSIP_Label_9d258917-277f-42cd-a3cd-14c4e9ee58bc_SiteId">
    <vt:lpwstr>38ae3bcd-9579-4fd4-adda-b42e1495d55a</vt:lpwstr>
  </property>
  <property fmtid="{D5CDD505-2E9C-101B-9397-08002B2CF9AE}" pid="9" name="MSIP_Label_9d258917-277f-42cd-a3cd-14c4e9ee58bc_ActionId">
    <vt:lpwstr>849208cb-a693-4ae2-9803-a765e7b0be7f</vt:lpwstr>
  </property>
  <property fmtid="{D5CDD505-2E9C-101B-9397-08002B2CF9AE}" pid="10" name="MSIP_Label_9d258917-277f-42cd-a3cd-14c4e9ee58bc_ContentBits">
    <vt:lpwstr>0</vt:lpwstr>
  </property>
  <property fmtid="{D5CDD505-2E9C-101B-9397-08002B2CF9AE}" pid="11" name="Document_Confidentiality">
    <vt:lpwstr>Restricted</vt:lpwstr>
  </property>
  <property fmtid="{D5CDD505-2E9C-101B-9397-08002B2CF9AE}" pid="12" name="KSOTemplateDocerSaveRecord">
    <vt:lpwstr>eyJoZGlkIjoiNzI1MzljODBiNDliMzEyMzFlZWNlN2EzYjU0N2YzMWEiLCJ1c2VySWQiOiI0MzkxNTg2MTIifQ==</vt:lpwstr>
  </property>
</Properties>
</file>