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版本号：N510301202600004120260209001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感觉阈值检测仪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N5103012026000041</w:t>
      </w:r>
    </w:p>
    <w:p>
      <w:pPr>
        <w:pStyle w:val="null3"/>
        <w:jc w:val="left"/>
        <w:outlineLvl w:val="2"/>
      </w:pPr>
      <w:r>
        <w:rPr>
          <w:rFonts w:ascii="仿宋_GB2312" w:hAnsi="仿宋_GB2312" w:cs="仿宋_GB2312" w:eastAsia="仿宋_GB2312"/>
          <w:sz w:val="28"/>
          <w:b/>
        </w:rPr>
        <w:t>自贡市第一人民医院</w:t>
      </w:r>
    </w:p>
    <w:p>
      <w:pPr>
        <w:pStyle w:val="null3"/>
        <w:jc w:val="center"/>
        <w:outlineLvl w:val="2"/>
      </w:pPr>
      <w:r>
        <w:rPr>
          <w:rFonts w:ascii="仿宋_GB2312" w:hAnsi="仿宋_GB2312" w:cs="仿宋_GB2312" w:eastAsia="仿宋_GB2312"/>
          <w:sz w:val="28"/>
          <w:b/>
        </w:rPr>
        <w:t>四川盐律建设项目管理有限公司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四川盐律建设项目管理有限公司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自贡市第一人民医院</w:t>
      </w:r>
      <w:r>
        <w:rPr>
          <w:rFonts w:ascii="仿宋_GB2312" w:hAnsi="仿宋_GB2312" w:cs="仿宋_GB2312" w:eastAsia="仿宋_GB2312"/>
        </w:rPr>
        <w:t xml:space="preserve"> 委托，拟对 </w:t>
      </w:r>
      <w:r>
        <w:rPr>
          <w:rFonts w:ascii="仿宋_GB2312" w:hAnsi="仿宋_GB2312" w:cs="仿宋_GB2312" w:eastAsia="仿宋_GB2312"/>
        </w:rPr>
        <w:t>感觉阈值检测仪</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N5103012026000041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感觉阈值检测仪</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自贡市第一人民医院因工作需要，拟采购感觉阈值检测仪，此次采购包括设备安装、调试、培训及售后服务等。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所投产品为医疗器械时须符合《医疗器械监督管理条例》的要求。（描述：所投产品为三类医疗器械时须提供投标人的《医疗器械经营许可证》复印件；二类须提供投标人的医疗器械经营备案凭证复印件；一类可不提供。（根据国办发【2017】41号政策要求“多证合一”的营业执照除外）。）</w:t>
      </w:r>
    </w:p>
    <w:p>
      <w:pPr>
        <w:pStyle w:val="null3"/>
        <w:jc w:val="left"/>
      </w:pPr>
      <w:r>
        <w:rPr>
          <w:rFonts w:ascii="仿宋_GB2312" w:hAnsi="仿宋_GB2312" w:cs="仿宋_GB2312" w:eastAsia="仿宋_GB2312"/>
        </w:rPr>
        <w:t>2、投标产品为医疗器械时须符合《医疗器械注册与备案管理办法》的要求。（描述：1.所投产品为二类、三类医疗器械时须提供《医疗器械注册证》和《注册登记表》复印件或国家新颁发的《医疗器械注册证》复印件；一类时仅须提供医疗器械注册备案复印件。 2.所投产品为二类、三类医疗器械时须提供制造厂商的《医疗器械生产许可证》复印件；一类仅须提供制造商的医疗器械生产备案凭证复印件。）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自贡市第一人民医院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自贡市大安区灯城西街1号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0813-2100023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四川盐律建设项目管理有限公司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四川省自贡市自流井区兴川南街760号2栋8-2号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甯女士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0813-6681231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代理服务费收费标准：向中标人以现金或转账方式定额收取人民币：3000.00元（大写：人民币叁仟元整）。收款单位：四川盐律建设项目管理有限公司 开户银行：中国建设银行股份有限公司自贡高新支行 账 号：5105 0161 0041 0000 0061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自贡市第一人民医院</w:t>
      </w:r>
      <w:r>
        <w:rPr>
          <w:rFonts w:ascii="仿宋_GB2312" w:hAnsi="仿宋_GB2312" w:cs="仿宋_GB2312" w:eastAsia="仿宋_GB2312"/>
        </w:rPr>
        <w:t xml:space="preserve"> 和 </w:t>
      </w:r>
      <w:r>
        <w:rPr>
          <w:rFonts w:ascii="仿宋_GB2312" w:hAnsi="仿宋_GB2312" w:cs="仿宋_GB2312" w:eastAsia="仿宋_GB2312"/>
        </w:rPr>
        <w:t>四川盐律建设项目管理有限公司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自贡市第一人民医院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四川盐律建设项目管理有限公司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履约验收程序： ①验收时，中标人应在使用单位人员、验收小组成员在场情况下共同清点、检查外观，双方签字确认。 ②中标人应保证货物到达招标人所在地完好无损，如有缺漏、损坏，由中标人负责调换、补齐或赔偿。 ③中标人应提供完备的技术资料、装箱单和合格证等，并派遣专业技术人员进行现场安装调试。验收合格条件如下： A.货物技术参数与采购合同一致，性能指标达到规定的标准。 B.货物技术资料、装箱单、合格证等资料齐全。 C.在规定时间内完成交货安装并验收，并经招标人确认。 D.所投产品制造厂商的质保证明，质保证明中须具有所投产品质保期限等。 ④招标人需要对中标人交付的产品（包括质量、技术参数等）进行确认的，中标人应予以配合，并出具书面意见。 ⑤货物包装材料归招标人所有。 ⑥货物验收完成后，中标人须清理产品外包装，保持安装环境干净整洁。 ⑦中标人须在验收时，对该批次的所供货物贴上服务溯源标签（厂家，安装日期，售后服务电话）。</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按行业相关法律规定、招标文件技术要求和中标人的投标文件等进行验收。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按行业相关法律规定、招标文件商务要求和中标人的投标文件等进行验收。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（1）投标人需提供生产日期为6个月内（以到货日期为准，到货日期指本项目响应产品生产日期至送到供货地点的时间）的货物。 （2）按照政府采购相关法律法规以及《财政部关于进一步加强政府采购需求和履约验收管理的指导意见》（财库[2016]205号）、《自贡市政府采购履约验收管理办法》的规定、招标文件的质量要求和技术指标、投标人的投标文件及承诺、国家有关部门批准的技术标准、招标人与中标人签订的合同，共同现场验收。同时提供相关证明文件及操作手册，否则视为验收不合格，招标人有权单方面解除合同外，中标人立即返回支付的合同金额并按支付合同金额的20%支付违约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自贡市第一人民医院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四川盐律建设项目管理有限公司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四川盐律建设项目管理有限公司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联系电话：0813-6681238</w:t>
      </w:r>
    </w:p>
    <w:p>
      <w:pPr>
        <w:pStyle w:val="null3"/>
        <w:jc w:val="left"/>
      </w:pPr>
      <w:r>
        <w:rPr>
          <w:rFonts w:ascii="仿宋_GB2312" w:hAnsi="仿宋_GB2312" w:cs="仿宋_GB2312" w:eastAsia="仿宋_GB2312"/>
        </w:rPr>
        <w:t>地址：四川省自贡市自流井区兴川南街760号2栋8-2号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联系人：熊老师</w:t>
      </w:r>
    </w:p>
    <w:p>
      <w:pPr>
        <w:pStyle w:val="null3"/>
        <w:jc w:val="left"/>
      </w:pPr>
      <w:r>
        <w:rPr>
          <w:rFonts w:ascii="仿宋_GB2312" w:hAnsi="仿宋_GB2312" w:cs="仿宋_GB2312" w:eastAsia="仿宋_GB2312"/>
        </w:rPr>
        <w:t>联系电话： 0813-2100023</w:t>
      </w:r>
    </w:p>
    <w:p>
      <w:pPr>
        <w:pStyle w:val="null3"/>
        <w:jc w:val="left"/>
      </w:pPr>
      <w:r>
        <w:rPr>
          <w:rFonts w:ascii="仿宋_GB2312" w:hAnsi="仿宋_GB2312" w:cs="仿宋_GB2312" w:eastAsia="仿宋_GB2312"/>
        </w:rPr>
        <w:t>地址：自贡市大安区灯城西街1号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120,000.00</w:t>
      </w:r>
    </w:p>
    <w:p>
      <w:pPr>
        <w:pStyle w:val="null3"/>
        <w:jc w:val="left"/>
      </w:pPr>
      <w:r>
        <w:rPr>
          <w:rFonts w:ascii="仿宋_GB2312" w:hAnsi="仿宋_GB2312" w:cs="仿宋_GB2312" w:eastAsia="仿宋_GB2312"/>
        </w:rPr>
        <w:t>采购包最高限价（元）: 85,000.00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感觉阈值检测仪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感觉阈值检测仪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A02320300 医用电子生理参数检测仪器设备</w:t>
            </w:r>
          </w:p>
        </w:tc>
        <w:tc>
          <w:tcPr>
            <w:tcW w:type="dxa" w:w="2492"/>
          </w:tcPr>
          <w:p>
            <w:pPr>
              <w:pStyle w:val="null3"/>
              <w:jc w:val="left"/>
            </w:pPr>
            <w:r>
              <w:rPr>
                <w:rFonts w:ascii="仿宋_GB2312" w:hAnsi="仿宋_GB2312" w:cs="仿宋_GB2312" w:eastAsia="仿宋_GB2312"/>
              </w:rPr>
              <w:t>感觉阈值检测仪</w:t>
            </w:r>
          </w:p>
        </w:tc>
        <w:tc>
          <w:tcPr>
            <w:tcW w:type="dxa" w:w="2492"/>
          </w:tcPr>
          <w:p>
            <w:pPr>
              <w:pStyle w:val="null3"/>
              <w:jc w:val="left"/>
            </w:pPr>
            <w:r>
              <w:rPr>
                <w:rFonts w:ascii="仿宋_GB2312" w:hAnsi="仿宋_GB2312" w:cs="仿宋_GB2312" w:eastAsia="仿宋_GB2312"/>
              </w:rPr>
              <w:t>感觉阈值检测仪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标的名称：感觉阈值检测仪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配置清单</w:t>
            </w:r>
          </w:p>
        </w:tc>
        <w:tc>
          <w:tcPr>
            <w:tcW w:type="dxa" w:w="5814"/>
          </w:tcPr>
          <w:tbl>
            <w:tblPr>
              <w:tblInd w:type="dxa" w:w="210"/>
              <w:tblBorders>
                <w:top w:val="none" w:color="000000" w:sz="4"/>
                <w:left w:val="none" w:color="000000" w:sz="4"/>
                <w:bottom w:val="none" w:color="000000" w:sz="4"/>
                <w:right w:val="none" w:color="000000" w:sz="4"/>
                <w:insideH w:val="none"/>
                <w:insideV w:val="none"/>
              </w:tblBorders>
            </w:tblPr>
            <w:tblGrid>
              <w:gridCol w:w="698"/>
              <w:gridCol w:w="2805"/>
              <w:gridCol w:w="987"/>
              <w:gridCol w:w="1108"/>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设备主机</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手持式震动头</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台式震动头</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反应控制器</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定量感觉神经测试软件</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专用数据线</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数据终端</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技术性能：</w:t>
            </w:r>
          </w:p>
          <w:p>
            <w:pPr>
              <w:pStyle w:val="null3"/>
              <w:ind w:firstLine="240"/>
              <w:jc w:val="both"/>
            </w:pPr>
            <w:r>
              <w:rPr>
                <w:rFonts w:ascii="仿宋_GB2312" w:hAnsi="仿宋_GB2312" w:cs="仿宋_GB2312" w:eastAsia="仿宋_GB2312"/>
                <w:sz w:val="24"/>
              </w:rPr>
              <w:t>1.1</w:t>
            </w:r>
            <w:r>
              <w:rPr>
                <w:rFonts w:ascii="仿宋_GB2312" w:hAnsi="仿宋_GB2312" w:cs="仿宋_GB2312" w:eastAsia="仿宋_GB2312"/>
                <w:sz w:val="24"/>
              </w:rPr>
              <w:t>振动电路电压测试范围：</w:t>
            </w:r>
            <w:r>
              <w:rPr>
                <w:rFonts w:ascii="仿宋_GB2312" w:hAnsi="仿宋_GB2312" w:cs="仿宋_GB2312" w:eastAsia="仿宋_GB2312"/>
                <w:sz w:val="24"/>
              </w:rPr>
              <w:t>0～50V，可连续调节。</w:t>
            </w:r>
          </w:p>
          <w:p>
            <w:pPr>
              <w:pStyle w:val="null3"/>
              <w:ind w:firstLine="240"/>
              <w:jc w:val="both"/>
            </w:pPr>
            <w:r>
              <w:rPr>
                <w:rFonts w:ascii="仿宋_GB2312" w:hAnsi="仿宋_GB2312" w:cs="仿宋_GB2312" w:eastAsia="仿宋_GB2312"/>
                <w:sz w:val="24"/>
              </w:rPr>
              <w:t>1.2</w:t>
            </w:r>
            <w:r>
              <w:rPr>
                <w:rFonts w:ascii="仿宋_GB2312" w:hAnsi="仿宋_GB2312" w:cs="仿宋_GB2312" w:eastAsia="仿宋_GB2312"/>
                <w:sz w:val="24"/>
              </w:rPr>
              <w:t>振幅精度</w:t>
            </w:r>
            <w:r>
              <w:rPr>
                <w:rFonts w:ascii="仿宋_GB2312" w:hAnsi="仿宋_GB2312" w:cs="仿宋_GB2312" w:eastAsia="仿宋_GB2312"/>
                <w:sz w:val="24"/>
              </w:rPr>
              <w:t>：</w:t>
            </w:r>
            <w:r>
              <w:rPr>
                <w:rFonts w:ascii="仿宋_GB2312" w:hAnsi="仿宋_GB2312" w:cs="仿宋_GB2312" w:eastAsia="仿宋_GB2312"/>
                <w:sz w:val="24"/>
              </w:rPr>
              <w:t>≤0.1V。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振动加速度峰值范围</w:t>
            </w:r>
            <w:r>
              <w:rPr>
                <w:rFonts w:ascii="仿宋_GB2312" w:hAnsi="仿宋_GB2312" w:cs="仿宋_GB2312" w:eastAsia="仿宋_GB2312"/>
                <w:sz w:val="24"/>
              </w:rPr>
              <w:t>: 0～11.4m/s</w:t>
            </w:r>
            <w:r>
              <w:rPr>
                <w:rFonts w:ascii="仿宋_GB2312" w:hAnsi="仿宋_GB2312" w:cs="仿宋_GB2312" w:eastAsia="仿宋_GB2312"/>
                <w:sz w:val="24"/>
              </w:rPr>
              <w:t>2</w:t>
            </w:r>
            <w:r>
              <w:rPr>
                <w:rFonts w:ascii="仿宋_GB2312" w:hAnsi="仿宋_GB2312" w:cs="仿宋_GB2312" w:eastAsia="仿宋_GB2312"/>
                <w:sz w:val="24"/>
              </w:rPr>
              <w:t>,可连续</w:t>
            </w:r>
            <w:r>
              <w:rPr>
                <w:rFonts w:ascii="仿宋_GB2312" w:hAnsi="仿宋_GB2312" w:cs="仿宋_GB2312" w:eastAsia="仿宋_GB2312"/>
                <w:sz w:val="24"/>
              </w:rPr>
              <w:t>调节。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振动主频：</w:t>
            </w:r>
            <w:r>
              <w:rPr>
                <w:rFonts w:ascii="仿宋_GB2312" w:hAnsi="仿宋_GB2312" w:cs="仿宋_GB2312" w:eastAsia="仿宋_GB2312"/>
                <w:sz w:val="24"/>
              </w:rPr>
              <w:t>100Hz±5%。</w:t>
            </w:r>
          </w:p>
          <w:p>
            <w:pPr>
              <w:pStyle w:val="null3"/>
              <w:ind w:firstLine="240"/>
              <w:jc w:val="both"/>
            </w:pPr>
            <w:r>
              <w:rPr>
                <w:rFonts w:ascii="仿宋_GB2312" w:hAnsi="仿宋_GB2312" w:cs="仿宋_GB2312" w:eastAsia="仿宋_GB2312"/>
                <w:sz w:val="24"/>
              </w:rPr>
              <w:t>1.5具备</w:t>
            </w:r>
            <w:r>
              <w:rPr>
                <w:rFonts w:ascii="仿宋_GB2312" w:hAnsi="仿宋_GB2312" w:cs="仿宋_GB2312" w:eastAsia="仿宋_GB2312"/>
                <w:sz w:val="24"/>
              </w:rPr>
              <w:t>自动升压检测方式。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振动自动升压速度</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0.7V/S、1.6V/S</w:t>
            </w:r>
            <w:r>
              <w:rPr>
                <w:rFonts w:ascii="仿宋_GB2312" w:hAnsi="仿宋_GB2312" w:cs="仿宋_GB2312" w:eastAsia="仿宋_GB2312"/>
                <w:sz w:val="24"/>
              </w:rPr>
              <w:t>可选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具备</w:t>
            </w:r>
            <w:r>
              <w:rPr>
                <w:rFonts w:ascii="仿宋_GB2312" w:hAnsi="仿宋_GB2312" w:cs="仿宋_GB2312" w:eastAsia="仿宋_GB2312"/>
                <w:sz w:val="24"/>
              </w:rPr>
              <w:t>手动</w:t>
            </w:r>
            <w:r>
              <w:rPr>
                <w:rFonts w:ascii="仿宋_GB2312" w:hAnsi="仿宋_GB2312" w:cs="仿宋_GB2312" w:eastAsia="仿宋_GB2312"/>
                <w:sz w:val="24"/>
              </w:rPr>
              <w:t>(旋钮调节)升降压检测方式。</w:t>
            </w:r>
          </w:p>
          <w:p>
            <w:pPr>
              <w:pStyle w:val="null3"/>
              <w:ind w:firstLine="240"/>
              <w:jc w:val="both"/>
            </w:pPr>
            <w:r>
              <w:rPr>
                <w:rFonts w:ascii="仿宋_GB2312" w:hAnsi="仿宋_GB2312" w:cs="仿宋_GB2312" w:eastAsia="仿宋_GB2312"/>
                <w:sz w:val="24"/>
              </w:rPr>
              <w:t>1.8</w:t>
            </w:r>
            <w:r>
              <w:rPr>
                <w:rFonts w:ascii="仿宋_GB2312" w:hAnsi="仿宋_GB2312" w:cs="仿宋_GB2312" w:eastAsia="仿宋_GB2312"/>
                <w:sz w:val="24"/>
              </w:rPr>
              <w:t>手动调节步进值：</w:t>
            </w:r>
            <w:r>
              <w:rPr>
                <w:rFonts w:ascii="仿宋_GB2312" w:hAnsi="仿宋_GB2312" w:cs="仿宋_GB2312" w:eastAsia="仿宋_GB2312"/>
                <w:sz w:val="24"/>
              </w:rPr>
              <w:t>≤0.1V。</w:t>
            </w:r>
          </w:p>
          <w:p>
            <w:pPr>
              <w:pStyle w:val="null3"/>
              <w:ind w:firstLine="240"/>
              <w:jc w:val="both"/>
            </w:pPr>
            <w:r>
              <w:rPr>
                <w:rFonts w:ascii="仿宋_GB2312" w:hAnsi="仿宋_GB2312" w:cs="仿宋_GB2312" w:eastAsia="仿宋_GB2312"/>
                <w:sz w:val="24"/>
              </w:rPr>
              <w:t>1.9震动刺激具有自动升压模式和手动旋钮控制模式，震动升压速度可调，误差</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0</w:t>
            </w:r>
            <w:r>
              <w:rPr>
                <w:rFonts w:ascii="仿宋_GB2312" w:hAnsi="仿宋_GB2312" w:cs="仿宋_GB2312" w:eastAsia="仿宋_GB2312"/>
                <w:sz w:val="24"/>
              </w:rPr>
              <w:t>具备</w:t>
            </w:r>
            <w:r>
              <w:rPr>
                <w:rFonts w:ascii="仿宋_GB2312" w:hAnsi="仿宋_GB2312" w:cs="仿宋_GB2312" w:eastAsia="仿宋_GB2312"/>
                <w:sz w:val="24"/>
              </w:rPr>
              <w:t>脚踏式振动刺激器，</w:t>
            </w:r>
            <w:r>
              <w:rPr>
                <w:rFonts w:ascii="仿宋_GB2312" w:hAnsi="仿宋_GB2312" w:cs="仿宋_GB2312" w:eastAsia="仿宋_GB2312"/>
                <w:sz w:val="24"/>
              </w:rPr>
              <w:t>用于</w:t>
            </w:r>
            <w:r>
              <w:rPr>
                <w:rFonts w:ascii="仿宋_GB2312" w:hAnsi="仿宋_GB2312" w:cs="仿宋_GB2312" w:eastAsia="仿宋_GB2312"/>
                <w:sz w:val="24"/>
              </w:rPr>
              <w:t>患者坐姿检查。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1</w:t>
            </w:r>
            <w:r>
              <w:rPr>
                <w:rFonts w:ascii="仿宋_GB2312" w:hAnsi="仿宋_GB2312" w:cs="仿宋_GB2312" w:eastAsia="仿宋_GB2312"/>
                <w:sz w:val="24"/>
              </w:rPr>
              <w:t>振动刺激头直径</w:t>
            </w:r>
            <w:r>
              <w:rPr>
                <w:rFonts w:ascii="仿宋_GB2312" w:hAnsi="仿宋_GB2312" w:cs="仿宋_GB2312" w:eastAsia="仿宋_GB2312"/>
                <w:sz w:val="24"/>
              </w:rPr>
              <w:t>至少</w:t>
            </w:r>
            <w:r>
              <w:rPr>
                <w:rFonts w:ascii="仿宋_GB2312" w:hAnsi="仿宋_GB2312" w:cs="仿宋_GB2312" w:eastAsia="仿宋_GB2312"/>
                <w:sz w:val="24"/>
              </w:rPr>
              <w:t>有</w:t>
            </w:r>
            <w:r>
              <w:rPr>
                <w:rFonts w:ascii="仿宋_GB2312" w:hAnsi="仿宋_GB2312" w:cs="仿宋_GB2312" w:eastAsia="仿宋_GB2312"/>
                <w:sz w:val="24"/>
              </w:rPr>
              <w:t>6mm、10mm、13mm三种规格可选。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1.12</w:t>
            </w:r>
            <w:r>
              <w:rPr>
                <w:rFonts w:ascii="仿宋_GB2312" w:hAnsi="仿宋_GB2312" w:cs="仿宋_GB2312" w:eastAsia="仿宋_GB2312"/>
                <w:sz w:val="24"/>
              </w:rPr>
              <w:t>支持脱机使用，内置</w:t>
            </w:r>
            <w:r>
              <w:rPr>
                <w:rFonts w:ascii="仿宋_GB2312" w:hAnsi="仿宋_GB2312" w:cs="仿宋_GB2312" w:eastAsia="仿宋_GB2312"/>
                <w:sz w:val="24"/>
              </w:rPr>
              <w:t>报告</w:t>
            </w:r>
            <w:r>
              <w:rPr>
                <w:rFonts w:ascii="仿宋_GB2312" w:hAnsi="仿宋_GB2312" w:cs="仿宋_GB2312" w:eastAsia="仿宋_GB2312"/>
                <w:sz w:val="24"/>
              </w:rPr>
              <w:t>打</w:t>
            </w:r>
            <w:r>
              <w:rPr>
                <w:rFonts w:ascii="仿宋_GB2312" w:hAnsi="仿宋_GB2312" w:cs="仿宋_GB2312" w:eastAsia="仿宋_GB2312"/>
                <w:sz w:val="24"/>
              </w:rPr>
              <w:t>印</w:t>
            </w:r>
            <w:r>
              <w:rPr>
                <w:rFonts w:ascii="仿宋_GB2312" w:hAnsi="仿宋_GB2312" w:cs="仿宋_GB2312" w:eastAsia="仿宋_GB2312"/>
                <w:sz w:val="24"/>
              </w:rPr>
              <w:t>设备</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1.13</w:t>
            </w:r>
            <w:r>
              <w:rPr>
                <w:rFonts w:ascii="仿宋_GB2312" w:hAnsi="仿宋_GB2312" w:cs="仿宋_GB2312" w:eastAsia="仿宋_GB2312"/>
                <w:sz w:val="24"/>
              </w:rPr>
              <w:t>手持</w:t>
            </w:r>
            <w:r>
              <w:rPr>
                <w:rFonts w:ascii="仿宋_GB2312" w:hAnsi="仿宋_GB2312" w:cs="仿宋_GB2312" w:eastAsia="仿宋_GB2312"/>
                <w:sz w:val="24"/>
              </w:rPr>
              <w:t>振动刺激器重量</w:t>
            </w:r>
            <w:r>
              <w:rPr>
                <w:rFonts w:ascii="仿宋_GB2312" w:hAnsi="仿宋_GB2312" w:cs="仿宋_GB2312" w:eastAsia="仿宋_GB2312"/>
                <w:sz w:val="24"/>
              </w:rPr>
              <w:t>：</w:t>
            </w:r>
            <w:r>
              <w:rPr>
                <w:rFonts w:ascii="仿宋_GB2312" w:hAnsi="仿宋_GB2312" w:cs="仿宋_GB2312" w:eastAsia="仿宋_GB2312"/>
                <w:sz w:val="24"/>
              </w:rPr>
              <w:t>≤160g。</w:t>
            </w:r>
          </w:p>
          <w:p>
            <w:pPr>
              <w:pStyle w:val="null3"/>
              <w:ind w:firstLine="240"/>
              <w:jc w:val="both"/>
            </w:pPr>
            <w:r>
              <w:rPr>
                <w:rFonts w:ascii="仿宋_GB2312" w:hAnsi="仿宋_GB2312" w:cs="仿宋_GB2312" w:eastAsia="仿宋_GB2312"/>
                <w:sz w:val="24"/>
              </w:rPr>
              <w:t>1.14</w:t>
            </w:r>
            <w:r>
              <w:rPr>
                <w:rFonts w:ascii="仿宋_GB2312" w:hAnsi="仿宋_GB2312" w:cs="仿宋_GB2312" w:eastAsia="仿宋_GB2312"/>
                <w:sz w:val="24"/>
              </w:rPr>
              <w:t>振动接触压力范围：</w:t>
            </w:r>
            <w:r>
              <w:rPr>
                <w:rFonts w:ascii="仿宋_GB2312" w:hAnsi="仿宋_GB2312" w:cs="仿宋_GB2312" w:eastAsia="仿宋_GB2312"/>
                <w:sz w:val="24"/>
              </w:rPr>
              <w:t>0-500g。</w:t>
            </w:r>
          </w:p>
          <w:p>
            <w:pPr>
              <w:pStyle w:val="null3"/>
              <w:ind w:firstLine="240"/>
              <w:jc w:val="both"/>
            </w:pPr>
            <w:r>
              <w:rPr>
                <w:rFonts w:ascii="仿宋_GB2312" w:hAnsi="仿宋_GB2312" w:cs="仿宋_GB2312" w:eastAsia="仿宋_GB2312"/>
                <w:sz w:val="24"/>
              </w:rPr>
              <w:t>1.15</w:t>
            </w:r>
            <w:r>
              <w:rPr>
                <w:rFonts w:ascii="仿宋_GB2312" w:hAnsi="仿宋_GB2312" w:cs="仿宋_GB2312" w:eastAsia="仿宋_GB2312"/>
                <w:sz w:val="24"/>
              </w:rPr>
              <w:t>配备反应控制器。</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软件功能与要求：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内置全自动检测程序，检测过程可由操作者独立控制，一键完成。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内置校验程序（真假实验）。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2.3软件自动计算阈值均值</w:t>
            </w:r>
            <w:r>
              <w:rPr>
                <w:rFonts w:ascii="仿宋_GB2312" w:hAnsi="仿宋_GB2312" w:cs="仿宋_GB2312" w:eastAsia="仿宋_GB2312"/>
                <w:sz w:val="24"/>
              </w:rPr>
              <w:t>、变异系数、异常率、对称性</w:t>
            </w:r>
            <w:r>
              <w:rPr>
                <w:rFonts w:ascii="仿宋_GB2312" w:hAnsi="仿宋_GB2312" w:cs="仿宋_GB2312" w:eastAsia="仿宋_GB2312"/>
                <w:sz w:val="24"/>
              </w:rPr>
              <w:t>图表</w:t>
            </w:r>
            <w:r>
              <w:rPr>
                <w:rFonts w:ascii="仿宋_GB2312" w:hAnsi="仿宋_GB2312" w:cs="仿宋_GB2312" w:eastAsia="仿宋_GB2312"/>
                <w:sz w:val="24"/>
              </w:rPr>
              <w:t>等数据。</w:t>
            </w:r>
          </w:p>
          <w:p>
            <w:pPr>
              <w:pStyle w:val="null3"/>
              <w:ind w:firstLine="240"/>
              <w:jc w:val="both"/>
            </w:pPr>
            <w:r>
              <w:rPr>
                <w:rFonts w:ascii="仿宋_GB2312" w:hAnsi="仿宋_GB2312" w:cs="仿宋_GB2312" w:eastAsia="仿宋_GB2312"/>
                <w:sz w:val="24"/>
              </w:rPr>
              <w:t>2.4</w:t>
            </w:r>
            <w:r>
              <w:rPr>
                <w:rFonts w:ascii="仿宋_GB2312" w:hAnsi="仿宋_GB2312" w:cs="仿宋_GB2312" w:eastAsia="仿宋_GB2312"/>
                <w:sz w:val="24"/>
              </w:rPr>
              <w:t>系统提供全身（</w:t>
            </w:r>
            <w:r>
              <w:rPr>
                <w:rFonts w:ascii="仿宋_GB2312" w:hAnsi="仿宋_GB2312" w:cs="仿宋_GB2312" w:eastAsia="仿宋_GB2312"/>
                <w:sz w:val="24"/>
              </w:rPr>
              <w:t>至少包含</w:t>
            </w:r>
            <w:r>
              <w:rPr>
                <w:rFonts w:ascii="仿宋_GB2312" w:hAnsi="仿宋_GB2312" w:cs="仿宋_GB2312" w:eastAsia="仿宋_GB2312"/>
                <w:sz w:val="24"/>
              </w:rPr>
              <w:t>头、躯干、上肢、下肢、手部、足部、阴茎）</w:t>
            </w:r>
            <w:r>
              <w:rPr>
                <w:rFonts w:ascii="仿宋_GB2312" w:hAnsi="仿宋_GB2312" w:cs="仿宋_GB2312" w:eastAsia="仿宋_GB2312"/>
                <w:sz w:val="24"/>
              </w:rPr>
              <w:t>16个感觉关键点的预设设置，并支持自定义增减。</w:t>
            </w:r>
          </w:p>
          <w:p>
            <w:pPr>
              <w:pStyle w:val="null3"/>
              <w:ind w:firstLine="240"/>
              <w:jc w:val="both"/>
            </w:pPr>
            <w:r>
              <w:rPr>
                <w:rFonts w:ascii="仿宋_GB2312" w:hAnsi="仿宋_GB2312" w:cs="仿宋_GB2312" w:eastAsia="仿宋_GB2312"/>
                <w:sz w:val="24"/>
              </w:rPr>
              <w:t>2.5</w:t>
            </w:r>
            <w:r>
              <w:rPr>
                <w:rFonts w:ascii="仿宋_GB2312" w:hAnsi="仿宋_GB2312" w:cs="仿宋_GB2312" w:eastAsia="仿宋_GB2312"/>
                <w:sz w:val="24"/>
              </w:rPr>
              <w:t>提供身体各部位震动感觉阈值的正常参考范围。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2.6</w:t>
            </w:r>
            <w:r>
              <w:rPr>
                <w:rFonts w:ascii="仿宋_GB2312" w:hAnsi="仿宋_GB2312" w:cs="仿宋_GB2312" w:eastAsia="仿宋_GB2312"/>
                <w:sz w:val="24"/>
              </w:rPr>
              <w:t>具备</w:t>
            </w:r>
            <w:r>
              <w:rPr>
                <w:rFonts w:ascii="仿宋_GB2312" w:hAnsi="仿宋_GB2312" w:cs="仿宋_GB2312" w:eastAsia="仿宋_GB2312"/>
                <w:sz w:val="24"/>
              </w:rPr>
              <w:t>感觉阈值年龄系数校正设置</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2.7</w:t>
            </w:r>
            <w:r>
              <w:rPr>
                <w:rFonts w:ascii="仿宋_GB2312" w:hAnsi="仿宋_GB2312" w:cs="仿宋_GB2312" w:eastAsia="仿宋_GB2312"/>
                <w:sz w:val="24"/>
              </w:rPr>
              <w:t>系统根据检查结果自动</w:t>
            </w:r>
            <w:r>
              <w:rPr>
                <w:rFonts w:ascii="仿宋_GB2312" w:hAnsi="仿宋_GB2312" w:cs="仿宋_GB2312" w:eastAsia="仿宋_GB2312"/>
                <w:sz w:val="24"/>
              </w:rPr>
              <w:t>生成</w:t>
            </w:r>
            <w:r>
              <w:rPr>
                <w:rFonts w:ascii="仿宋_GB2312" w:hAnsi="仿宋_GB2312" w:cs="仿宋_GB2312" w:eastAsia="仿宋_GB2312"/>
                <w:sz w:val="24"/>
              </w:rPr>
              <w:t>报告摘要。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8具备</w:t>
            </w:r>
            <w:r>
              <w:rPr>
                <w:rFonts w:ascii="仿宋_GB2312" w:hAnsi="仿宋_GB2312" w:cs="仿宋_GB2312" w:eastAsia="仿宋_GB2312"/>
                <w:sz w:val="24"/>
              </w:rPr>
              <w:t>支持实时图表显示，包括检测人数、男女比例、年龄分布和发病率等</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9具备</w:t>
            </w:r>
            <w:r>
              <w:rPr>
                <w:rFonts w:ascii="仿宋_GB2312" w:hAnsi="仿宋_GB2312" w:cs="仿宋_GB2312" w:eastAsia="仿宋_GB2312"/>
                <w:sz w:val="24"/>
              </w:rPr>
              <w:t>原</w:t>
            </w:r>
            <w:r>
              <w:rPr>
                <w:rFonts w:ascii="仿宋_GB2312" w:hAnsi="仿宋_GB2312" w:cs="仿宋_GB2312" w:eastAsia="仿宋_GB2312"/>
                <w:sz w:val="24"/>
              </w:rPr>
              <w:t>始数据导出为</w:t>
            </w:r>
            <w:r>
              <w:rPr>
                <w:rFonts w:ascii="仿宋_GB2312" w:hAnsi="仿宋_GB2312" w:cs="仿宋_GB2312" w:eastAsia="仿宋_GB2312"/>
                <w:sz w:val="24"/>
              </w:rPr>
              <w:t>EXCEL格式</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2.10</w:t>
            </w:r>
            <w:r>
              <w:rPr>
                <w:rFonts w:ascii="仿宋_GB2312" w:hAnsi="仿宋_GB2312" w:cs="仿宋_GB2312" w:eastAsia="仿宋_GB2312"/>
                <w:sz w:val="24"/>
              </w:rPr>
              <w:t>具备</w:t>
            </w:r>
            <w:r>
              <w:rPr>
                <w:rFonts w:ascii="仿宋_GB2312" w:hAnsi="仿宋_GB2312" w:cs="仿宋_GB2312" w:eastAsia="仿宋_GB2312"/>
                <w:sz w:val="24"/>
              </w:rPr>
              <w:t>历史数据一键备份和还</w:t>
            </w:r>
            <w:r>
              <w:rPr>
                <w:rFonts w:ascii="仿宋_GB2312" w:hAnsi="仿宋_GB2312" w:cs="仿宋_GB2312" w:eastAsia="仿宋_GB2312"/>
                <w:sz w:val="24"/>
              </w:rPr>
              <w:t>原</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2.11</w:t>
            </w:r>
            <w:r>
              <w:rPr>
                <w:rFonts w:ascii="仿宋_GB2312" w:hAnsi="仿宋_GB2312" w:cs="仿宋_GB2312" w:eastAsia="仿宋_GB2312"/>
                <w:sz w:val="24"/>
              </w:rPr>
              <w:t>具备</w:t>
            </w:r>
            <w:r>
              <w:rPr>
                <w:rFonts w:ascii="仿宋_GB2312" w:hAnsi="仿宋_GB2312" w:cs="仿宋_GB2312" w:eastAsia="仿宋_GB2312"/>
                <w:sz w:val="24"/>
              </w:rPr>
              <w:t>身</w:t>
            </w:r>
            <w:r>
              <w:rPr>
                <w:rFonts w:ascii="仿宋_GB2312" w:hAnsi="仿宋_GB2312" w:cs="仿宋_GB2312" w:eastAsia="仿宋_GB2312"/>
                <w:sz w:val="24"/>
              </w:rPr>
              <w:t>份证</w:t>
            </w:r>
            <w:r>
              <w:rPr>
                <w:rFonts w:ascii="仿宋_GB2312" w:hAnsi="仿宋_GB2312" w:cs="仿宋_GB2312" w:eastAsia="仿宋_GB2312"/>
                <w:sz w:val="24"/>
              </w:rPr>
              <w:t>ID刷卡录入</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  2.12</w:t>
            </w:r>
            <w:r>
              <w:rPr>
                <w:rFonts w:ascii="仿宋_GB2312" w:hAnsi="仿宋_GB2312" w:cs="仿宋_GB2312" w:eastAsia="仿宋_GB2312"/>
                <w:sz w:val="24"/>
              </w:rPr>
              <w:t>支持与医院</w:t>
            </w:r>
            <w:r>
              <w:rPr>
                <w:rFonts w:ascii="仿宋_GB2312" w:hAnsi="仿宋_GB2312" w:cs="仿宋_GB2312" w:eastAsia="仿宋_GB2312"/>
                <w:sz w:val="24"/>
              </w:rPr>
              <w:t>HIS</w:t>
            </w:r>
            <w:r>
              <w:rPr>
                <w:rFonts w:ascii="仿宋_GB2312" w:hAnsi="仿宋_GB2312" w:cs="仿宋_GB2312" w:eastAsia="仿宋_GB2312"/>
                <w:sz w:val="24"/>
              </w:rPr>
              <w:t>（常州昊泽信息科技有限公司）</w:t>
            </w:r>
            <w:r>
              <w:rPr>
                <w:rFonts w:ascii="仿宋_GB2312" w:hAnsi="仿宋_GB2312" w:cs="仿宋_GB2312" w:eastAsia="仿宋_GB2312"/>
                <w:sz w:val="24"/>
              </w:rPr>
              <w:t>信息管理系统的对接服务。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投标人有售后服务体系，有在线应用服务中心，有专职服务人员对已安装的机器进行应用培训服务，实时解决机器的问题；设有维修服务网点，有专业的维修工程师团队，提供相关证明文件并列举姓名和电话。</w:t>
            </w:r>
            <w:r>
              <w:rPr>
                <w:rFonts w:ascii="仿宋_GB2312" w:hAnsi="仿宋_GB2312" w:cs="仿宋_GB2312" w:eastAsia="仿宋_GB2312"/>
                <w:sz w:val="24"/>
              </w:rPr>
              <w:t>有零部件储备仓</w:t>
            </w:r>
            <w:r>
              <w:rPr>
                <w:rFonts w:ascii="仿宋_GB2312" w:hAnsi="仿宋_GB2312" w:cs="仿宋_GB2312" w:eastAsia="仿宋_GB2312"/>
                <w:sz w:val="24"/>
              </w:rPr>
              <w:t>库，能及时提供配件，保证维修速度。质保期结束后，产品制造商仍应负责对产品提供终生维修服务，只收取配件成本，并提供报修电话。保障设备完好率</w:t>
            </w:r>
            <w:r>
              <w:rPr>
                <w:rFonts w:ascii="仿宋_GB2312" w:hAnsi="仿宋_GB2312" w:cs="仿宋_GB2312" w:eastAsia="仿宋_GB2312"/>
                <w:sz w:val="24"/>
              </w:rPr>
              <w:t>≥96%（按365天计算），耽误一天则质保期顺延5个工作日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★（2）产品运输、装卸、安装、调试由投标人负责。</w:t>
            </w:r>
          </w:p>
          <w:p>
            <w:pPr>
              <w:pStyle w:val="null3"/>
              <w:ind w:firstLine="480"/>
              <w:jc w:val="both"/>
            </w:pPr>
            <w:r>
              <w:rPr>
                <w:rFonts w:ascii="仿宋_GB2312" w:hAnsi="仿宋_GB2312" w:cs="仿宋_GB2312" w:eastAsia="仿宋_GB2312"/>
                <w:sz w:val="24"/>
              </w:rPr>
              <w:t>★（3）为保证产品正常运行，投标人应承诺在中国大陆地区设有专门的设备零备件库，零备件供应100%保障，日常维修维护更换的备件必须是合格的零备件，能满足设备运行要求，不会给设备带来危害。保证来源正规合法及10年以上的供应期。</w:t>
            </w:r>
          </w:p>
          <w:p>
            <w:pPr>
              <w:pStyle w:val="null3"/>
              <w:ind w:firstLine="480"/>
              <w:jc w:val="both"/>
            </w:pPr>
            <w:r>
              <w:rPr>
                <w:rFonts w:ascii="仿宋_GB2312" w:hAnsi="仿宋_GB2312" w:cs="仿宋_GB2312" w:eastAsia="仿宋_GB2312"/>
                <w:sz w:val="24"/>
              </w:rPr>
              <w:t>★（4）投标人须向招标人提供操作手册，并提供产品的运行、安装、使用环境要求。</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5）在产品到达使用单位后投标人应在小于等于7个日历日内派工程技术人员到达现场，在招标人技术人员在场的情况下开箱清点货物，组织安装、调试。对至少4名招标人医护人员和至少2名招标人工程师人员的培训时间不少于一周（教会正确的使用为止），并提供不少于2次的现场培训服务，培训内容需包含：设备基础操作、高级应用操作。</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6</w:t>
            </w:r>
            <w:r>
              <w:rPr>
                <w:rFonts w:ascii="仿宋_GB2312" w:hAnsi="仿宋_GB2312" w:cs="仿宋_GB2312" w:eastAsia="仿宋_GB2312"/>
                <w:sz w:val="24"/>
              </w:rPr>
              <w:t>）如有需要，</w:t>
            </w:r>
            <w:r>
              <w:rPr>
                <w:rFonts w:ascii="仿宋_GB2312" w:hAnsi="仿宋_GB2312" w:cs="仿宋_GB2312" w:eastAsia="仿宋_GB2312"/>
                <w:sz w:val="24"/>
              </w:rPr>
              <w:t>投标人</w:t>
            </w:r>
            <w:r>
              <w:rPr>
                <w:rFonts w:ascii="仿宋_GB2312" w:hAnsi="仿宋_GB2312" w:cs="仿宋_GB2312" w:eastAsia="仿宋_GB2312"/>
                <w:sz w:val="24"/>
              </w:rPr>
              <w:t>应根据医院现有的业务（本次</w:t>
            </w:r>
            <w:r>
              <w:rPr>
                <w:rFonts w:ascii="仿宋_GB2312" w:hAnsi="仿宋_GB2312" w:cs="仿宋_GB2312" w:eastAsia="仿宋_GB2312"/>
                <w:sz w:val="24"/>
              </w:rPr>
              <w:t>采购</w:t>
            </w:r>
            <w:r>
              <w:rPr>
                <w:rFonts w:ascii="仿宋_GB2312" w:hAnsi="仿宋_GB2312" w:cs="仿宋_GB2312" w:eastAsia="仿宋_GB2312"/>
                <w:sz w:val="24"/>
              </w:rPr>
              <w:t>的产品）用房，设计合理的机房，并现场指导。</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设备维保要求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color w:val="000000"/>
              </w:rPr>
              <w:t>服务范围：升级、安全检修、日常保养等。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在质保期内，对设备提供定期保养，保障设备处于正常运行状</w:t>
            </w:r>
            <w:r>
              <w:rPr>
                <w:rFonts w:ascii="仿宋_GB2312" w:hAnsi="仿宋_GB2312" w:cs="仿宋_GB2312" w:eastAsia="仿宋_GB2312"/>
                <w:sz w:val="24"/>
              </w:rPr>
              <w:t>态，保修期内（每年以</w:t>
            </w:r>
            <w:r>
              <w:rPr>
                <w:rFonts w:ascii="仿宋_GB2312" w:hAnsi="仿宋_GB2312" w:cs="仿宋_GB2312" w:eastAsia="仿宋_GB2312"/>
                <w:sz w:val="24"/>
              </w:rPr>
              <w:t>12个月计）中标人的工程人员每年应提供不少于2次的维护保养服务，</w:t>
            </w:r>
            <w:r>
              <w:rPr>
                <w:rFonts w:ascii="仿宋_GB2312" w:hAnsi="仿宋_GB2312" w:cs="仿宋_GB2312" w:eastAsia="仿宋_GB2312"/>
                <w:sz w:val="24"/>
              </w:rPr>
              <w:t>提供年度维保维修报</w:t>
            </w:r>
            <w:r>
              <w:rPr>
                <w:rFonts w:ascii="仿宋_GB2312" w:hAnsi="仿宋_GB2312" w:cs="仿宋_GB2312" w:eastAsia="仿宋_GB2312"/>
                <w:sz w:val="24"/>
              </w:rPr>
              <w:t>告</w:t>
            </w:r>
            <w:r>
              <w:rPr>
                <w:rFonts w:ascii="仿宋_GB2312" w:hAnsi="仿宋_GB2312" w:cs="仿宋_GB2312" w:eastAsia="仿宋_GB2312"/>
                <w:sz w:val="24"/>
              </w:rPr>
              <w:t>2份，</w:t>
            </w:r>
            <w:r>
              <w:rPr>
                <w:rFonts w:ascii="仿宋_GB2312" w:hAnsi="仿宋_GB2312" w:cs="仿宋_GB2312" w:eastAsia="仿宋_GB2312"/>
                <w:sz w:val="24"/>
              </w:rPr>
              <w:t>所需费用均由投标人承担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保证开机率</w:t>
            </w:r>
            <w:r>
              <w:rPr>
                <w:rFonts w:ascii="仿宋_GB2312" w:hAnsi="仿宋_GB2312" w:cs="仿宋_GB2312" w:eastAsia="仿宋_GB2312"/>
                <w:sz w:val="24"/>
              </w:rPr>
              <w:t>≥96%（停机时间少于4%），按1年365天，每天24小时计算，每年统计1次。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）投标人承诺提供所投产品制造商提供</w:t>
            </w:r>
            <w:r>
              <w:rPr>
                <w:rFonts w:ascii="仿宋_GB2312" w:hAnsi="仿宋_GB2312" w:cs="仿宋_GB2312" w:eastAsia="仿宋_GB2312"/>
                <w:sz w:val="24"/>
              </w:rPr>
              <w:t>7*24小时售后服务专线电话。国内需有全职资深维修工程</w:t>
            </w:r>
            <w:r>
              <w:rPr>
                <w:rFonts w:ascii="仿宋_GB2312" w:hAnsi="仿宋_GB2312" w:cs="仿宋_GB2312" w:eastAsia="仿宋_GB2312"/>
                <w:sz w:val="24"/>
              </w:rPr>
              <w:t>师。</w:t>
            </w:r>
            <w:r>
              <w:rPr>
                <w:rFonts w:ascii="仿宋_GB2312" w:hAnsi="仿宋_GB2312" w:cs="仿宋_GB2312" w:eastAsia="仿宋_GB2312"/>
                <w:sz w:val="24"/>
              </w:rPr>
              <w:t>接到故障报修电话后</w:t>
            </w:r>
            <w:r>
              <w:rPr>
                <w:rFonts w:ascii="仿宋_GB2312" w:hAnsi="仿宋_GB2312" w:cs="仿宋_GB2312" w:eastAsia="仿宋_GB2312"/>
                <w:sz w:val="24"/>
              </w:rPr>
              <w:t>4小时内响应，通过电话技术支持无法解决问题的，12小时内到现场维修，及时提供相关的维修解决方案，若故障48小时内无法修复，10个日历日内中标人应为招标人提供同型号或符合招标人需求的备用产品，此条款也适用于保修期外。</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5）投标人能为本项目提供远程技术支持服务并配备专职技术支持人员。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6）投标人能为本项目配备全国专职技术支持团队</w:t>
            </w:r>
            <w:r>
              <w:rPr>
                <w:rFonts w:ascii="仿宋_GB2312" w:hAnsi="仿宋_GB2312" w:cs="仿宋_GB2312" w:eastAsia="仿宋_GB2312"/>
                <w:sz w:val="24"/>
              </w:rPr>
              <w:t>，并在投标文件中提供团队名单等文件。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投标人</w:t>
            </w:r>
            <w:r>
              <w:rPr>
                <w:rFonts w:ascii="仿宋_GB2312" w:hAnsi="仿宋_GB2312" w:cs="仿宋_GB2312" w:eastAsia="仿宋_GB2312"/>
                <w:sz w:val="24"/>
              </w:rPr>
              <w:t>能为本项目提</w:t>
            </w:r>
            <w:r>
              <w:rPr>
                <w:rFonts w:ascii="仿宋_GB2312" w:hAnsi="仿宋_GB2312" w:cs="仿宋_GB2312" w:eastAsia="仿宋_GB2312"/>
                <w:sz w:val="24"/>
              </w:rPr>
              <w:t>供</w:t>
            </w:r>
            <w:r>
              <w:rPr>
                <w:rFonts w:ascii="仿宋_GB2312" w:hAnsi="仿宋_GB2312" w:cs="仿宋_GB2312" w:eastAsia="仿宋_GB2312"/>
                <w:sz w:val="24"/>
              </w:rPr>
              <w:t>故障维修、设备质控等操作培训的课程，能够为医院医师、技师、工程师等提供以上课程培训。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8）投标人能为本项目配备维修常用检测设备。</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9）维保更换配件时，投标人需对更换配件后的产品(根据国家相关要求和规定对涉及的配件)出具相应检测报告</w:t>
            </w:r>
            <w:r>
              <w:rPr>
                <w:rFonts w:ascii="仿宋_GB2312" w:hAnsi="仿宋_GB2312" w:cs="仿宋_GB2312" w:eastAsia="仿宋_GB2312"/>
                <w:sz w:val="24"/>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签订合同后接到招标人通知之日15个日历日内交货。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自贡市第一人民医院。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1、预付款，合同签订之日起，达到付款条件起14日内，支付合同总金额的40.00%</w:t>
            </w:r>
          </w:p>
          <w:p>
            <w:pPr>
              <w:pStyle w:val="null3"/>
              <w:jc w:val="left"/>
            </w:pPr>
            <w:r>
              <w:rPr>
                <w:rFonts w:ascii="仿宋_GB2312" w:hAnsi="仿宋_GB2312" w:cs="仿宋_GB2312" w:eastAsia="仿宋_GB2312"/>
              </w:rPr>
              <w:t>2、货到验收合格后，招标人自收到中标人开具的合格发票之日起，达到付款条件起60日内，支付合同总金额的60.00%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（1）投标人需提供生产日期为6个月内（以到货日期为准，到货日期指本项目响应产品生产日期至送到供货地点的时间）的货物。 （2）按照政府采购相关法律法规以及《财政部关于进一步加强政府采购需求和履约验收管理的指导意见》（财库[2016]205号）、《自贡市政府采购履约验收管理办法》的规定、招标文件的质量要求和技术指标、投标人的投标文件及承诺、国家有关部门批准的技术标准、招标人与中标人签订的合同，共同现场验收。同时提供相关证明文件及操作手册，否则视为验收不合格，招标人有权单方面解除合同外，中标人立即返回支付的合同金额并按支付合同金额的20%支付违约金。</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验收合格后提供≥3年全保服务（投标人质保期内提供与本次投标产品同品牌的维保服务全保）。中标后签订合同前，中标人须针对此项目向招标人提供所投产品制造厂商和中标人签订的为招标人购买的维保服务全保协议书（质保期限符合招标文件的要求）。配套软件终身升级以及质保期间中标人提供维修服务和更换所有零配件，均不额外收取费用。（投标文件中须单独提供承诺函，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合同双方如有一方不履行合同义务或者履行合同义务不符合合同约定的,除另有注明者外，均按合同总价的5%支付对方违约金，造成对方损失的还应赔偿损失。（2）中标人如违反本合同售后服务协议条款的内容，除应继续按照售后服务要求提供售后服务外还应按合同总金额的5%承担违约责任。（3）若中标人在质保期内超过10个日历日不能按售后服务要求提供产品和备件，招标人有权自行采购，因此产生的费用由中标人承担。争议解决方法：双方根据本合同原则，友好协商解决；协商无效的，可向自贡仲裁委员会申请仲裁。</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★1、报价要求： （1）投标人报价应是包含项目全部工作内容的体现。 （2）本项目所有运输、保险、装卸、安装（包含辅材、设施设备、安装等相关辅助工作）、软件升级费用、培训、税费、备用产品等一切相关费用均包含在投标报价中，招标人不再承担除中标价外的任何费用。 （3）投标人所投标产品如能接入HIS系统，则所投产品应开放接口，且投标人所需相关接口费用包含在投标报价中。 ★2、手持式振动刺激头自招标启动至项目执行完毕、合同履约完成的全周期内，招标人有权根据实际使用需求，将该刺激头更换为满足本项目技术标准的其他直径规格，投标人须无条件配合规格变更，并按变更要求提供合格产品；规格更换全过程不产生任何额外费用，所供产品的性能、质量及适配性均须符合本项目技术标准。 ★3、投标人应当单独提供分项清单表（包含品牌、规格型号、数量、单价、合计总价）。（格式详见第六章 投标文件格式-分项清单表）。 ★4、中标后签订合同前，中标人须针对此项目向招标人提供所投产品制造厂商和中标人签订的为招标人购买的维保服务全保协议书（质保期限符合招标文件的要求），与厂家无缝对接原厂维保相关事宜。如中标后中标人无法提供维保服务全保协议书，则属于虚假响应，招标人有权拒绝签订合同，并上报同级财政部门。（投标文件中须单独提供承诺函，格式自拟）。 ★5、技术标准及质量保证：合同产品的名称、技术规范、数量及质量应与招标文件及被招标人接受的规格、性能相一致，并保证所供产品的设计、采购、制造、检验、包装、安装等各个环节符合国家相应的质量管理和质量保证体系，否则招标人可无条件退货处理。若因中标人产品质量原因，导致招标人和第三方损失，中标人应赔偿包括鉴定费、律师费等所有损失。 ★6、招标文件、投标文件、承诺约定、合同的附件与合同具有同等法律效力，如以上各文件相互有冲突或不一致的地方，应以有利于招标人解释为准。招标文件、投标文件、承诺约定、合同的附件及合同，如有中、英文两种版本的，应以有利于招标人解释为准。未尽事宜,双方另行协商解决。 ★7、无论是否中标，投标人均应自行承担在采购活动中产生的一切费用。 ★8、投标人提供的投标文件中的内容须清晰可见，内容模糊不清的视为无效。 ★9、安全要求：本项目履行期限及维保期内安全保障和责任全部由中标人自行承担。 ★10、中标人须在中标后签订合同前向招标人提供《承诺书》（格式详见拟签订的合同文件-附件3）并加盖鲜章。 11、本项目招标人要求投标人能够针对本项目的采购需求制定实施及售后服务方案，方案包含以下内容： ①供、配货及安装调试方案； ②实施人员和售后服务人员配置方案； ③培训方案；④质量、安全保障措施方案；⑤备品备件方案；⑥售后服务计划和维修处理流程方案。本项目将根据投标人编制的实施及售后服务方案进行综合评审，详细的评审规则见第五章中的“评标细则及标准”。 12、履约能力：本项目招标人要求投标人能够针对本项目的采购需求提供类似项目业绩。本项目将根据投标人的履约应答情况进行综合评审，详细的评审规则见第五章中的“评标细则及标准”。注：1、针对“3.3.服务要求”和“3.4.其他要求”内容，投标人应在“服务应答表”中响应。2、本项目涉及的标准、规范若已作废或未提及的，以国家最新的标准、规范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上传相应证明文件并进行电子签章。（①可提供2022-2025年度（任意一年）经审计的财务报告复印件（包含审计报告和审计报告中所涉及的财务报表和报表附注）；②也可提供2022-2025年度（任意一年）投标人内部的财务报表复印件（至少包含资产负债表、现金流量表、利润表）；③也可提供距文件递交截止日一年内银行出具的资信证明（复印件）；④投标人注册时间至文件递交截止日不足一年的，也可提供在工商备案的公司章程（复印件）；⑤非营利性单位或者社会团体或者其他机关事业单位以符合财务会计制度为准或者提供承诺函；⑥投标人为自然人的提供承诺函（格式自拟）；⑦投标人也可提供财务会计制度承诺函（格式自拟）。）</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投标人所投产品为医疗器械时须符合《医疗器械监督管理条例》的要求。</w:t>
            </w:r>
          </w:p>
        </w:tc>
        <w:tc>
          <w:tcPr>
            <w:tcW w:type="dxa" w:w="3322"/>
          </w:tcPr>
          <w:p>
            <w:pPr>
              <w:pStyle w:val="null3"/>
              <w:jc w:val="left"/>
            </w:pPr>
            <w:r>
              <w:rPr>
                <w:rFonts w:ascii="仿宋_GB2312" w:hAnsi="仿宋_GB2312" w:cs="仿宋_GB2312" w:eastAsia="仿宋_GB2312"/>
              </w:rPr>
              <w:t>所投产品为三类医疗器械时须提供投标人的《医疗器械经营许可证》复印件；二类须提供投标人的医疗器械经营备案凭证复印件；一类可不提供。（根据国办发【2017】41号政策要求“多证合一”的营业执照除外）。</w:t>
            </w:r>
          </w:p>
        </w:tc>
        <w:tc>
          <w:tcPr>
            <w:tcW w:type="dxa" w:w="1661"/>
          </w:tcPr>
          <w:p>
            <w:pPr>
              <w:pStyle w:val="null3"/>
              <w:jc w:val="left"/>
            </w:pPr>
            <w:r>
              <w:rPr>
                <w:rFonts w:ascii="仿宋_GB2312" w:hAnsi="仿宋_GB2312" w:cs="仿宋_GB2312" w:eastAsia="仿宋_GB2312"/>
              </w:rPr>
              <w:t>特定资格证明材料.docx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投标产品为医疗器械时须符合《医疗器械注册与备案管理办法》的要求。</w:t>
            </w:r>
          </w:p>
        </w:tc>
        <w:tc>
          <w:tcPr>
            <w:tcW w:type="dxa" w:w="3322"/>
          </w:tcPr>
          <w:p>
            <w:pPr>
              <w:pStyle w:val="null3"/>
              <w:jc w:val="left"/>
            </w:pPr>
            <w:r>
              <w:rPr>
                <w:rFonts w:ascii="仿宋_GB2312" w:hAnsi="仿宋_GB2312" w:cs="仿宋_GB2312" w:eastAsia="仿宋_GB2312"/>
              </w:rPr>
              <w:t>1.所投产品为二类、三类医疗器械时须提供《医疗器械注册证》和《注册登记表》复印件或国家新颁发的《医疗器械注册证》复印件；一类时仅须提供医疗器械注册备案复印件。 2.所投产品为二类、三类医疗器械时须提供制造厂商的《医疗器械生产许可证》复印件；一类仅须提供制造商的医疗器械生产备案凭证复印件。</w:t>
            </w:r>
          </w:p>
        </w:tc>
        <w:tc>
          <w:tcPr>
            <w:tcW w:type="dxa" w:w="1661"/>
          </w:tcPr>
          <w:p>
            <w:pPr>
              <w:pStyle w:val="null3"/>
              <w:jc w:val="left"/>
            </w:pPr>
            <w:r>
              <w:rPr>
                <w:rFonts w:ascii="仿宋_GB2312" w:hAnsi="仿宋_GB2312" w:cs="仿宋_GB2312" w:eastAsia="仿宋_GB2312"/>
              </w:rPr>
              <w:t>特定资格证明材料.docx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异常低价投标审查（实质性要求）</w:t>
            </w:r>
          </w:p>
        </w:tc>
        <w:tc>
          <w:tcPr>
            <w:tcW w:type="dxa" w:w="3322"/>
          </w:tcPr>
          <w:p>
            <w:pPr>
              <w:pStyle w:val="null3"/>
              <w:jc w:val="left"/>
            </w:pPr>
            <w:r>
              <w:rPr>
                <w:rFonts w:ascii="仿宋_GB2312" w:hAnsi="仿宋_GB2312" w:cs="仿宋_GB2312" w:eastAsia="仿宋_GB2312"/>
              </w:rPr>
              <w:t>见本招标文件第二章 投标人须知-2.4.5.投标报价</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符合招标文件的实质性要求（实质性要求）。</w:t>
            </w:r>
          </w:p>
        </w:tc>
        <w:tc>
          <w:tcPr>
            <w:tcW w:type="dxa" w:w="3322"/>
          </w:tcPr>
          <w:p>
            <w:pPr>
              <w:pStyle w:val="null3"/>
              <w:jc w:val="left"/>
            </w:pPr>
            <w:r>
              <w:rPr>
                <w:rFonts w:ascii="仿宋_GB2312" w:hAnsi="仿宋_GB2312" w:cs="仿宋_GB2312" w:eastAsia="仿宋_GB2312"/>
              </w:rPr>
              <w:t>投标人按照要求提供投标文件，并满足本招标文件的实质性要求，并按要求提供相关的证明材料。</w:t>
            </w:r>
          </w:p>
        </w:tc>
        <w:tc>
          <w:tcPr>
            <w:tcW w:type="dxa" w:w="1661"/>
          </w:tcPr>
          <w:p>
            <w:pPr>
              <w:pStyle w:val="null3"/>
              <w:jc w:val="left"/>
            </w:pPr>
            <w:r>
              <w:rPr>
                <w:rFonts w:ascii="仿宋_GB2312" w:hAnsi="仿宋_GB2312" w:cs="仿宋_GB2312" w:eastAsia="仿宋_GB2312"/>
              </w:rPr>
              <w:t>投标人应提交的相关证明材料,分项清单表.docx,报价表,产品技术参数响应表.docx,服务应答表.docx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投标文件技术参数完全满足招标文件第三章“技术参数与性能指标”的得47分;投标文件技术参数与招标文件第三章“技术参数与性能指标”有负偏离的，按以下方式计算得分： 1.“▲”参数得分=（投标人满足“▲”参数的数量÷“▲”参数的总数量）×44分；招标文件中产品技术参数带“▲”号项的共10项。 2.一般参数得分=（投标人满足一般参数的数量÷一般参数的总数量）×3分；招标文件中产品技术参数为一般参数的共15项。 3.投标人此项得分=一般参数得分＋“▲”参数得分。 注：①带“▲”为重要参数，技术参数中有明确要求的按要求提供相关材料，若未提供佐证材料或参数负偏离的皆视为不满足；未作要求的,提供相对应产品佐证的证明材料 （产品彩页或产品说明书或国家认可的第三方检测机构出具的报告）。 ② 未带“▲”和“★”为一般参数，一般参数中技术参数中有明确要求的按要求提供相关材料，若未提供佐证材料或参数负偏离的皆视为不满足；未要求提供的以投标人应答为准。 ③无子项的要求，按该项扣分；有子项要求的，按照最末尾子项进行计算。</w:t>
            </w:r>
          </w:p>
        </w:tc>
        <w:tc>
          <w:tcPr>
            <w:tcW w:type="dxa" w:w="831"/>
          </w:tcPr>
          <w:p>
            <w:pPr>
              <w:pStyle w:val="null3"/>
              <w:jc w:val="center"/>
            </w:pPr>
            <w:r>
              <w:rPr>
                <w:rFonts w:ascii="仿宋_GB2312" w:hAnsi="仿宋_GB2312" w:cs="仿宋_GB2312" w:eastAsia="仿宋_GB2312"/>
              </w:rPr>
              <w:t>47.0000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产品技术参数响应表.docx</w:t>
            </w:r>
          </w:p>
        </w:tc>
      </w:tr>
      <w:tr>
        <w:tc>
          <w:tcPr>
            <w:tcW w:type="dxa" w:w="831"/>
            <w:vMerge/>
          </w:tcPr>
          <w:p/>
        </w:tc>
        <w:tc>
          <w:tcPr>
            <w:tcW w:type="dxa" w:w="1661"/>
          </w:tcPr>
          <w:p>
            <w:pPr>
              <w:pStyle w:val="null3"/>
              <w:jc w:val="left"/>
            </w:pPr>
            <w:r>
              <w:rPr>
                <w:rFonts w:ascii="仿宋_GB2312" w:hAnsi="仿宋_GB2312" w:cs="仿宋_GB2312" w:eastAsia="仿宋_GB2312"/>
              </w:rPr>
              <w:t>实施及售后服务方案</w:t>
            </w:r>
          </w:p>
        </w:tc>
        <w:tc>
          <w:tcPr>
            <w:tcW w:type="dxa" w:w="2575"/>
          </w:tcPr>
          <w:p>
            <w:pPr>
              <w:pStyle w:val="null3"/>
              <w:jc w:val="left"/>
            </w:pPr>
            <w:r>
              <w:rPr>
                <w:rFonts w:ascii="仿宋_GB2312" w:hAnsi="仿宋_GB2312" w:cs="仿宋_GB2312" w:eastAsia="仿宋_GB2312"/>
              </w:rPr>
              <w:t>根据投标人针对本项目编制的实施及售后服务方案进行综合评审，包含： ①供、配货及安装调试方案； ②实施人员和售后服务人员配置方案； ③培训方案；④质量、安全保障措施方案；⑤备品备件方案；⑥售后服务计划和维修处理流程方案。 内容完整满足项目采购需求的得21分，每缺少一项方案扣3.5分，方案内容中每有一处错误或缺陷的扣3分，扣完为止。 注：“错误或缺陷”是指以下情形中的任意一项：①本项目提供的方案中引用法律、规范、标准存在失效或错误；②非专门针对本项目编制或方案内容与本项目需求无关；③方案内容不适用本项目特性；④方案内容过于简略或存在错误，存在与项目无关的内容；⑤明显复制或套用其他项目内容；⑥项目名称、采购人名称、时间进度、地点区域错误；⑦文案逻辑前后不一致，各单条服务方案之间逻辑抵触；⑧方案内容仅有评审因素题纲（或题干）的摘引或直接复制采购需求而无相应的实质性明确内容阐述。</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投标人具有2023年1月1日（含）至今（以签订合同时间为准）的类似业绩，每提供一个得1分；最多得2分。 注：以投标人提供完整的合同影印件并加盖公章或电子签章为依据。</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分项清单表.docx</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详见附件：特定资格证明材料.docx</w:t>
      </w:r>
    </w:p>
    <w:p>
      <w:pPr>
        <w:pStyle w:val="null3"/>
        <w:ind w:firstLine="960"/>
        <w:jc w:val="left"/>
      </w:pPr>
      <w:r>
        <w:rPr>
          <w:rFonts w:ascii="仿宋_GB2312" w:hAnsi="仿宋_GB2312" w:cs="仿宋_GB2312" w:eastAsia="仿宋_GB2312"/>
        </w:rPr>
        <w:t>详见附件：产品技术参数响应表.docx</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详见附件：分项清单表.docx</w:t>
      </w:r>
    </w:p>
    <w:p>
      <w:pPr>
        <w:pStyle w:val="null3"/>
        <w:ind w:firstLine="960"/>
        <w:jc w:val="left"/>
      </w:pPr>
      <w:r>
        <w:rPr>
          <w:rFonts w:ascii="仿宋_GB2312" w:hAnsi="仿宋_GB2312" w:cs="仿宋_GB2312" w:eastAsia="仿宋_GB2312"/>
        </w:rPr>
        <w:t>详见附件：项目方案.docx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详见附件：四川省自贡市第一人民医院医疗设备购销合同（ 感觉阈值检测仪）.docx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