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787AA">
      <w:pPr>
        <w:spacing w:line="360" w:lineRule="auto"/>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 xml:space="preserve">招标编号： </w:t>
      </w:r>
    </w:p>
    <w:p w14:paraId="6FDFE4D6">
      <w:pPr>
        <w:spacing w:line="360" w:lineRule="auto"/>
        <w:jc w:val="center"/>
        <w:rPr>
          <w:rFonts w:hint="eastAsia" w:ascii="仿宋" w:hAnsi="仿宋" w:eastAsia="仿宋" w:cs="仿宋"/>
          <w:b/>
          <w:color w:val="auto"/>
          <w:szCs w:val="36"/>
          <w:u w:val="single"/>
        </w:rPr>
      </w:pPr>
    </w:p>
    <w:p w14:paraId="145E242E">
      <w:pPr>
        <w:jc w:val="center"/>
        <w:rPr>
          <w:rFonts w:hint="eastAsia" w:ascii="仿宋" w:hAnsi="仿宋" w:eastAsia="仿宋" w:cs="仿宋"/>
          <w:b/>
          <w:color w:val="auto"/>
          <w:spacing w:val="-20"/>
          <w:sz w:val="96"/>
          <w:szCs w:val="84"/>
        </w:rPr>
      </w:pPr>
      <w:r>
        <w:rPr>
          <w:rFonts w:hint="eastAsia" w:ascii="仿宋" w:hAnsi="仿宋" w:eastAsia="仿宋" w:cs="仿宋"/>
          <w:b/>
          <w:color w:val="auto"/>
          <w:spacing w:val="-20"/>
          <w:sz w:val="96"/>
          <w:szCs w:val="84"/>
        </w:rPr>
        <w:t>维</w:t>
      </w:r>
    </w:p>
    <w:p w14:paraId="067CF0E3">
      <w:pPr>
        <w:jc w:val="center"/>
        <w:rPr>
          <w:rFonts w:hint="eastAsia" w:ascii="仿宋" w:hAnsi="仿宋" w:eastAsia="仿宋" w:cs="仿宋"/>
          <w:b/>
          <w:color w:val="auto"/>
          <w:spacing w:val="-20"/>
          <w:sz w:val="96"/>
          <w:szCs w:val="84"/>
        </w:rPr>
      </w:pPr>
      <w:r>
        <w:rPr>
          <w:rFonts w:hint="eastAsia" w:ascii="仿宋" w:hAnsi="仿宋" w:eastAsia="仿宋" w:cs="仿宋"/>
          <w:b/>
          <w:color w:val="auto"/>
          <w:spacing w:val="-20"/>
          <w:sz w:val="96"/>
          <w:szCs w:val="84"/>
        </w:rPr>
        <w:t>保</w:t>
      </w:r>
    </w:p>
    <w:p w14:paraId="6CE0224B">
      <w:pPr>
        <w:jc w:val="center"/>
        <w:rPr>
          <w:rFonts w:hint="eastAsia" w:ascii="仿宋" w:hAnsi="仿宋" w:eastAsia="仿宋" w:cs="仿宋"/>
          <w:b/>
          <w:color w:val="auto"/>
          <w:spacing w:val="-20"/>
          <w:sz w:val="96"/>
          <w:szCs w:val="84"/>
        </w:rPr>
      </w:pPr>
      <w:r>
        <w:rPr>
          <w:rFonts w:hint="eastAsia" w:ascii="仿宋" w:hAnsi="仿宋" w:eastAsia="仿宋" w:cs="仿宋"/>
          <w:b/>
          <w:color w:val="auto"/>
          <w:spacing w:val="-20"/>
          <w:sz w:val="96"/>
          <w:szCs w:val="84"/>
        </w:rPr>
        <w:t>服</w:t>
      </w:r>
    </w:p>
    <w:p w14:paraId="6BAD6CC5">
      <w:pPr>
        <w:jc w:val="center"/>
        <w:rPr>
          <w:rFonts w:hint="eastAsia" w:ascii="仿宋" w:hAnsi="仿宋" w:eastAsia="仿宋" w:cs="仿宋"/>
          <w:b/>
          <w:color w:val="auto"/>
          <w:spacing w:val="-20"/>
          <w:sz w:val="96"/>
          <w:szCs w:val="84"/>
        </w:rPr>
      </w:pPr>
      <w:r>
        <w:rPr>
          <w:rFonts w:hint="eastAsia" w:ascii="仿宋" w:hAnsi="仿宋" w:eastAsia="仿宋" w:cs="仿宋"/>
          <w:b/>
          <w:color w:val="auto"/>
          <w:spacing w:val="-20"/>
          <w:sz w:val="96"/>
          <w:szCs w:val="84"/>
        </w:rPr>
        <w:t>务</w:t>
      </w:r>
    </w:p>
    <w:p w14:paraId="588BFBDF">
      <w:pPr>
        <w:jc w:val="center"/>
        <w:rPr>
          <w:rFonts w:hint="eastAsia" w:ascii="仿宋" w:hAnsi="仿宋" w:eastAsia="仿宋" w:cs="仿宋"/>
          <w:b/>
          <w:color w:val="auto"/>
          <w:spacing w:val="-20"/>
          <w:sz w:val="96"/>
          <w:szCs w:val="84"/>
        </w:rPr>
      </w:pPr>
      <w:r>
        <w:rPr>
          <w:rFonts w:hint="eastAsia" w:ascii="仿宋" w:hAnsi="仿宋" w:eastAsia="仿宋" w:cs="仿宋"/>
          <w:b/>
          <w:color w:val="auto"/>
          <w:spacing w:val="-20"/>
          <w:sz w:val="96"/>
          <w:szCs w:val="84"/>
        </w:rPr>
        <w:t>合</w:t>
      </w:r>
    </w:p>
    <w:p w14:paraId="133FCF44">
      <w:pPr>
        <w:jc w:val="center"/>
        <w:rPr>
          <w:rFonts w:hint="eastAsia" w:ascii="仿宋" w:hAnsi="仿宋" w:eastAsia="仿宋" w:cs="仿宋"/>
          <w:b/>
          <w:color w:val="auto"/>
          <w:sz w:val="84"/>
          <w:szCs w:val="84"/>
        </w:rPr>
      </w:pPr>
      <w:r>
        <w:rPr>
          <w:rFonts w:hint="eastAsia" w:ascii="仿宋" w:hAnsi="仿宋" w:eastAsia="仿宋" w:cs="仿宋"/>
          <w:b/>
          <w:color w:val="auto"/>
          <w:spacing w:val="-20"/>
          <w:sz w:val="96"/>
          <w:szCs w:val="84"/>
        </w:rPr>
        <w:t>同</w:t>
      </w:r>
    </w:p>
    <w:p w14:paraId="44369A76">
      <w:pPr>
        <w:spacing w:line="360" w:lineRule="auto"/>
        <w:ind w:firstLine="1446" w:firstLineChars="450"/>
        <w:rPr>
          <w:rFonts w:hint="eastAsia" w:ascii="仿宋" w:hAnsi="仿宋" w:eastAsia="仿宋" w:cs="仿宋"/>
          <w:b/>
          <w:color w:val="auto"/>
          <w:sz w:val="32"/>
          <w:szCs w:val="32"/>
        </w:rPr>
      </w:pPr>
    </w:p>
    <w:p w14:paraId="7EABC366">
      <w:pPr>
        <w:spacing w:line="360" w:lineRule="auto"/>
        <w:ind w:firstLine="1446" w:firstLineChars="450"/>
        <w:rPr>
          <w:rFonts w:hint="eastAsia" w:ascii="仿宋" w:hAnsi="仿宋" w:eastAsia="仿宋" w:cs="仿宋"/>
          <w:b/>
          <w:color w:val="auto"/>
          <w:sz w:val="32"/>
          <w:szCs w:val="32"/>
        </w:rPr>
      </w:pPr>
      <w:r>
        <w:rPr>
          <w:rFonts w:hint="eastAsia" w:ascii="仿宋" w:hAnsi="仿宋" w:eastAsia="仿宋" w:cs="仿宋"/>
          <w:b/>
          <w:color w:val="auto"/>
          <w:sz w:val="32"/>
          <w:szCs w:val="32"/>
        </w:rPr>
        <w:t>合  同  编  号：</w:t>
      </w:r>
    </w:p>
    <w:p w14:paraId="51322A2F">
      <w:pPr>
        <w:spacing w:line="360" w:lineRule="auto"/>
        <w:ind w:firstLine="1446" w:firstLineChars="450"/>
        <w:rPr>
          <w:rFonts w:hint="eastAsia" w:ascii="仿宋" w:hAnsi="仿宋" w:eastAsia="仿宋" w:cs="仿宋"/>
          <w:b/>
          <w:color w:val="auto"/>
          <w:sz w:val="32"/>
          <w:szCs w:val="32"/>
        </w:rPr>
      </w:pPr>
      <w:r>
        <w:rPr>
          <w:rFonts w:hint="eastAsia" w:ascii="仿宋" w:hAnsi="仿宋" w:eastAsia="仿宋" w:cs="仿宋"/>
          <w:b/>
          <w:color w:val="auto"/>
          <w:sz w:val="32"/>
          <w:szCs w:val="32"/>
        </w:rPr>
        <w:t>甲方（采购人）： 成都市双流区第一人民医院</w:t>
      </w:r>
    </w:p>
    <w:p w14:paraId="686BC6B7">
      <w:pPr>
        <w:spacing w:line="360" w:lineRule="auto"/>
        <w:ind w:firstLine="4016" w:firstLineChars="1250"/>
        <w:rPr>
          <w:rFonts w:hint="eastAsia" w:ascii="仿宋" w:hAnsi="仿宋" w:eastAsia="仿宋" w:cs="仿宋"/>
          <w:b/>
          <w:color w:val="auto"/>
          <w:sz w:val="32"/>
          <w:szCs w:val="32"/>
        </w:rPr>
      </w:pPr>
      <w:r>
        <w:rPr>
          <w:rFonts w:hint="eastAsia" w:ascii="仿宋" w:hAnsi="仿宋" w:eastAsia="仿宋" w:cs="仿宋"/>
          <w:b/>
          <w:color w:val="auto"/>
          <w:sz w:val="32"/>
          <w:szCs w:val="32"/>
        </w:rPr>
        <w:t>（四川大学华西空港医院）</w:t>
      </w:r>
    </w:p>
    <w:p w14:paraId="765EA39C">
      <w:pPr>
        <w:spacing w:line="360" w:lineRule="auto"/>
        <w:ind w:firstLine="1446" w:firstLineChars="450"/>
        <w:rPr>
          <w:rFonts w:hint="eastAsia" w:ascii="仿宋" w:hAnsi="仿宋" w:eastAsia="仿宋" w:cs="仿宋"/>
          <w:b/>
          <w:color w:val="auto"/>
          <w:sz w:val="32"/>
          <w:szCs w:val="32"/>
        </w:rPr>
      </w:pPr>
      <w:r>
        <w:rPr>
          <w:rFonts w:hint="eastAsia" w:ascii="仿宋" w:hAnsi="仿宋" w:eastAsia="仿宋" w:cs="仿宋"/>
          <w:b/>
          <w:color w:val="auto"/>
          <w:sz w:val="32"/>
          <w:szCs w:val="32"/>
        </w:rPr>
        <w:t xml:space="preserve">乙方（供应商）： </w:t>
      </w:r>
    </w:p>
    <w:p w14:paraId="3A957267">
      <w:pPr>
        <w:spacing w:line="360" w:lineRule="auto"/>
        <w:ind w:firstLine="1446" w:firstLineChars="450"/>
        <w:rPr>
          <w:rFonts w:hint="eastAsia" w:ascii="仿宋" w:hAnsi="仿宋" w:eastAsia="仿宋" w:cs="仿宋"/>
          <w:b/>
          <w:color w:val="auto"/>
          <w:sz w:val="32"/>
          <w:szCs w:val="32"/>
        </w:rPr>
      </w:pPr>
      <w:r>
        <w:rPr>
          <w:rFonts w:hint="eastAsia" w:ascii="仿宋" w:hAnsi="仿宋" w:eastAsia="仿宋" w:cs="仿宋"/>
          <w:b/>
          <w:color w:val="auto"/>
          <w:sz w:val="32"/>
          <w:szCs w:val="32"/>
        </w:rPr>
        <w:t>签  订  地  点：成都市双流区</w:t>
      </w:r>
    </w:p>
    <w:p w14:paraId="2E8B8188">
      <w:pPr>
        <w:spacing w:line="440" w:lineRule="exact"/>
        <w:jc w:val="left"/>
        <w:rPr>
          <w:rFonts w:hint="eastAsia" w:ascii="仿宋" w:hAnsi="仿宋" w:eastAsia="仿宋" w:cs="仿宋"/>
          <w:color w:val="auto"/>
          <w:sz w:val="24"/>
          <w:szCs w:val="24"/>
        </w:rPr>
      </w:pPr>
    </w:p>
    <w:p w14:paraId="5C88FE98">
      <w:pPr>
        <w:spacing w:line="440" w:lineRule="exact"/>
        <w:jc w:val="left"/>
        <w:rPr>
          <w:rFonts w:hint="eastAsia" w:ascii="仿宋" w:hAnsi="仿宋" w:eastAsia="仿宋" w:cs="仿宋"/>
          <w:color w:val="auto"/>
          <w:sz w:val="24"/>
          <w:szCs w:val="24"/>
        </w:rPr>
      </w:pPr>
    </w:p>
    <w:p w14:paraId="592434FA">
      <w:pPr>
        <w:spacing w:line="440" w:lineRule="exact"/>
        <w:jc w:val="left"/>
        <w:rPr>
          <w:rFonts w:hint="eastAsia" w:ascii="仿宋" w:hAnsi="仿宋" w:eastAsia="仿宋" w:cs="仿宋"/>
          <w:color w:val="auto"/>
          <w:sz w:val="24"/>
          <w:szCs w:val="24"/>
        </w:rPr>
      </w:pPr>
    </w:p>
    <w:p w14:paraId="4C7451C1">
      <w:pPr>
        <w:spacing w:line="440" w:lineRule="exact"/>
        <w:jc w:val="center"/>
        <w:rPr>
          <w:rFonts w:hint="eastAsia" w:ascii="仿宋" w:hAnsi="仿宋" w:eastAsia="仿宋" w:cs="仿宋"/>
          <w:color w:val="auto"/>
          <w:sz w:val="32"/>
          <w:szCs w:val="32"/>
        </w:rPr>
      </w:pPr>
      <w:r>
        <w:rPr>
          <w:rFonts w:hint="eastAsia" w:ascii="仿宋" w:hAnsi="仿宋" w:eastAsia="仿宋" w:cs="仿宋"/>
          <w:color w:val="auto"/>
          <w:sz w:val="32"/>
          <w:szCs w:val="32"/>
        </w:rPr>
        <w:t>维 保 服 务 合 同</w:t>
      </w:r>
    </w:p>
    <w:p w14:paraId="1425B7E4">
      <w:pPr>
        <w:spacing w:line="440" w:lineRule="exact"/>
        <w:jc w:val="left"/>
        <w:rPr>
          <w:rFonts w:hint="eastAsia" w:ascii="仿宋" w:hAnsi="仿宋" w:eastAsia="仿宋" w:cs="仿宋"/>
          <w:color w:val="auto"/>
          <w:sz w:val="24"/>
          <w:szCs w:val="24"/>
        </w:rPr>
      </w:pPr>
    </w:p>
    <w:p w14:paraId="0B2B7EF2">
      <w:pPr>
        <w:spacing w:line="440" w:lineRule="exact"/>
        <w:jc w:val="left"/>
        <w:rPr>
          <w:rFonts w:hint="eastAsia" w:ascii="仿宋" w:hAnsi="仿宋" w:eastAsia="仿宋" w:cs="仿宋"/>
          <w:color w:val="auto"/>
          <w:sz w:val="24"/>
          <w:szCs w:val="24"/>
        </w:rPr>
      </w:pPr>
      <w:r>
        <w:rPr>
          <w:rFonts w:hint="eastAsia" w:ascii="仿宋" w:hAnsi="仿宋" w:eastAsia="仿宋" w:cs="仿宋"/>
          <w:color w:val="auto"/>
          <w:sz w:val="28"/>
          <w:szCs w:val="28"/>
        </w:rPr>
        <w:t>项目基本情况</w:t>
      </w:r>
    </w:p>
    <w:p w14:paraId="0636CF5A">
      <w:pPr>
        <w:spacing w:line="360" w:lineRule="auto"/>
        <w:ind w:firstLine="420" w:firstLineChars="15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rPr>
        <w:t xml:space="preserve">1.项目名称：2025年第二批医疗设备维保服务采购项目 </w:t>
      </w:r>
    </w:p>
    <w:p w14:paraId="06AD34D3">
      <w:pPr>
        <w:spacing w:line="360" w:lineRule="auto"/>
        <w:ind w:firstLine="420" w:firstLineChars="15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rPr>
        <w:t>2.招标编号：</w:t>
      </w:r>
      <w:r>
        <w:rPr>
          <w:rFonts w:hint="eastAsia" w:ascii="仿宋" w:hAnsi="仿宋" w:eastAsia="仿宋" w:cs="仿宋"/>
          <w:color w:val="auto"/>
          <w:spacing w:val="20"/>
          <w:sz w:val="24"/>
          <w:szCs w:val="24"/>
          <w:lang w:val="en-US" w:eastAsia="zh-CN"/>
        </w:rPr>
        <w:t xml:space="preserve">N5101162025000465 </w:t>
      </w:r>
    </w:p>
    <w:p w14:paraId="670874A4">
      <w:pPr>
        <w:spacing w:line="360" w:lineRule="auto"/>
        <w:ind w:firstLine="420" w:firstLineChars="150"/>
        <w:rPr>
          <w:rFonts w:hint="default" w:ascii="仿宋" w:hAnsi="仿宋" w:eastAsia="仿宋" w:cs="仿宋"/>
          <w:color w:val="auto"/>
          <w:spacing w:val="20"/>
          <w:sz w:val="24"/>
          <w:szCs w:val="24"/>
          <w:lang w:val="en-US" w:eastAsia="zh-CN"/>
        </w:rPr>
      </w:pPr>
      <w:r>
        <w:rPr>
          <w:rFonts w:hint="eastAsia" w:ascii="仿宋" w:hAnsi="仿宋" w:eastAsia="仿宋" w:cs="仿宋"/>
          <w:color w:val="auto"/>
          <w:spacing w:val="20"/>
          <w:sz w:val="24"/>
          <w:szCs w:val="24"/>
        </w:rPr>
        <w:t>3.采购方式：</w:t>
      </w:r>
      <w:r>
        <w:rPr>
          <w:rFonts w:hint="eastAsia" w:ascii="仿宋" w:hAnsi="仿宋" w:eastAsia="仿宋" w:cs="仿宋"/>
          <w:color w:val="auto"/>
          <w:spacing w:val="20"/>
          <w:sz w:val="24"/>
          <w:szCs w:val="24"/>
          <w:lang w:val="en-US" w:eastAsia="zh-CN"/>
        </w:rPr>
        <w:t>单一来源</w:t>
      </w:r>
    </w:p>
    <w:p w14:paraId="75C08CF1">
      <w:pPr>
        <w:spacing w:line="360" w:lineRule="auto"/>
        <w:ind w:firstLine="420" w:firstLineChars="15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rPr>
        <w:t>4.采购人：成都市双流区第一人民医院（四川大学华西空港医院）</w:t>
      </w:r>
    </w:p>
    <w:p w14:paraId="4F27AED3">
      <w:pPr>
        <w:spacing w:line="360" w:lineRule="auto"/>
        <w:ind w:firstLine="420" w:firstLineChars="150"/>
        <w:rPr>
          <w:rFonts w:hint="default" w:ascii="仿宋" w:hAnsi="仿宋" w:eastAsia="仿宋" w:cs="仿宋"/>
          <w:color w:val="auto"/>
          <w:spacing w:val="20"/>
          <w:sz w:val="24"/>
          <w:szCs w:val="24"/>
          <w:lang w:val="en-US" w:eastAsia="zh-CN"/>
        </w:rPr>
      </w:pPr>
      <w:r>
        <w:rPr>
          <w:rFonts w:hint="eastAsia" w:ascii="仿宋" w:hAnsi="仿宋" w:eastAsia="仿宋" w:cs="仿宋"/>
          <w:color w:val="auto"/>
          <w:spacing w:val="20"/>
          <w:sz w:val="24"/>
          <w:szCs w:val="24"/>
        </w:rPr>
        <w:t>5.采购代理机构：四川国际招标有限责任公司</w:t>
      </w:r>
    </w:p>
    <w:p w14:paraId="483F9025">
      <w:pPr>
        <w:spacing w:line="360" w:lineRule="auto"/>
        <w:ind w:firstLine="420" w:firstLineChars="15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rPr>
        <w:t xml:space="preserve">6.中标人： </w:t>
      </w:r>
    </w:p>
    <w:p w14:paraId="578F711B">
      <w:pPr>
        <w:spacing w:line="360" w:lineRule="auto"/>
        <w:ind w:firstLine="420" w:firstLineChars="15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rPr>
        <w:t>7.中标包号：第 包</w:t>
      </w:r>
    </w:p>
    <w:p w14:paraId="2B2FAFD8">
      <w:pPr>
        <w:spacing w:line="360" w:lineRule="auto"/>
        <w:ind w:firstLine="420" w:firstLineChars="15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rPr>
        <w:t xml:space="preserve">8.中标内容： </w:t>
      </w:r>
    </w:p>
    <w:p w14:paraId="43F6E3AA">
      <w:pPr>
        <w:pStyle w:val="2"/>
        <w:spacing w:line="420" w:lineRule="exact"/>
        <w:ind w:firstLine="420" w:firstLineChars="150"/>
        <w:jc w:val="left"/>
        <w:rPr>
          <w:rFonts w:hint="eastAsia" w:ascii="仿宋" w:hAnsi="仿宋" w:eastAsia="仿宋" w:cs="仿宋"/>
          <w:color w:val="auto"/>
          <w:spacing w:val="20"/>
          <w:sz w:val="24"/>
        </w:rPr>
      </w:pPr>
      <w:r>
        <w:rPr>
          <w:rFonts w:hint="eastAsia" w:ascii="仿宋" w:hAnsi="仿宋" w:eastAsia="仿宋" w:cs="仿宋"/>
          <w:color w:val="auto"/>
          <w:spacing w:val="20"/>
          <w:sz w:val="24"/>
        </w:rPr>
        <w:t>9.中标金额： 元，（大写：  ）。</w:t>
      </w:r>
    </w:p>
    <w:p w14:paraId="660B7733">
      <w:pPr>
        <w:pStyle w:val="2"/>
        <w:spacing w:line="420" w:lineRule="exact"/>
        <w:ind w:firstLine="420" w:firstLineChars="150"/>
        <w:jc w:val="left"/>
        <w:rPr>
          <w:rFonts w:hint="eastAsia" w:ascii="仿宋" w:hAnsi="仿宋" w:eastAsia="仿宋" w:cs="仿宋"/>
          <w:color w:val="auto"/>
          <w:spacing w:val="20"/>
          <w:sz w:val="24"/>
        </w:rPr>
      </w:pPr>
    </w:p>
    <w:p w14:paraId="007BD6AA">
      <w:pPr>
        <w:pStyle w:val="2"/>
        <w:spacing w:line="360" w:lineRule="auto"/>
        <w:ind w:firstLine="560" w:firstLineChars="200"/>
        <w:jc w:val="left"/>
        <w:rPr>
          <w:rFonts w:hint="eastAsia" w:ascii="仿宋" w:hAnsi="仿宋" w:eastAsia="仿宋" w:cs="仿宋"/>
          <w:color w:val="auto"/>
          <w:spacing w:val="20"/>
          <w:sz w:val="24"/>
        </w:rPr>
      </w:pPr>
      <w:r>
        <w:rPr>
          <w:rFonts w:hint="eastAsia" w:ascii="仿宋" w:hAnsi="仿宋" w:eastAsia="仿宋" w:cs="仿宋"/>
          <w:color w:val="auto"/>
          <w:spacing w:val="20"/>
          <w:sz w:val="24"/>
        </w:rPr>
        <w:t>根据《中华人民共和国政府采购法》，《中华人民共和国民法典》及成都市双流区第一人民医院</w:t>
      </w:r>
      <w:r>
        <w:rPr>
          <w:rFonts w:hint="eastAsia" w:ascii="仿宋" w:hAnsi="仿宋" w:eastAsia="仿宋" w:cs="仿宋"/>
          <w:color w:val="auto"/>
          <w:spacing w:val="20"/>
          <w:sz w:val="24"/>
          <w:lang w:eastAsia="zh-CN"/>
        </w:rPr>
        <w:t>（</w:t>
      </w:r>
      <w:r>
        <w:rPr>
          <w:rFonts w:hint="eastAsia" w:ascii="仿宋" w:hAnsi="仿宋" w:eastAsia="仿宋" w:cs="仿宋"/>
          <w:color w:val="auto"/>
          <w:spacing w:val="20"/>
          <w:sz w:val="24"/>
          <w:lang w:val="en-US" w:eastAsia="zh-CN"/>
        </w:rPr>
        <w:t>四川大学华西空港医院</w:t>
      </w:r>
      <w:r>
        <w:rPr>
          <w:rFonts w:hint="eastAsia" w:ascii="仿宋" w:hAnsi="仿宋" w:eastAsia="仿宋" w:cs="仿宋"/>
          <w:color w:val="auto"/>
          <w:spacing w:val="20"/>
          <w:sz w:val="24"/>
          <w:lang w:eastAsia="zh-CN"/>
        </w:rPr>
        <w:t>）</w:t>
      </w:r>
      <w:r>
        <w:rPr>
          <w:rFonts w:hint="eastAsia" w:ascii="仿宋" w:hAnsi="仿宋" w:eastAsia="仿宋" w:cs="仿宋"/>
          <w:color w:val="auto"/>
          <w:spacing w:val="20"/>
          <w:sz w:val="24"/>
          <w:lang w:val="en-US" w:eastAsia="zh-CN"/>
        </w:rPr>
        <w:t>2025年第二批医疗设备维保服务采购项目</w:t>
      </w:r>
      <w:r>
        <w:rPr>
          <w:rFonts w:hint="eastAsia" w:ascii="仿宋" w:hAnsi="仿宋" w:eastAsia="仿宋" w:cs="仿宋"/>
          <w:color w:val="auto"/>
          <w:spacing w:val="20"/>
          <w:sz w:val="24"/>
        </w:rPr>
        <w:t>（项目编号：</w:t>
      </w:r>
      <w:r>
        <w:rPr>
          <w:rFonts w:hint="eastAsia" w:ascii="仿宋" w:hAnsi="仿宋" w:eastAsia="仿宋" w:cs="仿宋"/>
          <w:color w:val="auto"/>
          <w:spacing w:val="20"/>
          <w:sz w:val="24"/>
          <w:lang w:val="en-US" w:eastAsia="zh-CN"/>
        </w:rPr>
        <w:t>N5101162025000465</w:t>
      </w:r>
      <w:r>
        <w:rPr>
          <w:rFonts w:hint="eastAsia" w:ascii="仿宋" w:hAnsi="仿宋" w:eastAsia="仿宋" w:cs="仿宋"/>
          <w:color w:val="auto"/>
          <w:spacing w:val="20"/>
          <w:sz w:val="24"/>
        </w:rPr>
        <w:t>）的《</w:t>
      </w:r>
      <w:r>
        <w:rPr>
          <w:rFonts w:hint="eastAsia" w:ascii="仿宋" w:hAnsi="仿宋" w:eastAsia="仿宋" w:cs="仿宋"/>
          <w:color w:val="auto"/>
          <w:spacing w:val="20"/>
          <w:sz w:val="24"/>
          <w:lang w:val="en-US" w:eastAsia="zh-CN"/>
        </w:rPr>
        <w:t>采购</w:t>
      </w:r>
      <w:r>
        <w:rPr>
          <w:rFonts w:hint="eastAsia" w:ascii="仿宋" w:hAnsi="仿宋" w:eastAsia="仿宋" w:cs="仿宋"/>
          <w:color w:val="auto"/>
          <w:spacing w:val="20"/>
          <w:sz w:val="24"/>
        </w:rPr>
        <w:t>文件》、乙方的《</w:t>
      </w:r>
      <w:r>
        <w:rPr>
          <w:rFonts w:hint="eastAsia" w:ascii="仿宋" w:hAnsi="仿宋" w:eastAsia="仿宋" w:cs="仿宋"/>
          <w:color w:val="auto"/>
          <w:spacing w:val="20"/>
          <w:sz w:val="24"/>
          <w:lang w:val="en-US" w:eastAsia="zh-CN"/>
        </w:rPr>
        <w:t>响应</w:t>
      </w:r>
      <w:r>
        <w:rPr>
          <w:rFonts w:hint="eastAsia" w:ascii="仿宋" w:hAnsi="仿宋" w:eastAsia="仿宋" w:cs="仿宋"/>
          <w:color w:val="auto"/>
          <w:spacing w:val="20"/>
          <w:sz w:val="24"/>
        </w:rPr>
        <w:t>文件》及《</w:t>
      </w:r>
      <w:r>
        <w:rPr>
          <w:rFonts w:hint="eastAsia" w:ascii="仿宋" w:hAnsi="仿宋" w:eastAsia="仿宋" w:cs="仿宋"/>
          <w:color w:val="auto"/>
          <w:spacing w:val="20"/>
          <w:sz w:val="24"/>
          <w:lang w:val="en-US" w:eastAsia="zh-CN"/>
        </w:rPr>
        <w:t>成交</w:t>
      </w:r>
      <w:r>
        <w:rPr>
          <w:rFonts w:hint="eastAsia" w:ascii="仿宋" w:hAnsi="仿宋" w:eastAsia="仿宋" w:cs="仿宋"/>
          <w:color w:val="auto"/>
          <w:spacing w:val="20"/>
          <w:sz w:val="24"/>
        </w:rPr>
        <w:t>通知书》，甲、乙双方同意签订本合同。详细技术说明及其他有关合同项目的特定信息由合同附件予以说明，合同附件及本项目的《</w:t>
      </w:r>
      <w:r>
        <w:rPr>
          <w:rFonts w:hint="eastAsia" w:ascii="仿宋" w:hAnsi="仿宋" w:eastAsia="仿宋" w:cs="仿宋"/>
          <w:color w:val="auto"/>
          <w:spacing w:val="20"/>
          <w:sz w:val="24"/>
          <w:lang w:val="en-US" w:eastAsia="zh-CN"/>
        </w:rPr>
        <w:t>采购</w:t>
      </w:r>
      <w:r>
        <w:rPr>
          <w:rFonts w:hint="eastAsia" w:ascii="仿宋" w:hAnsi="仿宋" w:eastAsia="仿宋" w:cs="仿宋"/>
          <w:color w:val="auto"/>
          <w:spacing w:val="20"/>
          <w:sz w:val="24"/>
        </w:rPr>
        <w:t>文件》、《</w:t>
      </w:r>
      <w:r>
        <w:rPr>
          <w:rFonts w:hint="eastAsia" w:ascii="仿宋" w:hAnsi="仿宋" w:eastAsia="仿宋" w:cs="仿宋"/>
          <w:color w:val="auto"/>
          <w:spacing w:val="20"/>
          <w:sz w:val="24"/>
          <w:lang w:val="en-US" w:eastAsia="zh-CN"/>
        </w:rPr>
        <w:t>响应</w:t>
      </w:r>
      <w:r>
        <w:rPr>
          <w:rFonts w:hint="eastAsia" w:ascii="仿宋" w:hAnsi="仿宋" w:eastAsia="仿宋" w:cs="仿宋"/>
          <w:color w:val="auto"/>
          <w:spacing w:val="20"/>
          <w:sz w:val="24"/>
        </w:rPr>
        <w:t>文件》、《成交通知书》等均为本合同不可分割的部分。双方同意共同遵守如下条款：</w:t>
      </w:r>
    </w:p>
    <w:p w14:paraId="42F1B3F9">
      <w:pPr>
        <w:pStyle w:val="2"/>
        <w:numPr>
          <w:ilvl w:val="0"/>
          <w:numId w:val="0"/>
        </w:numPr>
        <w:spacing w:line="360" w:lineRule="auto"/>
        <w:ind w:left="420" w:leftChars="0" w:hanging="420" w:firstLineChars="0"/>
        <w:rPr>
          <w:rFonts w:hint="eastAsia" w:ascii="仿宋" w:hAnsi="仿宋" w:eastAsia="仿宋" w:cs="仿宋"/>
          <w:b/>
          <w:bCs/>
          <w:color w:val="auto"/>
          <w:kern w:val="2"/>
          <w:sz w:val="28"/>
          <w:szCs w:val="28"/>
        </w:rPr>
      </w:pPr>
      <w:r>
        <w:rPr>
          <w:rFonts w:hint="eastAsia" w:ascii="仿宋" w:hAnsi="仿宋" w:eastAsia="仿宋" w:cs="仿宋"/>
          <w:b w:val="0"/>
          <w:bCs/>
          <w:color w:val="auto"/>
          <w:kern w:val="2"/>
          <w:sz w:val="28"/>
          <w:szCs w:val="28"/>
          <w:lang w:val="en-US" w:eastAsia="zh-CN" w:bidi="ar-SA"/>
        </w:rPr>
        <w:t>一、</w:t>
      </w:r>
      <w:r>
        <w:rPr>
          <w:rFonts w:hint="eastAsia" w:ascii="仿宋" w:hAnsi="仿宋" w:eastAsia="仿宋" w:cs="仿宋"/>
          <w:b/>
          <w:bCs/>
          <w:color w:val="auto"/>
          <w:kern w:val="2"/>
          <w:sz w:val="28"/>
          <w:szCs w:val="28"/>
        </w:rPr>
        <w:t>设备信息及维保方案</w:t>
      </w:r>
    </w:p>
    <w:p w14:paraId="76C0B0F7">
      <w:pPr>
        <w:pStyle w:val="2"/>
        <w:spacing w:line="360" w:lineRule="auto"/>
        <w:ind w:firstLine="560" w:firstLineChars="200"/>
        <w:rPr>
          <w:rFonts w:hint="eastAsia" w:ascii="仿宋" w:hAnsi="仿宋" w:eastAsia="仿宋" w:cs="仿宋"/>
          <w:color w:val="auto"/>
          <w:spacing w:val="20"/>
          <w:sz w:val="24"/>
        </w:rPr>
      </w:pPr>
      <w:r>
        <w:rPr>
          <w:rFonts w:hint="eastAsia" w:ascii="仿宋" w:hAnsi="仿宋" w:eastAsia="仿宋" w:cs="仿宋"/>
          <w:color w:val="auto"/>
          <w:spacing w:val="20"/>
          <w:sz w:val="24"/>
        </w:rPr>
        <w:t>1.设备信息。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55F6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40" w:type="dxa"/>
            <w:noWrap w:val="0"/>
            <w:vAlign w:val="top"/>
          </w:tcPr>
          <w:p w14:paraId="08A63B74">
            <w:pPr>
              <w:pStyle w:val="2"/>
              <w:spacing w:line="420" w:lineRule="exact"/>
              <w:jc w:val="center"/>
              <w:rPr>
                <w:rFonts w:hint="eastAsia" w:ascii="仿宋" w:hAnsi="仿宋" w:eastAsia="仿宋" w:cs="仿宋"/>
                <w:color w:val="auto"/>
                <w:spacing w:val="20"/>
                <w:sz w:val="24"/>
              </w:rPr>
            </w:pPr>
            <w:r>
              <w:rPr>
                <w:rFonts w:hint="eastAsia" w:ascii="仿宋" w:hAnsi="仿宋" w:eastAsia="仿宋" w:cs="仿宋"/>
                <w:color w:val="auto"/>
                <w:spacing w:val="20"/>
                <w:sz w:val="24"/>
              </w:rPr>
              <w:t>设备名称</w:t>
            </w:r>
          </w:p>
        </w:tc>
        <w:tc>
          <w:tcPr>
            <w:tcW w:w="2841" w:type="dxa"/>
            <w:noWrap w:val="0"/>
            <w:vAlign w:val="top"/>
          </w:tcPr>
          <w:p w14:paraId="1E57A33D">
            <w:pPr>
              <w:pStyle w:val="2"/>
              <w:spacing w:line="420" w:lineRule="exact"/>
              <w:jc w:val="center"/>
              <w:rPr>
                <w:rFonts w:hint="eastAsia" w:ascii="仿宋" w:hAnsi="仿宋" w:eastAsia="仿宋" w:cs="仿宋"/>
                <w:color w:val="auto"/>
                <w:spacing w:val="20"/>
                <w:sz w:val="24"/>
              </w:rPr>
            </w:pPr>
            <w:r>
              <w:rPr>
                <w:rFonts w:hint="eastAsia" w:ascii="仿宋" w:hAnsi="仿宋" w:eastAsia="仿宋" w:cs="仿宋"/>
                <w:color w:val="auto"/>
                <w:spacing w:val="20"/>
                <w:sz w:val="24"/>
              </w:rPr>
              <w:t>规格型号</w:t>
            </w:r>
          </w:p>
        </w:tc>
        <w:tc>
          <w:tcPr>
            <w:tcW w:w="2841" w:type="dxa"/>
            <w:noWrap w:val="0"/>
            <w:vAlign w:val="top"/>
          </w:tcPr>
          <w:p w14:paraId="650F959B">
            <w:pPr>
              <w:pStyle w:val="2"/>
              <w:spacing w:line="420" w:lineRule="exact"/>
              <w:jc w:val="center"/>
              <w:rPr>
                <w:rFonts w:hint="eastAsia" w:ascii="仿宋" w:hAnsi="仿宋" w:eastAsia="仿宋" w:cs="仿宋"/>
                <w:color w:val="auto"/>
                <w:spacing w:val="20"/>
                <w:sz w:val="24"/>
              </w:rPr>
            </w:pPr>
            <w:r>
              <w:rPr>
                <w:rFonts w:hint="eastAsia" w:ascii="仿宋" w:hAnsi="仿宋" w:eastAsia="仿宋" w:cs="仿宋"/>
                <w:color w:val="auto"/>
                <w:spacing w:val="20"/>
                <w:sz w:val="24"/>
              </w:rPr>
              <w:t>数量（台）</w:t>
            </w:r>
          </w:p>
        </w:tc>
      </w:tr>
      <w:tr w14:paraId="60A9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14:paraId="040B2415">
            <w:pPr>
              <w:pStyle w:val="2"/>
              <w:spacing w:line="420" w:lineRule="exact"/>
              <w:jc w:val="center"/>
              <w:rPr>
                <w:rFonts w:hint="eastAsia" w:ascii="仿宋" w:hAnsi="仿宋" w:eastAsia="仿宋" w:cs="仿宋"/>
                <w:color w:val="auto"/>
                <w:spacing w:val="20"/>
                <w:sz w:val="24"/>
              </w:rPr>
            </w:pPr>
          </w:p>
        </w:tc>
        <w:tc>
          <w:tcPr>
            <w:tcW w:w="2841" w:type="dxa"/>
            <w:noWrap w:val="0"/>
            <w:vAlign w:val="top"/>
          </w:tcPr>
          <w:p w14:paraId="2A5EDA11">
            <w:pPr>
              <w:pStyle w:val="2"/>
              <w:spacing w:line="420" w:lineRule="exact"/>
              <w:jc w:val="center"/>
              <w:rPr>
                <w:rFonts w:hint="eastAsia" w:ascii="仿宋" w:hAnsi="仿宋" w:eastAsia="仿宋" w:cs="仿宋"/>
                <w:color w:val="auto"/>
                <w:spacing w:val="20"/>
                <w:sz w:val="24"/>
              </w:rPr>
            </w:pPr>
          </w:p>
        </w:tc>
        <w:tc>
          <w:tcPr>
            <w:tcW w:w="2841" w:type="dxa"/>
            <w:noWrap w:val="0"/>
            <w:vAlign w:val="top"/>
          </w:tcPr>
          <w:p w14:paraId="15303D0A">
            <w:pPr>
              <w:pStyle w:val="2"/>
              <w:spacing w:line="420" w:lineRule="exact"/>
              <w:jc w:val="center"/>
              <w:rPr>
                <w:rFonts w:hint="eastAsia" w:ascii="仿宋" w:hAnsi="仿宋" w:eastAsia="仿宋" w:cs="仿宋"/>
                <w:color w:val="auto"/>
                <w:spacing w:val="20"/>
                <w:sz w:val="24"/>
              </w:rPr>
            </w:pPr>
          </w:p>
        </w:tc>
      </w:tr>
    </w:tbl>
    <w:p w14:paraId="1F45B59D">
      <w:pPr>
        <w:pStyle w:val="2"/>
        <w:spacing w:line="420" w:lineRule="exact"/>
        <w:ind w:firstLine="560" w:firstLineChars="200"/>
        <w:rPr>
          <w:rFonts w:hint="eastAsia" w:ascii="仿宋" w:hAnsi="仿宋" w:eastAsia="仿宋" w:cs="仿宋"/>
          <w:color w:val="auto"/>
          <w:spacing w:val="20"/>
          <w:sz w:val="24"/>
        </w:rPr>
      </w:pPr>
      <w:r>
        <w:rPr>
          <w:rFonts w:hint="eastAsia" w:ascii="仿宋" w:hAnsi="仿宋" w:eastAsia="仿宋" w:cs="仿宋"/>
          <w:color w:val="auto"/>
          <w:spacing w:val="20"/>
          <w:sz w:val="24"/>
        </w:rPr>
        <w:t>2.维保方案。</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7B1C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C67731E">
            <w:pPr>
              <w:pStyle w:val="2"/>
              <w:spacing w:line="420" w:lineRule="exact"/>
              <w:jc w:val="center"/>
              <w:rPr>
                <w:rFonts w:hint="eastAsia" w:ascii="仿宋" w:hAnsi="仿宋" w:eastAsia="仿宋" w:cs="仿宋"/>
                <w:color w:val="auto"/>
                <w:kern w:val="2"/>
                <w:sz w:val="24"/>
              </w:rPr>
            </w:pPr>
            <w:r>
              <w:rPr>
                <w:rFonts w:hint="eastAsia" w:ascii="仿宋" w:hAnsi="仿宋" w:eastAsia="仿宋" w:cs="仿宋"/>
                <w:color w:val="auto"/>
                <w:kern w:val="2"/>
                <w:sz w:val="24"/>
              </w:rPr>
              <w:t>维保项目</w:t>
            </w:r>
          </w:p>
        </w:tc>
        <w:tc>
          <w:tcPr>
            <w:tcW w:w="2130" w:type="dxa"/>
            <w:noWrap w:val="0"/>
            <w:vAlign w:val="center"/>
          </w:tcPr>
          <w:p w14:paraId="1C39CA3F">
            <w:pPr>
              <w:pStyle w:val="2"/>
              <w:spacing w:line="420" w:lineRule="exact"/>
              <w:jc w:val="center"/>
              <w:rPr>
                <w:rFonts w:hint="eastAsia" w:ascii="仿宋" w:hAnsi="仿宋" w:eastAsia="仿宋" w:cs="仿宋"/>
                <w:color w:val="auto"/>
                <w:kern w:val="2"/>
                <w:sz w:val="24"/>
              </w:rPr>
            </w:pPr>
            <w:r>
              <w:rPr>
                <w:rFonts w:hint="eastAsia" w:ascii="仿宋" w:hAnsi="仿宋" w:eastAsia="仿宋" w:cs="仿宋"/>
                <w:color w:val="auto"/>
                <w:kern w:val="2"/>
                <w:sz w:val="24"/>
              </w:rPr>
              <w:t>维保内容</w:t>
            </w:r>
          </w:p>
        </w:tc>
        <w:tc>
          <w:tcPr>
            <w:tcW w:w="2131" w:type="dxa"/>
            <w:noWrap w:val="0"/>
            <w:vAlign w:val="center"/>
          </w:tcPr>
          <w:p w14:paraId="4040484F">
            <w:pPr>
              <w:pStyle w:val="2"/>
              <w:spacing w:line="420" w:lineRule="exact"/>
              <w:jc w:val="center"/>
              <w:rPr>
                <w:rFonts w:hint="eastAsia" w:ascii="仿宋" w:hAnsi="仿宋" w:eastAsia="仿宋" w:cs="仿宋"/>
                <w:color w:val="auto"/>
                <w:kern w:val="2"/>
                <w:sz w:val="24"/>
              </w:rPr>
            </w:pPr>
            <w:r>
              <w:rPr>
                <w:rFonts w:hint="eastAsia" w:ascii="仿宋" w:hAnsi="仿宋" w:eastAsia="仿宋" w:cs="仿宋"/>
                <w:color w:val="auto"/>
                <w:kern w:val="2"/>
                <w:sz w:val="24"/>
              </w:rPr>
              <w:t>维保周期</w:t>
            </w:r>
          </w:p>
        </w:tc>
        <w:tc>
          <w:tcPr>
            <w:tcW w:w="2131" w:type="dxa"/>
            <w:noWrap w:val="0"/>
            <w:vAlign w:val="center"/>
          </w:tcPr>
          <w:p w14:paraId="27A9D8DE">
            <w:pPr>
              <w:pStyle w:val="2"/>
              <w:spacing w:line="420" w:lineRule="exact"/>
              <w:jc w:val="center"/>
              <w:rPr>
                <w:rFonts w:hint="eastAsia" w:ascii="仿宋" w:hAnsi="仿宋" w:eastAsia="仿宋" w:cs="仿宋"/>
                <w:color w:val="auto"/>
                <w:kern w:val="2"/>
                <w:sz w:val="24"/>
              </w:rPr>
            </w:pPr>
            <w:r>
              <w:rPr>
                <w:rFonts w:hint="eastAsia" w:ascii="仿宋" w:hAnsi="仿宋" w:eastAsia="仿宋" w:cs="仿宋"/>
                <w:color w:val="auto"/>
                <w:kern w:val="2"/>
                <w:sz w:val="24"/>
              </w:rPr>
              <w:t>备注</w:t>
            </w:r>
          </w:p>
        </w:tc>
      </w:tr>
      <w:tr w14:paraId="601C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2130" w:type="dxa"/>
            <w:noWrap w:val="0"/>
            <w:vAlign w:val="center"/>
          </w:tcPr>
          <w:p w14:paraId="49750CA6">
            <w:pPr>
              <w:pStyle w:val="2"/>
              <w:spacing w:line="420" w:lineRule="exact"/>
              <w:jc w:val="center"/>
              <w:rPr>
                <w:rFonts w:hint="eastAsia" w:ascii="仿宋" w:hAnsi="仿宋" w:eastAsia="仿宋" w:cs="仿宋"/>
                <w:color w:val="auto"/>
                <w:kern w:val="2"/>
                <w:sz w:val="24"/>
              </w:rPr>
            </w:pPr>
          </w:p>
        </w:tc>
        <w:tc>
          <w:tcPr>
            <w:tcW w:w="2130" w:type="dxa"/>
            <w:noWrap w:val="0"/>
            <w:vAlign w:val="center"/>
          </w:tcPr>
          <w:p w14:paraId="7E36041C">
            <w:pPr>
              <w:pStyle w:val="2"/>
              <w:spacing w:line="420" w:lineRule="exact"/>
              <w:jc w:val="center"/>
              <w:rPr>
                <w:rFonts w:hint="eastAsia" w:ascii="仿宋" w:hAnsi="仿宋" w:eastAsia="仿宋" w:cs="仿宋"/>
                <w:color w:val="auto"/>
                <w:kern w:val="2"/>
                <w:sz w:val="24"/>
              </w:rPr>
            </w:pPr>
          </w:p>
        </w:tc>
        <w:tc>
          <w:tcPr>
            <w:tcW w:w="2131" w:type="dxa"/>
            <w:noWrap w:val="0"/>
            <w:vAlign w:val="center"/>
          </w:tcPr>
          <w:p w14:paraId="0A0CAC6E">
            <w:pPr>
              <w:pStyle w:val="2"/>
              <w:spacing w:line="420" w:lineRule="exact"/>
              <w:jc w:val="center"/>
              <w:rPr>
                <w:rFonts w:hint="eastAsia" w:ascii="仿宋" w:hAnsi="仿宋" w:eastAsia="仿宋" w:cs="仿宋"/>
                <w:color w:val="auto"/>
                <w:kern w:val="2"/>
                <w:sz w:val="24"/>
              </w:rPr>
            </w:pPr>
          </w:p>
        </w:tc>
        <w:tc>
          <w:tcPr>
            <w:tcW w:w="2131" w:type="dxa"/>
            <w:noWrap w:val="0"/>
            <w:vAlign w:val="center"/>
          </w:tcPr>
          <w:p w14:paraId="739D0455">
            <w:pPr>
              <w:pStyle w:val="2"/>
              <w:spacing w:line="420" w:lineRule="exact"/>
              <w:jc w:val="center"/>
              <w:rPr>
                <w:rFonts w:hint="eastAsia" w:ascii="仿宋" w:hAnsi="仿宋" w:eastAsia="仿宋" w:cs="仿宋"/>
                <w:color w:val="auto"/>
                <w:kern w:val="2"/>
                <w:sz w:val="24"/>
              </w:rPr>
            </w:pPr>
          </w:p>
        </w:tc>
      </w:tr>
    </w:tbl>
    <w:p w14:paraId="2610E6E0">
      <w:pPr>
        <w:pStyle w:val="2"/>
        <w:spacing w:line="420" w:lineRule="exact"/>
        <w:ind w:firstLine="480" w:firstLineChars="200"/>
        <w:rPr>
          <w:rFonts w:hint="eastAsia" w:ascii="仿宋" w:hAnsi="仿宋" w:eastAsia="仿宋" w:cs="仿宋"/>
          <w:color w:val="auto"/>
          <w:spacing w:val="20"/>
          <w:sz w:val="20"/>
        </w:rPr>
      </w:pPr>
      <w:r>
        <w:rPr>
          <w:rFonts w:hint="eastAsia" w:ascii="仿宋" w:hAnsi="仿宋" w:eastAsia="仿宋" w:cs="仿宋"/>
          <w:color w:val="auto"/>
          <w:spacing w:val="20"/>
          <w:sz w:val="20"/>
        </w:rPr>
        <w:t>注：可根据实际情况自行增加或更改维保方案表格并作为本合同的附件与本合同具有同等法律效力。</w:t>
      </w:r>
    </w:p>
    <w:p w14:paraId="0D87761C">
      <w:pPr>
        <w:pStyle w:val="2"/>
        <w:numPr>
          <w:ilvl w:val="0"/>
          <w:numId w:val="0"/>
        </w:numPr>
        <w:spacing w:line="360" w:lineRule="auto"/>
        <w:ind w:left="420" w:leftChars="0" w:hanging="420" w:firstLineChars="0"/>
        <w:rPr>
          <w:rFonts w:hint="eastAsia" w:ascii="仿宋" w:hAnsi="仿宋" w:eastAsia="仿宋" w:cs="仿宋"/>
          <w:b/>
          <w:bCs/>
          <w:color w:val="auto"/>
          <w:kern w:val="2"/>
          <w:sz w:val="28"/>
          <w:szCs w:val="28"/>
        </w:rPr>
      </w:pPr>
      <w:r>
        <w:rPr>
          <w:rFonts w:hint="eastAsia" w:ascii="仿宋" w:hAnsi="仿宋" w:eastAsia="仿宋" w:cs="仿宋"/>
          <w:b w:val="0"/>
          <w:bCs/>
          <w:color w:val="auto"/>
          <w:kern w:val="2"/>
          <w:sz w:val="28"/>
          <w:szCs w:val="28"/>
          <w:lang w:val="en-US" w:eastAsia="zh-CN" w:bidi="ar-SA"/>
        </w:rPr>
        <w:t>二、</w:t>
      </w:r>
      <w:r>
        <w:rPr>
          <w:rFonts w:hint="eastAsia" w:ascii="仿宋" w:hAnsi="仿宋" w:eastAsia="仿宋" w:cs="仿宋"/>
          <w:b/>
          <w:bCs/>
          <w:color w:val="auto"/>
          <w:kern w:val="2"/>
          <w:sz w:val="28"/>
          <w:szCs w:val="28"/>
        </w:rPr>
        <w:t xml:space="preserve">维保要求 </w:t>
      </w:r>
    </w:p>
    <w:p w14:paraId="4A5195DA">
      <w:pPr>
        <w:pStyle w:val="2"/>
        <w:spacing w:line="360" w:lineRule="auto"/>
        <w:ind w:firstLine="560" w:firstLineChars="200"/>
        <w:rPr>
          <w:rFonts w:hint="eastAsia" w:ascii="仿宋" w:hAnsi="仿宋" w:eastAsia="仿宋" w:cs="仿宋"/>
          <w:color w:val="auto"/>
          <w:spacing w:val="20"/>
          <w:sz w:val="24"/>
        </w:rPr>
      </w:pPr>
      <w:r>
        <w:rPr>
          <w:rFonts w:hint="eastAsia" w:ascii="仿宋" w:hAnsi="仿宋" w:eastAsia="仿宋" w:cs="仿宋"/>
          <w:color w:val="auto"/>
          <w:spacing w:val="20"/>
          <w:sz w:val="24"/>
        </w:rPr>
        <w:t>1.按照合同及其余附件要求进行日常和定期维护、维修作业，必要时更换相关部件，保证服务内容中的设备设施正常运行并达到设备设施的设计性能和要求。</w:t>
      </w:r>
    </w:p>
    <w:p w14:paraId="72B369E0">
      <w:pPr>
        <w:pStyle w:val="2"/>
        <w:spacing w:line="360" w:lineRule="auto"/>
        <w:ind w:firstLine="560" w:firstLineChars="200"/>
        <w:rPr>
          <w:rFonts w:hint="eastAsia" w:ascii="仿宋" w:hAnsi="仿宋" w:eastAsia="仿宋" w:cs="仿宋"/>
          <w:color w:val="auto"/>
          <w:spacing w:val="20"/>
          <w:sz w:val="24"/>
        </w:rPr>
      </w:pPr>
      <w:r>
        <w:rPr>
          <w:rFonts w:hint="eastAsia" w:ascii="仿宋" w:hAnsi="仿宋" w:eastAsia="仿宋" w:cs="仿宋"/>
          <w:color w:val="auto"/>
          <w:spacing w:val="20"/>
          <w:sz w:val="24"/>
        </w:rPr>
        <w:t>2.乙方在定期维护保养前一周通知甲方。</w:t>
      </w:r>
    </w:p>
    <w:p w14:paraId="60BDC8E3">
      <w:pPr>
        <w:pStyle w:val="2"/>
        <w:spacing w:line="360" w:lineRule="auto"/>
        <w:ind w:firstLine="560" w:firstLineChars="200"/>
        <w:rPr>
          <w:rFonts w:hint="eastAsia" w:ascii="仿宋" w:hAnsi="仿宋" w:eastAsia="仿宋" w:cs="仿宋"/>
          <w:color w:val="auto"/>
          <w:spacing w:val="20"/>
          <w:sz w:val="24"/>
        </w:rPr>
      </w:pPr>
      <w:r>
        <w:rPr>
          <w:rFonts w:hint="eastAsia" w:ascii="仿宋" w:hAnsi="仿宋" w:eastAsia="仿宋" w:cs="仿宋"/>
          <w:color w:val="auto"/>
          <w:spacing w:val="20"/>
          <w:sz w:val="24"/>
        </w:rPr>
        <w:t>3.每次维保之后乙方应向甲方出具维保记录单。</w:t>
      </w:r>
    </w:p>
    <w:p w14:paraId="53908A61">
      <w:pPr>
        <w:pStyle w:val="2"/>
        <w:spacing w:line="360" w:lineRule="auto"/>
        <w:ind w:firstLine="560" w:firstLineChars="200"/>
        <w:rPr>
          <w:rFonts w:hint="eastAsia" w:ascii="仿宋" w:hAnsi="仿宋" w:eastAsia="仿宋" w:cs="仿宋"/>
          <w:color w:val="auto"/>
          <w:spacing w:val="20"/>
          <w:sz w:val="24"/>
          <w:lang w:eastAsia="zh-CN"/>
        </w:rPr>
      </w:pPr>
      <w:r>
        <w:rPr>
          <w:rFonts w:hint="eastAsia" w:ascii="仿宋" w:hAnsi="仿宋" w:eastAsia="仿宋" w:cs="仿宋"/>
          <w:color w:val="auto"/>
          <w:spacing w:val="20"/>
          <w:sz w:val="24"/>
        </w:rPr>
        <w:t>4.乙方为甲方提供配件为原厂配件</w:t>
      </w:r>
      <w:r>
        <w:rPr>
          <w:rFonts w:hint="eastAsia" w:ascii="仿宋" w:hAnsi="仿宋" w:eastAsia="仿宋" w:cs="仿宋"/>
          <w:color w:val="auto"/>
          <w:spacing w:val="20"/>
          <w:sz w:val="24"/>
          <w:lang w:eastAsia="zh-CN"/>
        </w:rPr>
        <w:t>，</w:t>
      </w:r>
      <w:r>
        <w:rPr>
          <w:rFonts w:hint="eastAsia" w:ascii="仿宋" w:hAnsi="仿宋" w:eastAsia="仿宋" w:cs="仿宋"/>
          <w:color w:val="auto"/>
          <w:spacing w:val="20"/>
          <w:sz w:val="24"/>
        </w:rPr>
        <w:t>费用包括在合同费用内</w:t>
      </w:r>
      <w:r>
        <w:rPr>
          <w:rFonts w:hint="eastAsia" w:ascii="仿宋" w:hAnsi="仿宋" w:eastAsia="仿宋" w:cs="仿宋"/>
          <w:color w:val="auto"/>
          <w:spacing w:val="20"/>
          <w:sz w:val="24"/>
          <w:lang w:eastAsia="zh-CN"/>
        </w:rPr>
        <w:t>。</w:t>
      </w:r>
    </w:p>
    <w:p w14:paraId="43E52DD5">
      <w:pPr>
        <w:pStyle w:val="2"/>
        <w:spacing w:line="360" w:lineRule="auto"/>
        <w:ind w:firstLine="560" w:firstLineChars="200"/>
        <w:rPr>
          <w:rFonts w:hint="eastAsia" w:ascii="仿宋" w:hAnsi="仿宋" w:eastAsia="仿宋" w:cs="仿宋"/>
          <w:color w:val="auto"/>
          <w:spacing w:val="20"/>
          <w:sz w:val="24"/>
        </w:rPr>
      </w:pPr>
      <w:r>
        <w:rPr>
          <w:rFonts w:hint="eastAsia" w:ascii="仿宋" w:hAnsi="仿宋" w:eastAsia="仿宋" w:cs="仿宋"/>
          <w:color w:val="auto"/>
          <w:spacing w:val="20"/>
          <w:sz w:val="24"/>
        </w:rPr>
        <w:t>5.用户维修服务要求</w:t>
      </w:r>
      <w:r>
        <w:rPr>
          <w:rFonts w:hint="eastAsia" w:ascii="仿宋" w:hAnsi="仿宋" w:eastAsia="仿宋" w:cs="仿宋"/>
          <w:color w:val="auto"/>
          <w:spacing w:val="20"/>
          <w:sz w:val="24"/>
          <w:u w:val="single"/>
          <w:lang w:val="en-US" w:eastAsia="zh-CN"/>
        </w:rPr>
        <w:t xml:space="preserve">   </w:t>
      </w:r>
      <w:r>
        <w:rPr>
          <w:rFonts w:hint="eastAsia" w:ascii="仿宋" w:hAnsi="仿宋" w:eastAsia="仿宋" w:cs="仿宋"/>
          <w:color w:val="auto"/>
          <w:spacing w:val="20"/>
          <w:sz w:val="24"/>
          <w:u w:val="single"/>
        </w:rPr>
        <w:t xml:space="preserve"> </w:t>
      </w:r>
      <w:r>
        <w:rPr>
          <w:rFonts w:hint="eastAsia" w:ascii="仿宋" w:hAnsi="仿宋" w:eastAsia="仿宋" w:cs="仿宋"/>
          <w:color w:val="auto"/>
          <w:spacing w:val="20"/>
          <w:sz w:val="24"/>
          <w:u w:val="none"/>
          <w:lang w:val="en-US" w:eastAsia="zh-CN"/>
        </w:rPr>
        <w:t>小时</w:t>
      </w:r>
      <w:r>
        <w:rPr>
          <w:rFonts w:hint="eastAsia" w:ascii="仿宋" w:hAnsi="仿宋" w:eastAsia="仿宋" w:cs="仿宋"/>
          <w:color w:val="auto"/>
          <w:spacing w:val="20"/>
          <w:sz w:val="24"/>
        </w:rPr>
        <w:t>内响应，</w:t>
      </w:r>
      <w:r>
        <w:rPr>
          <w:rFonts w:hint="eastAsia" w:ascii="仿宋" w:hAnsi="仿宋" w:eastAsia="仿宋" w:cs="仿宋"/>
          <w:color w:val="auto"/>
          <w:sz w:val="24"/>
          <w:szCs w:val="24"/>
        </w:rPr>
        <w:t>并保证</w:t>
      </w:r>
      <w:r>
        <w:rPr>
          <w:rFonts w:hint="eastAsia" w:ascii="仿宋" w:hAnsi="仿宋" w:eastAsia="仿宋" w:cs="仿宋"/>
          <w:color w:val="auto"/>
          <w:sz w:val="24"/>
          <w:szCs w:val="24"/>
          <w:lang w:val="en-US" w:eastAsia="zh-CN"/>
        </w:rPr>
        <w:t>在</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小时</w:t>
      </w:r>
      <w:r>
        <w:rPr>
          <w:rFonts w:hint="eastAsia" w:ascii="仿宋" w:hAnsi="仿宋" w:eastAsia="仿宋" w:cs="仿宋"/>
          <w:color w:val="auto"/>
          <w:sz w:val="24"/>
          <w:szCs w:val="24"/>
        </w:rPr>
        <w:t>完成故障设备维修交付用户正常使用</w:t>
      </w:r>
      <w:r>
        <w:rPr>
          <w:rFonts w:hint="eastAsia" w:ascii="仿宋" w:hAnsi="仿宋" w:eastAsia="仿宋" w:cs="仿宋"/>
          <w:color w:val="auto"/>
          <w:spacing w:val="20"/>
          <w:sz w:val="24"/>
        </w:rPr>
        <w:t>。</w:t>
      </w:r>
      <w:r>
        <w:rPr>
          <w:rFonts w:hint="eastAsia" w:ascii="仿宋" w:hAnsi="仿宋" w:eastAsia="仿宋" w:cs="仿宋"/>
          <w:color w:val="auto"/>
          <w:sz w:val="24"/>
          <w:szCs w:val="24"/>
        </w:rPr>
        <w:t>如</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小时内不能完成设备故障维修交付科室正常使用，提供故障设备相同型号或高于配置型号的备用机</w:t>
      </w:r>
      <w:r>
        <w:rPr>
          <w:rFonts w:hint="eastAsia" w:ascii="仿宋" w:hAnsi="仿宋" w:eastAsia="仿宋" w:cs="仿宋"/>
          <w:color w:val="auto"/>
          <w:spacing w:val="20"/>
          <w:sz w:val="24"/>
        </w:rPr>
        <w:t>。</w:t>
      </w:r>
    </w:p>
    <w:p w14:paraId="35983299">
      <w:pPr>
        <w:pStyle w:val="2"/>
        <w:numPr>
          <w:ilvl w:val="0"/>
          <w:numId w:val="0"/>
        </w:numPr>
        <w:spacing w:line="360" w:lineRule="auto"/>
        <w:ind w:left="420" w:leftChars="0" w:hanging="420" w:firstLineChars="0"/>
        <w:rPr>
          <w:rFonts w:hint="eastAsia" w:ascii="仿宋" w:hAnsi="仿宋" w:eastAsia="仿宋" w:cs="仿宋"/>
          <w:b/>
          <w:bCs/>
          <w:color w:val="auto"/>
          <w:kern w:val="2"/>
          <w:sz w:val="28"/>
          <w:szCs w:val="28"/>
        </w:rPr>
      </w:pPr>
      <w:r>
        <w:rPr>
          <w:rFonts w:hint="eastAsia" w:ascii="仿宋" w:hAnsi="仿宋" w:eastAsia="仿宋" w:cs="仿宋"/>
          <w:b w:val="0"/>
          <w:bCs/>
          <w:color w:val="auto"/>
          <w:kern w:val="2"/>
          <w:sz w:val="28"/>
          <w:szCs w:val="28"/>
          <w:lang w:val="en-US" w:eastAsia="zh-CN" w:bidi="ar-SA"/>
        </w:rPr>
        <w:t>三、</w:t>
      </w:r>
      <w:r>
        <w:rPr>
          <w:rFonts w:hint="eastAsia" w:ascii="仿宋" w:hAnsi="仿宋" w:eastAsia="仿宋" w:cs="仿宋"/>
          <w:b/>
          <w:bCs/>
          <w:color w:val="auto"/>
          <w:kern w:val="2"/>
          <w:sz w:val="28"/>
          <w:szCs w:val="28"/>
        </w:rPr>
        <w:t>合同总价</w:t>
      </w:r>
    </w:p>
    <w:p w14:paraId="4A00972D">
      <w:pPr>
        <w:spacing w:line="360" w:lineRule="auto"/>
        <w:ind w:firstLine="560" w:firstLineChars="200"/>
        <w:jc w:val="lef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rPr>
        <w:t>1.合同金额：</w:t>
      </w:r>
      <w:r>
        <w:rPr>
          <w:rFonts w:hint="eastAsia" w:ascii="仿宋" w:hAnsi="仿宋" w:eastAsia="仿宋" w:cs="仿宋"/>
          <w:color w:val="auto"/>
          <w:spacing w:val="20"/>
          <w:sz w:val="24"/>
          <w:szCs w:val="24"/>
          <w:u w:val="single"/>
        </w:rPr>
        <w:t xml:space="preserve">￥               </w:t>
      </w:r>
      <w:r>
        <w:rPr>
          <w:rFonts w:hint="eastAsia" w:ascii="仿宋" w:hAnsi="仿宋" w:eastAsia="仿宋" w:cs="仿宋"/>
          <w:color w:val="auto"/>
          <w:spacing w:val="20"/>
          <w:sz w:val="24"/>
          <w:szCs w:val="24"/>
        </w:rPr>
        <w:t>元，（大写：</w:t>
      </w:r>
      <w:r>
        <w:rPr>
          <w:rFonts w:hint="eastAsia" w:ascii="仿宋" w:hAnsi="仿宋" w:eastAsia="仿宋" w:cs="仿宋"/>
          <w:color w:val="auto"/>
          <w:spacing w:val="20"/>
          <w:sz w:val="24"/>
          <w:szCs w:val="24"/>
          <w:u w:val="single"/>
        </w:rPr>
        <w:t xml:space="preserve">    </w:t>
      </w:r>
      <w:r>
        <w:rPr>
          <w:rFonts w:hint="eastAsia" w:ascii="仿宋" w:hAnsi="仿宋" w:eastAsia="仿宋" w:cs="仿宋"/>
          <w:color w:val="auto"/>
          <w:spacing w:val="20"/>
          <w:sz w:val="24"/>
          <w:szCs w:val="24"/>
        </w:rPr>
        <w:t>）。</w:t>
      </w:r>
    </w:p>
    <w:p w14:paraId="394F2BA5">
      <w:pPr>
        <w:pStyle w:val="2"/>
        <w:spacing w:line="360" w:lineRule="auto"/>
        <w:ind w:firstLine="560" w:firstLineChars="200"/>
        <w:rPr>
          <w:rFonts w:hint="eastAsia" w:ascii="仿宋" w:hAnsi="仿宋" w:eastAsia="仿宋" w:cs="仿宋"/>
          <w:color w:val="auto"/>
          <w:spacing w:val="20"/>
          <w:sz w:val="24"/>
        </w:rPr>
      </w:pPr>
      <w:r>
        <w:rPr>
          <w:rFonts w:hint="eastAsia" w:ascii="仿宋" w:hAnsi="仿宋" w:eastAsia="仿宋" w:cs="仿宋"/>
          <w:color w:val="auto"/>
          <w:spacing w:val="20"/>
          <w:sz w:val="24"/>
        </w:rPr>
        <w:t>2.本合同规定的服务费包括更换配件的费用及更换配件的人工费用、交通费、税费等所有费用。</w:t>
      </w:r>
    </w:p>
    <w:p w14:paraId="235C5522">
      <w:pPr>
        <w:pStyle w:val="2"/>
        <w:numPr>
          <w:ilvl w:val="0"/>
          <w:numId w:val="0"/>
        </w:numPr>
        <w:spacing w:line="360" w:lineRule="auto"/>
        <w:ind w:left="420" w:leftChars="0" w:hanging="420" w:firstLineChars="0"/>
        <w:rPr>
          <w:rFonts w:hint="eastAsia" w:ascii="仿宋" w:hAnsi="仿宋" w:eastAsia="仿宋" w:cs="仿宋"/>
          <w:b/>
          <w:bCs/>
          <w:color w:val="auto"/>
          <w:kern w:val="2"/>
          <w:sz w:val="28"/>
          <w:szCs w:val="28"/>
        </w:rPr>
      </w:pPr>
      <w:r>
        <w:rPr>
          <w:rFonts w:hint="eastAsia" w:ascii="仿宋" w:hAnsi="仿宋" w:eastAsia="仿宋" w:cs="仿宋"/>
          <w:b w:val="0"/>
          <w:bCs/>
          <w:color w:val="auto"/>
          <w:kern w:val="2"/>
          <w:sz w:val="28"/>
          <w:szCs w:val="28"/>
          <w:lang w:val="en-US" w:eastAsia="zh-CN" w:bidi="ar-SA"/>
        </w:rPr>
        <w:t>四、</w:t>
      </w:r>
      <w:r>
        <w:rPr>
          <w:rFonts w:hint="eastAsia" w:ascii="仿宋" w:hAnsi="仿宋" w:eastAsia="仿宋" w:cs="仿宋"/>
          <w:b/>
          <w:bCs/>
          <w:color w:val="auto"/>
          <w:kern w:val="2"/>
          <w:sz w:val="28"/>
          <w:szCs w:val="28"/>
        </w:rPr>
        <w:t xml:space="preserve">付款方式             </w:t>
      </w:r>
    </w:p>
    <w:p w14:paraId="008662D2">
      <w:pPr>
        <w:spacing w:line="360" w:lineRule="auto"/>
        <w:ind w:left="384" w:leftChars="120" w:firstLine="280" w:firstLineChars="100"/>
        <w:jc w:val="left"/>
        <w:rPr>
          <w:rFonts w:hint="eastAsia" w:ascii="仿宋" w:hAnsi="仿宋" w:eastAsia="仿宋" w:cs="仿宋"/>
          <w:color w:val="auto"/>
          <w:spacing w:val="20"/>
          <w:sz w:val="24"/>
          <w:szCs w:val="24"/>
          <w:lang w:val="en-US" w:eastAsia="zh-CN"/>
        </w:rPr>
      </w:pPr>
      <w:r>
        <w:rPr>
          <w:rFonts w:hint="eastAsia" w:ascii="仿宋" w:hAnsi="仿宋" w:eastAsia="仿宋" w:cs="仿宋"/>
          <w:color w:val="auto"/>
          <w:spacing w:val="20"/>
          <w:sz w:val="24"/>
          <w:szCs w:val="24"/>
        </w:rPr>
        <w:t>1.合同签订后，</w:t>
      </w:r>
      <w:r>
        <w:rPr>
          <w:rFonts w:hint="eastAsia" w:ascii="仿宋" w:hAnsi="仿宋" w:eastAsia="仿宋" w:cs="仿宋"/>
          <w:color w:val="auto"/>
          <w:spacing w:val="20"/>
          <w:sz w:val="24"/>
          <w:szCs w:val="24"/>
          <w:lang w:val="en-US" w:eastAsia="zh-CN"/>
        </w:rPr>
        <w:t>甲方</w:t>
      </w:r>
      <w:r>
        <w:rPr>
          <w:rFonts w:hint="eastAsia" w:ascii="仿宋" w:hAnsi="仿宋" w:eastAsia="仿宋" w:cs="仿宋"/>
          <w:color w:val="auto"/>
          <w:spacing w:val="20"/>
          <w:sz w:val="24"/>
          <w:szCs w:val="24"/>
        </w:rPr>
        <w:t>收到完整、有效的发票后10个工作日内预支付合同金额40%，合同期满，服务质量达到采购人要求，按考核后</w:t>
      </w:r>
      <w:r>
        <w:rPr>
          <w:rFonts w:hint="eastAsia" w:ascii="仿宋" w:hAnsi="仿宋" w:eastAsia="仿宋" w:cs="仿宋"/>
          <w:b/>
          <w:bCs/>
          <w:color w:val="auto"/>
          <w:spacing w:val="20"/>
          <w:sz w:val="24"/>
          <w:szCs w:val="24"/>
          <w:lang w:val="en-US" w:eastAsia="zh-CN"/>
        </w:rPr>
        <w:t>（按照考核表条款进行考核，每违反一次扣500元）</w:t>
      </w:r>
      <w:r>
        <w:rPr>
          <w:rFonts w:hint="eastAsia" w:ascii="仿宋" w:hAnsi="仿宋" w:eastAsia="仿宋" w:cs="仿宋"/>
          <w:color w:val="auto"/>
          <w:spacing w:val="20"/>
          <w:sz w:val="24"/>
          <w:szCs w:val="24"/>
        </w:rPr>
        <w:t>金额付剩余部分款项。（乙方应及时向</w:t>
      </w:r>
      <w:r>
        <w:rPr>
          <w:rFonts w:hint="eastAsia" w:ascii="仿宋" w:hAnsi="仿宋" w:eastAsia="仿宋" w:cs="仿宋"/>
          <w:color w:val="auto"/>
          <w:spacing w:val="20"/>
          <w:sz w:val="24"/>
          <w:szCs w:val="24"/>
          <w:lang w:val="en-US" w:eastAsia="zh-CN"/>
        </w:rPr>
        <w:t>甲方</w:t>
      </w:r>
      <w:r>
        <w:rPr>
          <w:rFonts w:hint="eastAsia" w:ascii="仿宋" w:hAnsi="仿宋" w:eastAsia="仿宋" w:cs="仿宋"/>
          <w:color w:val="auto"/>
          <w:spacing w:val="20"/>
          <w:sz w:val="24"/>
          <w:szCs w:val="24"/>
        </w:rPr>
        <w:t>提供完整有效发票，</w:t>
      </w:r>
      <w:r>
        <w:rPr>
          <w:rFonts w:hint="eastAsia" w:ascii="仿宋" w:hAnsi="仿宋" w:eastAsia="仿宋" w:cs="仿宋"/>
          <w:color w:val="auto"/>
          <w:spacing w:val="20"/>
          <w:sz w:val="24"/>
          <w:szCs w:val="24"/>
          <w:lang w:val="en-US" w:eastAsia="zh-CN"/>
        </w:rPr>
        <w:t>甲方</w:t>
      </w:r>
      <w:r>
        <w:rPr>
          <w:rFonts w:hint="eastAsia" w:ascii="仿宋" w:hAnsi="仿宋" w:eastAsia="仿宋" w:cs="仿宋"/>
          <w:color w:val="auto"/>
          <w:spacing w:val="20"/>
          <w:sz w:val="24"/>
          <w:szCs w:val="24"/>
        </w:rPr>
        <w:t>因自身原因导致逾期支付应按合同总价</w:t>
      </w:r>
      <w:r>
        <w:rPr>
          <w:rFonts w:hint="eastAsia" w:ascii="仿宋" w:hAnsi="仿宋" w:eastAsia="仿宋" w:cs="仿宋"/>
          <w:color w:val="auto"/>
          <w:spacing w:val="20"/>
          <w:sz w:val="24"/>
          <w:szCs w:val="24"/>
          <w:u w:val="none"/>
        </w:rPr>
        <w:t>万分之一/天</w:t>
      </w:r>
      <w:r>
        <w:rPr>
          <w:rFonts w:hint="eastAsia" w:ascii="仿宋" w:hAnsi="仿宋" w:eastAsia="仿宋" w:cs="仿宋"/>
          <w:color w:val="auto"/>
          <w:spacing w:val="20"/>
          <w:sz w:val="24"/>
          <w:szCs w:val="24"/>
        </w:rPr>
        <w:t>的标准支付违约金。)</w:t>
      </w:r>
    </w:p>
    <w:p w14:paraId="1450245F">
      <w:pPr>
        <w:spacing w:line="360" w:lineRule="auto"/>
        <w:ind w:left="384" w:leftChars="120" w:firstLine="280" w:firstLineChars="100"/>
        <w:jc w:val="left"/>
        <w:rPr>
          <w:rFonts w:hint="default" w:ascii="仿宋" w:hAnsi="仿宋" w:eastAsia="仿宋" w:cs="仿宋"/>
          <w:color w:val="auto"/>
          <w:spacing w:val="20"/>
          <w:sz w:val="24"/>
          <w:szCs w:val="24"/>
          <w:lang w:val="en-US" w:eastAsia="zh-CN"/>
        </w:rPr>
      </w:pPr>
      <w:r>
        <w:rPr>
          <w:rFonts w:hint="eastAsia" w:ascii="仿宋" w:hAnsi="仿宋" w:eastAsia="仿宋" w:cs="仿宋"/>
          <w:color w:val="auto"/>
          <w:spacing w:val="20"/>
          <w:sz w:val="24"/>
          <w:szCs w:val="24"/>
          <w:lang w:val="en-US" w:eastAsia="zh-CN"/>
        </w:rPr>
        <w:t>2.合同签订后，甲方收到完整、有效的发票后10个工作日内预支付合同金额70%，服务期满，</w:t>
      </w:r>
      <w:r>
        <w:rPr>
          <w:rFonts w:hint="eastAsia" w:ascii="仿宋" w:hAnsi="仿宋" w:eastAsia="仿宋" w:cs="仿宋"/>
          <w:color w:val="auto"/>
          <w:spacing w:val="20"/>
          <w:sz w:val="24"/>
          <w:szCs w:val="24"/>
        </w:rPr>
        <w:t>合同期满，服务质量达到采购人要求，按考核后</w:t>
      </w:r>
      <w:r>
        <w:rPr>
          <w:rFonts w:hint="eastAsia" w:ascii="仿宋" w:hAnsi="仿宋" w:eastAsia="仿宋" w:cs="仿宋"/>
          <w:b/>
          <w:bCs/>
          <w:color w:val="auto"/>
          <w:spacing w:val="20"/>
          <w:sz w:val="24"/>
          <w:szCs w:val="24"/>
          <w:lang w:val="en-US" w:eastAsia="zh-CN"/>
        </w:rPr>
        <w:t>（按照考核表条款进行考核，每违反一次扣500元）</w:t>
      </w:r>
      <w:r>
        <w:rPr>
          <w:rFonts w:hint="eastAsia" w:ascii="仿宋" w:hAnsi="仿宋" w:eastAsia="仿宋" w:cs="仿宋"/>
          <w:color w:val="auto"/>
          <w:spacing w:val="20"/>
          <w:sz w:val="24"/>
          <w:szCs w:val="24"/>
        </w:rPr>
        <w:t>金额付剩余部分款项。（乙方应及时向</w:t>
      </w:r>
      <w:r>
        <w:rPr>
          <w:rFonts w:hint="eastAsia" w:ascii="仿宋" w:hAnsi="仿宋" w:eastAsia="仿宋" w:cs="仿宋"/>
          <w:color w:val="auto"/>
          <w:spacing w:val="20"/>
          <w:sz w:val="24"/>
          <w:szCs w:val="24"/>
          <w:lang w:val="en-US" w:eastAsia="zh-CN"/>
        </w:rPr>
        <w:t>甲方</w:t>
      </w:r>
      <w:r>
        <w:rPr>
          <w:rFonts w:hint="eastAsia" w:ascii="仿宋" w:hAnsi="仿宋" w:eastAsia="仿宋" w:cs="仿宋"/>
          <w:color w:val="auto"/>
          <w:spacing w:val="20"/>
          <w:sz w:val="24"/>
          <w:szCs w:val="24"/>
        </w:rPr>
        <w:t>提供完整有效发票，</w:t>
      </w:r>
      <w:r>
        <w:rPr>
          <w:rFonts w:hint="eastAsia" w:ascii="仿宋" w:hAnsi="仿宋" w:eastAsia="仿宋" w:cs="仿宋"/>
          <w:color w:val="auto"/>
          <w:spacing w:val="20"/>
          <w:sz w:val="24"/>
          <w:szCs w:val="24"/>
          <w:lang w:val="en-US" w:eastAsia="zh-CN"/>
        </w:rPr>
        <w:t>甲方</w:t>
      </w:r>
      <w:r>
        <w:rPr>
          <w:rFonts w:hint="eastAsia" w:ascii="仿宋" w:hAnsi="仿宋" w:eastAsia="仿宋" w:cs="仿宋"/>
          <w:color w:val="auto"/>
          <w:spacing w:val="20"/>
          <w:sz w:val="24"/>
          <w:szCs w:val="24"/>
        </w:rPr>
        <w:t>因自身原因导致逾期支付应按合同总价</w:t>
      </w:r>
      <w:r>
        <w:rPr>
          <w:rFonts w:hint="eastAsia" w:ascii="仿宋" w:hAnsi="仿宋" w:eastAsia="仿宋" w:cs="仿宋"/>
          <w:color w:val="auto"/>
          <w:spacing w:val="20"/>
          <w:sz w:val="24"/>
          <w:szCs w:val="24"/>
          <w:u w:val="none"/>
        </w:rPr>
        <w:t>万分之一/天</w:t>
      </w:r>
      <w:r>
        <w:rPr>
          <w:rFonts w:hint="eastAsia" w:ascii="仿宋" w:hAnsi="仿宋" w:eastAsia="仿宋" w:cs="仿宋"/>
          <w:color w:val="auto"/>
          <w:spacing w:val="20"/>
          <w:sz w:val="24"/>
          <w:szCs w:val="24"/>
        </w:rPr>
        <w:t>的标准支付违约金。)</w:t>
      </w:r>
      <w:r>
        <w:rPr>
          <w:rFonts w:hint="eastAsia" w:ascii="仿宋" w:hAnsi="仿宋" w:eastAsia="仿宋" w:cs="仿宋"/>
          <w:color w:val="auto"/>
          <w:spacing w:val="20"/>
          <w:sz w:val="24"/>
          <w:szCs w:val="24"/>
          <w:lang w:val="en-US" w:eastAsia="zh-CN"/>
        </w:rPr>
        <w:t>。（第5包适用）</w:t>
      </w:r>
    </w:p>
    <w:p w14:paraId="0C7C2FAE">
      <w:pPr>
        <w:pStyle w:val="2"/>
        <w:numPr>
          <w:ilvl w:val="0"/>
          <w:numId w:val="0"/>
        </w:numPr>
        <w:spacing w:line="360" w:lineRule="auto"/>
        <w:ind w:left="420" w:leftChars="0" w:hanging="420" w:firstLineChars="0"/>
        <w:rPr>
          <w:rFonts w:hint="eastAsia" w:ascii="仿宋" w:hAnsi="仿宋" w:eastAsia="仿宋" w:cs="仿宋"/>
          <w:b/>
          <w:bCs/>
          <w:color w:val="auto"/>
          <w:kern w:val="2"/>
          <w:sz w:val="28"/>
          <w:szCs w:val="28"/>
        </w:rPr>
      </w:pPr>
      <w:r>
        <w:rPr>
          <w:rFonts w:hint="eastAsia" w:ascii="仿宋" w:hAnsi="仿宋" w:eastAsia="仿宋" w:cs="仿宋"/>
          <w:b w:val="0"/>
          <w:bCs/>
          <w:color w:val="auto"/>
          <w:kern w:val="2"/>
          <w:sz w:val="28"/>
          <w:szCs w:val="28"/>
          <w:lang w:val="en-US" w:eastAsia="zh-CN" w:bidi="ar-SA"/>
        </w:rPr>
        <w:t>五、</w:t>
      </w:r>
      <w:r>
        <w:rPr>
          <w:rFonts w:hint="eastAsia" w:ascii="仿宋" w:hAnsi="仿宋" w:eastAsia="仿宋" w:cs="仿宋"/>
          <w:b/>
          <w:bCs/>
          <w:color w:val="auto"/>
          <w:kern w:val="2"/>
          <w:sz w:val="28"/>
          <w:szCs w:val="28"/>
        </w:rPr>
        <w:t>服务期限</w:t>
      </w:r>
    </w:p>
    <w:p w14:paraId="27A5CF61">
      <w:pPr>
        <w:spacing w:line="360" w:lineRule="auto"/>
        <w:ind w:left="384" w:leftChars="120" w:firstLine="280" w:firstLineChars="100"/>
        <w:jc w:val="left"/>
        <w:rPr>
          <w:rFonts w:hint="eastAsia" w:ascii="仿宋" w:hAnsi="仿宋" w:eastAsia="仿宋" w:cs="仿宋"/>
          <w:color w:val="auto"/>
          <w:spacing w:val="20"/>
          <w:sz w:val="24"/>
          <w:szCs w:val="24"/>
          <w:lang w:eastAsia="zh-CN"/>
        </w:rPr>
      </w:pPr>
      <w:r>
        <w:rPr>
          <w:rFonts w:hint="eastAsia" w:ascii="仿宋" w:hAnsi="仿宋" w:eastAsia="仿宋" w:cs="仿宋"/>
          <w:color w:val="auto"/>
          <w:spacing w:val="20"/>
          <w:sz w:val="24"/>
          <w:szCs w:val="24"/>
          <w:lang w:val="en-US" w:eastAsia="zh-CN"/>
        </w:rPr>
        <w:t>1.自合同签订生效之日起一年。（第01-04包适用）</w:t>
      </w:r>
    </w:p>
    <w:p w14:paraId="3723C359">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b/>
          <w:bCs/>
          <w:color w:val="auto"/>
          <w:kern w:val="2"/>
          <w:sz w:val="28"/>
          <w:szCs w:val="28"/>
          <w:lang w:val="en-US" w:eastAsia="zh-CN" w:bidi="ar-SA"/>
        </w:rPr>
        <w:t>六、验收、交付标准和方法</w:t>
      </w:r>
    </w:p>
    <w:p w14:paraId="514D8B20">
      <w:pPr>
        <w:keepNext w:val="0"/>
        <w:keepLines w:val="0"/>
        <w:widowControl/>
        <w:suppressLineNumbers w:val="0"/>
        <w:spacing w:line="360" w:lineRule="auto"/>
        <w:jc w:val="left"/>
        <w:rPr>
          <w:rFonts w:hint="eastAsia" w:ascii="仿宋" w:hAnsi="仿宋" w:eastAsia="仿宋" w:cs="仿宋"/>
          <w:color w:val="auto"/>
          <w:spacing w:val="20"/>
          <w:sz w:val="24"/>
          <w:szCs w:val="24"/>
        </w:rPr>
      </w:pPr>
      <w:r>
        <w:rPr>
          <w:rFonts w:hint="eastAsia" w:ascii="仿宋" w:hAnsi="仿宋" w:eastAsia="仿宋" w:cs="仿宋"/>
          <w:color w:val="auto"/>
          <w:kern w:val="0"/>
          <w:sz w:val="24"/>
          <w:szCs w:val="24"/>
          <w:lang w:val="en-US" w:eastAsia="zh-CN" w:bidi="ar"/>
        </w:rPr>
        <w:t xml:space="preserve">    1.按照《财政部关于进一步加强政府采购需求和履约验收管理的指导意见》（财库〔2016〕20</w:t>
      </w:r>
      <w:bookmarkStart w:id="0" w:name="_GoBack"/>
      <w:bookmarkEnd w:id="0"/>
      <w:r>
        <w:rPr>
          <w:rFonts w:hint="eastAsia" w:ascii="仿宋" w:hAnsi="仿宋" w:eastAsia="仿宋" w:cs="仿宋"/>
          <w:color w:val="auto"/>
          <w:kern w:val="0"/>
          <w:sz w:val="24"/>
          <w:szCs w:val="24"/>
          <w:lang w:val="en-US" w:eastAsia="zh-CN" w:bidi="ar"/>
        </w:rPr>
        <w:t>5 号）的要求，及采购文件技术要求、商务要求以及供应商的投标文件响应进行验收。双方如对质量要求和技术指标的约定标准有相互抵触或异议的事项，由采购人在采购文件与投标文件中按质量要求和技术指标比较优胜的原则确定该项的约定标准进行验收。【验收主体：采购人】</w:t>
      </w:r>
    </w:p>
    <w:p w14:paraId="3D2F2B72">
      <w:pPr>
        <w:pStyle w:val="2"/>
        <w:numPr>
          <w:ilvl w:val="0"/>
          <w:numId w:val="0"/>
        </w:numPr>
        <w:spacing w:line="360" w:lineRule="auto"/>
        <w:ind w:left="420" w:leftChars="0" w:hanging="420" w:firstLineChars="0"/>
        <w:rPr>
          <w:rFonts w:hint="eastAsia" w:ascii="仿宋" w:hAnsi="仿宋" w:eastAsia="仿宋" w:cs="仿宋"/>
          <w:b/>
          <w:bCs/>
          <w:color w:val="auto"/>
          <w:kern w:val="2"/>
          <w:sz w:val="28"/>
          <w:szCs w:val="28"/>
        </w:rPr>
      </w:pPr>
      <w:r>
        <w:rPr>
          <w:rFonts w:hint="eastAsia" w:ascii="仿宋" w:hAnsi="仿宋" w:eastAsia="仿宋" w:cs="仿宋"/>
          <w:b w:val="0"/>
          <w:bCs/>
          <w:color w:val="auto"/>
          <w:kern w:val="2"/>
          <w:sz w:val="28"/>
          <w:szCs w:val="28"/>
          <w:lang w:val="en-US" w:eastAsia="zh-CN" w:bidi="ar-SA"/>
        </w:rPr>
        <w:t>七、</w:t>
      </w:r>
      <w:r>
        <w:rPr>
          <w:rFonts w:hint="eastAsia" w:ascii="仿宋" w:hAnsi="仿宋" w:eastAsia="仿宋" w:cs="仿宋"/>
          <w:b/>
          <w:bCs/>
          <w:color w:val="auto"/>
          <w:kern w:val="2"/>
          <w:sz w:val="28"/>
          <w:szCs w:val="28"/>
        </w:rPr>
        <w:t>违约责任及处罚</w:t>
      </w:r>
    </w:p>
    <w:p w14:paraId="0DDB1CF5">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．乙方维修人员对在提供维</w:t>
      </w:r>
      <w:r>
        <w:rPr>
          <w:rFonts w:hint="eastAsia" w:ascii="仿宋" w:hAnsi="仿宋" w:eastAsia="仿宋" w:cs="仿宋"/>
          <w:color w:val="auto"/>
          <w:sz w:val="24"/>
          <w:szCs w:val="24"/>
          <w:lang w:val="en-US" w:eastAsia="zh-CN"/>
        </w:rPr>
        <w:t>保</w:t>
      </w:r>
      <w:r>
        <w:rPr>
          <w:rFonts w:hint="eastAsia" w:ascii="仿宋" w:hAnsi="仿宋" w:eastAsia="仿宋" w:cs="仿宋"/>
          <w:color w:val="auto"/>
          <w:sz w:val="24"/>
          <w:szCs w:val="24"/>
        </w:rPr>
        <w:t>服务过程中接触到的甲方的技术资料、患者隐私信息等保密信息应当严格保密，不得泄露给第三方或用作其他任何用途，否则应承担相应的侵权责任。</w:t>
      </w:r>
    </w:p>
    <w:p w14:paraId="6B8998B5">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.因乙方更换的备件或材料在</w:t>
      </w:r>
      <w:r>
        <w:rPr>
          <w:rFonts w:hint="eastAsia" w:ascii="仿宋" w:hAnsi="仿宋" w:eastAsia="仿宋" w:cs="仿宋"/>
          <w:color w:val="auto"/>
          <w:sz w:val="24"/>
          <w:szCs w:val="24"/>
          <w:lang w:val="en-US" w:eastAsia="zh-CN"/>
        </w:rPr>
        <w:t>维保期</w:t>
      </w:r>
      <w:r>
        <w:rPr>
          <w:rFonts w:hint="eastAsia" w:ascii="仿宋" w:hAnsi="仿宋" w:eastAsia="仿宋" w:cs="仿宋"/>
          <w:color w:val="auto"/>
          <w:sz w:val="24"/>
          <w:szCs w:val="24"/>
        </w:rPr>
        <w:t>内并在正常使用情况下出现质量问题导致甲方或第三方财产或人身损害的，由乙方承担赔偿责任。</w:t>
      </w:r>
    </w:p>
    <w:p w14:paraId="479F9309">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.在本合同维</w:t>
      </w:r>
      <w:r>
        <w:rPr>
          <w:rFonts w:hint="eastAsia" w:ascii="仿宋" w:hAnsi="仿宋" w:eastAsia="仿宋" w:cs="仿宋"/>
          <w:color w:val="auto"/>
          <w:sz w:val="24"/>
          <w:szCs w:val="24"/>
          <w:lang w:val="en-US" w:eastAsia="zh-CN"/>
        </w:rPr>
        <w:t>保</w:t>
      </w:r>
      <w:r>
        <w:rPr>
          <w:rFonts w:hint="eastAsia" w:ascii="仿宋" w:hAnsi="仿宋" w:eastAsia="仿宋" w:cs="仿宋"/>
          <w:color w:val="auto"/>
          <w:sz w:val="24"/>
          <w:szCs w:val="24"/>
        </w:rPr>
        <w:t>服务验收后的使用中，有证据证明乙方提供的维</w:t>
      </w:r>
      <w:r>
        <w:rPr>
          <w:rFonts w:hint="eastAsia" w:ascii="仿宋" w:hAnsi="仿宋" w:eastAsia="仿宋" w:cs="仿宋"/>
          <w:color w:val="auto"/>
          <w:sz w:val="24"/>
          <w:szCs w:val="24"/>
          <w:lang w:val="en-US" w:eastAsia="zh-CN"/>
        </w:rPr>
        <w:t>保</w:t>
      </w:r>
      <w:r>
        <w:rPr>
          <w:rFonts w:hint="eastAsia" w:ascii="仿宋" w:hAnsi="仿宋" w:eastAsia="仿宋" w:cs="仿宋"/>
          <w:color w:val="auto"/>
          <w:sz w:val="24"/>
          <w:szCs w:val="24"/>
        </w:rPr>
        <w:t>服务存在重大的设计、工艺或材料缺陷（包括潜在缺陷），乙方应当对由于上述缺陷造成的损失负责。未经甲方书面同意，乙方擅自把设备维</w:t>
      </w:r>
      <w:r>
        <w:rPr>
          <w:rFonts w:hint="eastAsia" w:ascii="仿宋" w:hAnsi="仿宋" w:eastAsia="仿宋" w:cs="仿宋"/>
          <w:color w:val="auto"/>
          <w:sz w:val="24"/>
          <w:szCs w:val="24"/>
          <w:lang w:val="en-US" w:eastAsia="zh-CN"/>
        </w:rPr>
        <w:t>保</w:t>
      </w:r>
      <w:r>
        <w:rPr>
          <w:rFonts w:hint="eastAsia" w:ascii="仿宋" w:hAnsi="仿宋" w:eastAsia="仿宋" w:cs="仿宋"/>
          <w:color w:val="auto"/>
          <w:sz w:val="24"/>
          <w:szCs w:val="24"/>
        </w:rPr>
        <w:t>工作转托他人的，甲方有权解除合同，维</w:t>
      </w:r>
      <w:r>
        <w:rPr>
          <w:rFonts w:hint="eastAsia" w:ascii="仿宋" w:hAnsi="仿宋" w:eastAsia="仿宋" w:cs="仿宋"/>
          <w:color w:val="auto"/>
          <w:sz w:val="24"/>
          <w:szCs w:val="24"/>
          <w:lang w:val="en-US" w:eastAsia="zh-CN"/>
        </w:rPr>
        <w:t>保</w:t>
      </w:r>
      <w:r>
        <w:rPr>
          <w:rFonts w:hint="eastAsia" w:ascii="仿宋" w:hAnsi="仿宋" w:eastAsia="仿宋" w:cs="仿宋"/>
          <w:color w:val="auto"/>
          <w:sz w:val="24"/>
          <w:szCs w:val="24"/>
        </w:rPr>
        <w:t>费用不再支付，造成的损失由乙方负责赔偿。</w:t>
      </w:r>
    </w:p>
    <w:p w14:paraId="65182D15">
      <w:pPr>
        <w:spacing w:line="360" w:lineRule="auto"/>
        <w:ind w:firstLine="480" w:firstLineChars="200"/>
        <w:jc w:val="left"/>
        <w:rPr>
          <w:rFonts w:hint="eastAsia" w:ascii="仿宋" w:hAnsi="仿宋" w:eastAsia="仿宋" w:cs="仿宋"/>
          <w:b w:val="0"/>
          <w:bCs w:val="0"/>
          <w:snapToGrid w:val="0"/>
          <w:color w:val="auto"/>
          <w:kern w:val="2"/>
          <w:sz w:val="24"/>
          <w:szCs w:val="24"/>
          <w:lang w:val="en-US" w:eastAsia="zh-CN"/>
        </w:rPr>
      </w:pPr>
      <w:r>
        <w:rPr>
          <w:rFonts w:hint="eastAsia" w:ascii="仿宋" w:hAnsi="仿宋" w:eastAsia="仿宋" w:cs="仿宋"/>
          <w:b w:val="0"/>
          <w:bCs w:val="0"/>
          <w:color w:val="auto"/>
          <w:sz w:val="24"/>
          <w:szCs w:val="24"/>
          <w:lang w:val="en-US" w:eastAsia="zh-CN"/>
        </w:rPr>
        <w:t>4.在维保服务</w:t>
      </w:r>
      <w:r>
        <w:rPr>
          <w:rFonts w:hint="eastAsia" w:ascii="仿宋" w:hAnsi="仿宋" w:eastAsia="仿宋" w:cs="仿宋"/>
          <w:b w:val="0"/>
          <w:bCs w:val="0"/>
          <w:color w:val="auto"/>
          <w:sz w:val="24"/>
          <w:szCs w:val="24"/>
        </w:rPr>
        <w:t>期间，乙方未按照合同约定履行</w:t>
      </w:r>
      <w:r>
        <w:rPr>
          <w:rFonts w:hint="eastAsia" w:ascii="仿宋" w:hAnsi="仿宋" w:eastAsia="仿宋" w:cs="仿宋"/>
          <w:b w:val="0"/>
          <w:bCs w:val="0"/>
          <w:color w:val="auto"/>
          <w:sz w:val="24"/>
          <w:szCs w:val="24"/>
          <w:lang w:val="en-US" w:eastAsia="zh-CN"/>
        </w:rPr>
        <w:t>维保服务</w:t>
      </w:r>
      <w:r>
        <w:rPr>
          <w:rFonts w:hint="eastAsia" w:ascii="仿宋" w:hAnsi="仿宋" w:eastAsia="仿宋" w:cs="仿宋"/>
          <w:b w:val="0"/>
          <w:bCs w:val="0"/>
          <w:color w:val="auto"/>
          <w:sz w:val="24"/>
          <w:szCs w:val="24"/>
        </w:rPr>
        <w:t>义务的，</w:t>
      </w:r>
      <w:r>
        <w:rPr>
          <w:rFonts w:hint="eastAsia" w:ascii="仿宋" w:hAnsi="仿宋" w:eastAsia="仿宋" w:cs="仿宋"/>
          <w:b w:val="0"/>
          <w:bCs w:val="0"/>
          <w:snapToGrid w:val="0"/>
          <w:color w:val="auto"/>
          <w:kern w:val="2"/>
          <w:sz w:val="24"/>
          <w:szCs w:val="24"/>
        </w:rPr>
        <w:t>每</w:t>
      </w:r>
      <w:r>
        <w:rPr>
          <w:rFonts w:hint="eastAsia" w:ascii="仿宋" w:hAnsi="仿宋" w:eastAsia="仿宋" w:cs="仿宋"/>
          <w:b w:val="0"/>
          <w:bCs w:val="0"/>
          <w:snapToGrid w:val="0"/>
          <w:color w:val="auto"/>
          <w:kern w:val="2"/>
          <w:sz w:val="24"/>
          <w:szCs w:val="24"/>
          <w:lang w:val="en-US" w:eastAsia="zh-CN"/>
        </w:rPr>
        <w:t>违反一次</w:t>
      </w:r>
      <w:r>
        <w:rPr>
          <w:rFonts w:hint="eastAsia" w:ascii="仿宋" w:hAnsi="仿宋" w:eastAsia="仿宋" w:cs="仿宋"/>
          <w:b w:val="0"/>
          <w:bCs w:val="0"/>
          <w:snapToGrid w:val="0"/>
          <w:color w:val="auto"/>
          <w:kern w:val="2"/>
          <w:sz w:val="24"/>
          <w:szCs w:val="24"/>
        </w:rPr>
        <w:t>，扣</w:t>
      </w:r>
      <w:r>
        <w:rPr>
          <w:rFonts w:hint="eastAsia" w:ascii="仿宋" w:hAnsi="仿宋" w:eastAsia="仿宋" w:cs="仿宋"/>
          <w:b w:val="0"/>
          <w:bCs w:val="0"/>
          <w:snapToGrid w:val="0"/>
          <w:color w:val="auto"/>
          <w:kern w:val="2"/>
          <w:sz w:val="24"/>
          <w:szCs w:val="24"/>
          <w:u w:val="single"/>
          <w:lang w:val="en-US" w:eastAsia="zh-CN"/>
        </w:rPr>
        <w:t xml:space="preserve"> </w:t>
      </w:r>
      <w:r>
        <w:rPr>
          <w:rFonts w:hint="eastAsia" w:ascii="仿宋" w:hAnsi="仿宋" w:eastAsia="仿宋" w:cs="仿宋"/>
          <w:b w:val="0"/>
          <w:bCs w:val="0"/>
          <w:snapToGrid w:val="0"/>
          <w:color w:val="auto"/>
          <w:kern w:val="2"/>
          <w:sz w:val="24"/>
          <w:szCs w:val="24"/>
          <w:u w:val="single"/>
        </w:rPr>
        <w:t>500</w:t>
      </w:r>
      <w:r>
        <w:rPr>
          <w:rFonts w:hint="eastAsia" w:ascii="仿宋" w:hAnsi="仿宋" w:eastAsia="仿宋" w:cs="仿宋"/>
          <w:b w:val="0"/>
          <w:bCs w:val="0"/>
          <w:snapToGrid w:val="0"/>
          <w:color w:val="auto"/>
          <w:kern w:val="2"/>
          <w:sz w:val="24"/>
          <w:szCs w:val="24"/>
          <w:u w:val="single"/>
          <w:lang w:val="en-US" w:eastAsia="zh-CN"/>
        </w:rPr>
        <w:t xml:space="preserve"> </w:t>
      </w:r>
      <w:r>
        <w:rPr>
          <w:rFonts w:hint="eastAsia" w:ascii="仿宋" w:hAnsi="仿宋" w:eastAsia="仿宋" w:cs="仿宋"/>
          <w:b w:val="0"/>
          <w:bCs w:val="0"/>
          <w:snapToGrid w:val="0"/>
          <w:color w:val="auto"/>
          <w:kern w:val="2"/>
          <w:sz w:val="24"/>
          <w:szCs w:val="24"/>
          <w:u w:val="none"/>
        </w:rPr>
        <w:t>元</w:t>
      </w:r>
      <w:r>
        <w:rPr>
          <w:rFonts w:hint="eastAsia" w:ascii="仿宋" w:hAnsi="仿宋" w:eastAsia="仿宋" w:cs="仿宋"/>
          <w:b w:val="0"/>
          <w:bCs w:val="0"/>
          <w:snapToGrid w:val="0"/>
          <w:color w:val="auto"/>
          <w:kern w:val="2"/>
          <w:sz w:val="24"/>
          <w:szCs w:val="24"/>
          <w:lang w:eastAsia="zh-CN"/>
        </w:rPr>
        <w:t>。</w:t>
      </w:r>
      <w:r>
        <w:rPr>
          <w:rFonts w:hint="eastAsia" w:ascii="仿宋" w:hAnsi="仿宋" w:eastAsia="仿宋" w:cs="仿宋"/>
          <w:b w:val="0"/>
          <w:bCs w:val="0"/>
          <w:snapToGrid w:val="0"/>
          <w:color w:val="auto"/>
          <w:kern w:val="2"/>
          <w:sz w:val="24"/>
          <w:szCs w:val="24"/>
          <w:lang w:val="en-US" w:eastAsia="zh-CN"/>
        </w:rPr>
        <w:t>若不符合考核条款的情况超过</w:t>
      </w:r>
      <w:r>
        <w:rPr>
          <w:rFonts w:hint="eastAsia" w:ascii="仿宋" w:hAnsi="仿宋" w:eastAsia="仿宋" w:cs="仿宋"/>
          <w:b w:val="0"/>
          <w:bCs w:val="0"/>
          <w:snapToGrid w:val="0"/>
          <w:color w:val="auto"/>
          <w:kern w:val="2"/>
          <w:sz w:val="24"/>
          <w:szCs w:val="24"/>
          <w:u w:val="single"/>
          <w:lang w:val="en-US" w:eastAsia="zh-CN"/>
        </w:rPr>
        <w:t xml:space="preserve"> 5 </w:t>
      </w:r>
      <w:r>
        <w:rPr>
          <w:rFonts w:hint="eastAsia" w:ascii="仿宋" w:hAnsi="仿宋" w:eastAsia="仿宋" w:cs="仿宋"/>
          <w:b w:val="0"/>
          <w:bCs w:val="0"/>
          <w:snapToGrid w:val="0"/>
          <w:color w:val="auto"/>
          <w:kern w:val="2"/>
          <w:sz w:val="24"/>
          <w:szCs w:val="24"/>
          <w:lang w:val="en-US" w:eastAsia="zh-CN"/>
        </w:rPr>
        <w:t>次，甲方有权终止合同并不予续签下一年度合同。</w:t>
      </w:r>
    </w:p>
    <w:p w14:paraId="02FD10AA">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.合同履行过程中，因乙方原因造成设备原有故障以外的故障的，乙方应当承担全部责任。</w:t>
      </w:r>
    </w:p>
    <w:p w14:paraId="371BC73C">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.本合同履行中如有任何一方违约，那么守约方为保障自己合法权益而产生的律师费、诉讼费、差旅费、公告费等，均由违约方承担。</w:t>
      </w:r>
    </w:p>
    <w:p w14:paraId="0C2C63D0">
      <w:pPr>
        <w:pStyle w:val="2"/>
        <w:numPr>
          <w:ilvl w:val="0"/>
          <w:numId w:val="0"/>
        </w:numPr>
        <w:spacing w:line="360" w:lineRule="auto"/>
        <w:ind w:left="420" w:leftChars="0" w:hanging="420" w:firstLineChars="0"/>
        <w:rPr>
          <w:rFonts w:hint="eastAsia" w:ascii="仿宋" w:hAnsi="仿宋" w:eastAsia="仿宋" w:cs="仿宋"/>
          <w:b/>
          <w:bCs/>
          <w:color w:val="auto"/>
          <w:kern w:val="2"/>
          <w:sz w:val="28"/>
          <w:szCs w:val="28"/>
        </w:rPr>
      </w:pPr>
      <w:r>
        <w:rPr>
          <w:rFonts w:hint="eastAsia" w:ascii="仿宋" w:hAnsi="仿宋" w:eastAsia="仿宋" w:cs="仿宋"/>
          <w:b w:val="0"/>
          <w:bCs/>
          <w:color w:val="auto"/>
          <w:kern w:val="2"/>
          <w:sz w:val="28"/>
          <w:szCs w:val="28"/>
          <w:lang w:val="en-US" w:eastAsia="zh-CN" w:bidi="ar-SA"/>
        </w:rPr>
        <w:t>八、</w:t>
      </w:r>
      <w:r>
        <w:rPr>
          <w:rFonts w:hint="eastAsia" w:ascii="仿宋" w:hAnsi="仿宋" w:eastAsia="仿宋" w:cs="仿宋"/>
          <w:b/>
          <w:bCs/>
          <w:color w:val="auto"/>
          <w:kern w:val="2"/>
          <w:sz w:val="28"/>
          <w:szCs w:val="28"/>
        </w:rPr>
        <w:t>其他</w:t>
      </w:r>
    </w:p>
    <w:p w14:paraId="7B53FDD1">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陆 </w:t>
      </w:r>
      <w:r>
        <w:rPr>
          <w:rFonts w:hint="eastAsia" w:ascii="仿宋" w:hAnsi="仿宋" w:eastAsia="仿宋" w:cs="仿宋"/>
          <w:color w:val="auto"/>
          <w:sz w:val="24"/>
          <w:szCs w:val="24"/>
        </w:rPr>
        <w:t>份，自双方签章之日起生效。甲方</w:t>
      </w:r>
      <w:r>
        <w:rPr>
          <w:rFonts w:hint="eastAsia" w:ascii="仿宋" w:hAnsi="仿宋" w:eastAsia="仿宋" w:cs="仿宋"/>
          <w:color w:val="auto"/>
          <w:sz w:val="24"/>
          <w:szCs w:val="24"/>
          <w:u w:val="single"/>
        </w:rPr>
        <w:t xml:space="preserve"> 肆 </w:t>
      </w:r>
      <w:r>
        <w:rPr>
          <w:rFonts w:hint="eastAsia" w:ascii="仿宋" w:hAnsi="仿宋" w:eastAsia="仿宋" w:cs="仿宋"/>
          <w:color w:val="auto"/>
          <w:sz w:val="24"/>
          <w:szCs w:val="24"/>
        </w:rPr>
        <w:t>份，乙方、采购代理机构各</w:t>
      </w:r>
      <w:r>
        <w:rPr>
          <w:rFonts w:hint="eastAsia" w:ascii="仿宋" w:hAnsi="仿宋" w:eastAsia="仿宋" w:cs="仿宋"/>
          <w:i w:val="0"/>
          <w:iCs w:val="0"/>
          <w:color w:val="auto"/>
          <w:sz w:val="24"/>
          <w:szCs w:val="24"/>
          <w:u w:val="single"/>
        </w:rPr>
        <w:t xml:space="preserve"> 壹 </w:t>
      </w:r>
      <w:r>
        <w:rPr>
          <w:rFonts w:hint="eastAsia" w:ascii="仿宋" w:hAnsi="仿宋" w:eastAsia="仿宋" w:cs="仿宋"/>
          <w:color w:val="auto"/>
          <w:sz w:val="24"/>
          <w:szCs w:val="24"/>
        </w:rPr>
        <w:t>份。</w:t>
      </w:r>
    </w:p>
    <w:p w14:paraId="12FAEAA4">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2.考核表作为合同附件。</w:t>
      </w:r>
    </w:p>
    <w:p w14:paraId="7498FBAF">
      <w:pPr>
        <w:spacing w:line="360" w:lineRule="auto"/>
        <w:ind w:firstLine="480" w:firstLineChars="200"/>
        <w:jc w:val="left"/>
        <w:rPr>
          <w:rFonts w:hint="eastAsia" w:ascii="仿宋" w:hAnsi="仿宋" w:eastAsia="仿宋" w:cs="仿宋"/>
          <w:color w:val="auto"/>
          <w:spacing w:val="20"/>
          <w:sz w:val="24"/>
          <w:szCs w:val="24"/>
          <w:lang w:val="en-US" w:eastAsia="zh-CN" w:bidi="ar-SA"/>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w:t>
      </w:r>
      <w:r>
        <w:rPr>
          <w:rFonts w:hint="eastAsia" w:ascii="仿宋" w:hAnsi="仿宋" w:eastAsia="仿宋" w:cs="仿宋"/>
          <w:color w:val="auto"/>
          <w:spacing w:val="20"/>
          <w:sz w:val="24"/>
          <w:szCs w:val="24"/>
          <w:lang w:val="en-US" w:eastAsia="zh-CN" w:bidi="ar-SA"/>
        </w:rPr>
        <w:t>在执行本合同中发生的或与本合同有关的争端，双方应通过友好协商解决，经协商在</w:t>
      </w:r>
      <w:r>
        <w:rPr>
          <w:rFonts w:hint="eastAsia" w:ascii="仿宋" w:hAnsi="仿宋" w:eastAsia="仿宋" w:cs="仿宋"/>
          <w:color w:val="auto"/>
          <w:spacing w:val="20"/>
          <w:sz w:val="24"/>
          <w:szCs w:val="24"/>
          <w:u w:val="single"/>
          <w:lang w:val="en-US" w:eastAsia="zh-CN" w:bidi="ar-SA"/>
        </w:rPr>
        <w:t xml:space="preserve"> 60 </w:t>
      </w:r>
      <w:r>
        <w:rPr>
          <w:rFonts w:hint="eastAsia" w:ascii="仿宋" w:hAnsi="仿宋" w:eastAsia="仿宋" w:cs="仿宋"/>
          <w:color w:val="auto"/>
          <w:spacing w:val="20"/>
          <w:sz w:val="24"/>
          <w:szCs w:val="24"/>
          <w:lang w:val="en-US" w:eastAsia="zh-CN" w:bidi="ar-SA"/>
        </w:rPr>
        <w:t>天内不能达成协议时，应提交采购人住所地人民法院提起诉讼。争议解决适用中华人民共和国法律。</w:t>
      </w:r>
    </w:p>
    <w:p w14:paraId="04EC553D">
      <w:pPr>
        <w:spacing w:line="360" w:lineRule="auto"/>
        <w:ind w:firstLine="480" w:firstLineChars="200"/>
        <w:jc w:val="left"/>
        <w:rPr>
          <w:rFonts w:hint="eastAsia" w:ascii="仿宋" w:hAnsi="仿宋" w:eastAsia="仿宋" w:cs="仿宋"/>
          <w:color w:val="auto"/>
          <w:spacing w:val="20"/>
          <w:sz w:val="24"/>
          <w:szCs w:val="24"/>
          <w:lang w:val="en-US" w:eastAsia="zh-CN" w:bidi="ar-SA"/>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.未尽事宜，双方协商解决，另行签订补充协议，补充协议与合同本身具同等法律效力。</w:t>
      </w:r>
    </w:p>
    <w:p w14:paraId="1D24F5B5">
      <w:pPr>
        <w:spacing w:line="360" w:lineRule="auto"/>
        <w:ind w:firstLine="480" w:firstLineChars="200"/>
        <w:jc w:val="left"/>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5.乙方联系人及联系方式：XXXXXXXXXX</w:t>
      </w:r>
    </w:p>
    <w:p w14:paraId="67BA1D46">
      <w:pPr>
        <w:pStyle w:val="2"/>
        <w:spacing w:line="420" w:lineRule="exact"/>
        <w:rPr>
          <w:rFonts w:hint="eastAsia" w:ascii="仿宋" w:hAnsi="仿宋" w:eastAsia="仿宋" w:cs="仿宋"/>
          <w:color w:val="auto"/>
          <w:sz w:val="24"/>
          <w:lang w:val="en-US" w:eastAsia="zh-CN"/>
        </w:rPr>
      </w:pPr>
      <w:r>
        <w:rPr>
          <w:rFonts w:hint="eastAsia" w:ascii="仿宋" w:hAnsi="仿宋" w:eastAsia="仿宋" w:cs="仿宋"/>
          <w:color w:val="auto"/>
          <w:sz w:val="24"/>
        </w:rPr>
        <w:t>甲方：成都市双流区第一人民医院               乙方：</w:t>
      </w:r>
      <w:r>
        <w:rPr>
          <w:rFonts w:hint="eastAsia" w:ascii="仿宋" w:hAnsi="仿宋" w:eastAsia="仿宋" w:cs="仿宋"/>
          <w:color w:val="auto"/>
          <w:sz w:val="24"/>
          <w:lang w:val="en-US" w:eastAsia="zh-CN"/>
        </w:rPr>
        <w:t>XXXXXXXXXXXXXXX</w:t>
      </w:r>
    </w:p>
    <w:p w14:paraId="52B2599C">
      <w:pPr>
        <w:pStyle w:val="2"/>
        <w:spacing w:line="420" w:lineRule="exact"/>
        <w:rPr>
          <w:rFonts w:hint="eastAsia" w:ascii="仿宋" w:hAnsi="仿宋" w:eastAsia="仿宋" w:cs="仿宋"/>
          <w:color w:val="auto"/>
          <w:sz w:val="24"/>
        </w:rPr>
      </w:pPr>
      <w:r>
        <w:rPr>
          <w:rFonts w:hint="eastAsia" w:ascii="仿宋" w:hAnsi="仿宋" w:eastAsia="仿宋" w:cs="仿宋"/>
          <w:color w:val="auto"/>
          <w:sz w:val="24"/>
        </w:rPr>
        <w:t xml:space="preserve">      （四川大学华西空港医院）</w:t>
      </w:r>
    </w:p>
    <w:p w14:paraId="01C712BC">
      <w:pPr>
        <w:pStyle w:val="2"/>
        <w:spacing w:line="420" w:lineRule="exact"/>
        <w:rPr>
          <w:rFonts w:hint="eastAsia" w:ascii="仿宋" w:hAnsi="仿宋" w:eastAsia="仿宋" w:cs="仿宋"/>
          <w:color w:val="auto"/>
          <w:sz w:val="24"/>
        </w:rPr>
      </w:pPr>
    </w:p>
    <w:p w14:paraId="0D89DD30">
      <w:pPr>
        <w:pStyle w:val="2"/>
        <w:spacing w:line="420" w:lineRule="exact"/>
        <w:rPr>
          <w:rFonts w:hint="eastAsia" w:ascii="仿宋" w:hAnsi="仿宋" w:eastAsia="仿宋" w:cs="仿宋"/>
          <w:color w:val="auto"/>
          <w:sz w:val="24"/>
        </w:rPr>
      </w:pPr>
    </w:p>
    <w:p w14:paraId="7F7F453C">
      <w:pPr>
        <w:pStyle w:val="2"/>
        <w:spacing w:line="420" w:lineRule="exact"/>
        <w:ind w:firstLine="2760" w:firstLineChars="1150"/>
        <w:rPr>
          <w:rFonts w:hint="eastAsia" w:ascii="仿宋" w:hAnsi="仿宋" w:eastAsia="仿宋" w:cs="仿宋"/>
          <w:color w:val="auto"/>
          <w:sz w:val="24"/>
        </w:rPr>
      </w:pPr>
      <w:r>
        <w:rPr>
          <w:rFonts w:hint="eastAsia" w:ascii="仿宋" w:hAnsi="仿宋" w:eastAsia="仿宋" w:cs="仿宋"/>
          <w:color w:val="auto"/>
          <w:sz w:val="24"/>
        </w:rPr>
        <w:t>（签章）                                 （签章）</w:t>
      </w:r>
    </w:p>
    <w:p w14:paraId="351D923D">
      <w:pPr>
        <w:pStyle w:val="2"/>
        <w:spacing w:line="420" w:lineRule="exact"/>
        <w:ind w:firstLine="2760" w:firstLineChars="1150"/>
        <w:rPr>
          <w:rFonts w:hint="eastAsia" w:ascii="仿宋" w:hAnsi="仿宋" w:eastAsia="仿宋" w:cs="仿宋"/>
          <w:color w:val="auto"/>
          <w:sz w:val="24"/>
        </w:rPr>
      </w:pPr>
    </w:p>
    <w:p w14:paraId="59AFDBF2">
      <w:pPr>
        <w:pStyle w:val="2"/>
        <w:spacing w:line="420" w:lineRule="exact"/>
        <w:ind w:firstLine="2760" w:firstLineChars="1150"/>
        <w:rPr>
          <w:rFonts w:hint="eastAsia" w:ascii="仿宋" w:hAnsi="仿宋" w:eastAsia="仿宋" w:cs="仿宋"/>
          <w:color w:val="auto"/>
          <w:sz w:val="24"/>
        </w:rPr>
      </w:pPr>
    </w:p>
    <w:p w14:paraId="29F7A2C2">
      <w:pPr>
        <w:pStyle w:val="2"/>
        <w:spacing w:line="420" w:lineRule="exact"/>
        <w:rPr>
          <w:rFonts w:hint="eastAsia" w:ascii="仿宋" w:hAnsi="仿宋" w:eastAsia="仿宋" w:cs="仿宋"/>
          <w:color w:val="auto"/>
          <w:sz w:val="24"/>
        </w:rPr>
      </w:pPr>
      <w:r>
        <w:rPr>
          <w:rFonts w:hint="eastAsia" w:ascii="仿宋" w:hAnsi="仿宋" w:eastAsia="仿宋" w:cs="仿宋"/>
          <w:color w:val="auto"/>
          <w:sz w:val="24"/>
        </w:rPr>
        <w:t>法定代表人（授权代表）                       法定代表人（授权代表）</w:t>
      </w:r>
    </w:p>
    <w:p w14:paraId="3A1193BB">
      <w:pPr>
        <w:pStyle w:val="2"/>
        <w:spacing w:line="420" w:lineRule="exact"/>
        <w:ind w:firstLine="720" w:firstLineChars="300"/>
        <w:rPr>
          <w:rFonts w:hint="eastAsia" w:ascii="仿宋" w:hAnsi="仿宋" w:eastAsia="仿宋" w:cs="仿宋"/>
          <w:color w:val="auto"/>
          <w:sz w:val="24"/>
        </w:rPr>
      </w:pPr>
      <w:r>
        <w:rPr>
          <w:rFonts w:hint="eastAsia" w:ascii="仿宋" w:hAnsi="仿宋" w:eastAsia="仿宋" w:cs="仿宋"/>
          <w:color w:val="auto"/>
          <w:sz w:val="24"/>
        </w:rPr>
        <w:t xml:space="preserve">                                       地址：</w:t>
      </w:r>
    </w:p>
    <w:p w14:paraId="27D15B81">
      <w:pPr>
        <w:pStyle w:val="2"/>
        <w:spacing w:line="420" w:lineRule="exact"/>
        <w:ind w:firstLine="720" w:firstLineChars="300"/>
        <w:rPr>
          <w:rFonts w:hint="eastAsia" w:ascii="仿宋" w:hAnsi="仿宋" w:eastAsia="仿宋" w:cs="仿宋"/>
          <w:color w:val="auto"/>
          <w:sz w:val="24"/>
        </w:rPr>
      </w:pPr>
      <w:r>
        <w:rPr>
          <w:rFonts w:hint="eastAsia" w:ascii="仿宋" w:hAnsi="仿宋" w:eastAsia="仿宋" w:cs="仿宋"/>
          <w:color w:val="auto"/>
          <w:sz w:val="24"/>
        </w:rPr>
        <w:t xml:space="preserve">                                       开户银行：</w:t>
      </w:r>
    </w:p>
    <w:p w14:paraId="6A941FA2">
      <w:pPr>
        <w:pStyle w:val="2"/>
        <w:spacing w:line="420" w:lineRule="exact"/>
        <w:ind w:firstLine="720" w:firstLineChars="3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                                       开户银行行号：</w:t>
      </w:r>
      <w:r>
        <w:rPr>
          <w:rFonts w:hint="eastAsia" w:ascii="仿宋" w:hAnsi="仿宋" w:eastAsia="仿宋" w:cs="仿宋"/>
          <w:color w:val="auto"/>
          <w:szCs w:val="21"/>
        </w:rPr>
        <w:t xml:space="preserve">         </w:t>
      </w:r>
    </w:p>
    <w:p w14:paraId="6347BB88">
      <w:pPr>
        <w:pStyle w:val="2"/>
        <w:spacing w:line="420" w:lineRule="exact"/>
        <w:ind w:left="1152" w:leftChars="360" w:right="0" w:rightChars="0" w:firstLine="0" w:firstLineChars="0"/>
        <w:jc w:val="both"/>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收款银行</w:t>
      </w:r>
      <w:r>
        <w:rPr>
          <w:rFonts w:hint="eastAsia" w:ascii="仿宋" w:hAnsi="仿宋" w:eastAsia="仿宋" w:cs="仿宋"/>
          <w:color w:val="auto"/>
          <w:sz w:val="24"/>
        </w:rPr>
        <w:t xml:space="preserve">账号：  </w:t>
      </w:r>
    </w:p>
    <w:p w14:paraId="2CD266D8">
      <w:pPr>
        <w:spacing w:line="240" w:lineRule="exact"/>
        <w:ind w:firstLine="480"/>
        <w:rPr>
          <w:rFonts w:hint="eastAsia" w:ascii="仿宋" w:hAnsi="仿宋" w:eastAsia="仿宋" w:cs="仿宋"/>
          <w:color w:val="auto"/>
          <w:sz w:val="24"/>
        </w:rPr>
      </w:pPr>
      <w:r>
        <w:rPr>
          <w:rFonts w:hint="eastAsia" w:ascii="仿宋" w:hAnsi="仿宋" w:eastAsia="仿宋" w:cs="仿宋"/>
          <w:color w:val="auto"/>
          <w:sz w:val="24"/>
        </w:rPr>
        <w:t xml:space="preserve">签约日期：    年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月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日                签约日期：    年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月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日</w:t>
      </w:r>
    </w:p>
    <w:p w14:paraId="3BE5CA22">
      <w:pPr>
        <w:rPr>
          <w:rFonts w:hint="eastAsia" w:ascii="仿宋" w:hAnsi="仿宋" w:eastAsia="仿宋" w:cs="仿宋"/>
          <w:color w:val="auto"/>
          <w:sz w:val="24"/>
        </w:rPr>
      </w:pPr>
      <w:r>
        <w:rPr>
          <w:rFonts w:hint="eastAsia" w:ascii="仿宋" w:hAnsi="仿宋" w:eastAsia="仿宋" w:cs="仿宋"/>
          <w:color w:val="auto"/>
          <w:sz w:val="24"/>
        </w:rPr>
        <w:br w:type="page"/>
      </w:r>
    </w:p>
    <w:p w14:paraId="3898EE63">
      <w:pPr>
        <w:pStyle w:val="2"/>
        <w:tabs>
          <w:tab w:val="left" w:pos="4660"/>
        </w:tabs>
        <w:spacing w:line="420" w:lineRule="exact"/>
        <w:jc w:val="center"/>
        <w:rPr>
          <w:rFonts w:ascii="方正小标宋简体" w:hAnsi="宋体" w:eastAsia="方正小标宋简体" w:cs="宋体"/>
          <w:b/>
          <w:bCs/>
          <w:color w:val="auto"/>
          <w:sz w:val="36"/>
          <w:szCs w:val="36"/>
        </w:rPr>
      </w:pPr>
      <w:r>
        <w:rPr>
          <w:rFonts w:hint="eastAsia" w:ascii="方正小标宋简体" w:hAnsi="宋体" w:eastAsia="方正小标宋简体" w:cs="宋体"/>
          <w:b/>
          <w:bCs/>
          <w:color w:val="auto"/>
          <w:sz w:val="36"/>
          <w:szCs w:val="36"/>
        </w:rPr>
        <w:t>考核表</w:t>
      </w:r>
    </w:p>
    <w:p w14:paraId="26E3816A">
      <w:pPr>
        <w:pStyle w:val="2"/>
        <w:tabs>
          <w:tab w:val="left" w:pos="4660"/>
        </w:tabs>
        <w:spacing w:line="420" w:lineRule="exact"/>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维保单位：</w:t>
      </w:r>
      <w:r>
        <w:rPr>
          <w:rFonts w:hint="eastAsia" w:ascii="宋体" w:hAnsi="宋体" w:cs="宋体"/>
          <w:color w:val="auto"/>
          <w:sz w:val="28"/>
          <w:szCs w:val="28"/>
          <w:lang w:val="en-US" w:eastAsia="zh-CN"/>
        </w:rPr>
        <w:t>XXXXXXXXXXXXX</w:t>
      </w:r>
    </w:p>
    <w:p w14:paraId="61031474">
      <w:pPr>
        <w:pStyle w:val="2"/>
        <w:tabs>
          <w:tab w:val="left" w:pos="4660"/>
        </w:tabs>
        <w:spacing w:line="420" w:lineRule="exact"/>
        <w:jc w:val="center"/>
        <w:rPr>
          <w:rFonts w:hint="eastAsia" w:ascii="宋体" w:hAnsi="宋体" w:cs="宋体"/>
          <w:color w:val="auto"/>
          <w:sz w:val="28"/>
          <w:szCs w:val="28"/>
        </w:rPr>
      </w:pPr>
      <w:r>
        <w:rPr>
          <w:rFonts w:hint="eastAsia" w:ascii="宋体" w:hAnsi="宋体" w:cs="宋体"/>
          <w:color w:val="auto"/>
          <w:sz w:val="28"/>
          <w:szCs w:val="28"/>
        </w:rPr>
        <w:t>保养设备名称：</w:t>
      </w:r>
      <w:r>
        <w:rPr>
          <w:rFonts w:hint="eastAsia" w:ascii="宋体" w:hAnsi="宋体" w:cs="宋体"/>
          <w:color w:val="auto"/>
          <w:sz w:val="28"/>
          <w:szCs w:val="28"/>
          <w:lang w:val="en-US" w:eastAsia="zh-CN"/>
        </w:rPr>
        <w:t>XXXXXXXXXXX</w:t>
      </w:r>
      <w:r>
        <w:rPr>
          <w:rFonts w:hint="eastAsia" w:ascii="宋体" w:hAnsi="宋体" w:cs="宋体"/>
          <w:color w:val="auto"/>
          <w:sz w:val="28"/>
          <w:szCs w:val="28"/>
        </w:rPr>
        <w:t xml:space="preserve">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6095"/>
        <w:gridCol w:w="1468"/>
      </w:tblGrid>
      <w:tr w14:paraId="39B3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7B06A93B">
            <w:pPr>
              <w:widowControl/>
              <w:jc w:val="center"/>
              <w:rPr>
                <w:rFonts w:hint="eastAsia" w:ascii="宋体" w:hAnsi="宋体" w:cs="宋体"/>
                <w:color w:val="auto"/>
                <w:sz w:val="28"/>
                <w:szCs w:val="28"/>
              </w:rPr>
            </w:pPr>
            <w:r>
              <w:rPr>
                <w:rFonts w:hint="eastAsia" w:ascii="宋体" w:hAnsi="宋体" w:cs="宋体"/>
                <w:color w:val="auto"/>
                <w:sz w:val="28"/>
                <w:szCs w:val="28"/>
              </w:rPr>
              <w:t>序号</w:t>
            </w:r>
          </w:p>
        </w:tc>
        <w:tc>
          <w:tcPr>
            <w:tcW w:w="6095" w:type="dxa"/>
            <w:noWrap w:val="0"/>
            <w:vAlign w:val="top"/>
          </w:tcPr>
          <w:p w14:paraId="0B794F63">
            <w:pPr>
              <w:widowControl/>
              <w:jc w:val="center"/>
              <w:rPr>
                <w:rFonts w:hint="eastAsia" w:ascii="宋体" w:hAnsi="宋体" w:cs="宋体"/>
                <w:color w:val="auto"/>
                <w:sz w:val="28"/>
                <w:szCs w:val="28"/>
              </w:rPr>
            </w:pPr>
            <w:r>
              <w:rPr>
                <w:rFonts w:hint="eastAsia" w:ascii="宋体" w:hAnsi="宋体" w:cs="宋体"/>
                <w:color w:val="auto"/>
                <w:sz w:val="28"/>
                <w:szCs w:val="28"/>
              </w:rPr>
              <w:t>考核内容</w:t>
            </w:r>
          </w:p>
        </w:tc>
        <w:tc>
          <w:tcPr>
            <w:tcW w:w="1468" w:type="dxa"/>
            <w:noWrap w:val="0"/>
            <w:vAlign w:val="top"/>
          </w:tcPr>
          <w:p w14:paraId="7C8BF6CA">
            <w:pPr>
              <w:widowControl/>
              <w:jc w:val="center"/>
              <w:rPr>
                <w:rFonts w:hint="eastAsia" w:ascii="宋体" w:hAnsi="宋体" w:cs="宋体"/>
                <w:color w:val="auto"/>
                <w:sz w:val="28"/>
                <w:szCs w:val="28"/>
              </w:rPr>
            </w:pPr>
            <w:r>
              <w:rPr>
                <w:rFonts w:hint="eastAsia" w:ascii="宋体" w:hAnsi="宋体" w:cs="宋体"/>
                <w:color w:val="auto"/>
                <w:sz w:val="28"/>
                <w:szCs w:val="28"/>
              </w:rPr>
              <w:t>考核结果</w:t>
            </w:r>
          </w:p>
        </w:tc>
      </w:tr>
      <w:tr w14:paraId="3AC61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21DF62FE">
            <w:pPr>
              <w:widowControl/>
              <w:jc w:val="center"/>
              <w:rPr>
                <w:rFonts w:ascii="宋体" w:hAnsi="宋体" w:eastAsia="等线" w:cs="黑体"/>
                <w:snapToGrid w:val="0"/>
                <w:color w:val="auto"/>
                <w:kern w:val="2"/>
                <w:sz w:val="24"/>
                <w:szCs w:val="24"/>
              </w:rPr>
            </w:pPr>
          </w:p>
          <w:p w14:paraId="51386C52">
            <w:pPr>
              <w:widowControl/>
              <w:jc w:val="center"/>
              <w:rPr>
                <w:rFonts w:hint="eastAsia" w:ascii="宋体" w:hAnsi="宋体" w:eastAsia="等线" w:cs="黑体"/>
                <w:snapToGrid w:val="0"/>
                <w:color w:val="auto"/>
                <w:kern w:val="2"/>
                <w:sz w:val="24"/>
                <w:szCs w:val="24"/>
              </w:rPr>
            </w:pPr>
            <w:r>
              <w:rPr>
                <w:rFonts w:ascii="宋体" w:hAnsi="宋体" w:eastAsia="等线" w:cs="黑体"/>
                <w:snapToGrid w:val="0"/>
                <w:color w:val="auto"/>
                <w:kern w:val="2"/>
                <w:sz w:val="24"/>
                <w:szCs w:val="24"/>
              </w:rPr>
              <w:t>1</w:t>
            </w:r>
          </w:p>
        </w:tc>
        <w:tc>
          <w:tcPr>
            <w:tcW w:w="6095" w:type="dxa"/>
            <w:noWrap w:val="0"/>
            <w:vAlign w:val="top"/>
          </w:tcPr>
          <w:p w14:paraId="6262DCCE">
            <w:pPr>
              <w:widowControl/>
              <w:jc w:val="center"/>
              <w:rPr>
                <w:rFonts w:ascii="宋体" w:hAnsi="宋体" w:eastAsia="等线" w:cs="黑体"/>
                <w:snapToGrid w:val="0"/>
                <w:color w:val="auto"/>
                <w:kern w:val="2"/>
                <w:sz w:val="24"/>
                <w:szCs w:val="24"/>
              </w:rPr>
            </w:pPr>
          </w:p>
          <w:p w14:paraId="67CC11C6">
            <w:pPr>
              <w:widowControl/>
              <w:jc w:val="center"/>
              <w:rPr>
                <w:rFonts w:hint="eastAsia" w:ascii="宋体" w:hAnsi="宋体" w:eastAsia="等线" w:cs="黑体"/>
                <w:snapToGrid w:val="0"/>
                <w:color w:val="auto"/>
                <w:kern w:val="2"/>
                <w:sz w:val="24"/>
                <w:szCs w:val="24"/>
              </w:rPr>
            </w:pPr>
          </w:p>
          <w:p w14:paraId="09134DB6">
            <w:pPr>
              <w:widowControl/>
              <w:rPr>
                <w:rFonts w:hint="eastAsia" w:ascii="宋体" w:hAnsi="宋体" w:eastAsia="等线" w:cs="黑体"/>
                <w:snapToGrid w:val="0"/>
                <w:color w:val="auto"/>
                <w:kern w:val="2"/>
                <w:sz w:val="24"/>
                <w:szCs w:val="24"/>
              </w:rPr>
            </w:pPr>
          </w:p>
        </w:tc>
        <w:tc>
          <w:tcPr>
            <w:tcW w:w="1468" w:type="dxa"/>
            <w:noWrap w:val="0"/>
            <w:vAlign w:val="top"/>
          </w:tcPr>
          <w:p w14:paraId="62E10871">
            <w:pPr>
              <w:pStyle w:val="2"/>
              <w:tabs>
                <w:tab w:val="left" w:pos="4660"/>
              </w:tabs>
              <w:spacing w:line="420" w:lineRule="exact"/>
              <w:jc w:val="center"/>
              <w:rPr>
                <w:rFonts w:hint="eastAsia" w:ascii="宋体" w:hAnsi="宋体" w:cs="宋体"/>
                <w:color w:val="auto"/>
                <w:sz w:val="28"/>
                <w:szCs w:val="28"/>
              </w:rPr>
            </w:pPr>
          </w:p>
        </w:tc>
      </w:tr>
      <w:tr w14:paraId="6FE0F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7683B7A6">
            <w:pPr>
              <w:widowControl/>
              <w:jc w:val="center"/>
              <w:rPr>
                <w:rFonts w:ascii="宋体" w:hAnsi="宋体" w:eastAsia="等线" w:cs="黑体"/>
                <w:snapToGrid w:val="0"/>
                <w:color w:val="auto"/>
                <w:kern w:val="2"/>
                <w:sz w:val="24"/>
                <w:szCs w:val="24"/>
              </w:rPr>
            </w:pPr>
          </w:p>
          <w:p w14:paraId="728FC24F">
            <w:pPr>
              <w:widowControl/>
              <w:jc w:val="center"/>
              <w:rPr>
                <w:rFonts w:hint="eastAsia" w:ascii="宋体" w:hAnsi="宋体" w:eastAsia="等线" w:cs="黑体"/>
                <w:snapToGrid w:val="0"/>
                <w:color w:val="auto"/>
                <w:kern w:val="2"/>
                <w:sz w:val="24"/>
                <w:szCs w:val="24"/>
              </w:rPr>
            </w:pPr>
            <w:r>
              <w:rPr>
                <w:rFonts w:hint="eastAsia" w:ascii="宋体" w:hAnsi="宋体" w:eastAsia="等线" w:cs="黑体"/>
                <w:snapToGrid w:val="0"/>
                <w:color w:val="auto"/>
                <w:kern w:val="2"/>
                <w:sz w:val="24"/>
                <w:szCs w:val="24"/>
              </w:rPr>
              <w:t>2</w:t>
            </w:r>
          </w:p>
        </w:tc>
        <w:tc>
          <w:tcPr>
            <w:tcW w:w="6095" w:type="dxa"/>
            <w:noWrap w:val="0"/>
            <w:vAlign w:val="top"/>
          </w:tcPr>
          <w:p w14:paraId="071D98A8">
            <w:pPr>
              <w:widowControl/>
              <w:ind w:firstLine="480" w:firstLineChars="200"/>
              <w:jc w:val="left"/>
              <w:rPr>
                <w:rFonts w:ascii="宋体" w:hAnsi="宋体" w:eastAsia="等线" w:cs="黑体"/>
                <w:snapToGrid w:val="0"/>
                <w:color w:val="auto"/>
                <w:kern w:val="2"/>
                <w:sz w:val="24"/>
                <w:szCs w:val="24"/>
              </w:rPr>
            </w:pPr>
          </w:p>
          <w:p w14:paraId="3004B6B1">
            <w:pPr>
              <w:widowControl/>
              <w:ind w:firstLine="480" w:firstLineChars="200"/>
              <w:jc w:val="left"/>
              <w:rPr>
                <w:rFonts w:hint="eastAsia" w:ascii="宋体" w:hAnsi="宋体" w:eastAsia="等线" w:cs="黑体"/>
                <w:snapToGrid w:val="0"/>
                <w:color w:val="auto"/>
                <w:kern w:val="2"/>
                <w:sz w:val="24"/>
                <w:szCs w:val="24"/>
              </w:rPr>
            </w:pPr>
          </w:p>
          <w:p w14:paraId="7EA70DF0">
            <w:pPr>
              <w:widowControl/>
              <w:ind w:firstLine="480" w:firstLineChars="200"/>
              <w:jc w:val="left"/>
              <w:rPr>
                <w:rFonts w:hint="eastAsia" w:ascii="宋体" w:hAnsi="宋体" w:eastAsia="等线" w:cs="黑体"/>
                <w:snapToGrid w:val="0"/>
                <w:color w:val="auto"/>
                <w:kern w:val="2"/>
                <w:sz w:val="24"/>
                <w:szCs w:val="24"/>
              </w:rPr>
            </w:pPr>
          </w:p>
        </w:tc>
        <w:tc>
          <w:tcPr>
            <w:tcW w:w="1468" w:type="dxa"/>
            <w:noWrap w:val="0"/>
            <w:vAlign w:val="top"/>
          </w:tcPr>
          <w:p w14:paraId="52445AC6">
            <w:pPr>
              <w:pStyle w:val="2"/>
              <w:tabs>
                <w:tab w:val="left" w:pos="4660"/>
              </w:tabs>
              <w:spacing w:line="420" w:lineRule="exact"/>
              <w:jc w:val="center"/>
              <w:rPr>
                <w:rFonts w:hint="eastAsia" w:ascii="宋体" w:hAnsi="宋体" w:cs="宋体"/>
                <w:color w:val="auto"/>
                <w:sz w:val="28"/>
                <w:szCs w:val="28"/>
              </w:rPr>
            </w:pPr>
          </w:p>
        </w:tc>
      </w:tr>
      <w:tr w14:paraId="18FA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42F3FF13">
            <w:pPr>
              <w:widowControl/>
              <w:jc w:val="center"/>
              <w:rPr>
                <w:rFonts w:ascii="宋体" w:hAnsi="宋体" w:eastAsia="等线" w:cs="黑体"/>
                <w:snapToGrid w:val="0"/>
                <w:color w:val="auto"/>
                <w:kern w:val="2"/>
                <w:sz w:val="24"/>
                <w:szCs w:val="24"/>
              </w:rPr>
            </w:pPr>
          </w:p>
          <w:p w14:paraId="791D450A">
            <w:pPr>
              <w:widowControl/>
              <w:jc w:val="center"/>
              <w:rPr>
                <w:rFonts w:hint="eastAsia" w:ascii="宋体" w:hAnsi="宋体" w:eastAsia="等线" w:cs="黑体"/>
                <w:snapToGrid w:val="0"/>
                <w:color w:val="auto"/>
                <w:kern w:val="2"/>
                <w:sz w:val="24"/>
                <w:szCs w:val="24"/>
              </w:rPr>
            </w:pPr>
            <w:r>
              <w:rPr>
                <w:rFonts w:hint="eastAsia" w:ascii="宋体" w:hAnsi="宋体" w:eastAsia="等线" w:cs="黑体"/>
                <w:snapToGrid w:val="0"/>
                <w:color w:val="auto"/>
                <w:kern w:val="2"/>
                <w:sz w:val="24"/>
                <w:szCs w:val="24"/>
              </w:rPr>
              <w:t>3</w:t>
            </w:r>
          </w:p>
        </w:tc>
        <w:tc>
          <w:tcPr>
            <w:tcW w:w="6095" w:type="dxa"/>
            <w:noWrap w:val="0"/>
            <w:vAlign w:val="top"/>
          </w:tcPr>
          <w:p w14:paraId="03B5C37A">
            <w:pPr>
              <w:widowControl/>
              <w:ind w:firstLine="480" w:firstLineChars="200"/>
              <w:jc w:val="left"/>
              <w:rPr>
                <w:rFonts w:ascii="宋体" w:hAnsi="宋体" w:eastAsia="等线" w:cs="黑体"/>
                <w:snapToGrid w:val="0"/>
                <w:color w:val="auto"/>
                <w:kern w:val="2"/>
                <w:sz w:val="24"/>
                <w:szCs w:val="24"/>
              </w:rPr>
            </w:pPr>
          </w:p>
          <w:p w14:paraId="554E9126">
            <w:pPr>
              <w:widowControl/>
              <w:ind w:firstLine="480" w:firstLineChars="200"/>
              <w:jc w:val="left"/>
              <w:rPr>
                <w:rFonts w:hint="eastAsia" w:ascii="宋体" w:hAnsi="宋体" w:eastAsia="等线" w:cs="黑体"/>
                <w:snapToGrid w:val="0"/>
                <w:color w:val="auto"/>
                <w:kern w:val="2"/>
                <w:sz w:val="24"/>
                <w:szCs w:val="24"/>
              </w:rPr>
            </w:pPr>
          </w:p>
          <w:p w14:paraId="69A50CD9">
            <w:pPr>
              <w:widowControl/>
              <w:ind w:firstLine="480" w:firstLineChars="200"/>
              <w:jc w:val="left"/>
              <w:rPr>
                <w:rFonts w:hint="eastAsia" w:ascii="宋体" w:hAnsi="宋体" w:eastAsia="等线" w:cs="黑体"/>
                <w:snapToGrid w:val="0"/>
                <w:color w:val="auto"/>
                <w:kern w:val="2"/>
                <w:sz w:val="24"/>
                <w:szCs w:val="24"/>
              </w:rPr>
            </w:pPr>
          </w:p>
        </w:tc>
        <w:tc>
          <w:tcPr>
            <w:tcW w:w="1468" w:type="dxa"/>
            <w:noWrap w:val="0"/>
            <w:vAlign w:val="top"/>
          </w:tcPr>
          <w:p w14:paraId="0E572712">
            <w:pPr>
              <w:pStyle w:val="2"/>
              <w:tabs>
                <w:tab w:val="left" w:pos="4660"/>
              </w:tabs>
              <w:spacing w:line="420" w:lineRule="exact"/>
              <w:jc w:val="center"/>
              <w:rPr>
                <w:rFonts w:hint="eastAsia" w:ascii="宋体" w:hAnsi="宋体" w:cs="宋体"/>
                <w:color w:val="auto"/>
                <w:sz w:val="28"/>
                <w:szCs w:val="28"/>
              </w:rPr>
            </w:pPr>
          </w:p>
        </w:tc>
      </w:tr>
      <w:tr w14:paraId="1ACB7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4FB7BC0E">
            <w:pPr>
              <w:widowControl/>
              <w:jc w:val="center"/>
              <w:rPr>
                <w:rFonts w:ascii="宋体" w:hAnsi="宋体" w:eastAsia="等线" w:cs="黑体"/>
                <w:snapToGrid w:val="0"/>
                <w:color w:val="auto"/>
                <w:kern w:val="2"/>
                <w:sz w:val="24"/>
                <w:szCs w:val="24"/>
              </w:rPr>
            </w:pPr>
          </w:p>
          <w:p w14:paraId="30BE1261">
            <w:pPr>
              <w:widowControl/>
              <w:jc w:val="center"/>
              <w:rPr>
                <w:rFonts w:hint="eastAsia" w:ascii="宋体" w:hAnsi="宋体" w:eastAsia="等线" w:cs="黑体"/>
                <w:snapToGrid w:val="0"/>
                <w:color w:val="auto"/>
                <w:kern w:val="2"/>
                <w:sz w:val="24"/>
                <w:szCs w:val="24"/>
              </w:rPr>
            </w:pPr>
            <w:r>
              <w:rPr>
                <w:rFonts w:hint="eastAsia" w:ascii="宋体" w:hAnsi="宋体" w:eastAsia="等线" w:cs="黑体"/>
                <w:snapToGrid w:val="0"/>
                <w:color w:val="auto"/>
                <w:kern w:val="2"/>
                <w:sz w:val="24"/>
                <w:szCs w:val="24"/>
              </w:rPr>
              <w:t>4</w:t>
            </w:r>
          </w:p>
        </w:tc>
        <w:tc>
          <w:tcPr>
            <w:tcW w:w="6095" w:type="dxa"/>
            <w:noWrap w:val="0"/>
            <w:vAlign w:val="top"/>
          </w:tcPr>
          <w:p w14:paraId="787F8F00">
            <w:pPr>
              <w:widowControl/>
              <w:ind w:firstLine="480" w:firstLineChars="200"/>
              <w:jc w:val="left"/>
              <w:rPr>
                <w:rFonts w:ascii="宋体" w:hAnsi="宋体" w:eastAsia="等线" w:cs="黑体"/>
                <w:snapToGrid w:val="0"/>
                <w:color w:val="auto"/>
                <w:kern w:val="2"/>
                <w:sz w:val="24"/>
                <w:szCs w:val="24"/>
              </w:rPr>
            </w:pPr>
          </w:p>
          <w:p w14:paraId="3CF364C5">
            <w:pPr>
              <w:widowControl/>
              <w:ind w:firstLine="480" w:firstLineChars="200"/>
              <w:jc w:val="left"/>
              <w:rPr>
                <w:rFonts w:ascii="宋体" w:hAnsi="宋体" w:eastAsia="等线" w:cs="黑体"/>
                <w:snapToGrid w:val="0"/>
                <w:color w:val="auto"/>
                <w:kern w:val="2"/>
                <w:sz w:val="24"/>
                <w:szCs w:val="24"/>
              </w:rPr>
            </w:pPr>
          </w:p>
          <w:p w14:paraId="5EC4A8DC">
            <w:pPr>
              <w:widowControl/>
              <w:ind w:firstLine="480" w:firstLineChars="200"/>
              <w:jc w:val="left"/>
              <w:rPr>
                <w:rFonts w:hint="eastAsia" w:ascii="宋体" w:hAnsi="宋体" w:eastAsia="等线" w:cs="黑体"/>
                <w:snapToGrid w:val="0"/>
                <w:color w:val="auto"/>
                <w:kern w:val="2"/>
                <w:sz w:val="24"/>
                <w:szCs w:val="24"/>
              </w:rPr>
            </w:pPr>
          </w:p>
        </w:tc>
        <w:tc>
          <w:tcPr>
            <w:tcW w:w="1468" w:type="dxa"/>
            <w:noWrap w:val="0"/>
            <w:vAlign w:val="top"/>
          </w:tcPr>
          <w:p w14:paraId="4B92D21B">
            <w:pPr>
              <w:pStyle w:val="2"/>
              <w:tabs>
                <w:tab w:val="left" w:pos="4660"/>
              </w:tabs>
              <w:spacing w:line="420" w:lineRule="exact"/>
              <w:jc w:val="center"/>
              <w:rPr>
                <w:rFonts w:hint="eastAsia" w:ascii="宋体" w:hAnsi="宋体" w:cs="宋体"/>
                <w:color w:val="auto"/>
                <w:sz w:val="28"/>
                <w:szCs w:val="28"/>
              </w:rPr>
            </w:pPr>
          </w:p>
        </w:tc>
      </w:tr>
      <w:tr w14:paraId="64D4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4E678148">
            <w:pPr>
              <w:widowControl/>
              <w:jc w:val="center"/>
              <w:rPr>
                <w:rFonts w:ascii="宋体" w:hAnsi="宋体" w:eastAsia="等线" w:cs="黑体"/>
                <w:snapToGrid w:val="0"/>
                <w:color w:val="auto"/>
                <w:kern w:val="2"/>
                <w:sz w:val="24"/>
                <w:szCs w:val="24"/>
              </w:rPr>
            </w:pPr>
          </w:p>
          <w:p w14:paraId="4609AF18">
            <w:pPr>
              <w:widowControl/>
              <w:jc w:val="center"/>
              <w:rPr>
                <w:rFonts w:hint="eastAsia" w:ascii="宋体" w:hAnsi="宋体" w:eastAsia="等线" w:cs="黑体"/>
                <w:snapToGrid w:val="0"/>
                <w:color w:val="auto"/>
                <w:kern w:val="2"/>
                <w:sz w:val="24"/>
                <w:szCs w:val="24"/>
              </w:rPr>
            </w:pPr>
            <w:r>
              <w:rPr>
                <w:rFonts w:hint="eastAsia" w:ascii="宋体" w:hAnsi="宋体" w:eastAsia="等线" w:cs="黑体"/>
                <w:snapToGrid w:val="0"/>
                <w:color w:val="auto"/>
                <w:kern w:val="2"/>
                <w:sz w:val="24"/>
                <w:szCs w:val="24"/>
              </w:rPr>
              <w:t>5</w:t>
            </w:r>
          </w:p>
        </w:tc>
        <w:tc>
          <w:tcPr>
            <w:tcW w:w="6095" w:type="dxa"/>
            <w:noWrap w:val="0"/>
            <w:vAlign w:val="top"/>
          </w:tcPr>
          <w:p w14:paraId="5953D400">
            <w:pPr>
              <w:widowControl/>
              <w:jc w:val="center"/>
              <w:rPr>
                <w:rFonts w:ascii="宋体" w:hAnsi="宋体" w:eastAsia="等线" w:cs="黑体"/>
                <w:snapToGrid w:val="0"/>
                <w:color w:val="auto"/>
                <w:kern w:val="2"/>
                <w:sz w:val="24"/>
                <w:szCs w:val="24"/>
              </w:rPr>
            </w:pPr>
          </w:p>
          <w:p w14:paraId="4C0BDB4F">
            <w:pPr>
              <w:widowControl/>
              <w:jc w:val="center"/>
              <w:rPr>
                <w:rFonts w:hint="eastAsia" w:ascii="宋体" w:hAnsi="宋体" w:eastAsia="等线" w:cs="黑体"/>
                <w:snapToGrid w:val="0"/>
                <w:color w:val="auto"/>
                <w:kern w:val="2"/>
                <w:sz w:val="24"/>
                <w:szCs w:val="24"/>
              </w:rPr>
            </w:pPr>
          </w:p>
          <w:p w14:paraId="36972C41">
            <w:pPr>
              <w:widowControl/>
              <w:jc w:val="center"/>
              <w:rPr>
                <w:rFonts w:hint="eastAsia" w:ascii="宋体" w:hAnsi="宋体" w:eastAsia="等线" w:cs="黑体"/>
                <w:snapToGrid w:val="0"/>
                <w:color w:val="auto"/>
                <w:kern w:val="2"/>
                <w:sz w:val="24"/>
                <w:szCs w:val="24"/>
              </w:rPr>
            </w:pPr>
          </w:p>
        </w:tc>
        <w:tc>
          <w:tcPr>
            <w:tcW w:w="1468" w:type="dxa"/>
            <w:noWrap w:val="0"/>
            <w:vAlign w:val="top"/>
          </w:tcPr>
          <w:p w14:paraId="279D98B4">
            <w:pPr>
              <w:pStyle w:val="2"/>
              <w:tabs>
                <w:tab w:val="left" w:pos="4660"/>
              </w:tabs>
              <w:spacing w:line="420" w:lineRule="exact"/>
              <w:jc w:val="center"/>
              <w:rPr>
                <w:rFonts w:hint="eastAsia" w:ascii="宋体" w:hAnsi="宋体" w:cs="宋体"/>
                <w:color w:val="auto"/>
                <w:sz w:val="28"/>
                <w:szCs w:val="28"/>
              </w:rPr>
            </w:pPr>
          </w:p>
        </w:tc>
      </w:tr>
      <w:tr w14:paraId="0C66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45613CA8">
            <w:pPr>
              <w:widowControl/>
              <w:jc w:val="center"/>
              <w:rPr>
                <w:rFonts w:ascii="宋体" w:hAnsi="宋体" w:eastAsia="等线" w:cs="黑体"/>
                <w:snapToGrid w:val="0"/>
                <w:color w:val="auto"/>
                <w:kern w:val="2"/>
                <w:sz w:val="24"/>
                <w:szCs w:val="24"/>
              </w:rPr>
            </w:pPr>
          </w:p>
          <w:p w14:paraId="1B673B02">
            <w:pPr>
              <w:widowControl/>
              <w:jc w:val="center"/>
              <w:rPr>
                <w:rFonts w:hint="eastAsia" w:ascii="宋体" w:hAnsi="宋体" w:eastAsia="等线" w:cs="黑体"/>
                <w:snapToGrid w:val="0"/>
                <w:color w:val="auto"/>
                <w:kern w:val="2"/>
                <w:sz w:val="24"/>
                <w:szCs w:val="24"/>
              </w:rPr>
            </w:pPr>
            <w:r>
              <w:rPr>
                <w:rFonts w:hint="eastAsia" w:ascii="宋体" w:hAnsi="宋体" w:eastAsia="等线" w:cs="黑体"/>
                <w:snapToGrid w:val="0"/>
                <w:color w:val="auto"/>
                <w:kern w:val="2"/>
                <w:sz w:val="24"/>
                <w:szCs w:val="24"/>
              </w:rPr>
              <w:t>6</w:t>
            </w:r>
          </w:p>
        </w:tc>
        <w:tc>
          <w:tcPr>
            <w:tcW w:w="6095" w:type="dxa"/>
            <w:tcBorders>
              <w:bottom w:val="single" w:color="auto" w:sz="4" w:space="0"/>
            </w:tcBorders>
            <w:noWrap w:val="0"/>
            <w:vAlign w:val="center"/>
          </w:tcPr>
          <w:p w14:paraId="0D1289D0">
            <w:pPr>
              <w:widowControl/>
              <w:ind w:firstLine="480" w:firstLineChars="200"/>
              <w:jc w:val="left"/>
              <w:rPr>
                <w:rFonts w:ascii="宋体" w:hAnsi="宋体" w:eastAsia="等线" w:cs="黑体"/>
                <w:snapToGrid w:val="0"/>
                <w:color w:val="auto"/>
                <w:kern w:val="2"/>
                <w:sz w:val="24"/>
                <w:szCs w:val="24"/>
              </w:rPr>
            </w:pPr>
          </w:p>
          <w:p w14:paraId="27EF6366">
            <w:pPr>
              <w:widowControl/>
              <w:ind w:firstLine="480" w:firstLineChars="200"/>
              <w:jc w:val="left"/>
              <w:rPr>
                <w:rFonts w:hint="eastAsia" w:ascii="宋体" w:hAnsi="宋体" w:eastAsia="等线" w:cs="黑体"/>
                <w:snapToGrid w:val="0"/>
                <w:color w:val="auto"/>
                <w:kern w:val="2"/>
                <w:sz w:val="24"/>
                <w:szCs w:val="24"/>
              </w:rPr>
            </w:pPr>
          </w:p>
          <w:p w14:paraId="0040017E">
            <w:pPr>
              <w:widowControl/>
              <w:ind w:firstLine="480" w:firstLineChars="200"/>
              <w:jc w:val="left"/>
              <w:rPr>
                <w:rFonts w:hint="eastAsia" w:ascii="宋体" w:hAnsi="宋体" w:eastAsia="等线" w:cs="黑体"/>
                <w:snapToGrid w:val="0"/>
                <w:color w:val="auto"/>
                <w:kern w:val="2"/>
                <w:sz w:val="24"/>
                <w:szCs w:val="24"/>
              </w:rPr>
            </w:pPr>
          </w:p>
        </w:tc>
        <w:tc>
          <w:tcPr>
            <w:tcW w:w="1468" w:type="dxa"/>
            <w:noWrap w:val="0"/>
            <w:vAlign w:val="center"/>
          </w:tcPr>
          <w:p w14:paraId="21C1731A">
            <w:pPr>
              <w:jc w:val="center"/>
              <w:rPr>
                <w:rFonts w:ascii="宋体" w:hAnsi="宋体" w:cs="宋体"/>
                <w:color w:val="auto"/>
                <w:sz w:val="32"/>
                <w:szCs w:val="32"/>
              </w:rPr>
            </w:pPr>
          </w:p>
        </w:tc>
      </w:tr>
      <w:tr w14:paraId="45AF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57B1D17A">
            <w:pPr>
              <w:widowControl/>
              <w:jc w:val="center"/>
              <w:rPr>
                <w:rFonts w:hint="eastAsia" w:ascii="宋体" w:hAnsi="宋体" w:eastAsia="等线" w:cs="黑体"/>
                <w:snapToGrid w:val="0"/>
                <w:color w:val="auto"/>
                <w:kern w:val="2"/>
                <w:sz w:val="24"/>
                <w:szCs w:val="24"/>
                <w:lang w:val="en-US" w:eastAsia="zh-CN"/>
              </w:rPr>
            </w:pPr>
          </w:p>
          <w:p w14:paraId="25F8F4DE">
            <w:pPr>
              <w:widowControl/>
              <w:jc w:val="center"/>
              <w:rPr>
                <w:rFonts w:hint="eastAsia" w:ascii="宋体" w:hAnsi="宋体" w:eastAsia="等线" w:cs="黑体"/>
                <w:snapToGrid w:val="0"/>
                <w:color w:val="auto"/>
                <w:kern w:val="2"/>
                <w:sz w:val="24"/>
                <w:szCs w:val="24"/>
                <w:lang w:val="en-US" w:eastAsia="zh-CN"/>
              </w:rPr>
            </w:pPr>
            <w:r>
              <w:rPr>
                <w:rFonts w:hint="eastAsia" w:ascii="宋体" w:hAnsi="宋体" w:eastAsia="等线" w:cs="黑体"/>
                <w:snapToGrid w:val="0"/>
                <w:color w:val="auto"/>
                <w:kern w:val="2"/>
                <w:sz w:val="24"/>
                <w:szCs w:val="24"/>
                <w:lang w:val="en-US" w:eastAsia="zh-CN"/>
              </w:rPr>
              <w:t>7</w:t>
            </w:r>
          </w:p>
          <w:p w14:paraId="2A28D4FD">
            <w:pPr>
              <w:widowControl/>
              <w:jc w:val="center"/>
              <w:rPr>
                <w:rFonts w:hint="eastAsia" w:ascii="宋体" w:hAnsi="宋体" w:eastAsia="等线" w:cs="黑体"/>
                <w:snapToGrid w:val="0"/>
                <w:color w:val="auto"/>
                <w:kern w:val="2"/>
                <w:sz w:val="24"/>
                <w:szCs w:val="24"/>
                <w:lang w:val="en-US" w:eastAsia="zh-CN"/>
              </w:rPr>
            </w:pPr>
          </w:p>
        </w:tc>
        <w:tc>
          <w:tcPr>
            <w:tcW w:w="6095" w:type="dxa"/>
            <w:tcBorders>
              <w:bottom w:val="single" w:color="auto" w:sz="4" w:space="0"/>
            </w:tcBorders>
            <w:noWrap w:val="0"/>
            <w:vAlign w:val="center"/>
          </w:tcPr>
          <w:p w14:paraId="79E1EED9">
            <w:pPr>
              <w:widowControl/>
              <w:jc w:val="center"/>
              <w:rPr>
                <w:rFonts w:hint="eastAsia" w:ascii="宋体" w:hAnsi="宋体" w:eastAsia="等线" w:cs="黑体"/>
                <w:snapToGrid w:val="0"/>
                <w:color w:val="auto"/>
                <w:kern w:val="2"/>
                <w:sz w:val="24"/>
                <w:szCs w:val="24"/>
              </w:rPr>
            </w:pPr>
          </w:p>
        </w:tc>
        <w:tc>
          <w:tcPr>
            <w:tcW w:w="1468" w:type="dxa"/>
            <w:noWrap w:val="0"/>
            <w:vAlign w:val="center"/>
          </w:tcPr>
          <w:p w14:paraId="412F1D3D">
            <w:pPr>
              <w:widowControl/>
              <w:jc w:val="center"/>
              <w:rPr>
                <w:rFonts w:ascii="宋体" w:hAnsi="宋体" w:eastAsia="等线" w:cs="黑体"/>
                <w:snapToGrid w:val="0"/>
                <w:color w:val="auto"/>
                <w:kern w:val="2"/>
                <w:sz w:val="24"/>
                <w:szCs w:val="24"/>
              </w:rPr>
            </w:pPr>
          </w:p>
        </w:tc>
      </w:tr>
      <w:tr w14:paraId="599C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48F60BBA">
            <w:pPr>
              <w:widowControl/>
              <w:jc w:val="center"/>
              <w:rPr>
                <w:rFonts w:hint="eastAsia" w:ascii="宋体" w:hAnsi="宋体" w:eastAsia="等线" w:cs="黑体"/>
                <w:snapToGrid w:val="0"/>
                <w:color w:val="auto"/>
                <w:kern w:val="2"/>
                <w:sz w:val="24"/>
                <w:szCs w:val="24"/>
                <w:lang w:val="en-US" w:eastAsia="zh-CN"/>
              </w:rPr>
            </w:pPr>
          </w:p>
          <w:p w14:paraId="2F0BC2FE">
            <w:pPr>
              <w:widowControl/>
              <w:jc w:val="center"/>
              <w:rPr>
                <w:rFonts w:hint="eastAsia" w:ascii="宋体" w:hAnsi="宋体" w:eastAsia="等线" w:cs="黑体"/>
                <w:snapToGrid w:val="0"/>
                <w:color w:val="auto"/>
                <w:kern w:val="2"/>
                <w:sz w:val="24"/>
                <w:szCs w:val="24"/>
                <w:lang w:val="en-US" w:eastAsia="zh-CN"/>
              </w:rPr>
            </w:pPr>
            <w:r>
              <w:rPr>
                <w:rFonts w:hint="eastAsia" w:ascii="宋体" w:hAnsi="宋体" w:eastAsia="等线" w:cs="黑体"/>
                <w:snapToGrid w:val="0"/>
                <w:color w:val="auto"/>
                <w:kern w:val="2"/>
                <w:sz w:val="24"/>
                <w:szCs w:val="24"/>
                <w:lang w:val="en-US" w:eastAsia="zh-CN"/>
              </w:rPr>
              <w:t>8</w:t>
            </w:r>
          </w:p>
          <w:p w14:paraId="18172FCA">
            <w:pPr>
              <w:widowControl/>
              <w:jc w:val="center"/>
              <w:rPr>
                <w:rFonts w:hint="eastAsia" w:ascii="宋体" w:hAnsi="宋体" w:eastAsia="等线" w:cs="黑体"/>
                <w:snapToGrid w:val="0"/>
                <w:color w:val="auto"/>
                <w:kern w:val="2"/>
                <w:sz w:val="24"/>
                <w:szCs w:val="24"/>
                <w:lang w:val="en-US" w:eastAsia="zh-CN"/>
              </w:rPr>
            </w:pPr>
          </w:p>
        </w:tc>
        <w:tc>
          <w:tcPr>
            <w:tcW w:w="6095" w:type="dxa"/>
            <w:tcBorders>
              <w:bottom w:val="single" w:color="auto" w:sz="4" w:space="0"/>
            </w:tcBorders>
            <w:noWrap w:val="0"/>
            <w:vAlign w:val="center"/>
          </w:tcPr>
          <w:p w14:paraId="579D94CA">
            <w:pPr>
              <w:widowControl/>
              <w:jc w:val="center"/>
              <w:rPr>
                <w:rFonts w:hint="eastAsia" w:ascii="宋体" w:hAnsi="宋体" w:eastAsia="等线" w:cs="黑体"/>
                <w:snapToGrid w:val="0"/>
                <w:color w:val="auto"/>
                <w:kern w:val="2"/>
                <w:sz w:val="24"/>
                <w:szCs w:val="24"/>
              </w:rPr>
            </w:pPr>
          </w:p>
        </w:tc>
        <w:tc>
          <w:tcPr>
            <w:tcW w:w="1468" w:type="dxa"/>
            <w:noWrap w:val="0"/>
            <w:vAlign w:val="center"/>
          </w:tcPr>
          <w:p w14:paraId="67F0A96C">
            <w:pPr>
              <w:widowControl/>
              <w:jc w:val="center"/>
              <w:rPr>
                <w:rFonts w:ascii="宋体" w:hAnsi="宋体" w:eastAsia="等线" w:cs="黑体"/>
                <w:snapToGrid w:val="0"/>
                <w:color w:val="auto"/>
                <w:kern w:val="2"/>
                <w:sz w:val="24"/>
                <w:szCs w:val="24"/>
              </w:rPr>
            </w:pPr>
          </w:p>
        </w:tc>
      </w:tr>
      <w:tr w14:paraId="6709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noWrap w:val="0"/>
            <w:vAlign w:val="top"/>
          </w:tcPr>
          <w:p w14:paraId="4D67CA8D">
            <w:pPr>
              <w:pStyle w:val="2"/>
              <w:tabs>
                <w:tab w:val="left" w:pos="4660"/>
              </w:tabs>
              <w:spacing w:line="240" w:lineRule="auto"/>
              <w:rPr>
                <w:rFonts w:hint="eastAsia" w:ascii="宋体" w:hAnsi="宋体" w:cs="宋体"/>
                <w:b/>
                <w:bCs/>
                <w:color w:val="auto"/>
                <w:sz w:val="24"/>
                <w:szCs w:val="24"/>
              </w:rPr>
            </w:pPr>
            <w:r>
              <w:rPr>
                <w:rFonts w:hint="eastAsia" w:ascii="黑体" w:hAnsi="黑体" w:eastAsia="黑体" w:cs="黑体"/>
                <w:b/>
                <w:bCs/>
                <w:color w:val="auto"/>
                <w:kern w:val="0"/>
                <w:sz w:val="24"/>
                <w:szCs w:val="24"/>
                <w:lang w:val="en-US" w:eastAsia="zh-CN" w:bidi="ar"/>
              </w:rPr>
              <w:t>考核要求：使用科室和归口管理部门在每次维保周期结束后按照《采购文件》要求及《响应文件》响应条款对维保公司的服务范围、响应时间、维保质量、服务态度、设备开机率等进行综合考核，对不符合《采购文件》要求及《响应文件》响应条款的情况，采购人将做出警告、限期整改、处罚罚款等处理措施（罚款金额为 500元/次）。不符合《采购文件》要求及《响应文件》响应条款的情况超过 5 次，采购人有权终止合同并不予续签下一年度合同。</w:t>
            </w:r>
          </w:p>
        </w:tc>
      </w:tr>
    </w:tbl>
    <w:p w14:paraId="2936E36A">
      <w:pPr>
        <w:pStyle w:val="2"/>
        <w:tabs>
          <w:tab w:val="left" w:pos="4660"/>
        </w:tabs>
        <w:spacing w:line="420" w:lineRule="exact"/>
        <w:jc w:val="center"/>
        <w:rPr>
          <w:rFonts w:hint="eastAsia" w:ascii="宋体" w:hAnsi="宋体" w:cs="宋体"/>
          <w:color w:val="auto"/>
          <w:sz w:val="28"/>
          <w:szCs w:val="28"/>
        </w:rPr>
      </w:pPr>
    </w:p>
    <w:p w14:paraId="0974C87A">
      <w:pPr>
        <w:pStyle w:val="2"/>
        <w:tabs>
          <w:tab w:val="left" w:pos="4660"/>
        </w:tabs>
        <w:spacing w:line="360" w:lineRule="auto"/>
        <w:jc w:val="both"/>
        <w:rPr>
          <w:rFonts w:hint="eastAsia" w:ascii="宋体" w:hAnsi="宋体" w:cs="宋体"/>
          <w:color w:val="auto"/>
          <w:sz w:val="28"/>
          <w:szCs w:val="28"/>
        </w:rPr>
      </w:pPr>
      <w:r>
        <w:rPr>
          <w:rFonts w:hint="eastAsia" w:ascii="宋体" w:hAnsi="宋体" w:cs="宋体"/>
          <w:color w:val="auto"/>
          <w:sz w:val="28"/>
          <w:szCs w:val="28"/>
        </w:rPr>
        <w:t xml:space="preserve">考核人： </w:t>
      </w:r>
      <w:r>
        <w:rPr>
          <w:rFonts w:ascii="宋体" w:hAnsi="宋体" w:cs="宋体"/>
          <w:color w:val="auto"/>
          <w:sz w:val="28"/>
          <w:szCs w:val="28"/>
        </w:rPr>
        <w:t xml:space="preserve">          </w:t>
      </w:r>
      <w:r>
        <w:rPr>
          <w:rFonts w:hint="eastAsia" w:ascii="宋体" w:hAnsi="宋体" w:cs="宋体"/>
          <w:color w:val="auto"/>
          <w:sz w:val="28"/>
          <w:szCs w:val="28"/>
        </w:rPr>
        <w:t>被考核人：</w:t>
      </w:r>
      <w:r>
        <w:rPr>
          <w:rFonts w:hint="eastAsia" w:ascii="宋体" w:hAnsi="宋体" w:cs="宋体"/>
          <w:color w:val="auto"/>
          <w:sz w:val="28"/>
          <w:szCs w:val="28"/>
          <w:lang w:val="en-US" w:eastAsia="zh-CN"/>
        </w:rPr>
        <w:t xml:space="preserve">            </w:t>
      </w:r>
      <w:r>
        <w:rPr>
          <w:rFonts w:hint="eastAsia" w:ascii="宋体" w:hAnsi="宋体" w:cs="宋体"/>
          <w:color w:val="auto"/>
          <w:sz w:val="28"/>
          <w:szCs w:val="28"/>
        </w:rPr>
        <w:t>日</w:t>
      </w:r>
      <w:r>
        <w:rPr>
          <w:rFonts w:hint="eastAsia" w:ascii="宋体" w:hAnsi="宋体" w:cs="宋体"/>
          <w:color w:val="auto"/>
          <w:sz w:val="28"/>
          <w:szCs w:val="28"/>
          <w:lang w:val="en-US" w:eastAsia="zh-CN"/>
        </w:rPr>
        <w:t xml:space="preserve"> </w:t>
      </w:r>
      <w:r>
        <w:rPr>
          <w:rFonts w:hint="eastAsia" w:ascii="宋体" w:hAnsi="宋体" w:cs="宋体"/>
          <w:color w:val="auto"/>
          <w:sz w:val="28"/>
          <w:szCs w:val="28"/>
        </w:rPr>
        <w:t>期：</w:t>
      </w:r>
    </w:p>
    <w:p w14:paraId="15A93F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B13FF"/>
    <w:rsid w:val="16DB103E"/>
    <w:rsid w:val="3049585A"/>
    <w:rsid w:val="3837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index 6"/>
    <w:qFormat/>
    <w:uiPriority w:val="0"/>
    <w:pPr>
      <w:jc w:val="both"/>
    </w:pPr>
    <w:rPr>
      <w:rFonts w:ascii="Times New Roman" w:hAnsi="Times New Roman" w:eastAsia="宋体" w:cs="Times New Roman"/>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2294</Words>
  <Characters>2437</Characters>
  <Lines>0</Lines>
  <Paragraphs>0</Paragraphs>
  <TotalTime>0</TotalTime>
  <ScaleCrop>false</ScaleCrop>
  <LinksUpToDate>false</LinksUpToDate>
  <CharactersWithSpaces>2832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2025-09-18T08:46:00Z</dcterms:created>
  <dc:creator>Administrator</dc:creator>
  <cp:lastModifiedBy>胡晓晴</cp:lastModifiedBy>
  <dcterms:modified xsi:type="dcterms:W3CDTF">2025-09-28T02:06:22Z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eyJoZGlkIjoiZThiZWJhYThmMDk1MDAzMTA1ZTc4NzUxNTA3ZWFhODgiLCJ1c2VySWQiOiI3ODM0MDUxMTAifQ==</vt:lpwstr>
  </property>
  <property fmtid="{D5CDD505-2E9C-101B-9397-08002B2CF9AE}" pid="4" name="ICV">
    <vt:lpwstr>62604C1F1B7E464387CB1D8FBA044126_12</vt:lpwstr>
  </property>
</Properties>
</file>