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版本号：N510116202500046520250928001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2025年第二批医疗设备维保服务采购项目(二次)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N5101162025000465</w:t>
      </w:r>
    </w:p>
    <w:p>
      <w:pPr>
        <w:pStyle w:val="null3"/>
        <w:jc w:val="left"/>
        <w:outlineLvl w:val="2"/>
      </w:pPr>
      <w:r>
        <w:rPr>
          <w:rFonts w:ascii="仿宋_GB2312" w:hAnsi="仿宋_GB2312" w:cs="仿宋_GB2312" w:eastAsia="仿宋_GB2312"/>
          <w:sz w:val="28"/>
          <w:b/>
        </w:rPr>
        <w:t>成都市双流区第一人民医院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成都市双流区第一人民医院</w:t>
      </w:r>
      <w:r>
        <w:rPr>
          <w:rFonts w:ascii="仿宋_GB2312" w:hAnsi="仿宋_GB2312" w:cs="仿宋_GB2312" w:eastAsia="仿宋_GB2312"/>
        </w:rPr>
        <w:t xml:space="preserve"> 委托，拟对 </w:t>
      </w:r>
      <w:r>
        <w:rPr>
          <w:rFonts w:ascii="仿宋_GB2312" w:hAnsi="仿宋_GB2312" w:cs="仿宋_GB2312" w:eastAsia="仿宋_GB2312"/>
        </w:rPr>
        <w:t>2025年第二批医疗设备维保服务采购项目(二次)</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成都市双流区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N5101162025000465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2025年第二批医疗设备维保服务采购项目(二次)</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本项目共5个包，采购2025年第二批医疗设备维保服务。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一、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 二、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 三、在四川省、成都市确定的首期开展“政采贷”业务银行的基础上，双流区另有12家银行机构自愿开展政府采购信用融资业务。 （具体内容详见附件《供应商信用融资补充事宜》）</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成都市双流区第一人民医院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成都市双流区东升街道城北上街120号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尚老师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85782430</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13111881290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采购包1：342,000.00元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以成交金额作为计算基数，按差额定率累进法进行计算，并按以下费率标准（服务采购项目）下浮25%收取服务费：成交金额100万元以下，费率1.5%；成交金额100-500万元，费率0.8%；成交金额500-1000万元，费率0.45%；成交金额1000-5000万元，费率0.25%；成交金额5000-10000万元，费率0.1%；成交金额10000-100000万元，费率0.05%；成交金额100000万元以上，费率0.01%。 （2）收款单位：四川国际招标有限责任公司 （3）开户行：中国民生银行股份有限公司成都分行营业部 （4）银行账号：9902001827082973（5）采购合同签订前向代理机构交纳采购代理服务费。 （6）采购代理服务费交纳完成后，可按照以下温馨提示开具发票：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 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成都市双流区第一人民医院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成都市双流区第一人民医院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90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成都市双流区第一人民医院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联系人：尚老师</w:t>
      </w:r>
    </w:p>
    <w:p>
      <w:pPr>
        <w:pStyle w:val="null3"/>
        <w:jc w:val="left"/>
      </w:pPr>
      <w:r>
        <w:rPr>
          <w:rFonts w:ascii="仿宋_GB2312" w:hAnsi="仿宋_GB2312" w:cs="仿宋_GB2312" w:eastAsia="仿宋_GB2312"/>
        </w:rPr>
        <w:t>联系电话：028-85782430</w:t>
      </w:r>
    </w:p>
    <w:p>
      <w:pPr>
        <w:pStyle w:val="null3"/>
        <w:jc w:val="left"/>
      </w:pPr>
      <w:r>
        <w:rPr>
          <w:rFonts w:ascii="仿宋_GB2312" w:hAnsi="仿宋_GB2312" w:cs="仿宋_GB2312" w:eastAsia="仿宋_GB2312"/>
        </w:rPr>
        <w:t>地址：成都市双流区东升街道城北上街120号</w:t>
      </w:r>
    </w:p>
    <w:p>
      <w:pPr>
        <w:pStyle w:val="null3"/>
        <w:jc w:val="left"/>
      </w:pPr>
      <w:r>
        <w:rPr>
          <w:rFonts w:ascii="仿宋_GB2312" w:hAnsi="仿宋_GB2312" w:cs="仿宋_GB2312" w:eastAsia="仿宋_GB2312"/>
        </w:rPr>
        <w:t>邮编：610000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联系电话：028-87797776（分机号：820/725）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342,000.00</w:t>
      </w:r>
    </w:p>
    <w:p>
      <w:pPr>
        <w:pStyle w:val="null3"/>
        <w:jc w:val="left"/>
      </w:pPr>
      <w:r>
        <w:rPr>
          <w:rFonts w:ascii="仿宋_GB2312" w:hAnsi="仿宋_GB2312" w:cs="仿宋_GB2312" w:eastAsia="仿宋_GB2312"/>
        </w:rPr>
        <w:t>采购包最高限价（元）: 340,000.00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C23129900 其他维修和保养服务</w:t>
            </w:r>
          </w:p>
        </w:tc>
        <w:tc>
          <w:tcPr>
            <w:tcW w:type="dxa" w:w="821"/>
          </w:tcPr>
          <w:p>
            <w:pPr>
              <w:pStyle w:val="null3"/>
              <w:jc w:val="left"/>
            </w:pPr>
            <w:r>
              <w:rPr>
                <w:rFonts w:ascii="仿宋_GB2312" w:hAnsi="仿宋_GB2312" w:cs="仿宋_GB2312" w:eastAsia="仿宋_GB2312"/>
              </w:rPr>
              <w:t>富士内窥镜维保服务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富士内窥镜维保服务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标的名称：富士内窥镜维保服务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富士内窥镜维保</w:t>
            </w:r>
          </w:p>
        </w:tc>
        <w:tc>
          <w:tcPr>
            <w:tcW w:type="dxa" w:w="5814"/>
          </w:tcPr>
          <w:p>
            <w:pPr>
              <w:pStyle w:val="null3"/>
              <w:spacing w:before="75"/>
              <w:jc w:val="both"/>
            </w:pPr>
            <w:r>
              <w:rPr>
                <w:rFonts w:ascii="仿宋_GB2312" w:hAnsi="仿宋_GB2312" w:cs="仿宋_GB2312" w:eastAsia="仿宋_GB2312"/>
                <w:sz w:val="24"/>
                <w:b/>
              </w:rPr>
              <w:t>（一）维保设备清单：</w:t>
            </w:r>
          </w:p>
          <w:tbl>
            <w:tblPr>
              <w:tblInd w:type="dxa" w:w="105"/>
              <w:tblBorders>
                <w:top w:val="none" w:color="000000" w:sz="4"/>
                <w:left w:val="none" w:color="000000" w:sz="4"/>
                <w:bottom w:val="none" w:color="000000" w:sz="4"/>
                <w:right w:val="none" w:color="000000" w:sz="4"/>
                <w:insideH w:val="none"/>
                <w:insideV w:val="none"/>
              </w:tblBorders>
            </w:tblPr>
            <w:tblGrid>
              <w:gridCol w:w="508"/>
              <w:gridCol w:w="2081"/>
              <w:gridCol w:w="1411"/>
              <w:gridCol w:w="1561"/>
            </w:tblGrid>
            <w:tr>
              <w:tc>
                <w:tcPr>
                  <w:tcW w:type="dxa" w:w="508"/>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120"/>
                    <w:jc w:val="both"/>
                  </w:pPr>
                  <w:r>
                    <w:rPr>
                      <w:rFonts w:ascii="仿宋_GB2312" w:hAnsi="仿宋_GB2312" w:cs="仿宋_GB2312" w:eastAsia="仿宋_GB2312"/>
                      <w:sz w:val="26"/>
                    </w:rPr>
                    <w:t>序号</w:t>
                  </w:r>
                </w:p>
              </w:tc>
              <w:tc>
                <w:tcPr>
                  <w:tcW w:type="dxa" w:w="208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750"/>
                    <w:jc w:val="both"/>
                  </w:pPr>
                  <w:r>
                    <w:rPr>
                      <w:rFonts w:ascii="仿宋_GB2312" w:hAnsi="仿宋_GB2312" w:cs="仿宋_GB2312" w:eastAsia="仿宋_GB2312"/>
                      <w:sz w:val="26"/>
                    </w:rPr>
                    <w:t>设备名称</w:t>
                  </w:r>
                </w:p>
              </w:tc>
              <w:tc>
                <w:tcPr>
                  <w:tcW w:type="dxa" w:w="141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645"/>
                    <w:jc w:val="both"/>
                  </w:pPr>
                  <w:r>
                    <w:rPr>
                      <w:rFonts w:ascii="仿宋_GB2312" w:hAnsi="仿宋_GB2312" w:cs="仿宋_GB2312" w:eastAsia="仿宋_GB2312"/>
                      <w:sz w:val="26"/>
                    </w:rPr>
                    <w:t>型号</w:t>
                  </w:r>
                </w:p>
              </w:tc>
              <w:tc>
                <w:tcPr>
                  <w:tcW w:type="dxa" w:w="1561"/>
                  <w:tcBorders>
                    <w:top w:val="single" w:color="000000" w:sz="8"/>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420"/>
                    <w:jc w:val="center"/>
                  </w:pPr>
                  <w:r>
                    <w:rPr>
                      <w:rFonts w:ascii="仿宋_GB2312" w:hAnsi="仿宋_GB2312" w:cs="仿宋_GB2312" w:eastAsia="仿宋_GB2312"/>
                      <w:sz w:val="26"/>
                    </w:rPr>
                    <w:t>SN</w:t>
                  </w:r>
                  <w:r>
                    <w:rPr>
                      <w:rFonts w:ascii="仿宋_GB2312" w:hAnsi="仿宋_GB2312" w:cs="仿宋_GB2312" w:eastAsia="仿宋_GB2312"/>
                      <w:sz w:val="26"/>
                    </w:rPr>
                    <w:t>编号</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1</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405"/>
                    <w:jc w:val="both"/>
                  </w:pPr>
                  <w:r>
                    <w:rPr>
                      <w:rFonts w:ascii="仿宋_GB2312" w:hAnsi="仿宋_GB2312" w:cs="仿宋_GB2312" w:eastAsia="仿宋_GB2312"/>
                      <w:sz w:val="26"/>
                    </w:rPr>
                    <w:t>电子图像处理器</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375"/>
                    <w:jc w:val="both"/>
                  </w:pPr>
                  <w:r>
                    <w:rPr>
                      <w:rFonts w:ascii="仿宋_GB2312" w:hAnsi="仿宋_GB2312" w:cs="仿宋_GB2312" w:eastAsia="仿宋_GB2312"/>
                      <w:sz w:val="26"/>
                    </w:rPr>
                    <w:t>VP-3500HD</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1V609G475</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2</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405"/>
                    <w:jc w:val="both"/>
                  </w:pPr>
                  <w:r>
                    <w:rPr>
                      <w:rFonts w:ascii="仿宋_GB2312" w:hAnsi="仿宋_GB2312" w:cs="仿宋_GB2312" w:eastAsia="仿宋_GB2312"/>
                      <w:sz w:val="26"/>
                    </w:rPr>
                    <w:t>内窥镜光源装置</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480"/>
                    <w:jc w:val="both"/>
                  </w:pPr>
                  <w:r>
                    <w:rPr>
                      <w:rFonts w:ascii="仿宋_GB2312" w:hAnsi="仿宋_GB2312" w:cs="仿宋_GB2312" w:eastAsia="仿宋_GB2312"/>
                      <w:sz w:val="26"/>
                    </w:rPr>
                    <w:t>XL-4450</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2S094G933</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3</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405"/>
                    <w:jc w:val="both"/>
                  </w:pPr>
                  <w:r>
                    <w:rPr>
                      <w:rFonts w:ascii="仿宋_GB2312" w:hAnsi="仿宋_GB2312" w:cs="仿宋_GB2312" w:eastAsia="仿宋_GB2312"/>
                      <w:sz w:val="26"/>
                    </w:rPr>
                    <w:t>电子图像处理器</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375"/>
                    <w:jc w:val="both"/>
                  </w:pPr>
                  <w:r>
                    <w:rPr>
                      <w:rFonts w:ascii="仿宋_GB2312" w:hAnsi="仿宋_GB2312" w:cs="仿宋_GB2312" w:eastAsia="仿宋_GB2312"/>
                      <w:sz w:val="26"/>
                    </w:rPr>
                    <w:t>VP-3500HD</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1V609G476</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4</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405"/>
                    <w:jc w:val="both"/>
                  </w:pPr>
                  <w:r>
                    <w:rPr>
                      <w:rFonts w:ascii="仿宋_GB2312" w:hAnsi="仿宋_GB2312" w:cs="仿宋_GB2312" w:eastAsia="仿宋_GB2312"/>
                      <w:sz w:val="26"/>
                    </w:rPr>
                    <w:t>内窥镜光源装置</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480"/>
                    <w:jc w:val="both"/>
                  </w:pPr>
                  <w:r>
                    <w:rPr>
                      <w:rFonts w:ascii="仿宋_GB2312" w:hAnsi="仿宋_GB2312" w:cs="仿宋_GB2312" w:eastAsia="仿宋_GB2312"/>
                      <w:sz w:val="26"/>
                    </w:rPr>
                    <w:t>XL-4450</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3S094G011</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5</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2G400G474</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6</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2G400G475</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7</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2G400G476</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8</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50"/>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3G400G644</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300"/>
                    <w:jc w:val="both"/>
                  </w:pPr>
                  <w:r>
                    <w:rPr>
                      <w:rFonts w:ascii="仿宋_GB2312" w:hAnsi="仿宋_GB2312" w:cs="仿宋_GB2312" w:eastAsia="仿宋_GB2312"/>
                      <w:sz w:val="26"/>
                    </w:rPr>
                    <w:t>9</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65"/>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3G400G645</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225"/>
                    <w:jc w:val="both"/>
                  </w:pPr>
                  <w:r>
                    <w:rPr>
                      <w:rFonts w:ascii="仿宋_GB2312" w:hAnsi="仿宋_GB2312" w:cs="仿宋_GB2312" w:eastAsia="仿宋_GB2312"/>
                      <w:sz w:val="26"/>
                    </w:rPr>
                    <w:t>10</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65"/>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3G400G646</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225"/>
                    <w:jc w:val="both"/>
                  </w:pPr>
                  <w:r>
                    <w:rPr>
                      <w:rFonts w:ascii="仿宋_GB2312" w:hAnsi="仿宋_GB2312" w:cs="仿宋_GB2312" w:eastAsia="仿宋_GB2312"/>
                      <w:sz w:val="26"/>
                    </w:rPr>
                    <w:t>11</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65"/>
                    <w:ind w:left="180"/>
                    <w:jc w:val="both"/>
                  </w:pPr>
                  <w:r>
                    <w:rPr>
                      <w:rFonts w:ascii="仿宋_GB2312" w:hAnsi="仿宋_GB2312" w:cs="仿宋_GB2312" w:eastAsia="仿宋_GB2312"/>
                      <w:sz w:val="26"/>
                    </w:rPr>
                    <w:t>电子上消化道内窥镜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EG-601WR</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3G400G649</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225"/>
                    <w:jc w:val="both"/>
                  </w:pPr>
                  <w:r>
                    <w:rPr>
                      <w:rFonts w:ascii="仿宋_GB2312" w:hAnsi="仿宋_GB2312" w:cs="仿宋_GB2312" w:eastAsia="仿宋_GB2312"/>
                      <w:sz w:val="26"/>
                    </w:rPr>
                    <w:t>12</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65"/>
                    <w:ind w:left="180"/>
                    <w:jc w:val="both"/>
                  </w:pPr>
                  <w:r>
                    <w:rPr>
                      <w:rFonts w:ascii="仿宋_GB2312" w:hAnsi="仿宋_GB2312" w:cs="仿宋_GB2312" w:eastAsia="仿宋_GB2312"/>
                      <w:sz w:val="26"/>
                    </w:rPr>
                    <w:t>电子下消化道内窥镜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EC-601WM</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2C719G328</w:t>
                  </w:r>
                </w:p>
              </w:tc>
            </w:tr>
            <w:tr>
              <w:tc>
                <w:tcPr>
                  <w:tcW w:type="dxa" w:w="508"/>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80"/>
                    <w:ind w:left="225"/>
                    <w:jc w:val="both"/>
                  </w:pPr>
                  <w:r>
                    <w:rPr>
                      <w:rFonts w:ascii="仿宋_GB2312" w:hAnsi="仿宋_GB2312" w:cs="仿宋_GB2312" w:eastAsia="仿宋_GB2312"/>
                      <w:sz w:val="26"/>
                    </w:rPr>
                    <w:t>13</w:t>
                  </w:r>
                </w:p>
              </w:tc>
              <w:tc>
                <w:tcPr>
                  <w:tcW w:type="dxa" w:w="208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165"/>
                    <w:ind w:left="180"/>
                    <w:jc w:val="both"/>
                  </w:pPr>
                  <w:r>
                    <w:rPr>
                      <w:rFonts w:ascii="仿宋_GB2312" w:hAnsi="仿宋_GB2312" w:cs="仿宋_GB2312" w:eastAsia="仿宋_GB2312"/>
                      <w:sz w:val="26"/>
                    </w:rPr>
                    <w:t>电子下消化道内窥镜</w:t>
                  </w:r>
                </w:p>
              </w:tc>
              <w:tc>
                <w:tcPr>
                  <w:tcW w:type="dxa" w:w="141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405"/>
                    <w:jc w:val="both"/>
                  </w:pPr>
                  <w:r>
                    <w:rPr>
                      <w:rFonts w:ascii="仿宋_GB2312" w:hAnsi="仿宋_GB2312" w:cs="仿宋_GB2312" w:eastAsia="仿宋_GB2312"/>
                      <w:sz w:val="26"/>
                    </w:rPr>
                    <w:t>EC-601WM</w:t>
                  </w:r>
                </w:p>
              </w:tc>
              <w:tc>
                <w:tcPr>
                  <w:tcW w:type="dxa" w:w="1561"/>
                  <w:tcBorders>
                    <w:top w:val="none" w:color="000000" w:sz="4"/>
                    <w:left w:val="single" w:color="000000" w:sz="8"/>
                    <w:bottom w:val="single" w:color="000000" w:sz="8"/>
                    <w:right w:val="single" w:color="000000" w:sz="8"/>
                  </w:tcBorders>
                  <w:tcMar>
                    <w:top w:type="dxa" w:w="0"/>
                    <w:left w:type="dxa" w:w="0"/>
                    <w:bottom w:type="dxa" w:w="0"/>
                    <w:right w:type="dxa" w:w="0"/>
                  </w:tcMar>
                  <w:vAlign w:val="top"/>
                </w:tcPr>
                <w:p>
                  <w:pPr>
                    <w:pStyle w:val="null3"/>
                    <w:spacing w:before="225"/>
                    <w:ind w:left="255"/>
                    <w:jc w:val="center"/>
                  </w:pPr>
                  <w:r>
                    <w:rPr>
                      <w:rFonts w:ascii="仿宋_GB2312" w:hAnsi="仿宋_GB2312" w:cs="仿宋_GB2312" w:eastAsia="仿宋_GB2312"/>
                      <w:sz w:val="26"/>
                    </w:rPr>
                    <w:t>2C719G331</w:t>
                  </w:r>
                </w:p>
              </w:tc>
            </w:tr>
          </w:tbl>
          <w:p>
            <w:pPr>
              <w:pStyle w:val="null3"/>
              <w:jc w:val="left"/>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服务内容说明</w:t>
            </w:r>
          </w:p>
          <w:p>
            <w:pPr>
              <w:pStyle w:val="null3"/>
              <w:ind w:firstLine="480"/>
              <w:jc w:val="left"/>
            </w:pPr>
            <w:r>
              <w:rPr>
                <w:rFonts w:ascii="仿宋_GB2312" w:hAnsi="仿宋_GB2312" w:cs="仿宋_GB2312" w:eastAsia="仿宋_GB2312"/>
                <w:sz w:val="24"/>
              </w:rPr>
              <w:t>1、保修期内服务范围</w:t>
            </w:r>
          </w:p>
          <w:p>
            <w:pPr>
              <w:pStyle w:val="null3"/>
              <w:ind w:firstLine="480"/>
              <w:jc w:val="left"/>
            </w:pPr>
            <w:r>
              <w:rPr>
                <w:rFonts w:ascii="仿宋_GB2312" w:hAnsi="仿宋_GB2312" w:cs="仿宋_GB2312" w:eastAsia="仿宋_GB2312"/>
                <w:sz w:val="24"/>
              </w:rPr>
              <w:t>(1)确保本次维保项目内所有设备在</w:t>
            </w:r>
            <w:r>
              <w:rPr>
                <w:rFonts w:ascii="仿宋_GB2312" w:hAnsi="仿宋_GB2312" w:cs="仿宋_GB2312" w:eastAsia="仿宋_GB2312"/>
                <w:sz w:val="24"/>
              </w:rPr>
              <w:t>维保期</w:t>
            </w:r>
            <w:r>
              <w:rPr>
                <w:rFonts w:ascii="仿宋_GB2312" w:hAnsi="仿宋_GB2312" w:cs="仿宋_GB2312" w:eastAsia="仿宋_GB2312"/>
                <w:sz w:val="24"/>
              </w:rPr>
              <w:t>内的正常运行；</w:t>
            </w:r>
          </w:p>
          <w:p>
            <w:pPr>
              <w:pStyle w:val="null3"/>
              <w:ind w:firstLine="480"/>
              <w:jc w:val="left"/>
            </w:pPr>
            <w:r>
              <w:rPr>
                <w:rFonts w:ascii="仿宋_GB2312" w:hAnsi="仿宋_GB2312" w:cs="仿宋_GB2312" w:eastAsia="仿宋_GB2312"/>
                <w:sz w:val="24"/>
              </w:rPr>
              <w:t>(2)及时提供必要的固件升级；</w:t>
            </w:r>
          </w:p>
          <w:p>
            <w:pPr>
              <w:pStyle w:val="null3"/>
              <w:ind w:firstLine="480"/>
              <w:jc w:val="left"/>
            </w:pPr>
            <w:r>
              <w:rPr>
                <w:rFonts w:ascii="仿宋_GB2312" w:hAnsi="仿宋_GB2312" w:cs="仿宋_GB2312" w:eastAsia="仿宋_GB2312"/>
                <w:sz w:val="24"/>
              </w:rPr>
              <w:t>(3)易耗品不在维保范围之列：外箱(含整体及相关零件)、灯泡、活检钳、清洗刷、清洗零件、盖帽、口垫、水汽按钮、吸引按钮、钳道帽等耗材。</w:t>
            </w:r>
          </w:p>
          <w:p>
            <w:pPr>
              <w:pStyle w:val="null3"/>
              <w:ind w:firstLine="480"/>
              <w:jc w:val="left"/>
            </w:pPr>
            <w:r>
              <w:rPr>
                <w:rFonts w:ascii="仿宋_GB2312" w:hAnsi="仿宋_GB2312" w:cs="仿宋_GB2312" w:eastAsia="仿宋_GB2312"/>
                <w:sz w:val="24"/>
              </w:rPr>
              <w:t>2、服务响应</w:t>
            </w:r>
          </w:p>
          <w:p>
            <w:pPr>
              <w:pStyle w:val="null3"/>
              <w:ind w:firstLine="480"/>
              <w:jc w:val="left"/>
            </w:pPr>
            <w:r>
              <w:rPr>
                <w:rFonts w:ascii="仿宋_GB2312" w:hAnsi="仿宋_GB2312" w:cs="仿宋_GB2312" w:eastAsia="仿宋_GB2312"/>
                <w:sz w:val="24"/>
              </w:rPr>
              <w:t>(1)维保年限1年；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)本项目范围内的设备，如果在自然损耗以及正常的清洗、消毒和使用的情况下发生故障，</w:t>
            </w:r>
            <w:r>
              <w:rPr>
                <w:rFonts w:ascii="仿宋_GB2312" w:hAnsi="仿宋_GB2312" w:cs="仿宋_GB2312" w:eastAsia="仿宋_GB2312"/>
                <w:sz w:val="24"/>
              </w:rPr>
              <w:t>供应商</w:t>
            </w:r>
            <w:r>
              <w:rPr>
                <w:rFonts w:ascii="仿宋_GB2312" w:hAnsi="仿宋_GB2312" w:cs="仿宋_GB2312" w:eastAsia="仿宋_GB2312"/>
                <w:sz w:val="24"/>
              </w:rPr>
              <w:t>无条件维修；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48小时内完成小修</w:t>
            </w:r>
            <w:r>
              <w:rPr>
                <w:rFonts w:ascii="仿宋_GB2312" w:hAnsi="仿宋_GB2312" w:cs="仿宋_GB2312" w:eastAsia="仿宋_GB2312"/>
                <w:sz w:val="24"/>
              </w:rPr>
              <w:t>（指更换小部件，在成都本地即可完成维修工作）</w:t>
            </w:r>
            <w:r>
              <w:rPr>
                <w:rFonts w:ascii="仿宋_GB2312" w:hAnsi="仿宋_GB2312" w:cs="仿宋_GB2312" w:eastAsia="仿宋_GB2312"/>
                <w:sz w:val="24"/>
              </w:rPr>
              <w:t>修复工作；</w:t>
            </w:r>
            <w:r>
              <w:rPr>
                <w:rFonts w:ascii="仿宋_GB2312" w:hAnsi="仿宋_GB2312" w:cs="仿宋_GB2312" w:eastAsia="仿宋_GB2312"/>
                <w:sz w:val="24"/>
              </w:rPr>
              <w:t>14个工作日完成大修</w:t>
            </w:r>
            <w:r>
              <w:rPr>
                <w:rFonts w:ascii="仿宋_GB2312" w:hAnsi="仿宋_GB2312" w:cs="仿宋_GB2312" w:eastAsia="仿宋_GB2312"/>
                <w:sz w:val="24"/>
              </w:rPr>
              <w:t>（指设备主体故障，需送回原厂进行维修）</w:t>
            </w:r>
            <w:r>
              <w:rPr>
                <w:rFonts w:ascii="仿宋_GB2312" w:hAnsi="仿宋_GB2312" w:cs="仿宋_GB2312" w:eastAsia="仿宋_GB2312"/>
                <w:sz w:val="24"/>
              </w:rPr>
              <w:t>修复工作；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供应商</w:t>
            </w:r>
            <w:r>
              <w:rPr>
                <w:rFonts w:ascii="仿宋_GB2312" w:hAnsi="仿宋_GB2312" w:cs="仿宋_GB2312" w:eastAsia="仿宋_GB2312"/>
                <w:sz w:val="24"/>
              </w:rPr>
              <w:t>指定工程师专门负责内镜维修和清洗保养培训工作。周一至周六</w:t>
            </w:r>
            <w:r>
              <w:rPr>
                <w:rFonts w:ascii="仿宋_GB2312" w:hAnsi="仿宋_GB2312" w:cs="仿宋_GB2312" w:eastAsia="仿宋_GB2312"/>
                <w:sz w:val="24"/>
              </w:rPr>
              <w:t>内</w:t>
            </w:r>
            <w:r>
              <w:rPr>
                <w:rFonts w:ascii="仿宋_GB2312" w:hAnsi="仿宋_GB2312" w:cs="仿宋_GB2312" w:eastAsia="仿宋_GB2312"/>
                <w:sz w:val="24"/>
              </w:rPr>
              <w:t>，一旦属于本项目范围内的设备发生故障，工程师保证在</w:t>
            </w:r>
            <w:r>
              <w:rPr>
                <w:rFonts w:ascii="仿宋_GB2312" w:hAnsi="仿宋_GB2312" w:cs="仿宋_GB2312" w:eastAsia="仿宋_GB2312"/>
                <w:sz w:val="24"/>
              </w:rPr>
              <w:t>24小时内提供现场技术支持，并提供每周24小时×7天的电话支持服务；</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)在本项目期限内，</w:t>
            </w:r>
            <w:r>
              <w:rPr>
                <w:rFonts w:ascii="仿宋_GB2312" w:hAnsi="仿宋_GB2312" w:cs="仿宋_GB2312" w:eastAsia="仿宋_GB2312"/>
                <w:sz w:val="24"/>
              </w:rPr>
              <w:t>供应商</w:t>
            </w:r>
            <w:r>
              <w:rPr>
                <w:rFonts w:ascii="仿宋_GB2312" w:hAnsi="仿宋_GB2312" w:cs="仿宋_GB2312" w:eastAsia="仿宋_GB2312"/>
                <w:sz w:val="24"/>
              </w:rPr>
              <w:t>指定工程师提供至少</w:t>
            </w:r>
            <w:r>
              <w:rPr>
                <w:rFonts w:ascii="仿宋_GB2312" w:hAnsi="仿宋_GB2312" w:cs="仿宋_GB2312" w:eastAsia="仿宋_GB2312"/>
                <w:sz w:val="24"/>
              </w:rPr>
              <w:t>1月1次巡检；</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w:t>
            </w:r>
            <w:r>
              <w:rPr>
                <w:rFonts w:ascii="仿宋_GB2312" w:hAnsi="仿宋_GB2312" w:cs="仿宋_GB2312" w:eastAsia="仿宋_GB2312"/>
                <w:sz w:val="24"/>
              </w:rPr>
              <w:t>)在本项目期限内，</w:t>
            </w:r>
            <w:r>
              <w:rPr>
                <w:rFonts w:ascii="仿宋_GB2312" w:hAnsi="仿宋_GB2312" w:cs="仿宋_GB2312" w:eastAsia="仿宋_GB2312"/>
                <w:sz w:val="24"/>
              </w:rPr>
              <w:t>供应商</w:t>
            </w:r>
            <w:r>
              <w:rPr>
                <w:rFonts w:ascii="仿宋_GB2312" w:hAnsi="仿宋_GB2312" w:cs="仿宋_GB2312" w:eastAsia="仿宋_GB2312"/>
                <w:sz w:val="24"/>
              </w:rPr>
              <w:t>提供</w:t>
            </w:r>
            <w:r>
              <w:rPr>
                <w:rFonts w:ascii="仿宋_GB2312" w:hAnsi="仿宋_GB2312" w:cs="仿宋_GB2312" w:eastAsia="仿宋_GB2312"/>
                <w:sz w:val="24"/>
              </w:rPr>
              <w:t>1年2次的周边仪器除尘清洁服务(周边仪器是指本项目范围清单内的配套仪器);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w:t>
            </w:r>
            <w:r>
              <w:rPr>
                <w:rFonts w:ascii="仿宋_GB2312" w:hAnsi="仿宋_GB2312" w:cs="仿宋_GB2312" w:eastAsia="仿宋_GB2312"/>
                <w:sz w:val="24"/>
              </w:rPr>
              <w:t>)在本项目期限内，</w:t>
            </w:r>
            <w:r>
              <w:rPr>
                <w:rFonts w:ascii="仿宋_GB2312" w:hAnsi="仿宋_GB2312" w:cs="仿宋_GB2312" w:eastAsia="仿宋_GB2312"/>
                <w:sz w:val="24"/>
              </w:rPr>
              <w:t>供应商</w:t>
            </w:r>
            <w:r>
              <w:rPr>
                <w:rFonts w:ascii="仿宋_GB2312" w:hAnsi="仿宋_GB2312" w:cs="仿宋_GB2312" w:eastAsia="仿宋_GB2312"/>
                <w:sz w:val="24"/>
              </w:rPr>
              <w:t>至少每季度</w:t>
            </w:r>
            <w:r>
              <w:rPr>
                <w:rFonts w:ascii="仿宋_GB2312" w:hAnsi="仿宋_GB2312" w:cs="仿宋_GB2312" w:eastAsia="仿宋_GB2312"/>
                <w:sz w:val="24"/>
              </w:rPr>
              <w:t>1次对附件内所列设备的使用、清洗和保养方法提供院内培训；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w:t>
            </w:r>
            <w:r>
              <w:rPr>
                <w:rFonts w:ascii="仿宋_GB2312" w:hAnsi="仿宋_GB2312" w:cs="仿宋_GB2312" w:eastAsia="仿宋_GB2312"/>
                <w:sz w:val="24"/>
              </w:rPr>
              <w:t>)设备故障超过48小时不能修复或出现紧急故障情况，</w:t>
            </w:r>
            <w:r>
              <w:rPr>
                <w:rFonts w:ascii="仿宋_GB2312" w:hAnsi="仿宋_GB2312" w:cs="仿宋_GB2312" w:eastAsia="仿宋_GB2312"/>
                <w:sz w:val="24"/>
              </w:rPr>
              <w:t>供应商</w:t>
            </w:r>
            <w:r>
              <w:rPr>
                <w:rFonts w:ascii="仿宋_GB2312" w:hAnsi="仿宋_GB2312" w:cs="仿宋_GB2312" w:eastAsia="仿宋_GB2312"/>
                <w:sz w:val="24"/>
              </w:rPr>
              <w:t>立即提供对应备用品保证客户正常业务开展。</w:t>
            </w:r>
          </w:p>
          <w:p>
            <w:pPr>
              <w:pStyle w:val="null3"/>
              <w:ind w:firstLine="480"/>
              <w:jc w:val="left"/>
            </w:pPr>
            <w:r>
              <w:rPr>
                <w:rFonts w:ascii="仿宋_GB2312" w:hAnsi="仿宋_GB2312" w:cs="仿宋_GB2312" w:eastAsia="仿宋_GB2312"/>
                <w:sz w:val="24"/>
              </w:rPr>
              <w:t>3、备件、维修辅料保证</w:t>
            </w:r>
          </w:p>
          <w:p>
            <w:pPr>
              <w:pStyle w:val="null3"/>
              <w:ind w:firstLine="480"/>
              <w:jc w:val="left"/>
            </w:pPr>
            <w:r>
              <w:rPr>
                <w:rFonts w:ascii="仿宋_GB2312" w:hAnsi="仿宋_GB2312" w:cs="仿宋_GB2312" w:eastAsia="仿宋_GB2312"/>
                <w:sz w:val="24"/>
              </w:rPr>
              <w:t>所有备件、维修辅料为原厂全新备件，配合原厂维修工艺可保证维修完成后设备性能达到原厂性能状态提高</w:t>
            </w:r>
            <w:r>
              <w:rPr>
                <w:rFonts w:ascii="仿宋_GB2312" w:hAnsi="仿宋_GB2312" w:cs="仿宋_GB2312" w:eastAsia="仿宋_GB2312"/>
                <w:sz w:val="24"/>
              </w:rPr>
              <w:t>采购人</w:t>
            </w:r>
            <w:r>
              <w:rPr>
                <w:rFonts w:ascii="仿宋_GB2312" w:hAnsi="仿宋_GB2312" w:cs="仿宋_GB2312" w:eastAsia="仿宋_GB2312"/>
                <w:sz w:val="24"/>
              </w:rPr>
              <w:t>使用效率，避免因使用第三方非原厂全新备件导致设备性能下降、故障率高等问题影响</w:t>
            </w:r>
            <w:r>
              <w:rPr>
                <w:rFonts w:ascii="仿宋_GB2312" w:hAnsi="仿宋_GB2312" w:cs="仿宋_GB2312" w:eastAsia="仿宋_GB2312"/>
                <w:sz w:val="24"/>
              </w:rPr>
              <w:t>采购人</w:t>
            </w:r>
            <w:r>
              <w:rPr>
                <w:rFonts w:ascii="仿宋_GB2312" w:hAnsi="仿宋_GB2312" w:cs="仿宋_GB2312" w:eastAsia="仿宋_GB2312"/>
                <w:sz w:val="24"/>
              </w:rPr>
              <w:t>业务开展。</w:t>
            </w:r>
          </w:p>
          <w:p>
            <w:pPr>
              <w:pStyle w:val="null3"/>
              <w:ind w:firstLine="480"/>
              <w:jc w:val="left"/>
            </w:pPr>
            <w:r>
              <w:rPr>
                <w:rFonts w:ascii="仿宋_GB2312" w:hAnsi="仿宋_GB2312" w:cs="仿宋_GB2312" w:eastAsia="仿宋_GB2312"/>
                <w:sz w:val="24"/>
              </w:rPr>
              <w:t>4、</w:t>
            </w:r>
            <w:r>
              <w:rPr>
                <w:rFonts w:ascii="仿宋_GB2312" w:hAnsi="仿宋_GB2312" w:cs="仿宋_GB2312" w:eastAsia="仿宋_GB2312"/>
                <w:sz w:val="24"/>
              </w:rPr>
              <w:t>维保期</w:t>
            </w:r>
            <w:r>
              <w:rPr>
                <w:rFonts w:ascii="仿宋_GB2312" w:hAnsi="仿宋_GB2312" w:cs="仿宋_GB2312" w:eastAsia="仿宋_GB2312"/>
                <w:sz w:val="24"/>
              </w:rPr>
              <w:t>终止</w:t>
            </w:r>
          </w:p>
          <w:p>
            <w:pPr>
              <w:pStyle w:val="null3"/>
              <w:ind w:firstLine="480"/>
              <w:jc w:val="left"/>
            </w:pPr>
            <w:r>
              <w:rPr>
                <w:rFonts w:ascii="仿宋_GB2312" w:hAnsi="仿宋_GB2312" w:cs="仿宋_GB2312" w:eastAsia="仿宋_GB2312"/>
                <w:sz w:val="24"/>
              </w:rPr>
              <w:t>维保期</w:t>
            </w:r>
            <w:r>
              <w:rPr>
                <w:rFonts w:ascii="仿宋_GB2312" w:hAnsi="仿宋_GB2312" w:cs="仿宋_GB2312" w:eastAsia="仿宋_GB2312"/>
                <w:sz w:val="24"/>
              </w:rPr>
              <w:t>终止前</w:t>
            </w:r>
            <w:r>
              <w:rPr>
                <w:rFonts w:ascii="仿宋_GB2312" w:hAnsi="仿宋_GB2312" w:cs="仿宋_GB2312" w:eastAsia="仿宋_GB2312"/>
                <w:sz w:val="24"/>
              </w:rPr>
              <w:t>15个工作日，将对设备进行一次全面的检查，保证设备在下一个</w:t>
            </w:r>
            <w:r>
              <w:rPr>
                <w:rFonts w:ascii="仿宋_GB2312" w:hAnsi="仿宋_GB2312" w:cs="仿宋_GB2312" w:eastAsia="仿宋_GB2312"/>
                <w:sz w:val="24"/>
              </w:rPr>
              <w:t>维保期</w:t>
            </w:r>
            <w:r>
              <w:rPr>
                <w:rFonts w:ascii="仿宋_GB2312" w:hAnsi="仿宋_GB2312" w:cs="仿宋_GB2312" w:eastAsia="仿宋_GB2312"/>
                <w:sz w:val="24"/>
              </w:rPr>
              <w:t>开始前的正常</w:t>
            </w:r>
            <w:r>
              <w:rPr>
                <w:rFonts w:ascii="仿宋_GB2312" w:hAnsi="仿宋_GB2312" w:cs="仿宋_GB2312" w:eastAsia="仿宋_GB2312"/>
                <w:sz w:val="24"/>
              </w:rPr>
              <w:t>状态</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5、服务质量</w:t>
            </w:r>
            <w:r>
              <w:rPr>
                <w:rFonts w:ascii="仿宋_GB2312" w:hAnsi="仿宋_GB2312" w:cs="仿宋_GB2312" w:eastAsia="仿宋_GB2312"/>
                <w:sz w:val="24"/>
              </w:rPr>
              <w:t>要求</w:t>
            </w:r>
          </w:p>
          <w:p>
            <w:pPr>
              <w:pStyle w:val="null3"/>
              <w:jc w:val="both"/>
            </w:pPr>
            <w:r>
              <w:rPr>
                <w:rFonts w:ascii="仿宋_GB2312" w:hAnsi="仿宋_GB2312" w:cs="仿宋_GB2312" w:eastAsia="仿宋_GB2312"/>
                <w:sz w:val="24"/>
              </w:rPr>
              <w:t>严格按照富士原厂设备巡检、设备进出站检测、维修工艺标准品控管理流程执行。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因一体化系统固化，3.3.2.商务要求中的付款进度安排不适用本项目，供应商应答“付款进度安排”时，可仅应答本条要求即可，对于3.3.2商务要求中“付款进度安排”要求的应答不作强制要求】合同签订后，采购人收到完整、有效的发票后10个工作日内预支付合同金额40%，服务期满，按考核（根据技术和商务的要求进行考核，不符合要求扣500元/次）后金额付剩余部分款项。</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自合同签订生效之日起一年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成都市双流区第一人民医院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（由于系统固化原因，若有与2.6.6.履约验收方案冲突的，以此处为准）履约验收方案 1）验收组织方式：自行验收 2）是否邀请本项目的其他供应商：否 3）是否邀请专家：否 4）是否邀请服务对象：否 5）是否邀请第三方检测机构：否 6）履约验收程序：一次性验收 7）履约验收时间： 验收条件说明：供应商提出验收申请之日起，达到验收条件起30日内，验收合同总金额的100%； 8）验收组织的其他事项：无 9）技术履约验收内容：按照本项目采购文件中“技术、服务要求”及供应商的响应文件进行验收。 10）商务履约验收内容：按照本项目采购文件中“商务要求”及供应商的响应文件进行验收。 11）履约验收标准：严格按照《财政部关于进一步加强政府采购需求和履约验收管理的指导意见》（财库〔2016〕205号）政府采购相关法律法规的要求进行验收。 12）履约验收其他事项：无</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1、合同签订后，采购人收到完整、有效的发票后，达到付款条件起10日内，支付合同总金额的40.00%</w:t>
            </w:r>
          </w:p>
          <w:p>
            <w:pPr>
              <w:pStyle w:val="null3"/>
              <w:jc w:val="left"/>
            </w:pPr>
            <w:r>
              <w:rPr>
                <w:rFonts w:ascii="仿宋_GB2312" w:hAnsi="仿宋_GB2312" w:cs="仿宋_GB2312" w:eastAsia="仿宋_GB2312"/>
              </w:rPr>
              <w:t>2、服务期满，按考核（根据技术和商务的要求进行考核，不符合要求扣500元/次）后金额付剩余部分款项，达到付款条件起10日内，支付合同总金额的60.00%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违约责任与解决争议的方法：以下“甲方”为采购人，“乙方”为成交供应商。 （1）违约责任 1.1乙方维修人员对在提供维保服务过程中接触到的甲方的技术资料、患者隐私信息等保密信息应当严格保密，不得泄露给第三方或用作其他任何用途，否则应承担相应的侵权责任。 1.2.因乙方更换的备件或材料在维保期内并在正常使用情况下出现质量问题导致甲方或第三方财产或人身损害的，由乙方承担赔偿责任。 1.3.在本合同维保服务验收后的使用中，有证据证明乙方提供的维保服务存在重大的设计、工艺或材料缺陷（包括潜在缺陷），乙方应当对由于上述缺陷造成的损失负责。未经甲方书面同意，乙方擅自把设备维保工作转托他人的，甲方有权解除合同，维保费用不再支付，造成的损失由乙方负责赔偿。 1.4.在维保服务期间，乙方未按照合同约定履行维保服务义务的，每违反一次，扣 500 元。若不符合考核条款的情况超过 5 次，甲方有权终止合同并不予续签下一年度合同。 1.5.合同履行过程中，因乙方原因造成设备原有故障以外的故障的，乙方应当承担全部责任。 1.6.本合同履行中如有任何一方违约，那么守约方为保障自己合法权益而产生的律师费、诉讼费、差旅费、公告费等，均由违约方承担。 （2）解决合同纠纷的方式 2.1在执行合同中发生的或与合同有关的争端，双方应通过友好协商解决，经协商内不能达成协议时，应提交甲方住所地人民法院诉讼裁决。</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协商小组可以根据采购文件和协商情况实质性变动第三章“技术、服务及其他要求”中“3.2.技术要求”，“3.3.服务要求”，但不得变动采购文件中的其他内容。实质性变动的内容，须经采购人代表确认。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协商小组可以根据采购文件和协商情况实质性变动第七章“拟签订采购合同文本”，但不得变动采购文件中的其他内容。实质性变动的内容，须经采购人代表确认。</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本项目专门面向中小企业采购(监狱企业、残疾人福利性单位均视同小微企业，符合中小企业划分标准的个体工商户视同中小企业)，非中小企业参与的将视为无效响应〔中小企业提供《中小企业声明函》，残疾人福利性单位提供《残疾人福利性单位声明函》，监狱企业提供由省级以上监狱管理局、戒毒管理局(含新疆生产建设兵团)出具的属于监狱企业的证明文件〕。</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910"/>
          </w:tcPr>
          <w:p>
            <w:pPr>
              <w:pStyle w:val="null3"/>
              <w:jc w:val="left"/>
            </w:pPr>
            <w:r>
              <w:rPr>
                <w:rFonts w:ascii="仿宋_GB2312" w:hAnsi="仿宋_GB2312" w:cs="仿宋_GB2312" w:eastAsia="仿宋_GB2312"/>
              </w:rPr>
              <w:t>供应商认为需要提供的其他证明材料.docx,服务要求及商务要求、其他要求应答表.docx,技术要求应答表.docx</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供应商按照采购文件要求上传相关材料</w:t>
            </w:r>
          </w:p>
        </w:tc>
        <w:tc>
          <w:tcPr>
            <w:tcW w:type="dxa" w:w="1910"/>
          </w:tcPr>
          <w:p>
            <w:pPr>
              <w:pStyle w:val="null3"/>
              <w:jc w:val="left"/>
            </w:pPr>
            <w:r>
              <w:rPr>
                <w:rFonts w:ascii="仿宋_GB2312" w:hAnsi="仿宋_GB2312" w:cs="仿宋_GB2312" w:eastAsia="仿宋_GB2312"/>
              </w:rPr>
              <w:t>供应商认为需要提供的其他证明材料.docx,服务要求及商务要求、其他要求应答表.docx,技术要求应答表.docx</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910"/>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pPr>
      <w:r>
        <w:rPr>
          <w:rFonts w:ascii="仿宋_GB2312" w:hAnsi="仿宋_GB2312" w:cs="仿宋_GB2312" w:eastAsia="仿宋_GB2312"/>
        </w:rPr>
        <w:t>七、供应商最后报价无效的，本次采购活动终止，并发布终止公告。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详见附件：服务要求及商务要求、其他要求应答表.docx</w:t>
      </w:r>
    </w:p>
    <w:p>
      <w:pPr>
        <w:pStyle w:val="null3"/>
        <w:ind w:firstLine="960"/>
        <w:jc w:val="left"/>
      </w:pPr>
      <w:r>
        <w:rPr>
          <w:rFonts w:ascii="仿宋_GB2312" w:hAnsi="仿宋_GB2312" w:cs="仿宋_GB2312" w:eastAsia="仿宋_GB2312"/>
        </w:rPr>
        <w:t>详见附件：供应商认为需要提供的其他证明材料.docx</w:t>
      </w:r>
    </w:p>
    <w:p>
      <w:pPr>
        <w:pStyle w:val="null3"/>
        <w:ind w:firstLine="960"/>
        <w:jc w:val="left"/>
      </w:pPr>
      <w:r>
        <w:rPr>
          <w:rFonts w:ascii="仿宋_GB2312" w:hAnsi="仿宋_GB2312" w:cs="仿宋_GB2312" w:eastAsia="仿宋_GB2312"/>
        </w:rPr>
        <w:t>详见附件：技术要求应答表.docx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