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2024年成教网络学习平台采购项目</w:t>
      </w:r>
    </w:p>
    <w:p>
      <w:pPr>
        <w:pStyle w:val="null3"/>
        <w:jc w:val="center"/>
        <w:outlineLvl w:val="2"/>
      </w:pPr>
      <w:r>
        <w:rPr>
          <w:b/>
          <w:sz w:val="28"/>
        </w:rPr>
        <w:t>采购项目编号：</w:t>
      </w:r>
      <w:r>
        <w:rPr>
          <w:b/>
          <w:sz w:val="28"/>
        </w:rPr>
        <w:t>N5100012024000841</w:t>
      </w:r>
      <w:r>
        <w:br/>
      </w:r>
      <w:r>
        <w:br/>
      </w:r>
      <w:r>
        <w:br/>
      </w:r>
    </w:p>
    <w:p>
      <w:pPr>
        <w:pStyle w:val="null3"/>
        <w:jc w:val="center"/>
        <w:outlineLvl w:val="2"/>
      </w:pPr>
      <w:r>
        <w:rPr>
          <w:b/>
          <w:sz w:val="28"/>
        </w:rPr>
        <w:t>内江师范学院</w:t>
      </w:r>
    </w:p>
    <w:p>
      <w:pPr>
        <w:pStyle w:val="null3"/>
        <w:jc w:val="center"/>
        <w:outlineLvl w:val="2"/>
      </w:pPr>
      <w:r>
        <w:rPr>
          <w:b/>
          <w:sz w:val="28"/>
        </w:rPr>
        <w:t>中金招标有限责任公司</w:t>
      </w:r>
      <w:r>
        <w:rPr>
          <w:b/>
          <w:sz w:val="28"/>
        </w:rPr>
        <w:t>共同编制</w:t>
      </w:r>
    </w:p>
    <w:p>
      <w:pPr>
        <w:pStyle w:val="null3"/>
        <w:jc w:val="center"/>
        <w:outlineLvl w:val="2"/>
      </w:pPr>
      <w:r>
        <w:rPr>
          <w:b/>
          <w:sz w:val="28"/>
        </w:rPr>
        <w:t>2024年05月23日</w:t>
      </w:r>
    </w:p>
    <w:p>
      <w:pPr>
        <w:pStyle w:val="null3"/>
      </w:pPr>
      <w:r>
        <w:rPr/>
        <w:t xml:space="preserve"> </w:t>
        <w:br/>
        <w:br w:type="page"/>
      </w:r>
    </w:p>
    <w:p>
      <w:pPr>
        <w:pStyle w:val="null3"/>
        <w:jc w:val="center"/>
        <w:outlineLvl w:val="1"/>
      </w:pPr>
      <w:r>
        <w:rPr>
          <w:b/>
          <w:sz w:val="36"/>
        </w:rPr>
        <w:t>第一章 投标邀请</w:t>
      </w:r>
    </w:p>
    <w:p>
      <w:pPr>
        <w:pStyle w:val="null3"/>
        <w:ind w:firstLine="480"/>
      </w:pPr>
      <w:r>
        <w:rPr/>
        <w:t>中金招标有限责任公司</w:t>
      </w:r>
      <w:r>
        <w:rPr/>
        <w:t>（以下简称“代理机构”）受</w:t>
      </w:r>
      <w:r>
        <w:rPr/>
        <w:t>内江师范学院</w:t>
      </w:r>
      <w:r>
        <w:rPr/>
        <w:t>委托，拟对</w:t>
      </w:r>
      <w:r>
        <w:rPr/>
        <w:t>2024年成教网络学习平台采购项目</w:t>
      </w:r>
      <w:r>
        <w:rPr/>
        <w:t>进行国内公开招标，兹邀请符合本次招标要求的供应商参加投标。</w:t>
      </w:r>
    </w:p>
    <w:p>
      <w:pPr>
        <w:pStyle w:val="null3"/>
        <w:outlineLvl w:val="2"/>
      </w:pPr>
      <w:r>
        <w:rPr>
          <w:b/>
          <w:sz w:val="28"/>
        </w:rPr>
        <w:t>一、采购项目编号：</w:t>
      </w:r>
      <w:r>
        <w:rPr>
          <w:b/>
          <w:sz w:val="28"/>
        </w:rPr>
        <w:t>N5100012024000841</w:t>
      </w:r>
    </w:p>
    <w:p>
      <w:pPr>
        <w:pStyle w:val="null3"/>
        <w:outlineLvl w:val="2"/>
      </w:pPr>
      <w:r>
        <w:rPr>
          <w:b/>
          <w:sz w:val="28"/>
        </w:rPr>
        <w:t>二、采购项目名称：</w:t>
      </w:r>
      <w:r>
        <w:rPr>
          <w:b/>
          <w:sz w:val="28"/>
        </w:rPr>
        <w:t>2024年成教网络学习平台采购项目</w:t>
      </w:r>
    </w:p>
    <w:p>
      <w:pPr>
        <w:pStyle w:val="null3"/>
        <w:outlineLvl w:val="2"/>
      </w:pPr>
      <w:r>
        <w:rPr>
          <w:b/>
          <w:sz w:val="28"/>
        </w:rPr>
        <w:t>三、招标项目简介</w:t>
      </w:r>
    </w:p>
    <w:p>
      <w:pPr>
        <w:pStyle w:val="null3"/>
        <w:ind w:firstLine="480"/>
      </w:pPr>
      <w:r>
        <w:rPr/>
        <w:t>本项目为内江师范学院2025年2月—2027年12月成教网络学习平台采购，通过直接访问供应商提供接入服务模式，用于内江师范学院成人高等教育课程学习与辅导、考试考核、教学管理等日常教学运行服务。服务期限为自合同签订之日起至2027年12月；平台使用服务采购价按单价报价，最高单价不超过100元/人/年，预估学生人数26640人次，结算时根据实际使用平台的学生人数进行核算。</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采购包1：不专门面向中小企业采购。</w:t>
      </w:r>
    </w:p>
    <w:p>
      <w:pPr>
        <w:pStyle w:val="null3"/>
        <w:ind w:firstLine="480"/>
      </w:pPr>
      <w:r>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无</w:t>
      </w:r>
    </w:p>
    <w:p>
      <w:pPr>
        <w:pStyle w:val="null3"/>
        <w:outlineLvl w:val="2"/>
      </w:pPr>
      <w:r>
        <w:rPr>
          <w:b/>
          <w:sz w:val="28"/>
        </w:rPr>
        <w:t>五、电子化采购相关事项</w:t>
      </w:r>
    </w:p>
    <w:p>
      <w:pPr>
        <w:pStyle w:val="null3"/>
        <w:ind w:firstLine="480"/>
      </w:pPr>
      <w:r>
        <w:rPr/>
        <w:t xml:space="preserve"> 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以下简称“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六、招标文件获取时间、方式及地址</w:t>
      </w:r>
    </w:p>
    <w:p>
      <w:pPr>
        <w:pStyle w:val="null3"/>
        <w:ind w:firstLine="480"/>
      </w:pPr>
      <w:r>
        <w:rPr/>
        <w:t>（一）招标文件获取时间：详见采购公告或邀请书</w:t>
      </w:r>
    </w:p>
    <w:p>
      <w:pPr>
        <w:pStyle w:val="null3"/>
        <w:ind w:firstLine="480"/>
      </w:pPr>
      <w:r>
        <w:rPr/>
        <w:t xml:space="preserve"> （二）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ind w:firstLine="480"/>
      </w:pPr>
      <w:r>
        <w:rPr/>
        <w:t>注：获取的招标文件主体格式包括pdf、word两种格式版本，其中以pdf格式为准。</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（一）投标文件提交截止时间及开标时间：详见采购公告或邀请书</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八、本投标邀请在四川政府采购网以公告形式发布</w:t>
      </w:r>
    </w:p>
    <w:p>
      <w:pPr>
        <w:pStyle w:val="null3"/>
        <w:outlineLvl w:val="2"/>
      </w:pPr>
      <w:r>
        <w:rPr>
          <w:b/>
          <w:sz w:val="28"/>
        </w:rPr>
        <w:t>九、供应商信用融资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内江师范学院</w:t>
      </w:r>
    </w:p>
    <w:p>
      <w:pPr>
        <w:pStyle w:val="null3"/>
      </w:pPr>
      <w:r>
        <w:rPr/>
        <w:t xml:space="preserve"> 地址： </w:t>
      </w:r>
      <w:r>
        <w:rPr/>
        <w:t>内江市东兴区红桥街1号内江师范学院招标采购中心（行知楼A区425）</w:t>
      </w:r>
    </w:p>
    <w:p>
      <w:pPr>
        <w:pStyle w:val="null3"/>
      </w:pPr>
      <w:r>
        <w:rPr/>
        <w:t xml:space="preserve"> 邮编： </w:t>
      </w:r>
      <w:r>
        <w:rPr/>
        <w:t>641112</w:t>
      </w:r>
    </w:p>
    <w:p>
      <w:pPr>
        <w:pStyle w:val="null3"/>
      </w:pPr>
      <w:r>
        <w:rPr/>
        <w:t xml:space="preserve"> 联系人： </w:t>
      </w:r>
      <w:r>
        <w:rPr/>
        <w:t>魏老师</w:t>
      </w:r>
    </w:p>
    <w:p>
      <w:pPr>
        <w:pStyle w:val="null3"/>
      </w:pPr>
      <w:r>
        <w:rPr/>
        <w:t xml:space="preserve"> 联系电话： </w:t>
      </w:r>
      <w:r>
        <w:rPr/>
        <w:t>0832-2343127</w:t>
      </w:r>
    </w:p>
    <w:p>
      <w:pPr>
        <w:pStyle w:val="null3"/>
        <w:outlineLvl w:val="2"/>
      </w:pPr>
      <w:r>
        <w:rPr>
          <w:b/>
          <w:sz w:val="28"/>
        </w:rPr>
        <w:t>代理机构：</w:t>
      </w:r>
      <w:r>
        <w:rPr>
          <w:b/>
          <w:sz w:val="28"/>
        </w:rPr>
        <w:t>中金招标有限责任公司</w:t>
      </w:r>
    </w:p>
    <w:p>
      <w:pPr>
        <w:pStyle w:val="null3"/>
      </w:pPr>
      <w:r>
        <w:rPr/>
        <w:t xml:space="preserve"> 地址： </w:t>
      </w:r>
      <w:r>
        <w:rPr/>
        <w:t>成都市高新区天晖路360号晶科1号商务楼20楼。</w:t>
      </w:r>
    </w:p>
    <w:p>
      <w:pPr>
        <w:pStyle w:val="null3"/>
      </w:pPr>
      <w:r>
        <w:rPr/>
        <w:t xml:space="preserve"> 邮编： </w:t>
      </w:r>
      <w:r>
        <w:rPr/>
        <w:t>610095</w:t>
      </w:r>
    </w:p>
    <w:p>
      <w:pPr>
        <w:pStyle w:val="null3"/>
      </w:pPr>
      <w:r>
        <w:rPr/>
        <w:t xml:space="preserve"> 联系人： </w:t>
      </w:r>
      <w:r>
        <w:rPr/>
        <w:t>童老师</w:t>
      </w:r>
    </w:p>
    <w:p>
      <w:pPr>
        <w:pStyle w:val="null3"/>
      </w:pPr>
      <w:r>
        <w:rPr/>
        <w:t xml:space="preserve"> 联系电话： </w:t>
      </w:r>
      <w:r>
        <w:rPr/>
        <w:t>028-84469198</w:t>
      </w:r>
    </w:p>
    <w:p>
      <w:pPr>
        <w:pStyle w:val="null3"/>
      </w:pPr>
      <w:r>
        <w:rPr/>
        <w:t xml:space="preserve"> </w:t>
        <w:br/>
        <w:br w:type="page"/>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采购包1：2,664,000.00元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采购包1：不接受联合体</w:t>
            </w: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 xml:space="preserve"> 产品属于节能产品政府采购品目清单中应强制采购的产品范围，供应商应当提供国家确定的认证机构出具的、处于有效期之内的节能产品认证证书，否则作无效投标处理。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产品属于环境标志产品政府采购品目清单中应优先采购的产品范围，评审得分/响应报价相同的，按供应商提供的优先采购产品认证证书数量由多到少顺序排列。</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本项目不收取投标保证金。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r>
              <w:rPr/>
              <w:t>采购包1：不收取</w:t>
            </w:r>
          </w:p>
        </w:tc>
      </w:tr>
      <w:tr>
        <w:tc>
          <w:tcPr>
            <w:tcW w:type="dxa" w:w="1051"/>
          </w:tcPr>
          <w:p>
            <w:pPr>
              <w:pStyle w:val="null3"/>
            </w:pPr>
            <w:r>
              <w:rPr/>
              <w:t>11</w:t>
            </w:r>
          </w:p>
        </w:tc>
        <w:tc>
          <w:tcPr>
            <w:tcW w:type="dxa" w:w="2252"/>
          </w:tcPr>
          <w:p>
            <w:pPr>
              <w:pStyle w:val="null3"/>
            </w:pPr>
            <w:r>
              <w:rPr/>
              <w:t>投标有效期（实质性要求）</w:t>
            </w:r>
          </w:p>
        </w:tc>
        <w:tc>
          <w:tcPr>
            <w:tcW w:type="dxa" w:w="5004"/>
          </w:tcPr>
          <w:p>
            <w:pPr>
              <w:pStyle w:val="null3"/>
            </w:pPr>
            <w:r>
              <w:rPr/>
              <w:t>提交投标文件的截止之日起不少于</w:t>
            </w:r>
            <w:r>
              <w:rPr/>
              <w:t>120</w:t>
            </w:r>
            <w:r>
              <w:rPr/>
              <w:t>天。</w:t>
            </w:r>
          </w:p>
        </w:tc>
      </w:tr>
      <w:tr>
        <w:tc>
          <w:tcPr>
            <w:tcW w:type="dxa" w:w="1051"/>
          </w:tcPr>
          <w:p>
            <w:pPr>
              <w:pStyle w:val="null3"/>
            </w:pPr>
            <w:r>
              <w:rPr/>
              <w:t>12</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招标代理服务费根据委托代理协议约定，按照原国家计委《关于印发招标代理服务收费管理暂行办法的通知》（计价格[2002]1980号）和国家发展改革委办公厅《关于招标代理服务收费有关问题的通知》（发改办价格［2003］857号）文件规定的招标收费费率下浮26%执行，向中标单位收取。 代理服务费支付方式如下： 联系人：鲁女士。 联系电话：028-84469198-802。 地址：成都市高新区天晖路360号晶科1号商务楼20楼。 中标服务费缴纳账户（请区别于保证金缴纳账户）： 开户名称：中金招标有限责任公司四川分公司； 开户银行：中国民生银行成都东风支行； 帐 号：2006 0142 1000 5610。</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中标通知书</w:t>
            </w:r>
          </w:p>
        </w:tc>
        <w:tc>
          <w:tcPr>
            <w:tcW w:type="dxa" w:w="5004"/>
          </w:tcPr>
          <w:p>
            <w:pPr>
              <w:pStyle w:val="null3"/>
            </w:pPr>
            <w:r>
              <w:rPr/>
              <w:t>采购结果公告后，采购人或代理机构通过项目电子化交易系统向中标供应商发出中标通知书；中标供应商通过项目电子化交易系统获取中标通知书。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r>
              <w:rPr/>
              <w:t>不允许（实质性要求）</w:t>
            </w:r>
          </w:p>
        </w:tc>
      </w:tr>
      <w:tr>
        <w:tc>
          <w:tcPr>
            <w:tcW w:type="dxa" w:w="1051"/>
          </w:tcPr>
          <w:p>
            <w:pPr>
              <w:pStyle w:val="null3"/>
            </w:pPr>
            <w:r>
              <w:rPr/>
              <w:t>17</w:t>
            </w:r>
          </w:p>
        </w:tc>
        <w:tc>
          <w:tcPr>
            <w:tcW w:type="dxa" w:w="2252"/>
          </w:tcPr>
          <w:p>
            <w:pPr>
              <w:pStyle w:val="null3"/>
            </w:pPr>
            <w:r>
              <w:rPr/>
              <w:t>是否组织潜在投标人现场考察</w:t>
            </w:r>
          </w:p>
        </w:tc>
        <w:tc>
          <w:tcPr>
            <w:tcW w:type="dxa" w:w="5004"/>
          </w:tcPr>
          <w:p>
            <w:pPr>
              <w:pStyle w:val="null3"/>
            </w:pPr>
            <w:r>
              <w:rPr/>
              <w:t>采购包1：否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内江师范学院</w:t>
      </w:r>
      <w:r>
        <w:rPr/>
        <w:t>和</w:t>
      </w:r>
      <w:r>
        <w:rPr/>
        <w:t>中金招标有限责任公司</w:t>
      </w:r>
      <w:r>
        <w:rPr/>
        <w:t>享有。对招标文件中供应商参加本次政府采购活动应当具备的条件，招标项目技术、服务、商务及其他要求，评标细则及标准由</w:t>
      </w:r>
      <w:r>
        <w:rPr/>
        <w:t>内江师范学院</w:t>
      </w:r>
      <w:r>
        <w:rPr/>
        <w:t>负责解释。除上述招标文件内容，其他内容由</w:t>
      </w:r>
      <w:r>
        <w:rPr/>
        <w:t>中金招标有限责任公司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内江师范学院</w:t>
      </w:r>
      <w:r>
        <w:rPr/>
        <w:t>。</w:t>
      </w:r>
    </w:p>
    <w:p>
      <w:pPr>
        <w:pStyle w:val="null3"/>
        <w:ind w:firstLine="480"/>
      </w:pPr>
      <w:r>
        <w:rPr/>
        <w:t xml:space="preserve"> 二、“投标人”是指按照采购公告规定获取了招标文件，拟参加投标和向采购人提供货物及相应服务的法人、其他组织或者自然人。</w:t>
      </w:r>
    </w:p>
    <w:p>
      <w:pPr>
        <w:pStyle w:val="null3"/>
        <w:ind w:firstLine="480"/>
      </w:pPr>
      <w:r>
        <w:rPr/>
        <w:t xml:space="preserve"> 三、“代理机构”是指政府采购集中采购机构和从事政府采购代理业务的社会中介机构。本项目的代理机构是</w:t>
      </w:r>
      <w:r>
        <w:rPr/>
        <w:t>中金招标有限责任公司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五、“电子评标”是指通过项目电子化交易系统在线完成评标委员会组建，开展资格和符合性审查、比较与评价、出具评标报告、推荐中标候选供应商等活动。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b/>
          <w:sz w:val="24"/>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四川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2.4.2计量单位（实质性要求）</w:t>
      </w:r>
    </w:p>
    <w:p>
      <w:pPr>
        <w:pStyle w:val="null3"/>
        <w:ind w:firstLine="480"/>
      </w:pPr>
      <w:r>
        <w:rPr/>
        <w:t>除招标文件中另有规定外，本项目均采用国家法定的计量单位。</w:t>
      </w:r>
    </w:p>
    <w:p>
      <w:pPr>
        <w:pStyle w:val="null3"/>
        <w:outlineLvl w:val="3"/>
      </w:pPr>
      <w:r>
        <w:rPr>
          <w:b/>
          <w:sz w:val="24"/>
        </w:rPr>
        <w:t>2.4.3投标货币（实质性要求）</w:t>
      </w:r>
    </w:p>
    <w:p>
      <w:pPr>
        <w:pStyle w:val="null3"/>
        <w:ind w:firstLine="480"/>
      </w:pPr>
      <w:r>
        <w:rPr/>
        <w:t>本次项目均以人民币报价。</w:t>
      </w:r>
    </w:p>
    <w:p>
      <w:pPr>
        <w:pStyle w:val="null3"/>
        <w:outlineLvl w:val="3"/>
      </w:pPr>
      <w:r>
        <w:rPr>
          <w:b/>
          <w:sz w:val="24"/>
        </w:rPr>
        <w:t>2.4.4知识产权（实质性要求）</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2.4.9投标文件的制作、签章和加密（实质性要求）</w:t>
      </w:r>
    </w:p>
    <w:p>
      <w:pPr>
        <w:pStyle w:val="null3"/>
        <w:ind w:firstLine="480"/>
      </w:pPr>
      <w:r>
        <w:rPr/>
        <w:t xml:space="preserve"> 一、投标文件应当根据招标文件进行编制，投标人应通过四川政府采购网-办事指南下载投标（响应）客户端，使用客户端编制投标文件。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一、本项目为网上开标项目。网上开标的开始时间为投标文件提交截止时间。成功提交或成功提交和解密电子投标文件的投标人不足3家的，不予开标，采购人或代理机构将作废标处理。</w:t>
      </w:r>
    </w:p>
    <w:p>
      <w:pPr>
        <w:pStyle w:val="null3"/>
        <w:ind w:firstLine="480"/>
      </w:pPr>
      <w:r>
        <w:rPr/>
        <w:t>二、开标准备工作</w:t>
      </w:r>
    </w:p>
    <w:p>
      <w:pPr>
        <w:pStyle w:val="null3"/>
      </w:pPr>
      <w:r>
        <w:rPr/>
        <w:t xml:space="preserve"> 投标文件开启时间前，供应商登录项目电子化交易系统-“开标/开启大厅”，等待代理机构开标。</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一、采购人或者评标委员会确认中标供应商后，代理机构在四川政府采购网发布中标结果公告、通过项目电子化交易系统发出中标通知书，中标供应商通过项目电子化交易系统获取中标通知书。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分段/分期验收</w:t>
      </w:r>
    </w:p>
    <w:p>
      <w:pPr>
        <w:pStyle w:val="null3"/>
        <w:ind w:firstLine="840"/>
      </w:pPr>
      <w:r>
        <w:rPr/>
        <w:t>7）履约验收时间：</w:t>
      </w:r>
    </w:p>
    <w:p>
      <w:pPr>
        <w:pStyle w:val="null3"/>
      </w:pPr>
      <w:r>
        <w:rPr/>
        <w:t>供应商提出验收申请之日起</w:t>
      </w:r>
      <w:r>
        <w:rPr/>
        <w:t>10</w:t>
      </w:r>
      <w:r>
        <w:rPr/>
        <w:t>日内组织验收</w:t>
      </w:r>
    </w:p>
    <w:p>
      <w:pPr>
        <w:pStyle w:val="null3"/>
        <w:ind w:firstLine="840"/>
      </w:pPr>
      <w:r>
        <w:rPr/>
        <w:t>8）验收组织的其他事项：</w:t>
      </w:r>
      <w:r>
        <w:rPr/>
        <w:t>中标供应商提供平台给采购人使用后，进入为期15日的试用期，试用期间发生质量问题的，修复后试用期相应顺延，试用期结束后，中标供应商向采购人提出初验申请，初验结束正常运行15天后，由中标供应商提出终验申请，采购人同意后，按照采购人验收的权限，相关部门及人员形成验收小组，验收小组根据采购文件、中标供应商的投标文件、合同等项目文件约定内容对项目进行终验。</w:t>
      </w:r>
    </w:p>
    <w:p>
      <w:pPr>
        <w:pStyle w:val="null3"/>
        <w:ind w:firstLine="840"/>
      </w:pPr>
      <w:r>
        <w:rPr/>
        <w:t>9）技术履约验收内容：</w:t>
      </w:r>
      <w:r>
        <w:rPr/>
        <w:t>按照本项目招标文件及中标供应商投标文件进行验收。</w:t>
      </w:r>
    </w:p>
    <w:p>
      <w:pPr>
        <w:pStyle w:val="null3"/>
        <w:ind w:firstLine="840"/>
      </w:pPr>
      <w:r>
        <w:rPr/>
        <w:t>10）商务履约验收内容：</w:t>
      </w:r>
      <w:r>
        <w:rPr/>
        <w:t>按照本项目招标文件及中标供应商投标文件进行验收。</w:t>
      </w:r>
    </w:p>
    <w:p>
      <w:pPr>
        <w:pStyle w:val="null3"/>
        <w:ind w:firstLine="840"/>
      </w:pPr>
      <w:r>
        <w:rPr/>
        <w:t>11）履约验收标准：</w:t>
      </w:r>
    </w:p>
    <w:p>
      <w:pPr>
        <w:pStyle w:val="null3"/>
      </w:pPr>
      <w:r>
        <w:rPr/>
        <w:t>严格按照《财政部关于进一步加强政府采购需求和履约验收管理的指导意见》（财库〔2016〕205号）等政府采购相关法律法规的要求进行验收。</w:t>
      </w:r>
    </w:p>
    <w:p>
      <w:pPr>
        <w:pStyle w:val="null3"/>
        <w:ind w:firstLine="840"/>
      </w:pPr>
      <w:r>
        <w:rPr/>
        <w:t>12）履约验收其他事项：</w:t>
      </w:r>
      <w:r>
        <w:rPr/>
        <w:t>无</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b/>
          <w:sz w:val="24"/>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b/>
          <w:sz w:val="24"/>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中金招标有限责任公司</w:t>
      </w:r>
      <w:r>
        <w:rPr/>
        <w:t xml:space="preserve"> 负责答复；供应商对除采购需求外的采购文件的询问、质疑由</w:t>
      </w:r>
      <w:r>
        <w:rPr/>
        <w:t>中金招标有限责任公司</w:t>
      </w:r>
      <w:r>
        <w:rPr/>
        <w:t xml:space="preserve"> 负责答复；供应商对采购过程、采购结果的询问、质疑由 </w:t>
      </w:r>
      <w:r>
        <w:rPr/>
        <w:t>中金招标有限责任公司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联系人：朱老师</w:t>
      </w:r>
    </w:p>
    <w:p>
      <w:pPr>
        <w:pStyle w:val="null3"/>
      </w:pPr>
      <w:r>
        <w:rPr/>
        <w:t>联系电话：028-84469198-818</w:t>
      </w:r>
    </w:p>
    <w:p>
      <w:pPr>
        <w:pStyle w:val="null3"/>
      </w:pPr>
      <w:r>
        <w:rPr/>
        <w:t>地址：成都市高新区天晖路360号晶科1号商务楼20楼</w:t>
      </w:r>
    </w:p>
    <w:p>
      <w:pPr>
        <w:pStyle w:val="null3"/>
      </w:pPr>
      <w:r>
        <w:rPr/>
        <w:t>邮编：610095</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r>
        <w:rPr/>
        <w:t>本项目为内江师范学院2025年2月—2027年12月成教网络学习平台服务采购，通过直接访问供应商提供接入服务模式，用于内江师范学院成人高等教育课程学习与辅导、考试考核、教学管理等日常教学运行服务。平台使用服务采购价按单价报价，最高单价不超过100元/人次/年，预估学生人数26640人次，结算时根据实际使用平台的学生人数进行核算。</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2,664,000.00</w:t>
      </w:r>
    </w:p>
    <w:p>
      <w:pPr>
        <w:pStyle w:val="null3"/>
      </w:pPr>
      <w:r>
        <w:rPr/>
        <w:t>采购包最高限价（元）: 2,664,000.00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pPr>
            <w:r>
              <w:rPr/>
              <w:t>1</w:t>
            </w:r>
          </w:p>
        </w:tc>
        <w:tc>
          <w:tcPr>
            <w:tcW w:type="dxa" w:w="821"/>
          </w:tcPr>
          <w:p>
            <w:pPr>
              <w:pStyle w:val="null3"/>
            </w:pPr>
            <w:r>
              <w:rPr/>
              <w:t>成人教育服务</w:t>
            </w:r>
          </w:p>
        </w:tc>
        <w:tc>
          <w:tcPr>
            <w:tcW w:type="dxa" w:w="821"/>
          </w:tcPr>
          <w:p>
            <w:pPr>
              <w:pStyle w:val="null3"/>
            </w:pPr>
            <w:r>
              <w:rPr/>
              <w:t>高等学历继续教育网络学习平台运营服务</w:t>
            </w:r>
          </w:p>
        </w:tc>
        <w:tc>
          <w:tcPr>
            <w:tcW w:type="dxa" w:w="821"/>
          </w:tcPr>
          <w:p>
            <w:pPr>
              <w:pStyle w:val="null3"/>
              <w:jc w:val="right"/>
            </w:pPr>
            <w:r>
              <w:rPr/>
              <w:t>26,640.00（人次）</w:t>
            </w:r>
          </w:p>
        </w:tc>
        <w:tc>
          <w:tcPr>
            <w:tcW w:type="dxa" w:w="821"/>
          </w:tcPr>
          <w:p>
            <w:pPr>
              <w:pStyle w:val="null3"/>
              <w:jc w:val="right"/>
            </w:pPr>
            <w:r>
              <w:rPr/>
              <w:t>2,664,000.00</w:t>
            </w:r>
          </w:p>
        </w:tc>
        <w:tc>
          <w:tcPr>
            <w:tcW w:type="dxa" w:w="821"/>
          </w:tcPr>
          <w:p>
            <w:pPr>
              <w:pStyle w:val="null3"/>
            </w:pPr>
            <w:r>
              <w:rPr/>
              <w:t>软件和信息技术服务业</w:t>
            </w:r>
          </w:p>
        </w:tc>
        <w:tc>
          <w:tcPr>
            <w:tcW w:type="dxa" w:w="821"/>
          </w:tcPr>
          <w:p>
            <w:pPr>
              <w:pStyle w:val="null3"/>
            </w:pPr>
            <w:r>
              <w:rPr/>
              <w:t>否</w:t>
            </w:r>
          </w:p>
        </w:tc>
        <w:tc>
          <w:tcPr>
            <w:tcW w:type="dxa" w:w="821"/>
          </w:tcPr>
          <w:p>
            <w:pPr>
              <w:pStyle w:val="null3"/>
            </w:pPr>
            <w:r>
              <w:rPr/>
              <w:t>否</w:t>
            </w:r>
          </w:p>
        </w:tc>
        <w:tc>
          <w:tcPr>
            <w:tcW w:type="dxa" w:w="821"/>
          </w:tcPr>
          <w:p>
            <w:pPr>
              <w:pStyle w:val="null3"/>
            </w:pPr>
            <w:r>
              <w:rPr/>
              <w:t>否</w:t>
            </w:r>
          </w:p>
        </w:tc>
        <w:tc>
          <w:tcPr>
            <w:tcW w:type="dxa" w:w="639"/>
          </w:tcPr>
          <w:p>
            <w:pPr>
              <w:pStyle w:val="null3"/>
            </w:pPr>
            <w:r>
              <w:rPr/>
              <w:t>否</w:t>
            </w:r>
          </w:p>
        </w:tc>
        <w:tc>
          <w:tcPr>
            <w:tcW w:type="dxa" w:w="639"/>
          </w:tcPr>
          <w:p>
            <w:pPr>
              <w:pStyle w:val="null3"/>
            </w:pPr>
            <w:r>
              <w:rPr/>
              <w:t>否</w:t>
            </w:r>
          </w:p>
        </w:tc>
      </w:tr>
    </w:tbl>
    <w:p>
      <w:pPr>
        <w:pStyle w:val="null3"/>
        <w:outlineLvl w:val="3"/>
      </w:pPr>
      <w:r>
        <w:rPr>
          <w:b/>
          <w:sz w:val="24"/>
        </w:rPr>
        <w:t>3.2.2服务要求</w:t>
      </w:r>
    </w:p>
    <w:p>
      <w:pPr>
        <w:pStyle w:val="null3"/>
      </w:pPr>
      <w:r>
        <w:rPr/>
        <w:t>采购包1：</w:t>
      </w:r>
    </w:p>
    <w:p>
      <w:pPr>
        <w:pStyle w:val="null3"/>
      </w:pPr>
      <w:r>
        <w:rPr/>
        <w:t>标的名称：高等学历继续教育网络学习平台运营服务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符号标识</w:t>
            </w:r>
          </w:p>
        </w:tc>
        <w:tc>
          <w:tcPr>
            <w:tcW w:type="dxa" w:w="2769"/>
          </w:tcPr>
          <w:p>
            <w:pPr>
              <w:pStyle w:val="null3"/>
            </w:pPr>
            <w:r>
              <w:rPr/>
              <w:t>技术参数与性能指标</w:t>
            </w:r>
          </w:p>
        </w:tc>
      </w:tr>
      <w:tr>
        <w:tc>
          <w:tcPr>
            <w:tcW w:type="dxa" w:w="2769"/>
          </w:tcPr>
          <w:p>
            <w:pPr>
              <w:pStyle w:val="null3"/>
            </w:pPr>
            <w:r>
              <w:rPr/>
              <w:t>1</w:t>
            </w:r>
          </w:p>
        </w:tc>
        <w:tc>
          <w:tcPr>
            <w:tcW w:type="dxa" w:w="2769"/>
          </w:tcPr>
          <w:p/>
        </w:tc>
        <w:tc>
          <w:tcPr>
            <w:tcW w:type="dxa" w:w="2769"/>
          </w:tcPr>
          <w:p>
            <w:pPr>
              <w:pStyle w:val="null3"/>
              <w:ind w:firstLine="482"/>
              <w:jc w:val="both"/>
            </w:pPr>
            <w:r>
              <w:rPr>
                <w:rFonts w:ascii="fangsong" w:hAnsi="fangsong" w:cs="fangsong" w:eastAsia="fangsong"/>
                <w:b/>
                <w:sz w:val="27"/>
              </w:rPr>
              <w:t>注：以下标★为实质性条款，参与评分条款：标◆为一般性条款，标●为须演示条款，标▲为重要条款。</w:t>
            </w:r>
          </w:p>
          <w:p>
            <w:pPr>
              <w:pStyle w:val="null3"/>
              <w:ind w:firstLine="482"/>
              <w:jc w:val="both"/>
            </w:pPr>
            <w:r>
              <w:rPr>
                <w:rFonts w:ascii="宋体" w:hAnsi="宋体" w:cs="宋体" w:eastAsia="宋体"/>
                <w:b/>
                <w:sz w:val="24"/>
              </w:rPr>
              <w:t>★1、</w:t>
            </w:r>
            <w:r>
              <w:rPr>
                <w:rFonts w:ascii="仿宋" w:hAnsi="仿宋" w:cs="仿宋" w:eastAsia="仿宋"/>
                <w:b/>
                <w:sz w:val="24"/>
              </w:rPr>
              <w:t>采购标的需实现的功能</w:t>
            </w:r>
            <w:r>
              <w:rPr>
                <w:rFonts w:ascii="仿宋" w:hAnsi="仿宋" w:cs="仿宋" w:eastAsia="仿宋"/>
                <w:sz w:val="24"/>
              </w:rPr>
              <w:t>：组织机构管理、</w:t>
            </w:r>
            <w:r>
              <w:rPr>
                <w:rFonts w:ascii="仿宋" w:hAnsi="仿宋" w:cs="仿宋" w:eastAsia="仿宋"/>
                <w:sz w:val="24"/>
              </w:rPr>
              <w:t>管理人员管理</w:t>
            </w:r>
            <w:r>
              <w:rPr>
                <w:rFonts w:ascii="仿宋" w:hAnsi="仿宋" w:cs="仿宋" w:eastAsia="仿宋"/>
                <w:sz w:val="24"/>
              </w:rPr>
              <w:t>、账号管理、系统日志管理、人脸识别功能、招生录取管理、校外教学点管理、学籍管理、档案管理、平台基础性数据管理、教学管理、学生过程性考核管理、考务管理、成绩管理、毕业论文管理、毕业管理、学位管理、财务管理、统计报表、通知管理、移动端、课程资源管理、数据迁移及运营服务等。</w:t>
            </w:r>
          </w:p>
          <w:p>
            <w:pPr>
              <w:pStyle w:val="null3"/>
              <w:ind w:firstLine="482"/>
            </w:pPr>
            <w:r>
              <w:rPr>
                <w:rFonts w:ascii="仿宋" w:hAnsi="仿宋" w:cs="仿宋" w:eastAsia="仿宋"/>
                <w:b/>
                <w:color w:val="000000"/>
                <w:sz w:val="24"/>
                <w:shd w:fill="FFFFFF" w:val="clear"/>
              </w:rPr>
              <w:t>2</w:t>
            </w:r>
            <w:r>
              <w:rPr>
                <w:rFonts w:ascii="仿宋" w:hAnsi="仿宋" w:cs="仿宋" w:eastAsia="仿宋"/>
                <w:b/>
                <w:color w:val="000000"/>
                <w:sz w:val="24"/>
                <w:shd w:fill="FFFFFF" w:val="clear"/>
              </w:rPr>
              <w:t>、具体功能要求：</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2.1</w:t>
            </w:r>
            <w:r>
              <w:rPr>
                <w:rFonts w:ascii="仿宋" w:hAnsi="仿宋" w:cs="仿宋" w:eastAsia="仿宋"/>
                <w:b/>
                <w:color w:val="000000"/>
                <w:sz w:val="24"/>
                <w:shd w:fill="FFFFFF" w:val="clear"/>
              </w:rPr>
              <w:t>组织机构管理：</w:t>
            </w:r>
            <w:r>
              <w:rPr>
                <w:rFonts w:ascii="仿宋" w:hAnsi="仿宋" w:cs="仿宋" w:eastAsia="仿宋"/>
                <w:color w:val="000000"/>
                <w:sz w:val="24"/>
                <w:shd w:fill="FFFFFF" w:val="clear"/>
              </w:rPr>
              <w:t>支持管理部门、教学单位（包括校内教学院及校外教学点，下同）等组织架构建设，包括添加多级机构、编辑、删除、搜索定位组织机构等。</w:t>
            </w:r>
          </w:p>
          <w:p>
            <w:pPr>
              <w:pStyle w:val="null3"/>
              <w:ind w:firstLine="482"/>
              <w:jc w:val="both"/>
            </w:pPr>
            <w:r>
              <w:rPr>
                <w:rFonts w:ascii="仿宋" w:hAnsi="仿宋" w:cs="仿宋" w:eastAsia="仿宋"/>
                <w:b/>
                <w:color w:val="000000"/>
                <w:sz w:val="24"/>
                <w:shd w:fill="FFFFFF" w:val="clear"/>
              </w:rPr>
              <w:t>★</w:t>
            </w:r>
            <w:r>
              <w:rPr>
                <w:rFonts w:ascii="仿宋" w:hAnsi="仿宋" w:cs="仿宋" w:eastAsia="仿宋"/>
                <w:b/>
                <w:color w:val="000000"/>
                <w:sz w:val="24"/>
                <w:shd w:fill="FFFFFF" w:val="clear"/>
              </w:rPr>
              <w:t>2</w:t>
            </w:r>
            <w:r>
              <w:rPr>
                <w:rFonts w:ascii="仿宋" w:hAnsi="仿宋" w:cs="仿宋" w:eastAsia="仿宋"/>
                <w:b/>
                <w:color w:val="000000"/>
                <w:sz w:val="24"/>
                <w:shd w:fill="FFFFFF" w:val="clear"/>
              </w:rPr>
              <w:t>.2</w:t>
            </w:r>
            <w:r>
              <w:rPr>
                <w:rFonts w:ascii="仿宋" w:hAnsi="仿宋" w:cs="仿宋" w:eastAsia="仿宋"/>
                <w:b/>
                <w:color w:val="000000"/>
                <w:sz w:val="24"/>
                <w:shd w:fill="FFFFFF" w:val="clear"/>
              </w:rPr>
              <w:t>管理人员管理：</w:t>
            </w:r>
            <w:r>
              <w:rPr>
                <w:rFonts w:ascii="仿宋" w:hAnsi="仿宋" w:cs="仿宋" w:eastAsia="仿宋"/>
                <w:color w:val="000000"/>
                <w:sz w:val="24"/>
                <w:shd w:fill="FFFFFF" w:val="clear"/>
              </w:rPr>
              <w:t>支持为管理部门、</w:t>
            </w:r>
            <w:r>
              <w:rPr>
                <w:rFonts w:ascii="仿宋" w:hAnsi="仿宋" w:cs="仿宋" w:eastAsia="仿宋"/>
                <w:sz w:val="24"/>
              </w:rPr>
              <w:t>教学单位</w:t>
            </w:r>
            <w:r>
              <w:rPr>
                <w:rFonts w:ascii="仿宋" w:hAnsi="仿宋" w:cs="仿宋" w:eastAsia="仿宋"/>
                <w:color w:val="000000"/>
                <w:sz w:val="24"/>
                <w:shd w:fill="FFFFFF" w:val="clear"/>
              </w:rPr>
              <w:t>分配管理员和管理权限，支持分级管理，不同的管理员可设置不同的管理权限；支持角色禁用</w:t>
            </w:r>
            <w:r>
              <w:rPr>
                <w:rFonts w:ascii="仿宋" w:hAnsi="仿宋" w:cs="仿宋" w:eastAsia="仿宋"/>
                <w:color w:val="000000"/>
                <w:sz w:val="24"/>
                <w:shd w:fill="FFFFFF" w:val="clear"/>
              </w:rPr>
              <w:t>/</w:t>
            </w:r>
            <w:r>
              <w:rPr>
                <w:rFonts w:ascii="仿宋" w:hAnsi="仿宋" w:cs="仿宋" w:eastAsia="仿宋"/>
                <w:color w:val="000000"/>
                <w:sz w:val="24"/>
                <w:shd w:fill="FFFFFF" w:val="clear"/>
              </w:rPr>
              <w:t>启用：禁用启用角色，禁用角色原因，禁用记录。</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2.3</w:t>
            </w:r>
            <w:r>
              <w:rPr>
                <w:rFonts w:ascii="仿宋" w:hAnsi="仿宋" w:cs="仿宋" w:eastAsia="仿宋"/>
                <w:b/>
                <w:color w:val="000000"/>
                <w:sz w:val="24"/>
                <w:shd w:fill="FFFFFF" w:val="clear"/>
              </w:rPr>
              <w:t>账号管理：</w:t>
            </w:r>
            <w:r>
              <w:rPr>
                <w:rFonts w:ascii="仿宋" w:hAnsi="仿宋" w:cs="仿宋" w:eastAsia="仿宋"/>
                <w:color w:val="000000"/>
                <w:sz w:val="24"/>
                <w:shd w:fill="FFFFFF" w:val="clear"/>
              </w:rPr>
              <w:t>支持添加管理员账号、学生账号，设置（重置）账号及密码、姓名、联系电话等信息。学生账号设置为学生本人身份证号码。</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2.4</w:t>
            </w:r>
            <w:r>
              <w:rPr>
                <w:rFonts w:ascii="仿宋" w:hAnsi="仿宋" w:cs="仿宋" w:eastAsia="仿宋"/>
                <w:b/>
                <w:color w:val="000000"/>
                <w:sz w:val="24"/>
                <w:shd w:fill="FFFFFF" w:val="clear"/>
              </w:rPr>
              <w:t>系统日志管理：</w:t>
            </w:r>
            <w:r>
              <w:rPr>
                <w:rFonts w:ascii="仿宋" w:hAnsi="仿宋" w:cs="仿宋" w:eastAsia="仿宋"/>
                <w:color w:val="000000"/>
                <w:sz w:val="24"/>
                <w:shd w:fill="FFFFFF" w:val="clear"/>
              </w:rPr>
              <w:t>支持查询管理员、学生操作内容、操作时间、登录IP、IP归属等。</w:t>
            </w:r>
          </w:p>
          <w:p>
            <w:pPr>
              <w:pStyle w:val="null3"/>
              <w:ind w:firstLine="482"/>
              <w:jc w:val="both"/>
            </w:pPr>
            <w:r>
              <w:rPr>
                <w:rFonts w:ascii="仿宋" w:hAnsi="仿宋" w:cs="仿宋" w:eastAsia="仿宋"/>
                <w:b/>
                <w:color w:val="000000"/>
                <w:sz w:val="24"/>
                <w:shd w:fill="FFFFFF" w:val="clear"/>
              </w:rPr>
              <w:t>2</w:t>
            </w:r>
            <w:r>
              <w:rPr>
                <w:rFonts w:ascii="仿宋" w:hAnsi="仿宋" w:cs="仿宋" w:eastAsia="仿宋"/>
                <w:b/>
                <w:color w:val="000000"/>
                <w:sz w:val="24"/>
                <w:shd w:fill="FFFFFF" w:val="clear"/>
              </w:rPr>
              <w:t>.5</w:t>
            </w:r>
            <w:r>
              <w:rPr>
                <w:rFonts w:ascii="仿宋" w:hAnsi="仿宋" w:cs="仿宋" w:eastAsia="仿宋"/>
                <w:b/>
                <w:color w:val="000000"/>
                <w:sz w:val="24"/>
                <w:shd w:fill="FFFFFF" w:val="clear"/>
              </w:rPr>
              <w:t>“人脸识别”功能：</w:t>
            </w:r>
          </w:p>
          <w:p>
            <w:pPr>
              <w:pStyle w:val="null3"/>
              <w:ind w:firstLine="482"/>
              <w:jc w:val="both"/>
            </w:pPr>
            <w:r>
              <w:rPr>
                <w:rFonts w:ascii="宋体" w:hAnsi="宋体" w:cs="宋体" w:eastAsia="宋体"/>
                <w:b/>
                <w:sz w:val="24"/>
              </w:rPr>
              <w:t>◆</w:t>
            </w:r>
            <w:r>
              <w:rPr>
                <w:rFonts w:ascii="仿宋" w:hAnsi="仿宋" w:cs="仿宋" w:eastAsia="仿宋"/>
                <w:color w:val="000000"/>
                <w:sz w:val="24"/>
                <w:shd w:fill="FFFFFF" w:val="clear"/>
              </w:rPr>
              <w:t>2.5.1</w:t>
            </w:r>
            <w:r>
              <w:rPr>
                <w:rFonts w:ascii="仿宋" w:hAnsi="仿宋" w:cs="仿宋" w:eastAsia="仿宋"/>
                <w:color w:val="000000"/>
                <w:sz w:val="24"/>
                <w:shd w:fill="FFFFFF" w:val="clear"/>
              </w:rPr>
              <w:t>根据四川省教育考试院成考录取照片（或学校提供的学生初始照片），在线课程学习与考核、在线学生信息核对、在线学籍异动办理等都须实现在线“人脸识别”、“本人签名”等功能。“人脸识别”结果为“通过”、“未通过”，学生在手机端可手写签名。学生办理时先进行人脸识别，人脸识别通过者可在线办理相关事项，因种种原因未能通过者先上传本人手持身份证原件正反两面信息，待教学点及内江师范学院继续教育学院依次审核通过后方能办理。对截止在线办理退学或放弃入学资格日期时未年满</w:t>
            </w:r>
            <w:r>
              <w:rPr>
                <w:rFonts w:ascii="仿宋" w:hAnsi="仿宋" w:cs="仿宋" w:eastAsia="仿宋"/>
                <w:color w:val="000000"/>
                <w:sz w:val="24"/>
                <w:shd w:fill="FFFFFF" w:val="clear"/>
              </w:rPr>
              <w:t>18</w:t>
            </w:r>
            <w:r>
              <w:rPr>
                <w:rFonts w:ascii="仿宋" w:hAnsi="仿宋" w:cs="仿宋" w:eastAsia="仿宋"/>
                <w:color w:val="000000"/>
                <w:sz w:val="24"/>
                <w:shd w:fill="FFFFFF" w:val="clear"/>
              </w:rPr>
              <w:t>周岁的学生，系统自动提醒“你未满</w:t>
            </w:r>
            <w:r>
              <w:rPr>
                <w:rFonts w:ascii="仿宋" w:hAnsi="仿宋" w:cs="仿宋" w:eastAsia="仿宋"/>
                <w:color w:val="000000"/>
                <w:sz w:val="24"/>
                <w:shd w:fill="FFFFFF" w:val="clear"/>
              </w:rPr>
              <w:t>18</w:t>
            </w:r>
            <w:r>
              <w:rPr>
                <w:rFonts w:ascii="仿宋" w:hAnsi="仿宋" w:cs="仿宋" w:eastAsia="仿宋"/>
                <w:color w:val="000000"/>
                <w:sz w:val="24"/>
                <w:shd w:fill="FFFFFF" w:val="clear"/>
              </w:rPr>
              <w:t>周岁，请上传监护人身份证原件正反两面扫描件（上面有监护人亲笔签名“同意</w:t>
            </w:r>
            <w:r>
              <w:rPr>
                <w:rFonts w:ascii="仿宋" w:hAnsi="仿宋" w:cs="仿宋" w:eastAsia="仿宋"/>
                <w:color w:val="000000"/>
                <w:sz w:val="24"/>
                <w:shd w:fill="FFFFFF" w:val="clear"/>
              </w:rPr>
              <w:t>***</w:t>
            </w:r>
            <w:r>
              <w:rPr>
                <w:rFonts w:ascii="仿宋" w:hAnsi="仿宋" w:cs="仿宋" w:eastAsia="仿宋"/>
                <w:color w:val="000000"/>
                <w:sz w:val="24"/>
                <w:shd w:fill="FFFFFF" w:val="clear"/>
              </w:rPr>
              <w:t>退学</w:t>
            </w:r>
            <w:r>
              <w:rPr>
                <w:rFonts w:ascii="仿宋" w:hAnsi="仿宋" w:cs="仿宋" w:eastAsia="仿宋"/>
                <w:color w:val="000000"/>
                <w:sz w:val="24"/>
                <w:shd w:fill="FFFFFF" w:val="clear"/>
              </w:rPr>
              <w:t>/</w:t>
            </w:r>
            <w:r>
              <w:rPr>
                <w:rFonts w:ascii="仿宋" w:hAnsi="仿宋" w:cs="仿宋" w:eastAsia="仿宋"/>
                <w:color w:val="000000"/>
                <w:sz w:val="24"/>
                <w:shd w:fill="FFFFFF" w:val="clear"/>
              </w:rPr>
              <w:t>放弃入学资格”），否则最后不能确认提交。学籍信息核对与学籍异动办理学生所在年级及办理时间均由学校在后台设置，平台对申请转专业的学生仅提供平台中其所在年级相应层次的全部专业供学生选择。系统根据学生申请内容，结合学校提供的学籍异动模板自动生成相关申请表，学生签名处自动填写其手写签名，所在教学点审核老师能加盖单位电子印章，教学点与内江师范学院继续教育学院均可下载有关申请学生内容的电子表格及申请表。</w:t>
            </w:r>
          </w:p>
          <w:p>
            <w:pPr>
              <w:pStyle w:val="null3"/>
            </w:pPr>
            <w:r>
              <w:rPr>
                <w:rFonts w:ascii="宋体" w:hAnsi="宋体" w:cs="宋体" w:eastAsia="宋体"/>
                <w:sz w:val="24"/>
              </w:rPr>
              <w:t>●</w:t>
            </w:r>
            <w:r>
              <w:rPr>
                <w:rFonts w:ascii="仿宋" w:hAnsi="仿宋" w:cs="仿宋" w:eastAsia="仿宋"/>
                <w:color w:val="000000"/>
                <w:sz w:val="24"/>
                <w:shd w:fill="FFFFFF" w:val="clear"/>
              </w:rPr>
              <w:t>2.5.2</w:t>
            </w:r>
            <w:r>
              <w:rPr>
                <w:rFonts w:ascii="仿宋" w:hAnsi="仿宋" w:cs="仿宋" w:eastAsia="仿宋"/>
                <w:color w:val="000000"/>
                <w:sz w:val="24"/>
                <w:shd w:fill="FFFFFF" w:val="clear"/>
              </w:rPr>
              <w:t>课程在线学习的人脸识别和抓拍功能。在学生登录平台进行在线课程学习时，系统要能根据四川省教育考试院成考录取照片（或学校提供的学生初始照片）进行人脸识别，“人脸识别”结果为“通过”、“未通过”，结果为“未通过”的不能进行在线课程学习。学生在观看视频的过程中，支持设置定时抓拍或随机抓拍1次、抓拍间隔时间、app识别或电脑摄像头识别方式、识别失败限制学习、识别失败次数累计超过设置上限次数，清除学习记录等设置。</w:t>
            </w:r>
          </w:p>
          <w:p>
            <w:pPr>
              <w:pStyle w:val="null3"/>
              <w:ind w:firstLine="482"/>
            </w:pPr>
            <w:r>
              <w:rPr>
                <w:rFonts w:ascii="仿宋" w:hAnsi="仿宋" w:cs="仿宋" w:eastAsia="仿宋"/>
                <w:b/>
                <w:color w:val="000000"/>
                <w:sz w:val="24"/>
                <w:shd w:fill="FFFFFF" w:val="clear"/>
              </w:rPr>
              <w:t>2.6</w:t>
            </w:r>
            <w:r>
              <w:rPr>
                <w:rFonts w:ascii="仿宋" w:hAnsi="仿宋" w:cs="仿宋" w:eastAsia="仿宋"/>
                <w:b/>
                <w:color w:val="000000"/>
                <w:sz w:val="24"/>
                <w:shd w:fill="FFFFFF" w:val="clear"/>
              </w:rPr>
              <w:t>招生录取管理</w:t>
            </w:r>
            <w:r>
              <w:rPr>
                <w:rFonts w:ascii="仿宋" w:hAnsi="仿宋" w:cs="仿宋" w:eastAsia="仿宋"/>
                <w:b/>
                <w:color w:val="000000"/>
                <w:sz w:val="24"/>
                <w:shd w:fill="FFFFFF" w:val="clear"/>
              </w:rPr>
              <w:t>：</w:t>
            </w:r>
          </w:p>
          <w:p>
            <w:pPr>
              <w:pStyle w:val="null3"/>
              <w:ind w:firstLine="482"/>
            </w:pPr>
            <w:r>
              <w:rPr>
                <w:rFonts w:ascii="仿宋" w:hAnsi="仿宋" w:cs="仿宋" w:eastAsia="仿宋"/>
                <w:b/>
                <w:color w:val="000000"/>
                <w:sz w:val="24"/>
                <w:shd w:fill="FFFFFF" w:val="clear"/>
              </w:rPr>
              <w:t>★</w:t>
            </w:r>
            <w:r>
              <w:rPr>
                <w:rFonts w:ascii="仿宋" w:hAnsi="仿宋" w:cs="仿宋" w:eastAsia="仿宋"/>
                <w:b/>
                <w:color w:val="000000"/>
                <w:sz w:val="24"/>
                <w:shd w:fill="FFFFFF" w:val="clear"/>
              </w:rPr>
              <w:t>2.6.1</w:t>
            </w:r>
            <w:r>
              <w:rPr>
                <w:rFonts w:ascii="仿宋" w:hAnsi="仿宋" w:cs="仿宋" w:eastAsia="仿宋"/>
                <w:color w:val="000000"/>
                <w:sz w:val="24"/>
                <w:shd w:fill="FFFFFF" w:val="clear"/>
              </w:rPr>
              <w:t>预招生管理：支持自定义设置招生报名模板、招生流程。学生报名页面自定义设置：支持添加多标签页，每页字段通过拖拽方式进行配置，提供字段词典供其选配；具备对手机号验证、报名须知、报名二维码进行配置的权限。支持批量导入预报名学生或单个通过成人高等教育考试报名页报名。支持分教学点上传与下载报名学生信息，支持报名学生信息冲突管理，确定冲突学生最终归属教学点等。</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2.6.2</w:t>
            </w:r>
            <w:r>
              <w:rPr>
                <w:rFonts w:ascii="仿宋" w:hAnsi="仿宋" w:cs="仿宋" w:eastAsia="仿宋"/>
                <w:color w:val="000000"/>
                <w:sz w:val="24"/>
                <w:shd w:fill="FFFFFF" w:val="clear"/>
              </w:rPr>
              <w:t>录取信息管理：支持与考试院提供的数据字段一致，支持自定义录取学生信息模板的字段和顺序，支持DBF或Excel导入。支持通过预报名学生名单匹配录取信息，实现学生所属教学点信息自动匹配，支持自定义选择匹配的字段范围，含姓名、证件号、培养层次、专业等字段。</w:t>
            </w:r>
          </w:p>
          <w:p>
            <w:pPr>
              <w:pStyle w:val="null3"/>
              <w:ind w:firstLine="480"/>
            </w:pPr>
            <w:r>
              <w:rPr>
                <w:rFonts w:ascii="宋体" w:hAnsi="宋体" w:cs="宋体" w:eastAsia="宋体"/>
                <w:color w:val="333333"/>
                <w:sz w:val="24"/>
                <w:shd w:fill="FFFFFF" w:val="clear"/>
              </w:rPr>
              <w:t>●</w:t>
            </w:r>
            <w:r>
              <w:rPr>
                <w:rFonts w:ascii="仿宋" w:hAnsi="仿宋" w:cs="仿宋" w:eastAsia="仿宋"/>
                <w:color w:val="000000"/>
                <w:sz w:val="24"/>
                <w:shd w:fill="FFFFFF" w:val="clear"/>
              </w:rPr>
              <w:t>2.6.3</w:t>
            </w:r>
            <w:r>
              <w:rPr>
                <w:rFonts w:ascii="仿宋" w:hAnsi="仿宋" w:cs="仿宋" w:eastAsia="仿宋"/>
                <w:color w:val="000000"/>
                <w:sz w:val="24"/>
                <w:shd w:fill="FFFFFF" w:val="clear"/>
              </w:rPr>
              <w:t>录取通知书管理：支持按照内江师范学院成人高等教育录取通知书模板后台批量、单个打印录取通知书。支持生成独立的录取通知书查询链接地址，学生通过输入姓名和证件号，查询到录取信息并且可自主下载录取通知书。（演示时通知书模板可自行选择）</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2.7</w:t>
            </w:r>
            <w:r>
              <w:rPr>
                <w:rFonts w:ascii="仿宋" w:hAnsi="仿宋" w:cs="仿宋" w:eastAsia="仿宋"/>
                <w:b/>
                <w:color w:val="000000"/>
                <w:sz w:val="24"/>
                <w:shd w:fill="FFFFFF" w:val="clear"/>
              </w:rPr>
              <w:t>校外教学点管理</w:t>
            </w:r>
            <w:r>
              <w:rPr>
                <w:rFonts w:ascii="仿宋" w:hAnsi="仿宋" w:cs="仿宋" w:eastAsia="仿宋"/>
                <w:b/>
                <w:color w:val="000000"/>
                <w:sz w:val="24"/>
                <w:shd w:fill="FFFFFF" w:val="clear"/>
              </w:rPr>
              <w:t>：</w:t>
            </w:r>
            <w:r>
              <w:rPr>
                <w:rFonts w:ascii="仿宋" w:hAnsi="仿宋" w:cs="仿宋" w:eastAsia="仿宋"/>
                <w:color w:val="000000"/>
                <w:sz w:val="24"/>
                <w:shd w:fill="FFFFFF" w:val="clear"/>
              </w:rPr>
              <w:t>支持教学点名称可在系统内进行修改，支持进行新增、维护和删除操作；支持教学点负责人、占地位置、设备信息、师资力量、合同分成、合同上传、备案材料上传等管理。在学期教学活动过程中，支持随时对教学点的工作进行打分考核，支持每年对教学点的基数数据进行审核。支持通过设置阈值，对教学点活动进行预警。如设置学习进度的阈值，当教学点学生的学习进度不满足条件时，则会对管理员进行通知预警，及时提醒学生进行学习，以保证教学点的教学质量。</w:t>
            </w:r>
          </w:p>
          <w:p>
            <w:pPr>
              <w:pStyle w:val="null3"/>
              <w:ind w:firstLine="482"/>
            </w:pPr>
            <w:r>
              <w:rPr>
                <w:rFonts w:ascii="仿宋" w:hAnsi="仿宋" w:cs="仿宋" w:eastAsia="仿宋"/>
                <w:b/>
                <w:color w:val="000000"/>
                <w:sz w:val="24"/>
                <w:shd w:fill="FFFFFF" w:val="clear"/>
              </w:rPr>
              <w:t>2.8</w:t>
            </w:r>
            <w:r>
              <w:rPr>
                <w:rFonts w:ascii="仿宋" w:hAnsi="仿宋" w:cs="仿宋" w:eastAsia="仿宋"/>
                <w:b/>
                <w:color w:val="000000"/>
                <w:sz w:val="24"/>
                <w:shd w:fill="FFFFFF" w:val="clear"/>
              </w:rPr>
              <w:t>学籍管理：</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2.8.1</w:t>
            </w:r>
            <w:r>
              <w:rPr>
                <w:rFonts w:ascii="仿宋" w:hAnsi="仿宋" w:cs="仿宋" w:eastAsia="仿宋"/>
                <w:color w:val="000000"/>
                <w:sz w:val="24"/>
                <w:shd w:fill="FFFFFF" w:val="clear"/>
              </w:rPr>
              <w:t>包括学生基本信息核对、学籍卡信息填报、学期报到、学籍注册、学籍异动及毕业信息核对等。学籍异动功能应包括异动类型设置，学籍异动操作，学籍异动审核，异动原因管理，批量学籍异动，批量转教学站点，退学申请、退学审核、撤销退学状态、休学申请、休学审核、复学申请、复学审核。</w:t>
            </w:r>
          </w:p>
          <w:p>
            <w:pPr>
              <w:pStyle w:val="null3"/>
              <w:ind w:firstLine="480"/>
            </w:pPr>
            <w:r>
              <w:rPr>
                <w:rFonts w:ascii="宋体" w:hAnsi="宋体" w:cs="宋体" w:eastAsia="宋体"/>
                <w:color w:val="000000"/>
                <w:sz w:val="24"/>
                <w:shd w:fill="FFFFFF" w:val="clear"/>
              </w:rPr>
              <w:t>●</w:t>
            </w:r>
            <w:r>
              <w:rPr>
                <w:rFonts w:ascii="仿宋" w:hAnsi="仿宋" w:cs="仿宋" w:eastAsia="仿宋"/>
                <w:color w:val="000000"/>
                <w:sz w:val="24"/>
                <w:shd w:fill="FFFFFF" w:val="clear"/>
              </w:rPr>
              <w:t>2.8.2</w:t>
            </w:r>
            <w:r>
              <w:rPr>
                <w:rFonts w:ascii="仿宋" w:hAnsi="仿宋" w:cs="仿宋" w:eastAsia="仿宋"/>
                <w:color w:val="000000"/>
                <w:sz w:val="24"/>
                <w:shd w:fill="FFFFFF" w:val="clear"/>
              </w:rPr>
              <w:t>新生报道：支持按年级设置需要进行首次登录信息确认的学生，支持设置学生首次登录系统是否开启电子签名、显示入学照片、开启人脸识别。支持开启入学承诺书、入学告知书，并支持通过富文本框格式设置入学承诺书、入学告知书内容。支持自定义设置需要确认的学籍信息字段和需要完善的信息字段，含个人详细信息、家庭成员信息、前置学历信息、过往履历信息等 。</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2.9</w:t>
            </w:r>
            <w:r>
              <w:rPr>
                <w:rFonts w:ascii="仿宋" w:hAnsi="仿宋" w:cs="仿宋" w:eastAsia="仿宋"/>
                <w:b/>
                <w:color w:val="000000"/>
                <w:sz w:val="24"/>
                <w:shd w:fill="FFFFFF" w:val="clear"/>
              </w:rPr>
              <w:t>档案管理：</w:t>
            </w:r>
            <w:r>
              <w:rPr>
                <w:rFonts w:ascii="仿宋" w:hAnsi="仿宋" w:cs="仿宋" w:eastAsia="仿宋"/>
                <w:color w:val="000000"/>
                <w:sz w:val="24"/>
                <w:shd w:fill="FFFFFF" w:val="clear"/>
              </w:rPr>
              <w:t>包括打印考生报名登记表、学生成绩单、学籍卡、毕业生登记表等。</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2.10</w:t>
            </w:r>
            <w:r>
              <w:rPr>
                <w:rFonts w:ascii="仿宋" w:hAnsi="仿宋" w:cs="仿宋" w:eastAsia="仿宋"/>
                <w:b/>
                <w:color w:val="000000"/>
                <w:sz w:val="24"/>
                <w:shd w:fill="FFFFFF" w:val="clear"/>
              </w:rPr>
              <w:t>平台基础性数据管理：</w:t>
            </w:r>
            <w:r>
              <w:rPr>
                <w:rFonts w:ascii="仿宋" w:hAnsi="仿宋" w:cs="仿宋" w:eastAsia="仿宋"/>
                <w:color w:val="000000"/>
                <w:sz w:val="24"/>
                <w:shd w:fill="FFFFFF" w:val="clear"/>
              </w:rPr>
              <w:t>包括学生基本信息、学期、年级、专业、层次、教学点、课程设置、教师、学籍状态、学制、学习形式、授课方式等管理。支持相关数据增加、删除、修改、查询等。</w:t>
            </w:r>
          </w:p>
          <w:p>
            <w:pPr>
              <w:pStyle w:val="null3"/>
              <w:ind w:firstLine="482"/>
            </w:pPr>
            <w:r>
              <w:rPr>
                <w:rFonts w:ascii="仿宋" w:hAnsi="仿宋" w:cs="仿宋" w:eastAsia="仿宋"/>
                <w:b/>
                <w:color w:val="000000"/>
                <w:sz w:val="24"/>
                <w:shd w:fill="FFFFFF" w:val="clear"/>
              </w:rPr>
              <w:t>2.11</w:t>
            </w:r>
            <w:r>
              <w:rPr>
                <w:rFonts w:ascii="仿宋" w:hAnsi="仿宋" w:cs="仿宋" w:eastAsia="仿宋"/>
                <w:b/>
                <w:color w:val="000000"/>
                <w:sz w:val="24"/>
                <w:shd w:fill="FFFFFF" w:val="clear"/>
              </w:rPr>
              <w:t>教学管理：</w:t>
            </w:r>
          </w:p>
          <w:p>
            <w:pPr>
              <w:pStyle w:val="null3"/>
              <w:ind w:firstLine="482"/>
            </w:pPr>
            <w:r>
              <w:rPr>
                <w:rFonts w:ascii="仿宋" w:hAnsi="仿宋" w:cs="仿宋" w:eastAsia="仿宋"/>
                <w:b/>
                <w:color w:val="000000"/>
                <w:sz w:val="24"/>
                <w:shd w:fill="FFFFFF" w:val="clear"/>
              </w:rPr>
              <w:t>★2.11.1</w:t>
            </w:r>
            <w:r>
              <w:rPr>
                <w:rFonts w:ascii="仿宋" w:hAnsi="仿宋" w:cs="仿宋" w:eastAsia="仿宋"/>
                <w:color w:val="000000"/>
                <w:sz w:val="24"/>
                <w:shd w:fill="FFFFFF" w:val="clear"/>
              </w:rPr>
              <w:t>主要用来管理教学相关的业务流程和数据，包括：</w:t>
            </w:r>
          </w:p>
          <w:p>
            <w:pPr>
              <w:pStyle w:val="null3"/>
              <w:ind w:firstLine="480"/>
            </w:pPr>
            <w:r>
              <w:rPr>
                <w:rFonts w:ascii="仿宋" w:hAnsi="仿宋" w:cs="仿宋" w:eastAsia="仿宋"/>
                <w:color w:val="000000"/>
                <w:sz w:val="24"/>
                <w:shd w:fill="FFFFFF" w:val="clear"/>
              </w:rPr>
              <w:t>（1）基本信息管理：学年学期管理，课程时间控制，学院信息管理，专业信息管理，层次信息管理，学生类型管理，教师信息管理，课程信息管理；</w:t>
            </w:r>
          </w:p>
          <w:p>
            <w:pPr>
              <w:pStyle w:val="null3"/>
              <w:ind w:firstLine="480"/>
            </w:pPr>
            <w:r>
              <w:rPr>
                <w:rFonts w:ascii="仿宋" w:hAnsi="仿宋" w:cs="仿宋" w:eastAsia="仿宋"/>
                <w:color w:val="000000"/>
                <w:sz w:val="24"/>
                <w:shd w:fill="FFFFFF" w:val="clear"/>
              </w:rPr>
              <w:t>（2）教学计划管理：教学计划管理，教学计划录入，课程成绩（平时成绩、作业成绩、考试成绩、面授成绩）比例设置，开课计划查询，往年教学计划复制，教学计划批量发布；</w:t>
            </w:r>
          </w:p>
          <w:p>
            <w:pPr>
              <w:pStyle w:val="null3"/>
              <w:ind w:firstLine="480"/>
            </w:pPr>
            <w:r>
              <w:rPr>
                <w:rFonts w:ascii="仿宋" w:hAnsi="仿宋" w:cs="仿宋" w:eastAsia="仿宋"/>
                <w:color w:val="000000"/>
                <w:sz w:val="24"/>
                <w:shd w:fill="FFFFFF" w:val="clear"/>
              </w:rPr>
              <w:t>（3）选课信息管理：包括批量生成选课，学生选课管理，清除学生选课信息，学生选课统计。</w:t>
            </w:r>
          </w:p>
          <w:p>
            <w:pPr>
              <w:pStyle w:val="null3"/>
              <w:ind w:firstLine="480"/>
            </w:pPr>
            <w:r>
              <w:rPr>
                <w:rFonts w:ascii="仿宋" w:hAnsi="仿宋" w:cs="仿宋" w:eastAsia="仿宋"/>
                <w:color w:val="000000"/>
                <w:sz w:val="24"/>
                <w:shd w:fill="FFFFFF" w:val="clear"/>
              </w:rPr>
              <w:t>（4）督学管理：包括按照入学年级、层次、专业、学习站点实时统计学生平时成绩、作业成绩，登陆平台次数和时间。</w:t>
            </w:r>
          </w:p>
          <w:p>
            <w:pPr>
              <w:pStyle w:val="null3"/>
              <w:ind w:firstLine="480"/>
            </w:pPr>
            <w:r>
              <w:rPr>
                <w:rFonts w:ascii="宋体" w:hAnsi="宋体" w:cs="宋体" w:eastAsia="宋体"/>
                <w:color w:val="000000"/>
                <w:sz w:val="24"/>
                <w:shd w:fill="FFFFFF" w:val="clear"/>
              </w:rPr>
              <w:t>●2.11.2</w:t>
            </w:r>
            <w:r>
              <w:rPr>
                <w:rFonts w:ascii="仿宋" w:hAnsi="仿宋" w:cs="仿宋" w:eastAsia="仿宋"/>
                <w:color w:val="000000"/>
                <w:sz w:val="24"/>
                <w:shd w:fill="FFFFFF" w:val="clear"/>
              </w:rPr>
              <w:t>同步课堂：教师通过移动端进行ppt讲解，并在讲解过程中进行录音，形成ppt画面与录音同步播放的视频资源，支持将录制好的视频插入课程章节。</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2.12</w:t>
            </w:r>
            <w:r>
              <w:rPr>
                <w:rFonts w:ascii="仿宋" w:hAnsi="仿宋" w:cs="仿宋" w:eastAsia="仿宋"/>
                <w:b/>
                <w:color w:val="000000"/>
                <w:sz w:val="24"/>
                <w:shd w:fill="FFFFFF" w:val="clear"/>
              </w:rPr>
              <w:t>学生过程性考核管理：</w:t>
            </w:r>
            <w:r>
              <w:rPr>
                <w:rFonts w:ascii="仿宋" w:hAnsi="仿宋" w:cs="仿宋" w:eastAsia="仿宋"/>
                <w:color w:val="000000"/>
                <w:sz w:val="24"/>
                <w:shd w:fill="FFFFFF" w:val="clear"/>
              </w:rPr>
              <w:t>包括学生作业、互动、答疑、平时成绩等。</w:t>
            </w:r>
          </w:p>
          <w:p>
            <w:pPr>
              <w:pStyle w:val="null3"/>
              <w:ind w:firstLine="482"/>
            </w:pPr>
            <w:r>
              <w:rPr>
                <w:rFonts w:ascii="仿宋" w:hAnsi="仿宋" w:cs="仿宋" w:eastAsia="仿宋"/>
                <w:b/>
                <w:color w:val="000000"/>
                <w:sz w:val="24"/>
                <w:shd w:fill="FFFFFF" w:val="clear"/>
              </w:rPr>
              <w:t>2.13</w:t>
            </w:r>
            <w:r>
              <w:rPr>
                <w:rFonts w:ascii="仿宋" w:hAnsi="仿宋" w:cs="仿宋" w:eastAsia="仿宋"/>
                <w:b/>
                <w:color w:val="000000"/>
                <w:sz w:val="24"/>
                <w:shd w:fill="FFFFFF" w:val="clear"/>
              </w:rPr>
              <w:t>考务管理</w:t>
            </w:r>
            <w:r>
              <w:rPr>
                <w:rFonts w:ascii="仿宋" w:hAnsi="仿宋" w:cs="仿宋" w:eastAsia="仿宋"/>
                <w:color w:val="000000"/>
                <w:sz w:val="24"/>
                <w:shd w:fill="FFFFFF" w:val="clear"/>
              </w:rPr>
              <w:t>：</w:t>
            </w:r>
          </w:p>
          <w:p>
            <w:pPr>
              <w:pStyle w:val="null3"/>
              <w:ind w:firstLine="480"/>
            </w:pPr>
            <w:r>
              <w:rPr>
                <w:rFonts w:ascii="仿宋" w:hAnsi="仿宋" w:cs="仿宋" w:eastAsia="仿宋"/>
                <w:color w:val="000000"/>
                <w:sz w:val="24"/>
                <w:shd w:fill="FFFFFF" w:val="clear"/>
              </w:rPr>
              <w:t>▲2.13.1支持按专业培养计划绑定试卷，支持对试卷进行用途（正考、补考、缓考、重修）设置；支持期末考试条件设置，即支持对机构以学习完成进度条件、作业完成次数、课程练习完成次数的规则设置考试条件，包括补考设置、重修清零设置；考试设置及规则支持对集体、个人分别设置考试，支持考试次数、考试开始时间、结束时间、考试时长、交卷设置，支持考试须知、答题设备选择、答题前人脸识别设置，答题中摄像头抓拍设置、切屏强制交卷设置、双摄像头监考设置、MAC地址检测设置、考试内容查看设置、断开续答设置。</w:t>
            </w:r>
            <w:r>
              <w:rPr>
                <w:rFonts w:ascii="仿宋" w:hAnsi="仿宋" w:cs="仿宋" w:eastAsia="仿宋"/>
                <w:b/>
                <w:color w:val="000000"/>
                <w:sz w:val="24"/>
                <w:shd w:fill="FFFFFF" w:val="clear"/>
              </w:rPr>
              <w:t>（提供功能截图）</w:t>
            </w:r>
          </w:p>
          <w:p>
            <w:pPr>
              <w:pStyle w:val="null3"/>
              <w:ind w:firstLine="480"/>
            </w:pPr>
            <w:r>
              <w:rPr>
                <w:rFonts w:ascii="宋体" w:hAnsi="宋体" w:cs="宋体" w:eastAsia="宋体"/>
                <w:color w:val="000000"/>
                <w:sz w:val="24"/>
                <w:shd w:fill="FFFFFF" w:val="clear"/>
              </w:rPr>
              <w:t>●</w:t>
            </w:r>
            <w:r>
              <w:rPr>
                <w:rFonts w:ascii="仿宋" w:hAnsi="仿宋" w:cs="仿宋" w:eastAsia="仿宋"/>
                <w:color w:val="000000"/>
                <w:sz w:val="24"/>
                <w:shd w:fill="FFFFFF" w:val="clear"/>
              </w:rPr>
              <w:t>2.13.2</w:t>
            </w:r>
            <w:r>
              <w:rPr>
                <w:rFonts w:ascii="仿宋" w:hAnsi="仿宋" w:cs="仿宋" w:eastAsia="仿宋"/>
                <w:color w:val="000000"/>
                <w:sz w:val="24"/>
                <w:shd w:fill="FFFFFF" w:val="clear"/>
              </w:rPr>
              <w:t>具有考试管理功能：答题管理端支持自主设置学生答题是否允许上传附件，附件可配置为：图片，拍照，音视频，压缩文件等。支持智能组卷，即支持设置好组卷逻辑之后，可以从指定的题库中按照设置的组卷逻辑进行随机抽题组卷，抽取试卷时可以指定题库文件夹、难易程度、知识点分类等，支持设置组卷的题目重复率。</w:t>
            </w:r>
          </w:p>
          <w:p>
            <w:pPr>
              <w:pStyle w:val="null3"/>
              <w:ind w:firstLine="480"/>
            </w:pPr>
            <w:r>
              <w:rPr>
                <w:rFonts w:ascii="仿宋" w:hAnsi="仿宋" w:cs="仿宋" w:eastAsia="仿宋"/>
                <w:color w:val="000000"/>
                <w:sz w:val="24"/>
                <w:shd w:fill="FFFFFF" w:val="clear"/>
              </w:rPr>
              <w:t>▲</w:t>
            </w:r>
            <w:r>
              <w:rPr>
                <w:rFonts w:ascii="仿宋" w:hAnsi="仿宋" w:cs="仿宋" w:eastAsia="仿宋"/>
                <w:b/>
                <w:color w:val="000000"/>
                <w:sz w:val="24"/>
                <w:shd w:fill="FFFFFF" w:val="clear"/>
              </w:rPr>
              <w:t>2.14</w:t>
            </w:r>
            <w:r>
              <w:rPr>
                <w:rFonts w:ascii="仿宋" w:hAnsi="仿宋" w:cs="仿宋" w:eastAsia="仿宋"/>
                <w:b/>
                <w:color w:val="000000"/>
                <w:sz w:val="24"/>
                <w:shd w:fill="FFFFFF" w:val="clear"/>
              </w:rPr>
              <w:t>成绩管理：</w:t>
            </w:r>
            <w:r>
              <w:rPr>
                <w:rFonts w:ascii="仿宋" w:hAnsi="仿宋" w:cs="仿宋" w:eastAsia="仿宋"/>
                <w:color w:val="000000"/>
                <w:sz w:val="24"/>
                <w:shd w:fill="FFFFFF" w:val="clear"/>
              </w:rPr>
              <w:t>包括成绩录入、成绩勘误与变更、成绩发布与查询，成绩单打印等。</w:t>
            </w:r>
            <w:r>
              <w:rPr>
                <w:rFonts w:ascii="仿宋" w:hAnsi="仿宋" w:cs="仿宋" w:eastAsia="仿宋"/>
                <w:b/>
                <w:color w:val="000000"/>
                <w:sz w:val="24"/>
                <w:shd w:fill="FFFFFF" w:val="clear"/>
              </w:rPr>
              <w:t>（提供功能截图）</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2.15</w:t>
            </w:r>
            <w:r>
              <w:rPr>
                <w:rFonts w:ascii="仿宋" w:hAnsi="仿宋" w:cs="仿宋" w:eastAsia="仿宋"/>
                <w:b/>
                <w:color w:val="000000"/>
                <w:sz w:val="24"/>
                <w:shd w:fill="FFFFFF" w:val="clear"/>
              </w:rPr>
              <w:t>毕业</w:t>
            </w:r>
            <w:r>
              <w:rPr>
                <w:rFonts w:ascii="仿宋" w:hAnsi="仿宋" w:cs="仿宋" w:eastAsia="仿宋"/>
                <w:b/>
                <w:color w:val="000000"/>
                <w:sz w:val="24"/>
                <w:shd w:fill="FFFFFF" w:val="clear"/>
              </w:rPr>
              <w:t>论文管理：</w:t>
            </w:r>
            <w:r>
              <w:rPr>
                <w:rFonts w:ascii="仿宋" w:hAnsi="仿宋" w:cs="仿宋" w:eastAsia="仿宋"/>
                <w:color w:val="000000"/>
                <w:sz w:val="24"/>
                <w:shd w:fill="FFFFFF" w:val="clear"/>
              </w:rPr>
              <w:t>包括学生毕业论文（设计）选题、题目确定、开题、教师指导、上传查重报告、审核定稿、答辩、成绩审核和录入、终稿查询与下载等。</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2.16</w:t>
            </w:r>
            <w:r>
              <w:rPr>
                <w:rFonts w:ascii="仿宋" w:hAnsi="仿宋" w:cs="仿宋" w:eastAsia="仿宋"/>
                <w:b/>
                <w:color w:val="000000"/>
                <w:sz w:val="24"/>
                <w:shd w:fill="FFFFFF" w:val="clear"/>
              </w:rPr>
              <w:t>毕业管理：</w:t>
            </w:r>
            <w:r>
              <w:rPr>
                <w:rFonts w:ascii="仿宋" w:hAnsi="仿宋" w:cs="仿宋" w:eastAsia="仿宋"/>
                <w:color w:val="000000"/>
                <w:sz w:val="24"/>
                <w:shd w:fill="FFFFFF" w:val="clear"/>
              </w:rPr>
              <w:t>毕业条件支持设置多项毕业条件；毕业批次管理支持添加、删除毕业批次；可在线审核毕业申请；下载毕业申请材料；批次名单确定包含按照教学点、层次、专业、班级进行特定排序并固定批次名单，确定批次毕业名单后，成为相应档案整理、证书发放签领等功能的数据依据。</w:t>
            </w:r>
          </w:p>
          <w:p>
            <w:pPr>
              <w:pStyle w:val="null3"/>
              <w:ind w:firstLine="482"/>
            </w:pPr>
            <w:r>
              <w:rPr>
                <w:rFonts w:ascii="仿宋" w:hAnsi="仿宋" w:cs="仿宋" w:eastAsia="仿宋"/>
                <w:b/>
                <w:color w:val="000000"/>
                <w:sz w:val="24"/>
                <w:shd w:fill="FFFFFF" w:val="clear"/>
              </w:rPr>
              <w:t>2.17</w:t>
            </w:r>
            <w:r>
              <w:rPr>
                <w:rFonts w:ascii="仿宋" w:hAnsi="仿宋" w:cs="仿宋" w:eastAsia="仿宋"/>
                <w:b/>
                <w:color w:val="000000"/>
                <w:sz w:val="24"/>
                <w:shd w:fill="FFFFFF" w:val="clear"/>
              </w:rPr>
              <w:t>学位管理：</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2.17.1</w:t>
            </w:r>
            <w:r>
              <w:rPr>
                <w:rFonts w:ascii="仿宋" w:hAnsi="仿宋" w:cs="仿宋" w:eastAsia="仿宋"/>
                <w:color w:val="000000"/>
                <w:sz w:val="24"/>
                <w:shd w:fill="FFFFFF" w:val="clear"/>
              </w:rPr>
              <w:t>学位外语考试包含线下或线上学位考试信息确定、考试发布、考试报名、考生资格审核、考试费用缴纳、考试名单确定、考试组织编排、准考证打印、考试成绩发布、查分申请及处置、考试成绩确定、考试成绩合格证打印；学位申请功能包括设置学位申请规则、上传申请材料模板、申请填报和提交、资格审核、成绩审核、主干课程审核管理功能。（提供功能截图）</w:t>
            </w:r>
          </w:p>
          <w:p>
            <w:pPr>
              <w:pStyle w:val="null3"/>
              <w:ind w:firstLine="480"/>
            </w:pPr>
            <w:r>
              <w:rPr>
                <w:rFonts w:ascii="宋体" w:hAnsi="宋体" w:cs="宋体" w:eastAsia="宋体"/>
                <w:color w:val="000000"/>
                <w:sz w:val="24"/>
                <w:shd w:fill="FFFFFF" w:val="clear"/>
              </w:rPr>
              <w:t>●</w:t>
            </w:r>
            <w:r>
              <w:rPr>
                <w:rFonts w:ascii="仿宋" w:hAnsi="仿宋" w:cs="仿宋" w:eastAsia="仿宋"/>
                <w:color w:val="000000"/>
                <w:sz w:val="24"/>
                <w:shd w:fill="FFFFFF" w:val="clear"/>
              </w:rPr>
              <w:t>2.17.2</w:t>
            </w:r>
            <w:r>
              <w:rPr>
                <w:rFonts w:ascii="仿宋" w:hAnsi="仿宋" w:cs="仿宋" w:eastAsia="仿宋"/>
                <w:color w:val="000000"/>
                <w:sz w:val="24"/>
                <w:shd w:fill="FFFFFF" w:val="clear"/>
              </w:rPr>
              <w:t>具有学士学位授予规则的设置功能：支持按照学校学士学位授予条件设置学位规则，只有符合条件的学生才能申请学位，并支持相关管理人员按年级、姓名、专业等条件根据学位规则搜索符合学位授予条件的学生，符合条件的学生信息支持按Excel等文件格式予以导出。</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2.18.</w:t>
            </w:r>
            <w:r>
              <w:rPr>
                <w:rFonts w:ascii="仿宋" w:hAnsi="仿宋" w:cs="仿宋" w:eastAsia="仿宋"/>
                <w:b/>
                <w:color w:val="000000"/>
                <w:sz w:val="24"/>
                <w:shd w:fill="FFFFFF" w:val="clear"/>
              </w:rPr>
              <w:t>财务管理：</w:t>
            </w:r>
            <w:r>
              <w:rPr>
                <w:rFonts w:ascii="仿宋" w:hAnsi="仿宋" w:cs="仿宋" w:eastAsia="仿宋"/>
                <w:color w:val="000000"/>
                <w:sz w:val="24"/>
                <w:shd w:fill="FFFFFF" w:val="clear"/>
              </w:rPr>
              <w:t>学费缴费管理包括添加缴费金额、缴费年级、缴费学年，支持查看缴费情况、导出导入缴费学员信息、上传缴费凭证、审核缴费凭证。</w:t>
            </w:r>
          </w:p>
          <w:p>
            <w:pPr>
              <w:pStyle w:val="null3"/>
              <w:ind w:firstLine="482"/>
            </w:pPr>
            <w:r>
              <w:rPr>
                <w:rFonts w:ascii="仿宋" w:hAnsi="仿宋" w:cs="仿宋" w:eastAsia="仿宋"/>
                <w:b/>
                <w:color w:val="000000"/>
                <w:sz w:val="24"/>
                <w:shd w:fill="FFFFFF" w:val="clear"/>
              </w:rPr>
              <w:t>2.19</w:t>
            </w:r>
            <w:r>
              <w:rPr>
                <w:rFonts w:ascii="仿宋" w:hAnsi="仿宋" w:cs="仿宋" w:eastAsia="仿宋"/>
                <w:b/>
                <w:color w:val="000000"/>
                <w:sz w:val="24"/>
                <w:shd w:fill="FFFFFF" w:val="clear"/>
              </w:rPr>
              <w:t>统计报表</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w:t>
            </w:r>
            <w:r>
              <w:rPr>
                <w:rFonts w:ascii="仿宋" w:hAnsi="仿宋" w:cs="仿宋" w:eastAsia="仿宋"/>
                <w:b/>
                <w:color w:val="000000"/>
                <w:sz w:val="24"/>
                <w:shd w:fill="FFFFFF" w:val="clear"/>
              </w:rPr>
              <w:t>.</w:t>
            </w:r>
            <w:r>
              <w:rPr>
                <w:rFonts w:ascii="仿宋" w:hAnsi="仿宋" w:cs="仿宋" w:eastAsia="仿宋"/>
                <w:color w:val="000000"/>
                <w:sz w:val="24"/>
                <w:shd w:fill="FFFFFF" w:val="clear"/>
              </w:rPr>
              <w:t>19.1</w:t>
            </w:r>
            <w:r>
              <w:rPr>
                <w:rFonts w:ascii="仿宋" w:hAnsi="仿宋" w:cs="仿宋" w:eastAsia="仿宋"/>
                <w:color w:val="000000"/>
                <w:sz w:val="24"/>
                <w:shd w:fill="FFFFFF" w:val="clear"/>
              </w:rPr>
              <w:t>教学统计：包含登录统计、学习统计、练习统计、知识点统计、过关率分析等。</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w:t>
            </w:r>
            <w:r>
              <w:rPr>
                <w:rFonts w:ascii="仿宋" w:hAnsi="仿宋" w:cs="仿宋" w:eastAsia="仿宋"/>
                <w:b/>
                <w:color w:val="000000"/>
                <w:sz w:val="24"/>
                <w:shd w:fill="FFFFFF" w:val="clear"/>
              </w:rPr>
              <w:t>.</w:t>
            </w:r>
            <w:r>
              <w:rPr>
                <w:rFonts w:ascii="仿宋" w:hAnsi="仿宋" w:cs="仿宋" w:eastAsia="仿宋"/>
                <w:color w:val="000000"/>
                <w:sz w:val="24"/>
                <w:shd w:fill="FFFFFF" w:val="clear"/>
              </w:rPr>
              <w:t>19.2</w:t>
            </w:r>
            <w:r>
              <w:rPr>
                <w:rFonts w:ascii="仿宋" w:hAnsi="仿宋" w:cs="仿宋" w:eastAsia="仿宋"/>
                <w:color w:val="000000"/>
                <w:sz w:val="24"/>
                <w:shd w:fill="FFFFFF" w:val="clear"/>
              </w:rPr>
              <w:t>考务统计：包含参考统计、成绩统计等。</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w:t>
            </w:r>
            <w:r>
              <w:rPr>
                <w:rFonts w:ascii="仿宋" w:hAnsi="仿宋" w:cs="仿宋" w:eastAsia="仿宋"/>
                <w:b/>
                <w:color w:val="000000"/>
                <w:sz w:val="24"/>
                <w:shd w:fill="FFFFFF" w:val="clear"/>
              </w:rPr>
              <w:t>.</w:t>
            </w:r>
            <w:r>
              <w:rPr>
                <w:rFonts w:ascii="仿宋" w:hAnsi="仿宋" w:cs="仿宋" w:eastAsia="仿宋"/>
                <w:color w:val="000000"/>
                <w:sz w:val="24"/>
                <w:shd w:fill="FFFFFF" w:val="clear"/>
              </w:rPr>
              <w:t>19.3</w:t>
            </w:r>
            <w:r>
              <w:rPr>
                <w:rFonts w:ascii="仿宋" w:hAnsi="仿宋" w:cs="仿宋" w:eastAsia="仿宋"/>
                <w:color w:val="000000"/>
                <w:sz w:val="24"/>
                <w:shd w:fill="FFFFFF" w:val="clear"/>
              </w:rPr>
              <w:t>行为统计管理：包括实现对学生学习行为、教师教学行为、教学点管理行为的记录、统计和数据导出。</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2.19.4</w:t>
            </w:r>
            <w:r>
              <w:rPr>
                <w:rFonts w:ascii="仿宋" w:hAnsi="仿宋" w:cs="仿宋" w:eastAsia="仿宋"/>
                <w:color w:val="000000"/>
                <w:sz w:val="24"/>
                <w:shd w:fill="FFFFFF" w:val="clear"/>
              </w:rPr>
              <w:t>教务统计：包含预报名统计、录取统计、学籍确认统计。</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w:t>
            </w:r>
            <w:r>
              <w:rPr>
                <w:rFonts w:ascii="仿宋" w:hAnsi="仿宋" w:cs="仿宋" w:eastAsia="仿宋"/>
                <w:b/>
                <w:color w:val="000000"/>
                <w:sz w:val="24"/>
                <w:shd w:fill="FFFFFF" w:val="clear"/>
              </w:rPr>
              <w:t>.</w:t>
            </w:r>
            <w:r>
              <w:rPr>
                <w:rFonts w:ascii="仿宋" w:hAnsi="仿宋" w:cs="仿宋" w:eastAsia="仿宋"/>
                <w:color w:val="000000"/>
                <w:sz w:val="24"/>
                <w:shd w:fill="FFFFFF" w:val="clear"/>
              </w:rPr>
              <w:t>19.5</w:t>
            </w:r>
            <w:r>
              <w:rPr>
                <w:rFonts w:ascii="仿宋" w:hAnsi="仿宋" w:cs="仿宋" w:eastAsia="仿宋"/>
                <w:color w:val="000000"/>
                <w:sz w:val="24"/>
                <w:shd w:fill="FFFFFF" w:val="clear"/>
              </w:rPr>
              <w:t>高基报表管理：包括实现上报教育部高基报表涉及学历继续教育的数据表（高基3327、高基3327续、高基3328、高基3328续、高基3334、高基3335、高基3040、高基3343、高基3045）生成和导出。</w:t>
            </w:r>
          </w:p>
          <w:p>
            <w:pPr>
              <w:pStyle w:val="null3"/>
              <w:ind w:firstLine="480"/>
            </w:pPr>
            <w:r>
              <w:rPr>
                <w:rFonts w:ascii="宋体" w:hAnsi="宋体" w:cs="宋体" w:eastAsia="宋体"/>
                <w:color w:val="000000"/>
                <w:sz w:val="24"/>
                <w:shd w:fill="FFFFFF" w:val="clear"/>
              </w:rPr>
              <w:t>●</w:t>
            </w:r>
            <w:r>
              <w:rPr>
                <w:rFonts w:ascii="仿宋" w:hAnsi="仿宋" w:cs="仿宋" w:eastAsia="仿宋"/>
                <w:color w:val="000000"/>
                <w:sz w:val="24"/>
                <w:shd w:fill="FFFFFF" w:val="clear"/>
              </w:rPr>
              <w:t>2.19.6</w:t>
            </w:r>
            <w:r>
              <w:rPr>
                <w:rFonts w:ascii="仿宋" w:hAnsi="仿宋" w:cs="仿宋" w:eastAsia="仿宋"/>
                <w:color w:val="000000"/>
                <w:sz w:val="24"/>
                <w:shd w:fill="FFFFFF" w:val="clear"/>
              </w:rPr>
              <w:t>具有数据列表页面“显示字段”的可选择功能：在任一功能菜单中打开的数据列表页面，可实现对当前页面显示的数据列表进行“显示字段”的选择。</w:t>
            </w:r>
          </w:p>
          <w:p>
            <w:pPr>
              <w:pStyle w:val="null3"/>
              <w:ind w:firstLine="482"/>
            </w:pPr>
            <w:r>
              <w:rPr>
                <w:rFonts w:ascii="宋体" w:hAnsi="宋体" w:cs="宋体" w:eastAsia="宋体"/>
                <w:b/>
                <w:color w:val="000000"/>
                <w:sz w:val="24"/>
                <w:shd w:fill="FFFFFF" w:val="clear"/>
              </w:rPr>
              <w:t>◆</w:t>
            </w:r>
            <w:r>
              <w:rPr>
                <w:rFonts w:ascii="仿宋" w:hAnsi="仿宋" w:cs="仿宋" w:eastAsia="仿宋"/>
                <w:b/>
                <w:color w:val="000000"/>
                <w:sz w:val="24"/>
                <w:shd w:fill="FFFFFF" w:val="clear"/>
              </w:rPr>
              <w:t>2.20</w:t>
            </w:r>
            <w:r>
              <w:rPr>
                <w:rFonts w:ascii="仿宋" w:hAnsi="仿宋" w:cs="仿宋" w:eastAsia="仿宋"/>
                <w:b/>
                <w:color w:val="000000"/>
                <w:sz w:val="24"/>
                <w:shd w:fill="FFFFFF" w:val="clear"/>
              </w:rPr>
              <w:t>通知管理：</w:t>
            </w:r>
            <w:r>
              <w:rPr>
                <w:rFonts w:ascii="仿宋" w:hAnsi="仿宋" w:cs="仿宋" w:eastAsia="仿宋"/>
                <w:color w:val="000000"/>
                <w:sz w:val="24"/>
                <w:shd w:fill="FFFFFF" w:val="clear"/>
              </w:rPr>
              <w:t>支持管理员分级或直接给其他管理员、教师、学生分别发送通知公告；给校外教学点或学生发送通知时，支持按照校外教学点名称、学生层次、年级、专业、学籍状态、班级等进行人员筛选发送通知。</w:t>
            </w:r>
          </w:p>
          <w:p>
            <w:pPr>
              <w:pStyle w:val="null3"/>
              <w:ind w:firstLine="482"/>
            </w:pPr>
            <w:r>
              <w:rPr>
                <w:rFonts w:ascii="仿宋" w:hAnsi="仿宋" w:cs="仿宋" w:eastAsia="仿宋"/>
                <w:b/>
                <w:color w:val="000000"/>
                <w:sz w:val="24"/>
                <w:shd w:fill="FFFFFF" w:val="clear"/>
              </w:rPr>
              <w:t>★</w:t>
            </w:r>
            <w:r>
              <w:rPr>
                <w:rFonts w:ascii="仿宋" w:hAnsi="仿宋" w:cs="仿宋" w:eastAsia="仿宋"/>
                <w:b/>
                <w:color w:val="000000"/>
                <w:sz w:val="24"/>
                <w:shd w:fill="FFFFFF" w:val="clear"/>
              </w:rPr>
              <w:t>2.21</w:t>
            </w:r>
            <w:r>
              <w:rPr>
                <w:rFonts w:ascii="仿宋" w:hAnsi="仿宋" w:cs="仿宋" w:eastAsia="仿宋"/>
                <w:b/>
                <w:color w:val="000000"/>
                <w:sz w:val="24"/>
                <w:shd w:fill="FFFFFF" w:val="clear"/>
              </w:rPr>
              <w:t>移动端：</w:t>
            </w:r>
            <w:r>
              <w:rPr>
                <w:rFonts w:ascii="仿宋" w:hAnsi="仿宋" w:cs="仿宋" w:eastAsia="仿宋"/>
                <w:color w:val="000000"/>
                <w:sz w:val="24"/>
                <w:shd w:fill="FFFFFF" w:val="clear"/>
              </w:rPr>
              <w:t>移动端APP或微信小程序与电脑端所有功能一致、信息同步。所提供移动端平台（app）符合教育部发布的《教育移动互联网应用程序备案管理办法》相关要求，提供与所投产品名称一致的教育部APP备案证明。（提供承诺函和备案证明）</w:t>
            </w:r>
          </w:p>
          <w:p>
            <w:pPr>
              <w:pStyle w:val="null3"/>
              <w:ind w:firstLine="482"/>
            </w:pPr>
            <w:r>
              <w:rPr>
                <w:rFonts w:ascii="仿宋" w:hAnsi="仿宋" w:cs="仿宋" w:eastAsia="仿宋"/>
                <w:b/>
                <w:color w:val="000000"/>
                <w:sz w:val="24"/>
                <w:shd w:fill="FFFFFF" w:val="clear"/>
              </w:rPr>
              <w:t>2.22</w:t>
            </w:r>
            <w:r>
              <w:rPr>
                <w:rFonts w:ascii="仿宋" w:hAnsi="仿宋" w:cs="仿宋" w:eastAsia="仿宋"/>
                <w:b/>
                <w:color w:val="000000"/>
                <w:sz w:val="24"/>
                <w:shd w:fill="FFFFFF" w:val="clear"/>
              </w:rPr>
              <w:t>课程资源管理</w:t>
            </w:r>
          </w:p>
          <w:p>
            <w:pPr>
              <w:pStyle w:val="null3"/>
              <w:ind w:firstLine="482"/>
            </w:pPr>
            <w:r>
              <w:rPr>
                <w:rFonts w:ascii="仿宋" w:hAnsi="仿宋" w:cs="仿宋" w:eastAsia="仿宋"/>
                <w:b/>
                <w:color w:val="000000"/>
                <w:sz w:val="24"/>
                <w:shd w:fill="FFFFFF" w:val="clear"/>
              </w:rPr>
              <w:t>★</w:t>
            </w:r>
            <w:r>
              <w:rPr>
                <w:rFonts w:ascii="仿宋" w:hAnsi="仿宋" w:cs="仿宋" w:eastAsia="仿宋"/>
                <w:color w:val="000000"/>
                <w:sz w:val="24"/>
                <w:shd w:fill="FFFFFF" w:val="clear"/>
              </w:rPr>
              <w:t>2.22.1</w:t>
            </w:r>
            <w:r>
              <w:rPr>
                <w:rFonts w:ascii="仿宋" w:hAnsi="仿宋" w:cs="仿宋" w:eastAsia="仿宋"/>
                <w:color w:val="000000"/>
                <w:sz w:val="24"/>
                <w:shd w:fill="FFFFFF" w:val="clear"/>
              </w:rPr>
              <w:t>须有满足我校成人高等教育课程在线学习、成教在线考核需要的课程资源，并须根据我校下一年度教学实际情况修改、调整课程资源；课程资源须包括课程学习视频、课后练习题及百分制模拟试题等；课程资源除静态课程内容本身外，还须包括与之配套的题库、测试库及试卷库；视频画面和声音清晰，课程辅学资料与课程内容相匹配，声频内容与视频内容同步；所提供的课程来源于国内知名高校的网络教育或成人高等教育类课程，课程内容适合内江师范学院成人高等学历继续教育学生学习特点且支持每年持续更新。课程需提供推荐教材信息；所有课程资源须符合国家法律法规，符合国家意识形态要求。</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2.22.2</w:t>
            </w:r>
            <w:r>
              <w:rPr>
                <w:rFonts w:ascii="仿宋" w:hAnsi="仿宋" w:cs="仿宋" w:eastAsia="仿宋"/>
                <w:color w:val="000000"/>
                <w:sz w:val="24"/>
                <w:shd w:fill="FFFFFF" w:val="clear"/>
              </w:rPr>
              <w:t>须支持融合我校自建资源的高等学历继续教育在线课程、题库资源。</w:t>
            </w:r>
          </w:p>
          <w:p>
            <w:pPr>
              <w:pStyle w:val="null3"/>
              <w:ind w:firstLine="480"/>
            </w:pPr>
            <w:r>
              <w:rPr>
                <w:rFonts w:ascii="仿宋" w:hAnsi="仿宋" w:cs="仿宋" w:eastAsia="仿宋"/>
                <w:color w:val="000000"/>
                <w:sz w:val="24"/>
                <w:shd w:fill="FFFFFF" w:val="clear"/>
              </w:rPr>
              <w:t>▲2.22.3在线课程资源管理：管理端批量设置在线课程，包括按开课学期、对应专业、开课课程、教学单位、班级设置课程章节的开放模式，可设置为：开放、关闭、定时开放等。</w:t>
            </w:r>
            <w:r>
              <w:rPr>
                <w:rFonts w:ascii="仿宋" w:hAnsi="仿宋" w:cs="仿宋" w:eastAsia="仿宋"/>
                <w:b/>
                <w:color w:val="000000"/>
                <w:sz w:val="24"/>
                <w:shd w:fill="FFFFFF" w:val="clear"/>
              </w:rPr>
              <w:t>（提供功能截图）</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2.22.4</w:t>
            </w:r>
            <w:r>
              <w:rPr>
                <w:rFonts w:ascii="仿宋" w:hAnsi="仿宋" w:cs="仿宋" w:eastAsia="仿宋"/>
                <w:color w:val="000000"/>
                <w:sz w:val="24"/>
                <w:shd w:fill="FFFFFF" w:val="clear"/>
              </w:rPr>
              <w:t>课程考核权重设置。支持课程考核权重设置，包括课程在线学习权重、作业权重、期末考试权重、面授考勤权重等，以上内容可以由平台数据自动生成，并形成总评成绩。</w:t>
            </w:r>
          </w:p>
          <w:p>
            <w:pPr>
              <w:pStyle w:val="null3"/>
              <w:ind w:firstLine="480"/>
            </w:pPr>
            <w:r>
              <w:rPr>
                <w:rFonts w:ascii="宋体" w:hAnsi="宋体" w:cs="宋体" w:eastAsia="宋体"/>
                <w:color w:val="000000"/>
                <w:sz w:val="24"/>
                <w:shd w:fill="FFFFFF" w:val="clear"/>
              </w:rPr>
              <w:t>●</w:t>
            </w:r>
            <w:r>
              <w:rPr>
                <w:rFonts w:ascii="仿宋" w:hAnsi="仿宋" w:cs="仿宋" w:eastAsia="仿宋"/>
                <w:color w:val="000000"/>
                <w:sz w:val="24"/>
                <w:shd w:fill="FFFFFF" w:val="clear"/>
              </w:rPr>
              <w:t>2.22.5</w:t>
            </w:r>
            <w:r>
              <w:rPr>
                <w:rFonts w:ascii="仿宋" w:hAnsi="仿宋" w:cs="仿宋" w:eastAsia="仿宋"/>
                <w:color w:val="000000"/>
                <w:sz w:val="24"/>
                <w:shd w:fill="FFFFFF" w:val="clear"/>
              </w:rPr>
              <w:t>具有在线课程视频播放控制功能：课程教学视频文件应具有“防拖拽和防窗口切换”功能，即视频播放时无法进行快进、拖拽，打开章节学习的时候不能再打开其它网页，否则视频播放停止。同时在章节视频中可以插入测验题，学生作答后才能继续学习。支持学生观看章节视频时自动连播。</w:t>
            </w:r>
          </w:p>
          <w:p>
            <w:pPr>
              <w:pStyle w:val="null3"/>
              <w:ind w:firstLine="480"/>
            </w:pPr>
            <w:r>
              <w:rPr>
                <w:rFonts w:ascii="宋体" w:hAnsi="宋体" w:cs="宋体" w:eastAsia="宋体"/>
                <w:color w:val="000000"/>
                <w:sz w:val="24"/>
                <w:shd w:fill="FFFFFF" w:val="clear"/>
              </w:rPr>
              <w:t>●</w:t>
            </w:r>
            <w:r>
              <w:rPr>
                <w:rFonts w:ascii="仿宋" w:hAnsi="仿宋" w:cs="仿宋" w:eastAsia="仿宋"/>
                <w:color w:val="000000"/>
                <w:sz w:val="24"/>
                <w:shd w:fill="FFFFFF" w:val="clear"/>
              </w:rPr>
              <w:t>2.22.6</w:t>
            </w:r>
            <w:r>
              <w:rPr>
                <w:rFonts w:ascii="仿宋" w:hAnsi="仿宋" w:cs="仿宋" w:eastAsia="仿宋"/>
                <w:color w:val="000000"/>
                <w:sz w:val="24"/>
                <w:shd w:fill="FFFFFF" w:val="clear"/>
              </w:rPr>
              <w:t>具有学校自建课程教学资源包导入功能：对于学校自建课程教学资源（可选择任一课程资源进行导入），支持一键引用视频、课件、题库等资源建成自己的课程。</w:t>
            </w:r>
          </w:p>
          <w:p>
            <w:pPr>
              <w:pStyle w:val="null3"/>
              <w:ind w:firstLine="480"/>
            </w:pPr>
            <w:r>
              <w:rPr>
                <w:rFonts w:ascii="宋体" w:hAnsi="宋体" w:cs="宋体" w:eastAsia="宋体"/>
                <w:color w:val="000000"/>
                <w:sz w:val="24"/>
                <w:shd w:fill="FFFFFF" w:val="clear"/>
              </w:rPr>
              <w:t>●</w:t>
            </w:r>
            <w:r>
              <w:rPr>
                <w:rFonts w:ascii="仿宋" w:hAnsi="仿宋" w:cs="仿宋" w:eastAsia="仿宋"/>
                <w:color w:val="000000"/>
                <w:sz w:val="24"/>
                <w:shd w:fill="FFFFFF" w:val="clear"/>
              </w:rPr>
              <w:t>2.22.7</w:t>
            </w:r>
            <w:r>
              <w:rPr>
                <w:rFonts w:ascii="仿宋" w:hAnsi="仿宋" w:cs="仿宋" w:eastAsia="仿宋"/>
                <w:color w:val="000000"/>
                <w:sz w:val="24"/>
                <w:shd w:fill="FFFFFF" w:val="clear"/>
              </w:rPr>
              <w:t>具有题库管理功能：支持直接从word文档中对每种不同题型自动进行识别，并自动转换成对应的格式归类录入题库，识别错误时可以在线调整后再次录入。支持直接从网络教学平台建设的网络课程中引用试题。</w:t>
            </w:r>
          </w:p>
          <w:p>
            <w:pPr>
              <w:pStyle w:val="null3"/>
              <w:ind w:firstLine="482"/>
            </w:pPr>
            <w:r>
              <w:rPr>
                <w:rFonts w:ascii="仿宋" w:hAnsi="仿宋" w:cs="仿宋" w:eastAsia="仿宋"/>
                <w:b/>
                <w:color w:val="000000"/>
                <w:sz w:val="24"/>
                <w:shd w:fill="FFFFFF" w:val="clear"/>
              </w:rPr>
              <w:t>★2.23数据迁移服务</w:t>
            </w:r>
            <w:r>
              <w:rPr>
                <w:rFonts w:ascii="仿宋" w:hAnsi="仿宋" w:cs="仿宋" w:eastAsia="仿宋"/>
                <w:color w:val="000000"/>
                <w:sz w:val="24"/>
                <w:shd w:fill="FFFFFF" w:val="clear"/>
              </w:rPr>
              <w:t>。成交供应商须对采购人原有在线学习平台（含弘慕课）（供应商为西南大学）的数据进行整理，并无条件迁移至本项目管理系统。在服务期限结束后，应保证将所有数据包括学生信息、教师信息、学生成绩等导出，一并无条件迁移至下一次学习平台服务招标供应商系统。（提供承诺函）</w:t>
            </w:r>
          </w:p>
          <w:p>
            <w:pPr>
              <w:pStyle w:val="null3"/>
              <w:ind w:firstLine="482"/>
            </w:pPr>
            <w:r>
              <w:rPr>
                <w:rFonts w:ascii="仿宋" w:hAnsi="仿宋" w:cs="仿宋" w:eastAsia="仿宋"/>
                <w:b/>
                <w:color w:val="000000"/>
                <w:sz w:val="24"/>
                <w:shd w:fill="FFFFFF" w:val="clear"/>
              </w:rPr>
              <w:t>2.24</w:t>
            </w:r>
            <w:r>
              <w:rPr>
                <w:rFonts w:ascii="仿宋" w:hAnsi="仿宋" w:cs="仿宋" w:eastAsia="仿宋"/>
                <w:b/>
                <w:color w:val="000000"/>
                <w:sz w:val="24"/>
                <w:shd w:fill="FFFFFF" w:val="clear"/>
              </w:rPr>
              <w:t>运营服务</w:t>
            </w:r>
          </w:p>
          <w:p>
            <w:pPr>
              <w:pStyle w:val="null3"/>
              <w:ind w:firstLine="482"/>
            </w:pPr>
            <w:r>
              <w:rPr>
                <w:rFonts w:ascii="宋体" w:hAnsi="宋体" w:cs="宋体" w:eastAsia="宋体"/>
                <w:b/>
                <w:color w:val="000000"/>
                <w:sz w:val="24"/>
                <w:shd w:fill="FFFFFF" w:val="clear"/>
              </w:rPr>
              <w:t>◆</w:t>
            </w:r>
            <w:r>
              <w:rPr>
                <w:rFonts w:ascii="仿宋" w:hAnsi="仿宋" w:cs="仿宋" w:eastAsia="仿宋"/>
                <w:color w:val="000000"/>
                <w:sz w:val="24"/>
                <w:shd w:fill="FFFFFF" w:val="clear"/>
              </w:rPr>
              <w:t>2.24.1</w:t>
            </w:r>
            <w:r>
              <w:rPr>
                <w:rFonts w:ascii="仿宋" w:hAnsi="仿宋" w:cs="仿宋" w:eastAsia="仿宋"/>
                <w:color w:val="000000"/>
                <w:sz w:val="24"/>
                <w:shd w:fill="FFFFFF" w:val="clear"/>
              </w:rPr>
              <w:t>学习平台运营服务以网页方式呈现，首页必须有学校标识。</w:t>
            </w:r>
          </w:p>
          <w:p>
            <w:pPr>
              <w:pStyle w:val="null3"/>
              <w:ind w:firstLine="480"/>
            </w:pPr>
            <w:r>
              <w:rPr>
                <w:rFonts w:ascii="仿宋" w:hAnsi="仿宋" w:cs="仿宋" w:eastAsia="仿宋"/>
                <w:color w:val="000000"/>
                <w:sz w:val="24"/>
                <w:shd w:fill="FFFFFF" w:val="clear"/>
              </w:rPr>
              <w:t>★2.24.2能同时满足20000人次及以上并发访问；能同时满足不低于40000人的用户数。</w:t>
            </w:r>
          </w:p>
          <w:p>
            <w:pPr>
              <w:pStyle w:val="null3"/>
              <w:ind w:firstLine="480"/>
              <w:jc w:val="both"/>
            </w:pPr>
            <w:r>
              <w:rPr>
                <w:rFonts w:ascii="仿宋" w:hAnsi="仿宋" w:cs="仿宋" w:eastAsia="仿宋"/>
                <w:color w:val="000000"/>
                <w:sz w:val="24"/>
                <w:shd w:fill="FFFFFF" w:val="clear"/>
              </w:rPr>
              <w:t>★</w:t>
            </w:r>
            <w:r>
              <w:rPr>
                <w:rFonts w:ascii="仿宋" w:hAnsi="仿宋" w:cs="仿宋" w:eastAsia="仿宋"/>
                <w:color w:val="000000"/>
                <w:sz w:val="24"/>
                <w:shd w:fill="FFFFFF" w:val="clear"/>
              </w:rPr>
              <w:t>2</w:t>
            </w:r>
            <w:r>
              <w:rPr>
                <w:rFonts w:ascii="仿宋" w:hAnsi="仿宋" w:cs="仿宋" w:eastAsia="仿宋"/>
                <w:color w:val="000000"/>
                <w:sz w:val="24"/>
                <w:shd w:fill="FFFFFF" w:val="clear"/>
              </w:rPr>
              <w:t>.2</w:t>
            </w:r>
            <w:r>
              <w:rPr>
                <w:rFonts w:ascii="仿宋" w:hAnsi="仿宋" w:cs="仿宋" w:eastAsia="仿宋"/>
                <w:color w:val="000000"/>
                <w:sz w:val="24"/>
                <w:shd w:fill="FFFFFF" w:val="clear"/>
              </w:rPr>
              <w:t>4</w:t>
            </w:r>
            <w:r>
              <w:rPr>
                <w:rFonts w:ascii="仿宋" w:hAnsi="仿宋" w:cs="仿宋" w:eastAsia="仿宋"/>
                <w:color w:val="000000"/>
                <w:sz w:val="24"/>
                <w:shd w:fill="FFFFFF" w:val="clear"/>
              </w:rPr>
              <w:t>.</w:t>
            </w:r>
            <w:r>
              <w:rPr>
                <w:rFonts w:ascii="仿宋" w:hAnsi="仿宋" w:cs="仿宋" w:eastAsia="仿宋"/>
                <w:color w:val="000000"/>
                <w:sz w:val="24"/>
                <w:shd w:fill="FFFFFF" w:val="clear"/>
              </w:rPr>
              <w:t>3</w:t>
            </w:r>
            <w:r>
              <w:rPr>
                <w:rFonts w:ascii="仿宋" w:hAnsi="仿宋" w:cs="仿宋" w:eastAsia="仿宋"/>
                <w:color w:val="000000"/>
                <w:sz w:val="24"/>
                <w:shd w:fill="FFFFFF" w:val="clear"/>
              </w:rPr>
              <w:t>中标供应商须对我校学生所有信息、各类题库、学习及考核信息等涉及我校及我校学生的所有数据必须严格保密。（提供承诺函）</w:t>
            </w:r>
          </w:p>
          <w:p>
            <w:pPr>
              <w:pStyle w:val="null3"/>
              <w:ind w:firstLine="482"/>
              <w:jc w:val="both"/>
            </w:pPr>
            <w:r>
              <w:rPr>
                <w:rFonts w:ascii="宋体" w:hAnsi="宋体" w:cs="宋体" w:eastAsia="宋体"/>
                <w:b/>
                <w:sz w:val="24"/>
              </w:rPr>
              <w:t>◆</w:t>
            </w:r>
            <w:r>
              <w:rPr>
                <w:rFonts w:ascii="仿宋" w:hAnsi="仿宋" w:cs="仿宋" w:eastAsia="仿宋"/>
                <w:color w:val="000000"/>
                <w:sz w:val="24"/>
                <w:shd w:fill="FFFFFF" w:val="clear"/>
              </w:rPr>
              <w:t>2</w:t>
            </w:r>
            <w:r>
              <w:rPr>
                <w:rFonts w:ascii="仿宋" w:hAnsi="仿宋" w:cs="仿宋" w:eastAsia="仿宋"/>
                <w:color w:val="000000"/>
                <w:sz w:val="24"/>
                <w:shd w:fill="FFFFFF" w:val="clear"/>
              </w:rPr>
              <w:t>.2</w:t>
            </w:r>
            <w:r>
              <w:rPr>
                <w:rFonts w:ascii="仿宋" w:hAnsi="仿宋" w:cs="仿宋" w:eastAsia="仿宋"/>
                <w:color w:val="000000"/>
                <w:sz w:val="24"/>
                <w:shd w:fill="FFFFFF" w:val="clear"/>
              </w:rPr>
              <w:t>4</w:t>
            </w:r>
            <w:r>
              <w:rPr>
                <w:rFonts w:ascii="仿宋" w:hAnsi="仿宋" w:cs="仿宋" w:eastAsia="仿宋"/>
                <w:color w:val="000000"/>
                <w:sz w:val="24"/>
                <w:shd w:fill="FFFFFF" w:val="clear"/>
              </w:rPr>
              <w:t>.</w:t>
            </w:r>
            <w:r>
              <w:rPr>
                <w:rFonts w:ascii="仿宋" w:hAnsi="仿宋" w:cs="仿宋" w:eastAsia="仿宋"/>
                <w:color w:val="000000"/>
                <w:sz w:val="24"/>
                <w:shd w:fill="FFFFFF" w:val="clear"/>
              </w:rPr>
              <w:t>4</w:t>
            </w:r>
            <w:r>
              <w:rPr>
                <w:rFonts w:ascii="仿宋" w:hAnsi="仿宋" w:cs="仿宋" w:eastAsia="仿宋"/>
                <w:color w:val="000000"/>
                <w:sz w:val="24"/>
                <w:shd w:fill="FFFFFF" w:val="clear"/>
              </w:rPr>
              <w:t>支持文件、大文件（数百GB以上）上载，支持断点续传或本地秒传功能。</w:t>
            </w:r>
          </w:p>
          <w:p>
            <w:pPr>
              <w:pStyle w:val="null3"/>
              <w:ind w:firstLine="480"/>
              <w:jc w:val="both"/>
            </w:pPr>
            <w:r>
              <w:rPr>
                <w:rFonts w:ascii="仿宋" w:hAnsi="仿宋" w:cs="仿宋" w:eastAsia="仿宋"/>
                <w:sz w:val="24"/>
              </w:rPr>
              <w:t>★</w:t>
            </w:r>
            <w:r>
              <w:rPr>
                <w:rFonts w:ascii="仿宋" w:hAnsi="仿宋" w:cs="仿宋" w:eastAsia="仿宋"/>
                <w:color w:val="000000"/>
                <w:sz w:val="24"/>
                <w:shd w:fill="FFFFFF" w:val="clear"/>
              </w:rPr>
              <w:t>2</w:t>
            </w:r>
            <w:r>
              <w:rPr>
                <w:rFonts w:ascii="仿宋" w:hAnsi="仿宋" w:cs="仿宋" w:eastAsia="仿宋"/>
                <w:color w:val="000000"/>
                <w:sz w:val="24"/>
                <w:shd w:fill="FFFFFF" w:val="clear"/>
              </w:rPr>
              <w:t>.2</w:t>
            </w:r>
            <w:r>
              <w:rPr>
                <w:rFonts w:ascii="仿宋" w:hAnsi="仿宋" w:cs="仿宋" w:eastAsia="仿宋"/>
                <w:color w:val="000000"/>
                <w:sz w:val="24"/>
                <w:shd w:fill="FFFFFF" w:val="clear"/>
              </w:rPr>
              <w:t>4</w:t>
            </w:r>
            <w:r>
              <w:rPr>
                <w:rFonts w:ascii="仿宋" w:hAnsi="仿宋" w:cs="仿宋" w:eastAsia="仿宋"/>
                <w:color w:val="000000"/>
                <w:sz w:val="24"/>
                <w:shd w:fill="FFFFFF" w:val="clear"/>
              </w:rPr>
              <w:t>.</w:t>
            </w:r>
            <w:r>
              <w:rPr>
                <w:rFonts w:ascii="仿宋" w:hAnsi="仿宋" w:cs="仿宋" w:eastAsia="仿宋"/>
                <w:color w:val="000000"/>
                <w:sz w:val="24"/>
                <w:shd w:fill="FFFFFF" w:val="clear"/>
              </w:rPr>
              <w:t>5</w:t>
            </w:r>
            <w:r>
              <w:rPr>
                <w:rFonts w:ascii="仿宋" w:hAnsi="仿宋" w:cs="仿宋" w:eastAsia="仿宋"/>
                <w:color w:val="000000"/>
                <w:sz w:val="24"/>
                <w:shd w:fill="FFFFFF" w:val="clear"/>
              </w:rPr>
              <w:t>学习平台具备自主知识产权。</w:t>
            </w:r>
          </w:p>
          <w:p>
            <w:pPr>
              <w:pStyle w:val="null3"/>
              <w:ind w:firstLine="482"/>
              <w:jc w:val="both"/>
            </w:pPr>
            <w:r>
              <w:rPr>
                <w:rFonts w:ascii="宋体" w:hAnsi="宋体" w:cs="宋体" w:eastAsia="宋体"/>
                <w:b/>
                <w:color w:val="000000"/>
                <w:sz w:val="24"/>
              </w:rPr>
              <w:t>★</w:t>
            </w:r>
            <w:r>
              <w:rPr>
                <w:rFonts w:ascii="仿宋" w:hAnsi="仿宋" w:cs="仿宋" w:eastAsia="仿宋"/>
                <w:b/>
                <w:color w:val="000000"/>
                <w:sz w:val="24"/>
              </w:rPr>
              <w:t>3</w:t>
            </w:r>
            <w:r>
              <w:rPr>
                <w:rFonts w:ascii="仿宋" w:hAnsi="仿宋" w:cs="仿宋" w:eastAsia="仿宋"/>
                <w:b/>
                <w:color w:val="000000"/>
                <w:sz w:val="24"/>
              </w:rPr>
              <w:t>、技术要求：</w:t>
            </w:r>
          </w:p>
          <w:p>
            <w:pPr>
              <w:pStyle w:val="null3"/>
              <w:ind w:firstLine="480"/>
              <w:jc w:val="both"/>
            </w:pPr>
            <w:r>
              <w:rPr>
                <w:rFonts w:ascii="仿宋" w:hAnsi="仿宋" w:cs="仿宋" w:eastAsia="仿宋"/>
                <w:color w:val="000000"/>
                <w:sz w:val="24"/>
                <w:shd w:fill="FFFFFF" w:val="clear"/>
              </w:rPr>
              <w:t>3</w:t>
            </w:r>
            <w:r>
              <w:rPr>
                <w:rFonts w:ascii="仿宋" w:hAnsi="仿宋" w:cs="仿宋" w:eastAsia="仿宋"/>
                <w:color w:val="000000"/>
                <w:sz w:val="24"/>
                <w:shd w:fill="FFFFFF" w:val="clear"/>
              </w:rPr>
              <w:t>.1</w:t>
            </w:r>
            <w:r>
              <w:rPr>
                <w:rFonts w:ascii="仿宋" w:hAnsi="仿宋" w:cs="仿宋" w:eastAsia="仿宋"/>
                <w:color w:val="000000"/>
                <w:sz w:val="24"/>
                <w:shd w:fill="FFFFFF" w:val="clear"/>
              </w:rPr>
              <w:t>系统架构。基于</w:t>
            </w:r>
            <w:r>
              <w:rPr>
                <w:rFonts w:ascii="仿宋" w:hAnsi="仿宋" w:cs="仿宋" w:eastAsia="仿宋"/>
                <w:color w:val="000000"/>
                <w:sz w:val="24"/>
                <w:shd w:fill="FFFFFF" w:val="clear"/>
              </w:rPr>
              <w:t>Linux</w:t>
            </w:r>
            <w:r>
              <w:rPr>
                <w:rFonts w:ascii="仿宋" w:hAnsi="仿宋" w:cs="仿宋" w:eastAsia="仿宋"/>
                <w:color w:val="000000"/>
                <w:sz w:val="24"/>
                <w:shd w:fill="FFFFFF" w:val="clear"/>
              </w:rPr>
              <w:t>或</w:t>
            </w:r>
            <w:r>
              <w:rPr>
                <w:rFonts w:ascii="仿宋" w:hAnsi="仿宋" w:cs="仿宋" w:eastAsia="仿宋"/>
                <w:color w:val="000000"/>
                <w:sz w:val="24"/>
                <w:shd w:fill="FFFFFF" w:val="clear"/>
              </w:rPr>
              <w:t>Windows2003 32bit/64bit</w:t>
            </w:r>
            <w:r>
              <w:rPr>
                <w:rFonts w:ascii="仿宋" w:hAnsi="仿宋" w:cs="仿宋" w:eastAsia="仿宋"/>
                <w:color w:val="000000"/>
                <w:sz w:val="24"/>
                <w:shd w:fill="FFFFFF" w:val="clear"/>
              </w:rPr>
              <w:t>及以上。数据库需采用常见大型主流数据库如</w:t>
            </w:r>
            <w:r>
              <w:rPr>
                <w:rFonts w:ascii="仿宋" w:hAnsi="仿宋" w:cs="仿宋" w:eastAsia="仿宋"/>
                <w:color w:val="000000"/>
                <w:sz w:val="24"/>
                <w:shd w:fill="FFFFFF" w:val="clear"/>
              </w:rPr>
              <w:t>Oracle</w:t>
            </w:r>
            <w:r>
              <w:rPr>
                <w:rFonts w:ascii="仿宋" w:hAnsi="仿宋" w:cs="仿宋" w:eastAsia="仿宋"/>
                <w:color w:val="000000"/>
                <w:sz w:val="24"/>
                <w:shd w:fill="FFFFFF" w:val="clear"/>
              </w:rPr>
              <w:t>、</w:t>
            </w:r>
            <w:r>
              <w:rPr>
                <w:rFonts w:ascii="仿宋" w:hAnsi="仿宋" w:cs="仿宋" w:eastAsia="仿宋"/>
                <w:color w:val="000000"/>
                <w:sz w:val="24"/>
                <w:shd w:fill="FFFFFF" w:val="clear"/>
              </w:rPr>
              <w:t>SQL server</w:t>
            </w:r>
            <w:r>
              <w:rPr>
                <w:rFonts w:ascii="仿宋" w:hAnsi="仿宋" w:cs="仿宋" w:eastAsia="仿宋"/>
                <w:color w:val="000000"/>
                <w:sz w:val="24"/>
                <w:shd w:fill="FFFFFF" w:val="clear"/>
              </w:rPr>
              <w:t>、</w:t>
            </w:r>
            <w:r>
              <w:rPr>
                <w:rFonts w:ascii="仿宋" w:hAnsi="仿宋" w:cs="仿宋" w:eastAsia="仿宋"/>
                <w:color w:val="000000"/>
                <w:sz w:val="24"/>
                <w:shd w:fill="FFFFFF" w:val="clear"/>
              </w:rPr>
              <w:t>Mysql</w:t>
            </w:r>
            <w:r>
              <w:rPr>
                <w:rFonts w:ascii="仿宋" w:hAnsi="仿宋" w:cs="仿宋" w:eastAsia="仿宋"/>
                <w:color w:val="000000"/>
                <w:sz w:val="24"/>
                <w:shd w:fill="FFFFFF" w:val="clear"/>
              </w:rPr>
              <w:t>、</w:t>
            </w:r>
            <w:r>
              <w:rPr>
                <w:rFonts w:ascii="仿宋" w:hAnsi="仿宋" w:cs="仿宋" w:eastAsia="仿宋"/>
                <w:color w:val="000000"/>
                <w:sz w:val="24"/>
                <w:shd w:fill="FFFFFF" w:val="clear"/>
              </w:rPr>
              <w:t>PostgreSQL</w:t>
            </w:r>
            <w:r>
              <w:rPr>
                <w:rFonts w:ascii="仿宋" w:hAnsi="仿宋" w:cs="仿宋" w:eastAsia="仿宋"/>
                <w:color w:val="000000"/>
                <w:sz w:val="24"/>
                <w:shd w:fill="FFFFFF" w:val="clear"/>
              </w:rPr>
              <w:t>等数据库系统。必须是供应商成熟、稳定的系统版本。要求集群部署方案。</w:t>
            </w:r>
          </w:p>
          <w:p>
            <w:pPr>
              <w:pStyle w:val="null3"/>
              <w:ind w:firstLine="480"/>
              <w:jc w:val="both"/>
            </w:pPr>
            <w:r>
              <w:rPr>
                <w:rFonts w:ascii="仿宋" w:hAnsi="仿宋" w:cs="仿宋" w:eastAsia="仿宋"/>
                <w:color w:val="000000"/>
                <w:sz w:val="24"/>
                <w:shd w:fill="FFFFFF" w:val="clear"/>
              </w:rPr>
              <w:t>3</w:t>
            </w:r>
            <w:r>
              <w:rPr>
                <w:rFonts w:ascii="仿宋" w:hAnsi="仿宋" w:cs="仿宋" w:eastAsia="仿宋"/>
                <w:color w:val="000000"/>
                <w:sz w:val="24"/>
                <w:shd w:fill="FFFFFF" w:val="clear"/>
              </w:rPr>
              <w:t>.2</w:t>
            </w:r>
            <w:r>
              <w:rPr>
                <w:rFonts w:ascii="仿宋" w:hAnsi="仿宋" w:cs="仿宋" w:eastAsia="仿宋"/>
                <w:color w:val="000000"/>
                <w:sz w:val="24"/>
                <w:shd w:fill="FFFFFF" w:val="clear"/>
              </w:rPr>
              <w:t>安全性。系统提供系统数据与应用安全的解决方案。平台在读写数据时强制执行适当级别的安全保护。访问控制列表定义可以访问数据或其包含用户、组和角色，及其可以执行的操作。可以加密存储库文件存储区中的敏感信息。具有完备的备份机制，提供各级数据备份，实现每天数据备份，包括手动备份和自动备份、数据库备份和单表备份。提供监控平台，</w:t>
            </w:r>
            <w:r>
              <w:rPr>
                <w:rFonts w:ascii="仿宋" w:hAnsi="仿宋" w:cs="仿宋" w:eastAsia="仿宋"/>
                <w:color w:val="000000"/>
                <w:sz w:val="24"/>
                <w:shd w:fill="FFFFFF" w:val="clear"/>
              </w:rPr>
              <w:t>7x24</w:t>
            </w:r>
            <w:r>
              <w:rPr>
                <w:rFonts w:ascii="仿宋" w:hAnsi="仿宋" w:cs="仿宋" w:eastAsia="仿宋"/>
                <w:color w:val="000000"/>
                <w:sz w:val="24"/>
                <w:shd w:fill="FFFFFF" w:val="clear"/>
              </w:rPr>
              <w:t>小时监控平台运行状况与各性能指标。</w:t>
            </w:r>
          </w:p>
          <w:p>
            <w:pPr>
              <w:pStyle w:val="null3"/>
              <w:ind w:firstLine="480"/>
              <w:jc w:val="both"/>
            </w:pPr>
            <w:r>
              <w:rPr>
                <w:rFonts w:ascii="仿宋" w:hAnsi="仿宋" w:cs="仿宋" w:eastAsia="仿宋"/>
                <w:color w:val="000000"/>
                <w:sz w:val="24"/>
                <w:shd w:fill="FFFFFF" w:val="clear"/>
              </w:rPr>
              <w:t>3</w:t>
            </w:r>
            <w:r>
              <w:rPr>
                <w:rFonts w:ascii="仿宋" w:hAnsi="仿宋" w:cs="仿宋" w:eastAsia="仿宋"/>
                <w:color w:val="000000"/>
                <w:sz w:val="24"/>
                <w:shd w:fill="FFFFFF" w:val="clear"/>
              </w:rPr>
              <w:t>.3</w:t>
            </w:r>
            <w:r>
              <w:rPr>
                <w:rFonts w:ascii="仿宋" w:hAnsi="仿宋" w:cs="仿宋" w:eastAsia="仿宋"/>
                <w:color w:val="000000"/>
                <w:sz w:val="24"/>
                <w:shd w:fill="FFFFFF" w:val="clear"/>
              </w:rPr>
              <w:t>数据输出要求。除提供多种格式规范的业务报表并可导出打印之外，还提供常用上报数据的导出功能，支持在线打印功能。</w:t>
            </w:r>
          </w:p>
          <w:p>
            <w:pPr>
              <w:pStyle w:val="null3"/>
              <w:ind w:firstLine="480"/>
              <w:jc w:val="both"/>
            </w:pPr>
            <w:r>
              <w:rPr>
                <w:rFonts w:ascii="仿宋" w:hAnsi="仿宋" w:cs="仿宋" w:eastAsia="仿宋"/>
                <w:color w:val="000000"/>
                <w:sz w:val="24"/>
                <w:shd w:fill="FFFFFF" w:val="clear"/>
              </w:rPr>
              <w:t>3</w:t>
            </w:r>
            <w:r>
              <w:rPr>
                <w:rFonts w:ascii="仿宋" w:hAnsi="仿宋" w:cs="仿宋" w:eastAsia="仿宋"/>
                <w:color w:val="000000"/>
                <w:sz w:val="24"/>
                <w:shd w:fill="FFFFFF" w:val="clear"/>
              </w:rPr>
              <w:t>.4</w:t>
            </w:r>
            <w:r>
              <w:rPr>
                <w:rFonts w:ascii="仿宋" w:hAnsi="仿宋" w:cs="仿宋" w:eastAsia="仿宋"/>
                <w:color w:val="000000"/>
                <w:sz w:val="24"/>
                <w:shd w:fill="FFFFFF" w:val="clear"/>
              </w:rPr>
              <w:t>系统管理。具备系统管理员维护功能，包括数据字典、控制参数、权限维护、数据库维护、数据导入、数据更新、数据备份恢复、操作日志、系统更新日志。</w:t>
            </w:r>
          </w:p>
          <w:p>
            <w:pPr>
              <w:pStyle w:val="null3"/>
              <w:ind w:firstLine="480"/>
              <w:jc w:val="both"/>
            </w:pPr>
            <w:r>
              <w:rPr>
                <w:rFonts w:ascii="仿宋" w:hAnsi="仿宋" w:cs="仿宋" w:eastAsia="仿宋"/>
                <w:color w:val="000000"/>
                <w:sz w:val="24"/>
                <w:shd w:fill="FFFFFF" w:val="clear"/>
              </w:rPr>
              <w:t>3</w:t>
            </w:r>
            <w:r>
              <w:rPr>
                <w:rFonts w:ascii="仿宋" w:hAnsi="仿宋" w:cs="仿宋" w:eastAsia="仿宋"/>
                <w:color w:val="000000"/>
                <w:sz w:val="24"/>
                <w:shd w:fill="FFFFFF" w:val="clear"/>
              </w:rPr>
              <w:t>.5</w:t>
            </w:r>
            <w:r>
              <w:rPr>
                <w:rFonts w:ascii="仿宋" w:hAnsi="仿宋" w:cs="仿宋" w:eastAsia="仿宋"/>
                <w:color w:val="000000"/>
                <w:sz w:val="24"/>
                <w:shd w:fill="FFFFFF" w:val="clear"/>
              </w:rPr>
              <w:t>兼容性。客户端支持</w:t>
            </w:r>
            <w:r>
              <w:rPr>
                <w:rFonts w:ascii="仿宋" w:hAnsi="仿宋" w:cs="仿宋" w:eastAsia="仿宋"/>
                <w:color w:val="000000"/>
                <w:sz w:val="24"/>
                <w:shd w:fill="FFFFFF" w:val="clear"/>
              </w:rPr>
              <w:t>Windows7</w:t>
            </w:r>
            <w:r>
              <w:rPr>
                <w:rFonts w:ascii="仿宋" w:hAnsi="仿宋" w:cs="仿宋" w:eastAsia="仿宋"/>
                <w:color w:val="000000"/>
                <w:sz w:val="24"/>
                <w:shd w:fill="FFFFFF" w:val="clear"/>
              </w:rPr>
              <w:t>以上版本（</w:t>
            </w:r>
            <w:r>
              <w:rPr>
                <w:rFonts w:ascii="仿宋" w:hAnsi="仿宋" w:cs="仿宋" w:eastAsia="仿宋"/>
                <w:color w:val="000000"/>
                <w:sz w:val="24"/>
                <w:shd w:fill="FFFFFF" w:val="clear"/>
              </w:rPr>
              <w:t>32/64bit</w:t>
            </w:r>
            <w:r>
              <w:rPr>
                <w:rFonts w:ascii="仿宋" w:hAnsi="仿宋" w:cs="仿宋" w:eastAsia="仿宋"/>
                <w:color w:val="000000"/>
                <w:sz w:val="24"/>
                <w:shd w:fill="FFFFFF" w:val="clear"/>
              </w:rPr>
              <w:t>）系统、</w:t>
            </w:r>
            <w:r>
              <w:rPr>
                <w:rFonts w:ascii="仿宋" w:hAnsi="仿宋" w:cs="仿宋" w:eastAsia="仿宋"/>
                <w:color w:val="000000"/>
                <w:sz w:val="24"/>
                <w:shd w:fill="FFFFFF" w:val="clear"/>
              </w:rPr>
              <w:t>Linux</w:t>
            </w:r>
            <w:r>
              <w:rPr>
                <w:rFonts w:ascii="仿宋" w:hAnsi="仿宋" w:cs="仿宋" w:eastAsia="仿宋"/>
                <w:color w:val="000000"/>
                <w:sz w:val="24"/>
                <w:shd w:fill="FFFFFF" w:val="clear"/>
              </w:rPr>
              <w:t>、</w:t>
            </w:r>
            <w:r>
              <w:rPr>
                <w:rFonts w:ascii="仿宋" w:hAnsi="仿宋" w:cs="仿宋" w:eastAsia="仿宋"/>
                <w:color w:val="000000"/>
                <w:sz w:val="24"/>
                <w:shd w:fill="FFFFFF" w:val="clear"/>
              </w:rPr>
              <w:t>MacOS</w:t>
            </w:r>
            <w:r>
              <w:rPr>
                <w:rFonts w:ascii="仿宋" w:hAnsi="仿宋" w:cs="仿宋" w:eastAsia="仿宋"/>
                <w:color w:val="000000"/>
                <w:sz w:val="24"/>
                <w:shd w:fill="FFFFFF" w:val="clear"/>
              </w:rPr>
              <w:t>。采用类似</w:t>
            </w:r>
            <w:r>
              <w:rPr>
                <w:rFonts w:ascii="仿宋" w:hAnsi="仿宋" w:cs="仿宋" w:eastAsia="仿宋"/>
                <w:color w:val="000000"/>
                <w:sz w:val="24"/>
                <w:shd w:fill="FFFFFF" w:val="clear"/>
              </w:rPr>
              <w:t>AJAX</w:t>
            </w:r>
            <w:r>
              <w:rPr>
                <w:rFonts w:ascii="仿宋" w:hAnsi="仿宋" w:cs="仿宋" w:eastAsia="仿宋"/>
                <w:color w:val="000000"/>
                <w:sz w:val="24"/>
                <w:shd w:fill="FFFFFF" w:val="clear"/>
              </w:rPr>
              <w:t>技术，提供更舒适的浏览体验。浏览器兼容谷歌、火狐、</w:t>
            </w:r>
            <w:r>
              <w:rPr>
                <w:rFonts w:ascii="仿宋" w:hAnsi="仿宋" w:cs="仿宋" w:eastAsia="仿宋"/>
                <w:color w:val="000000"/>
                <w:sz w:val="24"/>
                <w:shd w:fill="FFFFFF" w:val="clear"/>
              </w:rPr>
              <w:t>360</w:t>
            </w:r>
            <w:r>
              <w:rPr>
                <w:rFonts w:ascii="仿宋" w:hAnsi="仿宋" w:cs="仿宋" w:eastAsia="仿宋"/>
                <w:color w:val="000000"/>
                <w:sz w:val="24"/>
                <w:shd w:fill="FFFFFF" w:val="clear"/>
              </w:rPr>
              <w:t>、</w:t>
            </w:r>
            <w:r>
              <w:rPr>
                <w:rFonts w:ascii="仿宋" w:hAnsi="仿宋" w:cs="仿宋" w:eastAsia="仿宋"/>
                <w:color w:val="000000"/>
                <w:sz w:val="24"/>
                <w:shd w:fill="FFFFFF" w:val="clear"/>
              </w:rPr>
              <w:t>IE8</w:t>
            </w:r>
            <w:r>
              <w:rPr>
                <w:rFonts w:ascii="仿宋" w:hAnsi="仿宋" w:cs="仿宋" w:eastAsia="仿宋"/>
                <w:color w:val="000000"/>
                <w:sz w:val="24"/>
                <w:shd w:fill="FFFFFF" w:val="clear"/>
              </w:rPr>
              <w:t>及</w:t>
            </w:r>
            <w:r>
              <w:rPr>
                <w:rFonts w:ascii="仿宋" w:hAnsi="仿宋" w:cs="仿宋" w:eastAsia="仿宋"/>
                <w:color w:val="000000"/>
                <w:sz w:val="24"/>
                <w:shd w:fill="FFFFFF" w:val="clear"/>
              </w:rPr>
              <w:t>IE8</w:t>
            </w:r>
            <w:r>
              <w:rPr>
                <w:rFonts w:ascii="仿宋" w:hAnsi="仿宋" w:cs="仿宋" w:eastAsia="仿宋"/>
                <w:color w:val="000000"/>
                <w:sz w:val="24"/>
                <w:shd w:fill="FFFFFF" w:val="clear"/>
              </w:rPr>
              <w:t>以上版本等主流浏览器。</w:t>
            </w:r>
          </w:p>
          <w:p>
            <w:pPr>
              <w:pStyle w:val="null3"/>
              <w:ind w:firstLine="480"/>
              <w:jc w:val="both"/>
            </w:pPr>
            <w:r>
              <w:rPr>
                <w:rFonts w:ascii="仿宋" w:hAnsi="仿宋" w:cs="仿宋" w:eastAsia="仿宋"/>
                <w:color w:val="000000"/>
                <w:sz w:val="24"/>
                <w:shd w:fill="FFFFFF" w:val="clear"/>
              </w:rPr>
              <w:t>3</w:t>
            </w:r>
            <w:r>
              <w:rPr>
                <w:rFonts w:ascii="仿宋" w:hAnsi="仿宋" w:cs="仿宋" w:eastAsia="仿宋"/>
                <w:color w:val="000000"/>
                <w:sz w:val="24"/>
                <w:shd w:fill="FFFFFF" w:val="clear"/>
              </w:rPr>
              <w:t>.6</w:t>
            </w:r>
            <w:r>
              <w:rPr>
                <w:rFonts w:ascii="仿宋" w:hAnsi="仿宋" w:cs="仿宋" w:eastAsia="仿宋"/>
                <w:color w:val="000000"/>
                <w:sz w:val="24"/>
                <w:shd w:fill="FFFFFF" w:val="clear"/>
              </w:rPr>
              <w:t>系统并发支撑能力。系统具备满足采购方</w:t>
            </w:r>
            <w:r>
              <w:rPr>
                <w:rFonts w:ascii="仿宋" w:hAnsi="仿宋" w:cs="仿宋" w:eastAsia="仿宋"/>
                <w:color w:val="000000"/>
                <w:sz w:val="24"/>
                <w:shd w:fill="FFFFFF" w:val="clear"/>
              </w:rPr>
              <w:t>10000</w:t>
            </w:r>
            <w:r>
              <w:rPr>
                <w:rFonts w:ascii="仿宋" w:hAnsi="仿宋" w:cs="仿宋" w:eastAsia="仿宋"/>
                <w:color w:val="000000"/>
                <w:sz w:val="24"/>
                <w:shd w:fill="FFFFFF" w:val="clear"/>
              </w:rPr>
              <w:t>用户并发运行，系统响应时间为秒级响应。支撑学生学习的服务器接入带宽不低于</w:t>
            </w:r>
            <w:r>
              <w:rPr>
                <w:rFonts w:ascii="仿宋" w:hAnsi="仿宋" w:cs="仿宋" w:eastAsia="仿宋"/>
                <w:color w:val="000000"/>
                <w:sz w:val="24"/>
                <w:shd w:fill="FFFFFF" w:val="clear"/>
              </w:rPr>
              <w:t>500MB</w:t>
            </w:r>
            <w:r>
              <w:rPr>
                <w:rFonts w:ascii="仿宋" w:hAnsi="仿宋" w:cs="仿宋" w:eastAsia="仿宋"/>
                <w:color w:val="000000"/>
                <w:sz w:val="24"/>
                <w:shd w:fill="FFFFFF" w:val="clear"/>
              </w:rPr>
              <w:t>，连通率不低于</w:t>
            </w:r>
            <w:r>
              <w:rPr>
                <w:rFonts w:ascii="仿宋" w:hAnsi="仿宋" w:cs="仿宋" w:eastAsia="仿宋"/>
                <w:color w:val="000000"/>
                <w:sz w:val="24"/>
                <w:shd w:fill="FFFFFF" w:val="clear"/>
              </w:rPr>
              <w:t>97%</w:t>
            </w:r>
            <w:r>
              <w:rPr>
                <w:rFonts w:ascii="仿宋" w:hAnsi="仿宋" w:cs="仿宋" w:eastAsia="仿宋"/>
                <w:color w:val="000000"/>
                <w:sz w:val="24"/>
                <w:shd w:fill="FFFFFF" w:val="clear"/>
              </w:rPr>
              <w:t>。具有独立的公用网络</w:t>
            </w:r>
            <w:r>
              <w:rPr>
                <w:rFonts w:ascii="仿宋" w:hAnsi="仿宋" w:cs="仿宋" w:eastAsia="仿宋"/>
                <w:color w:val="000000"/>
                <w:sz w:val="24"/>
                <w:shd w:fill="FFFFFF" w:val="clear"/>
              </w:rPr>
              <w:t>IP</w:t>
            </w:r>
            <w:r>
              <w:rPr>
                <w:rFonts w:ascii="仿宋" w:hAnsi="仿宋" w:cs="仿宋" w:eastAsia="仿宋"/>
                <w:color w:val="000000"/>
                <w:sz w:val="24"/>
                <w:shd w:fill="FFFFFF" w:val="clear"/>
              </w:rPr>
              <w:t>地址和域名。</w:t>
            </w:r>
          </w:p>
          <w:p>
            <w:pPr>
              <w:pStyle w:val="null3"/>
              <w:ind w:firstLine="480"/>
              <w:jc w:val="both"/>
            </w:pPr>
            <w:r>
              <w:rPr>
                <w:rFonts w:ascii="仿宋" w:hAnsi="仿宋" w:cs="仿宋" w:eastAsia="仿宋"/>
                <w:color w:val="000000"/>
                <w:sz w:val="24"/>
                <w:shd w:fill="FFFFFF" w:val="clear"/>
              </w:rPr>
              <w:t>3</w:t>
            </w:r>
            <w:r>
              <w:rPr>
                <w:rFonts w:ascii="仿宋" w:hAnsi="仿宋" w:cs="仿宋" w:eastAsia="仿宋"/>
                <w:color w:val="000000"/>
                <w:sz w:val="24"/>
                <w:shd w:fill="FFFFFF" w:val="clear"/>
              </w:rPr>
              <w:t>.7</w:t>
            </w:r>
            <w:r>
              <w:rPr>
                <w:rFonts w:ascii="仿宋" w:hAnsi="仿宋" w:cs="仿宋" w:eastAsia="仿宋"/>
                <w:color w:val="000000"/>
                <w:sz w:val="24"/>
                <w:shd w:fill="FFFFFF" w:val="clear"/>
              </w:rPr>
              <w:t>学生学习端。移动学习端支持移动端</w:t>
            </w:r>
            <w:r>
              <w:rPr>
                <w:rFonts w:ascii="仿宋" w:hAnsi="仿宋" w:cs="仿宋" w:eastAsia="仿宋"/>
                <w:color w:val="000000"/>
                <w:sz w:val="24"/>
                <w:shd w:fill="FFFFFF" w:val="clear"/>
              </w:rPr>
              <w:t>APP</w:t>
            </w:r>
            <w:r>
              <w:rPr>
                <w:rFonts w:ascii="仿宋" w:hAnsi="仿宋" w:cs="仿宋" w:eastAsia="仿宋"/>
                <w:color w:val="000000"/>
                <w:sz w:val="24"/>
                <w:shd w:fill="FFFFFF" w:val="clear"/>
              </w:rPr>
              <w:t>或微信小程序、</w:t>
            </w:r>
            <w:r>
              <w:rPr>
                <w:rFonts w:ascii="仿宋" w:hAnsi="仿宋" w:cs="仿宋" w:eastAsia="仿宋"/>
                <w:color w:val="000000"/>
                <w:sz w:val="24"/>
                <w:shd w:fill="FFFFFF" w:val="clear"/>
              </w:rPr>
              <w:t>PC</w:t>
            </w:r>
            <w:r>
              <w:rPr>
                <w:rFonts w:ascii="仿宋" w:hAnsi="仿宋" w:cs="仿宋" w:eastAsia="仿宋"/>
                <w:color w:val="000000"/>
                <w:sz w:val="24"/>
                <w:shd w:fill="FFFFFF" w:val="clear"/>
              </w:rPr>
              <w:t>端支持</w:t>
            </w:r>
            <w:r>
              <w:rPr>
                <w:rFonts w:ascii="仿宋" w:hAnsi="仿宋" w:cs="仿宋" w:eastAsia="仿宋"/>
                <w:color w:val="000000"/>
                <w:sz w:val="24"/>
                <w:shd w:fill="FFFFFF" w:val="clear"/>
              </w:rPr>
              <w:t>Windows</w:t>
            </w:r>
            <w:r>
              <w:rPr>
                <w:rFonts w:ascii="仿宋" w:hAnsi="仿宋" w:cs="仿宋" w:eastAsia="仿宋"/>
                <w:color w:val="000000"/>
                <w:sz w:val="24"/>
                <w:shd w:fill="FFFFFF" w:val="clear"/>
              </w:rPr>
              <w:t>、</w:t>
            </w:r>
            <w:r>
              <w:rPr>
                <w:rFonts w:ascii="仿宋" w:hAnsi="仿宋" w:cs="仿宋" w:eastAsia="仿宋"/>
                <w:color w:val="000000"/>
                <w:sz w:val="24"/>
                <w:shd w:fill="FFFFFF" w:val="clear"/>
              </w:rPr>
              <w:t>MacOS</w:t>
            </w:r>
            <w:r>
              <w:rPr>
                <w:rFonts w:ascii="仿宋" w:hAnsi="仿宋" w:cs="仿宋" w:eastAsia="仿宋"/>
                <w:color w:val="000000"/>
                <w:sz w:val="24"/>
                <w:shd w:fill="FFFFFF" w:val="clear"/>
              </w:rPr>
              <w:t>等操作系统。</w:t>
            </w:r>
          </w:p>
          <w:p>
            <w:pPr>
              <w:pStyle w:val="null3"/>
            </w:pPr>
            <w:r>
              <w:rPr>
                <w:rFonts w:ascii="仿宋" w:hAnsi="仿宋" w:cs="仿宋" w:eastAsia="仿宋"/>
                <w:color w:val="000000"/>
                <w:sz w:val="24"/>
                <w:shd w:fill="FFFFFF" w:val="clear"/>
              </w:rPr>
              <w:t>3</w:t>
            </w:r>
            <w:r>
              <w:rPr>
                <w:rFonts w:ascii="仿宋" w:hAnsi="仿宋" w:cs="仿宋" w:eastAsia="仿宋"/>
                <w:color w:val="000000"/>
                <w:sz w:val="24"/>
                <w:shd w:fill="FFFFFF" w:val="clear"/>
              </w:rPr>
              <w:t>.8</w:t>
            </w:r>
            <w:r>
              <w:rPr>
                <w:rFonts w:ascii="仿宋" w:hAnsi="仿宋" w:cs="仿宋" w:eastAsia="仿宋"/>
                <w:color w:val="000000"/>
                <w:sz w:val="24"/>
                <w:shd w:fill="FFFFFF" w:val="clear"/>
              </w:rPr>
              <w:t>信息标准。系统必须遵守《教育管理信息化标准》和《高等学校管理信息标准》等信息化标准，并符合学校最新制定的信息标准。</w:t>
            </w:r>
          </w:p>
        </w:tc>
      </w:tr>
    </w:tbl>
    <w:p>
      <w:pPr>
        <w:pStyle w:val="null3"/>
        <w:outlineLvl w:val="3"/>
      </w:pPr>
      <w:r>
        <w:rPr>
          <w:b/>
          <w:sz w:val="24"/>
        </w:rPr>
        <w:t>3.2.3人员配置要求</w:t>
      </w:r>
    </w:p>
    <w:p>
      <w:pPr>
        <w:pStyle w:val="null3"/>
      </w:pPr>
      <w:r>
        <w:rPr/>
        <w:t>采购包1：</w:t>
      </w:r>
    </w:p>
    <w:p>
      <w:pPr>
        <w:pStyle w:val="null3"/>
      </w:pPr>
      <w:r>
        <w:rPr/>
        <w:t>针对本项目的教学管理系统提供软件研发团队</w:t>
      </w:r>
    </w:p>
    <w:p>
      <w:pPr>
        <w:pStyle w:val="null3"/>
        <w:outlineLvl w:val="3"/>
      </w:pPr>
      <w:r>
        <w:rPr>
          <w:b/>
          <w:sz w:val="24"/>
        </w:rPr>
        <w:t>3.2.4设施设备配置要求</w:t>
      </w:r>
    </w:p>
    <w:p>
      <w:pPr>
        <w:pStyle w:val="null3"/>
      </w:pPr>
      <w:r>
        <w:rPr/>
        <w:t>采购包1：</w:t>
      </w:r>
    </w:p>
    <w:p>
      <w:pPr>
        <w:pStyle w:val="null3"/>
      </w:pPr>
      <w:r>
        <w:rPr/>
        <w:t>投标人针对本项目所拥有的网络课程资源与计划开设课程的匹配率不低于90%。（我校所涉及的课程资源详见附件“人才培养方案-教学进程安排表”）</w:t>
      </w:r>
    </w:p>
    <w:p>
      <w:pPr>
        <w:pStyle w:val="null3"/>
        <w:outlineLvl w:val="3"/>
      </w:pPr>
      <w:r>
        <w:rPr>
          <w:b/>
          <w:sz w:val="24"/>
        </w:rPr>
        <w:t>3.2.5其他要求</w:t>
      </w:r>
    </w:p>
    <w:p>
      <w:pPr>
        <w:pStyle w:val="null3"/>
      </w:pPr>
      <w:r>
        <w:rPr/>
        <w:t>采购包1：</w:t>
      </w:r>
    </w:p>
    <w:p>
      <w:pPr>
        <w:pStyle w:val="null3"/>
      </w:pPr>
      <w:r>
        <w:rPr/>
        <w:t>（1）供应商提供的项目实施方案，方案包含：①教学管理平台建设方案；②网络课程建设方案、③使用培训措施、④质量控制措施、⑤使用验收方案、⑥重大故障解决方案。 （2）供应商提供的售后服务方案，方案包含：①售后响应时间；②售后服务机构；③现场服务支持能力；④应急处理方式；⑤系统维护措施</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 xml:space="preserve"> 自合同签订之日起1095日</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3.3.3考核（验收）标准和方法</w:t>
      </w:r>
    </w:p>
    <w:p>
      <w:pPr>
        <w:pStyle w:val="null3"/>
      </w:pPr>
      <w:r>
        <w:rPr/>
        <w:t>采购包1：</w:t>
      </w:r>
    </w:p>
    <w:p>
      <w:pPr>
        <w:pStyle w:val="null3"/>
      </w:pPr>
      <w:r>
        <w:rPr/>
        <w:t>1.按国家有关规定以及采购人采购文件的质量要求和技术指标、中标人的响应文件及承诺与本合同约定标准进行验收；双方如对质量要求和技术指标的约定标准有相互抵触或异议的事项，由采购人在招标与响应文件中按质量要求和技术指标比较优胜的原则确定该项的约定标准进行验收。 2.验收时如发现所交付的学习平台、课程资源、运营服务或其它不符合标准及本合同规定之情形者，采购人应做出详尽的现场记录并由中标人签字确认，或由双方签署备忘录，此现场记录或备忘录可用作补充、缺失、更换平台配置或课程资源的有效证据，中标人负责在10日内补充、更换平台配置或课程资源，由此产生的时间延误与有关费用由中标人承担，验收期限相应顺延。 3.如中标人3次调试仍不能达到合同约定的质量标准，采购人有权终止合同，并视作中标人不能交付标的而须支付违约赔偿金给采购人，采购人还可依法追究中标人的违约责任。</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在2024级学生学年注册和2025级新生注册后，根据实际使用平台的学生人数计算总费用</w:t>
      </w:r>
      <w:r>
        <w:rPr/>
        <w:t xml:space="preserve"> ，达到付款条件起 </w:t>
      </w:r>
      <w:r>
        <w:rPr/>
        <w:t>15</w:t>
      </w:r>
      <w:r>
        <w:rPr/>
        <w:t xml:space="preserve"> 日内，支付合同总金额的 </w:t>
      </w:r>
      <w:r>
        <w:rPr/>
        <w:t>20.00</w:t>
      </w:r>
      <w:r>
        <w:rPr/>
        <w:t>%。</w:t>
      </w:r>
    </w:p>
    <w:p>
      <w:pPr>
        <w:pStyle w:val="null3"/>
      </w:pPr>
      <w:r>
        <w:rPr/>
        <w:t>采购包1：</w:t>
      </w:r>
      <w:r>
        <w:rPr/>
        <w:t xml:space="preserve"> 付款条件说明： </w:t>
      </w:r>
      <w:r>
        <w:rPr/>
        <w:t xml:space="preserve">2024级、2025级学生学年注册和2026级新生注册后，根据实际使用平台的学生人数计算总费用 </w:t>
      </w:r>
      <w:r>
        <w:rPr/>
        <w:t xml:space="preserve"> ，达到付款条件起 </w:t>
      </w:r>
      <w:r>
        <w:rPr/>
        <w:t>15</w:t>
      </w:r>
      <w:r>
        <w:rPr/>
        <w:t xml:space="preserve"> 日内，支付合同总金额的 </w:t>
      </w:r>
      <w:r>
        <w:rPr/>
        <w:t>40.00</w:t>
      </w:r>
      <w:r>
        <w:rPr/>
        <w:t>%。</w:t>
      </w:r>
    </w:p>
    <w:p>
      <w:pPr>
        <w:pStyle w:val="null3"/>
      </w:pPr>
      <w:r>
        <w:rPr/>
        <w:t>采购包1：</w:t>
      </w:r>
      <w:r>
        <w:rPr/>
        <w:t xml:space="preserve"> 付款条件说明： </w:t>
      </w:r>
      <w:r>
        <w:rPr/>
        <w:t>2025级、2026级学生学年注册和2027级新生注册后，根据实际使用平台的学生人数计算总费用</w:t>
      </w:r>
      <w:r>
        <w:rPr/>
        <w:t xml:space="preserve"> ，达到付款条件起 </w:t>
      </w:r>
      <w:r>
        <w:rPr/>
        <w:t>15</w:t>
      </w:r>
      <w:r>
        <w:rPr/>
        <w:t xml:space="preserve"> 日内，支付合同总金额的 </w:t>
      </w:r>
      <w:r>
        <w:rPr/>
        <w:t>40.00</w:t>
      </w:r>
      <w:r>
        <w:rPr/>
        <w:t>%。</w:t>
      </w:r>
    </w:p>
    <w:p>
      <w:pPr>
        <w:pStyle w:val="null3"/>
        <w:outlineLvl w:val="3"/>
      </w:pPr>
      <w:r>
        <w:rPr>
          <w:b/>
          <w:sz w:val="24"/>
        </w:rPr>
        <w:t>3.3.6违约责任与解决争议的方法</w:t>
      </w:r>
    </w:p>
    <w:p>
      <w:pPr>
        <w:pStyle w:val="null3"/>
      </w:pPr>
      <w:r>
        <w:rPr/>
        <w:t>采购包1：</w:t>
      </w:r>
    </w:p>
    <w:p>
      <w:pPr>
        <w:pStyle w:val="null3"/>
      </w:pPr>
      <w:r>
        <w:rPr/>
        <w:t>违约责任： 1.甲方无正当理由拒绝使用乙方提供服务、拒付服务费的，由甲方向乙方偿付合同总价5%违约金。 2.甲方应在合同规定时间内向乙方支付服务费，每逾期1天甲方向乙方偿付欠款总额0.01%每天的滞纳金，累计滞纳金总额不超过欠款总额的5% ，乙方逾期提供服务的，每逾期1天，乙方向甲方偿付逾期所供服务费总额的0.01%的滞纳金，累计滞纳金不超过逾期服务费总额的5%，逾期交货超过10天，甲方有权终止合同，并追究违约责任。 3.乙方所供服务内容不符合合同规定的，甲方有权拒绝。乙方向甲方支付服务费总额的5%违约金。 4.如经乙方调整服务内容，服务内容仍不能达到合同约定质量标准，甲方有权拒绝并中止乙方提供服务，要求乙方退回全部服务费，并赔偿甲方因此遭受的损失。 5.乙方所供服务必须权属清楚，不得侵害他人的知识产权，不违反国家有关法律要求；乙方保证所供数据库中的资源内容、版权及进货来源合法，乙方对所供应数据库资源的知识产权、进货来源负相应的法律责任。 6.甲方在中华人民共和国境内使用乙方提供的货物或服务时免受第三方提出的侵犯其专利权或其它知识产权的起诉。如果第三方提出侵权指控，乙方应承担由此而引起的一切法律责任和费用。 解决争议的方法：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p>
      <w:pPr>
        <w:pStyle w:val="null3"/>
        <w:jc w:val="left"/>
        <w:outlineLvl w:val="2"/>
      </w:pPr>
      <w:r>
        <w:rPr>
          <w:b/>
          <w:sz w:val="28"/>
        </w:rPr>
        <w:t>3.4其他要求</w:t>
      </w:r>
    </w:p>
    <w:p>
      <w:pPr>
        <w:pStyle w:val="null3"/>
      </w:pPr>
      <w:r>
        <w:rPr/>
        <w:t>实质性要求：1、费用计算方式及付款进度及方式： 平台使用服务费按年支付，每年平台使用服务费按当年实际使用人数*中标单价计算，当年服务期内完成新生注册后，采购人自收到中标供应商发票后15日内预付当年平台使用服务费的50%，当年服务完成后且考核合格采购人自收到中标供应商发票后15日内支付当年平台使用服务费剩余50%，当年平台使用服务费=当年非毕业生使用服务费+当年毕业生使用服务费，其中当年非毕业生使用服务费=非毕业生人数*中标单价，当年毕业生使用服务费=当年毕业生使用人数*中标单价*0.5(毕业生使用时间按0.5年计算);服务期限内总费用最高限价2664000元。（因电子化交易系统固有格式问题，本项目支付方式以此为准）。 2、售后服务及其他要求：（1）服务期间，供应商须提供课程资源、教材版本及配套平台的无条件升级服务，如课程资源升级或优秀课程资源替换服务、与课程资源配套的平台升级服务。平台根据学校教学计划更新提供相应课程资源服务。 （2）服务期内提供平台无条件更新升级，bug无条件修复。 （4）供应商具有成熟稳定的工作团队，须有负责我校高等学历继续教育网络学习平台及其运营服务项目的专门负责人及专业服务团队，能够全面实现上述主要功能或目标。 （5）培训服务：供应商需提供现场培训和远程培训，总体培训时间累计不少于16小时。培训内容包括学习平台各功能模块的使用方法和注意事项。培训对象：内江师范学院教学单位及校外教学点软件使用人员。 （6）提供7×24小时技术支持服务，系统出现一般故障时，在6小时内响应并提出解决方案，6小时之内解决故障。 （7）对于发现的软件自身功能问题，中标供应商须无条件提供技术支持、及时给予圆满解决。 （8）要保证学员信息的安全性，并能够按照学院要求导出已存储的所有信息。 （9）招生报名时段需使用学习平台运营服务，但不计入学习期限，不单独计费，不单独支付任何费用。</w:t>
      </w:r>
    </w:p>
    <w:p>
      <w:pPr>
        <w:pStyle w:val="null3"/>
      </w:pPr>
      <w:r>
        <w:rPr/>
        <w:t xml:space="preserve"> </w:t>
        <w:br/>
        <w:br w:type="page"/>
      </w:r>
    </w:p>
    <w:p>
      <w:pPr>
        <w:pStyle w:val="null3"/>
        <w:jc w:val="center"/>
        <w:outlineLvl w:val="1"/>
      </w:pPr>
      <w:r>
        <w:rPr>
          <w:b/>
          <w:sz w:val="36"/>
        </w:rPr>
        <w:t>第四章 资格审查</w:t>
      </w:r>
    </w:p>
    <w:p>
      <w:pPr>
        <w:pStyle w:val="null3"/>
      </w:pPr>
      <w:r>
        <w:rPr/>
        <w:t xml:space="preserve"> 资格审查由</w:t>
      </w:r>
      <w:r>
        <w:rPr/>
        <w:t>内江师范学院</w:t>
      </w:r>
      <w:r>
        <w:rPr/>
        <w:t>组建的资格审查小组依据法律法规和招标文件的规定，对投标文件中的资格证明等进行审查，以确定投标人是否具备投标资格，并出具资格审查报告。</w:t>
      </w:r>
    </w:p>
    <w:p>
      <w:pPr>
        <w:pStyle w:val="null3"/>
        <w:outlineLvl w:val="2"/>
      </w:pPr>
      <w:r>
        <w:rPr>
          <w:b/>
          <w:sz w:val="28"/>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 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910"/>
          </w:tcPr>
          <w:p>
            <w:pPr>
              <w:pStyle w:val="null3"/>
            </w:pPr>
            <w:r>
              <w:rPr/>
              <w:t>具有独立承担民事责任的能力证明材料 投标（响应）函</w:t>
            </w:r>
          </w:p>
        </w:tc>
      </w:tr>
      <w:tr>
        <w:tc>
          <w:tcPr>
            <w:tcW w:type="dxa" w:w="581"/>
          </w:tcPr>
          <w:p>
            <w:pPr>
              <w:pStyle w:val="null3"/>
              <w:jc w:val="center"/>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910"/>
          </w:tcPr>
          <w:p>
            <w:pPr>
              <w:pStyle w:val="null3"/>
            </w:pPr>
            <w:r>
              <w:rPr/>
              <w:t>投标（响应）函</w:t>
            </w:r>
          </w:p>
        </w:tc>
      </w:tr>
      <w:tr>
        <w:tc>
          <w:tcPr>
            <w:tcW w:type="dxa" w:w="581"/>
          </w:tcPr>
          <w:p>
            <w:pPr>
              <w:pStyle w:val="null3"/>
              <w:jc w:val="center"/>
            </w:pPr>
            <w:r>
              <w:rPr/>
              <w:t>3</w:t>
            </w:r>
          </w:p>
        </w:tc>
        <w:tc>
          <w:tcPr>
            <w:tcW w:type="dxa" w:w="2492"/>
          </w:tcPr>
          <w:p>
            <w:pPr>
              <w:pStyle w:val="null3"/>
            </w:pPr>
            <w:r>
              <w:rPr/>
              <w:t>具有健全的财务会计制度。</w:t>
            </w:r>
          </w:p>
        </w:tc>
        <w:tc>
          <w:tcPr>
            <w:tcW w:type="dxa" w:w="3322"/>
          </w:tcPr>
          <w:p>
            <w:pPr>
              <w:pStyle w:val="null3"/>
            </w:pPr>
            <w:r>
              <w:rPr/>
              <w:t>①可提供2021年以来任意一年年度经审计的财务报告扫描件（包含审计报告和审计报告中所涉及的财务报表和报表附注）；②也可提供2021年以来任意一年年度供应商内部财务报表扫描件（至少包含资产负债表）;③可提供截至投标文件递交截止日一年内银行出具的资信证明（扫描件）;④供应商注册时间截至投标文件递交截止日不足一年的，也可提供在工商备案的公司章程（扫描件）；）。 供应商需在项目电子化交易系统中按要求上传相应证明文件并进行电子签章。</w:t>
            </w:r>
          </w:p>
        </w:tc>
        <w:tc>
          <w:tcPr>
            <w:tcW w:type="dxa" w:w="1910"/>
          </w:tcPr>
          <w:p>
            <w:pPr>
              <w:pStyle w:val="null3"/>
            </w:pPr>
            <w:r>
              <w:rPr/>
              <w:t>投标（响应）函 投标人应提交的相关资格证明材料</w:t>
            </w:r>
          </w:p>
        </w:tc>
      </w:tr>
      <w:tr>
        <w:tc>
          <w:tcPr>
            <w:tcW w:type="dxa" w:w="581"/>
          </w:tcPr>
          <w:p>
            <w:pPr>
              <w:pStyle w:val="null3"/>
              <w:jc w:val="center"/>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910"/>
          </w:tcPr>
          <w:p>
            <w:pPr>
              <w:pStyle w:val="null3"/>
            </w:pPr>
            <w:r>
              <w:rPr/>
              <w:t>投标（响应）函</w:t>
            </w:r>
          </w:p>
        </w:tc>
      </w:tr>
      <w:tr>
        <w:tc>
          <w:tcPr>
            <w:tcW w:type="dxa" w:w="581"/>
          </w:tcPr>
          <w:p>
            <w:pPr>
              <w:pStyle w:val="null3"/>
              <w:jc w:val="center"/>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910"/>
          </w:tcPr>
          <w:p>
            <w:pPr>
              <w:pStyle w:val="null3"/>
            </w:pPr>
            <w:r>
              <w:rPr/>
              <w:t>投标（响应）函</w:t>
            </w:r>
          </w:p>
        </w:tc>
      </w:tr>
      <w:tr>
        <w:tc>
          <w:tcPr>
            <w:tcW w:type="dxa" w:w="581"/>
          </w:tcPr>
          <w:p>
            <w:pPr>
              <w:pStyle w:val="null3"/>
              <w:jc w:val="center"/>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910"/>
          </w:tcPr>
          <w:p>
            <w:pPr>
              <w:pStyle w:val="null3"/>
            </w:pPr>
            <w:r>
              <w:rPr/>
              <w:t>投标（响应）函</w:t>
            </w:r>
          </w:p>
        </w:tc>
      </w:tr>
      <w:tr>
        <w:tc>
          <w:tcPr>
            <w:tcW w:type="dxa" w:w="581"/>
          </w:tcPr>
          <w:p>
            <w:pPr>
              <w:pStyle w:val="null3"/>
              <w:jc w:val="center"/>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910"/>
          </w:tcPr>
          <w:p>
            <w:pPr>
              <w:pStyle w:val="null3"/>
            </w:pPr>
            <w:r>
              <w:rPr/>
              <w:t>投标（响应）函</w:t>
            </w:r>
          </w:p>
        </w:tc>
      </w:tr>
      <w:tr>
        <w:tc>
          <w:tcPr>
            <w:tcW w:type="dxa" w:w="581"/>
          </w:tcPr>
          <w:p>
            <w:pPr>
              <w:pStyle w:val="null3"/>
              <w:jc w:val="center"/>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910"/>
          </w:tcPr>
          <w:p>
            <w:pPr>
              <w:pStyle w:val="null3"/>
            </w:pPr>
            <w:r>
              <w:rPr/>
              <w:t>投标（响应）函</w:t>
            </w:r>
          </w:p>
        </w:tc>
      </w:tr>
    </w:tbl>
    <w:p>
      <w:pPr>
        <w:pStyle w:val="null3"/>
        <w:outlineLvl w:val="2"/>
      </w:pPr>
      <w:r>
        <w:rPr>
          <w:b/>
          <w:sz w:val="28"/>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pPr>
            <w:r>
              <w:rPr/>
              <w:t xml:space="preserve"> 无</w:t>
            </w:r>
          </w:p>
        </w:tc>
      </w:tr>
    </w:tbl>
    <w:p>
      <w:pPr>
        <w:pStyle w:val="null3"/>
        <w:outlineLvl w:val="2"/>
      </w:pPr>
      <w:r>
        <w:rPr>
          <w:b/>
          <w:sz w:val="28"/>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outlineLvl w:val="2"/>
      </w:pPr>
      <w:r>
        <w:rPr>
          <w:b/>
          <w:sz w:val="28"/>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 xml:space="preserve"> 一、本项目评标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5.3评标方法</w:t>
      </w:r>
    </w:p>
    <w:p>
      <w:pPr>
        <w:pStyle w:val="null3"/>
      </w:pPr>
      <w:r>
        <w:rPr/>
        <w:t>采购包1：综合评分法</w:t>
      </w:r>
    </w:p>
    <w:p>
      <w:pPr>
        <w:pStyle w:val="null3"/>
        <w:outlineLvl w:val="2"/>
      </w:pPr>
      <w:r>
        <w:rPr>
          <w:b/>
          <w:sz w:val="28"/>
        </w:rPr>
        <w:t>5.4评标程序</w:t>
      </w:r>
    </w:p>
    <w:p>
      <w:pPr>
        <w:pStyle w:val="null3"/>
        <w:outlineLvl w:val="3"/>
      </w:pPr>
      <w:r>
        <w:rPr>
          <w:b/>
          <w:sz w:val="24"/>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四川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pPr>
            <w:r>
              <w:rPr/>
              <w:t>开标一览表</w:t>
            </w:r>
          </w:p>
        </w:tc>
      </w:tr>
      <w:tr>
        <w:tc>
          <w:tcPr>
            <w:tcW w:type="dxa" w:w="581"/>
          </w:tcPr>
          <w:p>
            <w:pPr>
              <w:pStyle w:val="null3"/>
              <w:jc w:val="center"/>
            </w:pPr>
            <w:r>
              <w:rPr/>
              <w:t>2</w:t>
            </w:r>
          </w:p>
        </w:tc>
        <w:tc>
          <w:tcPr>
            <w:tcW w:type="dxa" w:w="2492"/>
          </w:tcPr>
          <w:p>
            <w:pPr>
              <w:pStyle w:val="null3"/>
            </w:pPr>
            <w:r>
              <w:rPr/>
              <w:t>招标文件第三章中的商务要求的条款（实质性要求）</w:t>
            </w:r>
          </w:p>
        </w:tc>
        <w:tc>
          <w:tcPr>
            <w:tcW w:type="dxa" w:w="3322"/>
          </w:tcPr>
          <w:p>
            <w:pPr>
              <w:pStyle w:val="null3"/>
            </w:pPr>
            <w:r>
              <w:rPr/>
              <w:t>按招标文件中商务要求的进行响应</w:t>
            </w:r>
          </w:p>
        </w:tc>
        <w:tc>
          <w:tcPr>
            <w:tcW w:type="dxa" w:w="1910"/>
          </w:tcPr>
          <w:p>
            <w:pPr>
              <w:pStyle w:val="null3"/>
            </w:pPr>
            <w:r>
              <w:rPr/>
              <w:t>商务应答表</w:t>
            </w:r>
          </w:p>
        </w:tc>
      </w:tr>
      <w:tr>
        <w:tc>
          <w:tcPr>
            <w:tcW w:type="dxa" w:w="581"/>
          </w:tcPr>
          <w:p>
            <w:pPr>
              <w:pStyle w:val="null3"/>
              <w:jc w:val="center"/>
            </w:pPr>
            <w:r>
              <w:rPr/>
              <w:t>3</w:t>
            </w:r>
          </w:p>
        </w:tc>
        <w:tc>
          <w:tcPr>
            <w:tcW w:type="dxa" w:w="2492"/>
          </w:tcPr>
          <w:p>
            <w:pPr>
              <w:pStyle w:val="null3"/>
            </w:pPr>
            <w:r>
              <w:rPr/>
              <w:t>其他实质性要求响应情况</w:t>
            </w:r>
          </w:p>
        </w:tc>
        <w:tc>
          <w:tcPr>
            <w:tcW w:type="dxa" w:w="3322"/>
          </w:tcPr>
          <w:p>
            <w:pPr>
              <w:pStyle w:val="null3"/>
            </w:pPr>
            <w:r>
              <w:rPr/>
              <w:t>按招标文件中要求进行响应</w:t>
            </w:r>
          </w:p>
        </w:tc>
        <w:tc>
          <w:tcPr>
            <w:tcW w:type="dxa" w:w="1910"/>
          </w:tcPr>
          <w:p>
            <w:pPr>
              <w:pStyle w:val="null3"/>
            </w:pPr>
            <w:r>
              <w:rPr/>
              <w:t>开标一览表 分项报价表 商务应答表 服务内容及服务要求应答表 其他证明材料</w:t>
            </w:r>
          </w:p>
        </w:tc>
      </w:tr>
      <w:tr>
        <w:tc>
          <w:tcPr>
            <w:tcW w:type="dxa" w:w="581"/>
          </w:tcPr>
          <w:p>
            <w:pPr>
              <w:pStyle w:val="null3"/>
              <w:jc w:val="center"/>
            </w:pPr>
            <w:r>
              <w:rPr/>
              <w:t>4</w:t>
            </w:r>
          </w:p>
        </w:tc>
        <w:tc>
          <w:tcPr>
            <w:tcW w:type="dxa" w:w="2492"/>
          </w:tcPr>
          <w:p>
            <w:pPr>
              <w:pStyle w:val="null3"/>
            </w:pPr>
            <w:r>
              <w:rPr/>
              <w:t>投标文件符合性审查部分签章</w:t>
            </w:r>
          </w:p>
        </w:tc>
        <w:tc>
          <w:tcPr>
            <w:tcW w:type="dxa" w:w="3322"/>
          </w:tcPr>
          <w:p>
            <w:pPr>
              <w:pStyle w:val="null3"/>
            </w:pPr>
            <w:r>
              <w:rPr/>
              <w:t>按照招标文件要求进行签章。</w:t>
            </w:r>
          </w:p>
        </w:tc>
        <w:tc>
          <w:tcPr>
            <w:tcW w:type="dxa" w:w="1910"/>
          </w:tcPr>
          <w:p>
            <w:pPr>
              <w:pStyle w:val="null3"/>
            </w:pPr>
            <w:r>
              <w:rPr/>
              <w:t>开标一览表 方案 业绩证明材料 分项报价表 具有独立承担民事责任的能力证明材料 商务应答表 服务内容及服务要求应答表 投标文件封面 其他证明材料</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b/>
          <w:sz w:val="24"/>
        </w:rPr>
        <w:t>5.4.6确定中标候选人名单</w:t>
      </w:r>
    </w:p>
    <w:p>
      <w:pPr>
        <w:pStyle w:val="null3"/>
      </w:pPr>
      <w:r>
        <w:rPr/>
        <w:t>采购包1：</w:t>
      </w:r>
      <w:r>
        <w:rPr/>
        <w:t>确定3名中标候选人。</w:t>
      </w:r>
    </w:p>
    <w:p>
      <w:pPr>
        <w:pStyle w:val="null3"/>
        <w:ind w:firstLine="480"/>
      </w:pPr>
      <w:r>
        <w:rPr/>
        <w:t>（综合评分法适用）按投标人综合得分从高到低顺序排列，确定中标候选人。综合得分相同的，按投标报价由低到高顺序排列；得分且投标报价相同的，按投标人提供的优先采购产品认证证书数量由多到少顺序排列；得分且投标报价且提供的优先采购产品认证证书数量相同的并列。中标候选人并列的，由评标委员会根据招标文件规定的推荐中标候选人数量，在排名并列的中标候选人中，采取随机抽取的方式确定中标候选人排名顺序。投标文件满足招标文件全部实质性要求，且按照评审因素的量化指标评审得分最高的投标人为排名第一的中标候选人。</w:t>
      </w:r>
    </w:p>
    <w:p>
      <w:pPr>
        <w:pStyle w:val="null3"/>
        <w:ind w:firstLine="480"/>
      </w:pPr>
      <w:r>
        <w:rPr/>
        <w:t>（最低评标价法适用）按投标人投标报价从低到高顺序排列，确定中标候选人。投标报价相同的，按投标人提供的优先采购产品认证证书数量由多到少顺序排列；投标报价且提供的优先采购产品认证证书数量相同的并列。中标候选人并列的，由评标委员会根据招标文件规定的推荐中标候选人数量，在排名并列的中标候选人中，采取随机抽取的方式确定中标候选人排名顺序。投标文件满足招标文件全部实质性要求且投标报价最低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详细评审85.00分</w:t>
            </w:r>
          </w:p>
          <w:p>
            <w:pPr>
              <w:pStyle w:val="null3"/>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功能或目标要求</w:t>
            </w:r>
          </w:p>
        </w:tc>
        <w:tc>
          <w:tcPr>
            <w:tcW w:type="dxa" w:w="2492"/>
          </w:tcPr>
          <w:p>
            <w:pPr>
              <w:pStyle w:val="null3"/>
            </w:pPr>
            <w:r>
              <w:rPr/>
              <w:t>完全符合招标文件第三章中“3.2.2服务要求”的共计得31分： 1、带“▲”条款为重要条款，共4条，每条2分，完全满足得8分。每一条中存在不满足或负偏离的扣2分，每一条最多扣2分，扣完为止。 2、带“◆”的为一般条款，共23条，每条1分，完全满足得23分。每一条中存在不满足或负偏离的扣1分，每一条最多扣1分，扣完为止。 注：①不满足或负偏离是指：投标人未按要求提供相关证明材料的，或提供的证明材料低于招标文件要求、有缺失项、存在不适用项目实际情况的情形。 ②带“▲”条款应按招标文件要求提供相关证明材料；带“◆的条款应按招标文件要求进行响应。否则将视为不满足或负偏离。</w:t>
            </w:r>
          </w:p>
        </w:tc>
        <w:tc>
          <w:tcPr>
            <w:tcW w:type="dxa" w:w="831"/>
          </w:tcPr>
          <w:p>
            <w:pPr>
              <w:pStyle w:val="null3"/>
              <w:jc w:val="right"/>
            </w:pPr>
            <w:r>
              <w:rPr/>
              <w:t>31.00</w:t>
            </w:r>
          </w:p>
        </w:tc>
        <w:tc>
          <w:tcPr>
            <w:tcW w:type="dxa" w:w="831"/>
          </w:tcPr>
          <w:p>
            <w:pPr>
              <w:pStyle w:val="null3"/>
            </w:pPr>
            <w:r>
              <w:rPr/>
              <w:t>客观</w:t>
            </w:r>
          </w:p>
        </w:tc>
        <w:tc>
          <w:tcPr>
            <w:tcW w:type="dxa" w:w="1661"/>
          </w:tcPr>
          <w:p>
            <w:pPr>
              <w:pStyle w:val="null3"/>
            </w:pPr>
            <w:r>
              <w:rPr/>
              <w:t>服务内容及服务要求应答表</w:t>
            </w:r>
          </w:p>
          <w:p>
            <w:pPr>
              <w:pStyle w:val="null3"/>
            </w:pPr>
            <w:r>
              <w:rPr/>
              <w:t>其他证明材料</w:t>
            </w:r>
          </w:p>
        </w:tc>
      </w:tr>
      <w:tr>
        <w:tc>
          <w:tcPr>
            <w:tcW w:type="dxa" w:w="831"/>
            <w:vMerge/>
          </w:tcPr>
          <w:p/>
        </w:tc>
        <w:tc>
          <w:tcPr>
            <w:tcW w:type="dxa" w:w="1661"/>
          </w:tcPr>
          <w:p>
            <w:pPr>
              <w:pStyle w:val="null3"/>
            </w:pPr>
            <w:r>
              <w:rPr/>
              <w:t>项目实施方案</w:t>
            </w:r>
          </w:p>
        </w:tc>
        <w:tc>
          <w:tcPr>
            <w:tcW w:type="dxa" w:w="2492"/>
          </w:tcPr>
          <w:p>
            <w:pPr>
              <w:pStyle w:val="null3"/>
            </w:pPr>
            <w:r>
              <w:rPr/>
              <w:t>1、供应商提供的项目实施方案，方案包含：①教学管理平台建设方案；②网络课程建设方案；③使用培训措施；④质量控制措施；⑤使用验收方案；⑥重大故障解决方案。完整提供上述方案的得9分。方案中存在缺项的，每有一处扣1.5分；方案中存在缺陷或不足且不利于项目实施的，每有一处扣0.5分，扣完为止。 注：缺陷或不足是指：存在不适用项目实际情况的情形、凭空编造或缺少关键节点、套用其他项目方案、内容前后矛盾、涉及的规范及标准错误、不利于项目实施、不可能实现的情形等任意一种情形。</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服务方案</w:t>
            </w:r>
          </w:p>
        </w:tc>
        <w:tc>
          <w:tcPr>
            <w:tcW w:type="dxa" w:w="2492"/>
          </w:tcPr>
          <w:p>
            <w:pPr>
              <w:pStyle w:val="null3"/>
            </w:pPr>
            <w:r>
              <w:rPr/>
              <w:t>1、供应商提供的售后服务方案，方案包含：①售后响应时间；②售后服务机构；③现场服务支持能力；④应急处理方式；⑤系统维护措施。完全响应且符合项目需求、有利于项目实施的得5分。方案中存在缺项的，每有一处扣1分；方案中存在缺陷或不足且不利于项目实施的，每有一处扣0.5分，扣完为止。 注：缺陷或不足是指：存在不适用项目实际情况的情形、凭空编造或缺少关键节点、套用其他项目方案、内容前后矛盾、涉及的规范及标准错误、不利于项目实施、不可能实现的情形等任意一种情形。</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方案</w:t>
            </w:r>
          </w:p>
        </w:tc>
      </w:tr>
      <w:tr>
        <w:tc>
          <w:tcPr>
            <w:tcW w:type="dxa" w:w="831"/>
            <w:vMerge/>
          </w:tcPr>
          <w:p/>
        </w:tc>
        <w:tc>
          <w:tcPr>
            <w:tcW w:type="dxa" w:w="1661"/>
          </w:tcPr>
          <w:p>
            <w:pPr>
              <w:pStyle w:val="null3"/>
            </w:pPr>
            <w:r>
              <w:rPr/>
              <w:t>业绩</w:t>
            </w:r>
          </w:p>
        </w:tc>
        <w:tc>
          <w:tcPr>
            <w:tcW w:type="dxa" w:w="2492"/>
          </w:tcPr>
          <w:p>
            <w:pPr>
              <w:pStyle w:val="null3"/>
            </w:pPr>
            <w:r>
              <w:rPr/>
              <w:t>1、2020年1月1日（合同签订时间，含1日）至今，供应商每具有一个类似业绩的得1分，最高得10分。 注：需提供合同关键页（包含项目名称、合同标的、双方签字盖章页及合同签订日期等内容）复印件并加盖鲜章，否则不得分。 1、类似业绩指高等教育平台服务类。 2、同一采购人合同业绩不可累加。</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业绩证明材料</w:t>
            </w:r>
          </w:p>
        </w:tc>
      </w:tr>
      <w:tr>
        <w:tc>
          <w:tcPr>
            <w:tcW w:type="dxa" w:w="831"/>
            <w:vMerge/>
          </w:tcPr>
          <w:p/>
        </w:tc>
        <w:tc>
          <w:tcPr>
            <w:tcW w:type="dxa" w:w="1661"/>
          </w:tcPr>
          <w:p>
            <w:pPr>
              <w:pStyle w:val="null3"/>
            </w:pPr>
            <w:r>
              <w:rPr/>
              <w:t>课程资源一致度</w:t>
            </w:r>
          </w:p>
        </w:tc>
        <w:tc>
          <w:tcPr>
            <w:tcW w:type="dxa" w:w="2492"/>
          </w:tcPr>
          <w:p>
            <w:pPr>
              <w:pStyle w:val="null3"/>
            </w:pPr>
            <w:r>
              <w:rPr/>
              <w:t>1、投标人承诺针对本项目所拥有的网络课程资源与计划所开课程的匹配率达到90%（含）~95%（不含）的，得3分。课程资源匹配率达到95%（含）~100%（含）的，得5分，低于90%不得分。 注：提供承诺函并加盖投标人公章。</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其他证明材料</w:t>
            </w:r>
          </w:p>
        </w:tc>
      </w:tr>
      <w:tr>
        <w:tc>
          <w:tcPr>
            <w:tcW w:type="dxa" w:w="831"/>
            <w:vMerge/>
          </w:tcPr>
          <w:p/>
        </w:tc>
        <w:tc>
          <w:tcPr>
            <w:tcW w:type="dxa" w:w="1661"/>
          </w:tcPr>
          <w:p>
            <w:pPr>
              <w:pStyle w:val="null3"/>
            </w:pPr>
            <w:r>
              <w:rPr/>
              <w:t>现场演示</w:t>
            </w:r>
          </w:p>
        </w:tc>
        <w:tc>
          <w:tcPr>
            <w:tcW w:type="dxa" w:w="2492"/>
          </w:tcPr>
          <w:p>
            <w:pPr>
              <w:pStyle w:val="null3"/>
            </w:pPr>
            <w:r>
              <w:rPr/>
              <w:t>投标人针对招标文件第三章中“3.2.2服务要求“●”号项进行演示共10项，每演示1项且符合要求的得2分，不满足不得分，满分20分。 演示设备：演示所需设备由投标人自行准备。 演示时间：每个投标人演示时间不超过20分钟，不包含评委提问解答时间。 演示采用真实系统演示，否则不得分。 1、录取通知书管理：支持按照内江师范学院成人高等教育录取通知书模板后台批量、单个打印录取通知书。支持生成独立的录取通知书查询链接地址，学生通过输入姓名和证件号，查询到录取信息并且可自主下载录取通知书。（演示时通知书模板可自行选择）。 2、课程在线学习的人脸识别和抓拍功能：学生登录平台进行在线课程学习时，系统要能根据四川省教育考试院成考录取照片（或学校提供的学生初始照片）进行人脸识别，“人脸识别”结果为“通过”、“未通过”，结果为“未通过”的不能进行在线课程学习。学生在观看视频的过程中，支持设置定时抓拍或随机抓拍1次、抓拍间隔时间、app识别或电脑摄像头识别方式、识别失败限制学习、识别失败次数累计超过设置上限次数，清除学习记录等设置。 3、在线课程视频播放控制功能：课程教学视频文件应具有“防拖拽和防窗口切换”功能，即视频播放时无法进行快进、拖拽，打开章节学习的时候不能再打开其它网页，否则视频播放停止。同时在章节视频中可以插入测验题，学生作答后才能继续学习。支持学生观看章节视频时自动连播。 4、数据列表页面“显示字段”的可选择功能：根据现场专家选择的任一功能菜单，在打开的数据列表页面，可实现对当前页面显示的数据列表进行“显示字段”的选择，如选择只显示1、3、5、7列。 5、新生报道：支持按年级设置需要进行首次登录信息确认的学生，支持设置学生首次登录系统是否开启电子签名、显示入学照片、开启人脸识别。支持开启入学承诺书、入学告知书，并支持通过富文本框格式设置入学承诺书、入学告知书内容。支持自定义设置需要确认的学籍信息字段和需要完善的信息字段，含个人详细信息、家庭成员信息、前置学历信息、过往履历信息等。 6、学校自建课程教学资源包导入功能：对于学校自建课程教学资源（供应商自行选择任一课程资源进行导入演示），支持一键引用视频、课件、题库等资源建成自己的课程。 7、题库管理功能：支持直接从word文档中对每种不同题型自动进行识别，并自动转换成对应的格式归类录入题库，识别错误时可以在线调整后再次录入。支持直接从网络教学平台建设的网络课程中引用试题。 8、考试管理功能：答题管理端支持自主设置学生答题是否允许上传附件，附件可配置为：图片，拍照，音视频，压缩文件等。支持智能组卷，即支持设置好组卷逻辑之后，可以从指定的题库中按照设置的组卷逻辑进行随机抽题组卷，抽取试卷时可以指定题库文件夹、难易程度、知识点分类等，支持设置组卷的题目重复率。 9、学士学位授予规则的设置功能：支持按照学校学士学位授予条件设置学位规则，只有符合条件的学生才能申请学位，并支持相关管理人员按年级、姓名、专业等条件根据学位规则搜索符合学位授予条件的学生，符合条件的学生信息支持按Excel等文件格式予以导出。 10、同步课堂：教师通过移动端进行ppt讲解，并在讲解过程中进行录音，形成ppt画面与录音同步播放的视频资源，支持将录制好的视频插入课程章节。 注：不满足情形为：演示内容低于或未达到演示要求、有缺失项、功能不完整，存在不适用项目实际情况的情形。</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现场演示</w:t>
            </w:r>
          </w:p>
        </w:tc>
      </w:tr>
      <w:tr>
        <w:tc>
          <w:tcPr>
            <w:tcW w:type="dxa" w:w="831"/>
            <w:vMerge/>
          </w:tcPr>
          <w:p/>
        </w:tc>
        <w:tc>
          <w:tcPr>
            <w:tcW w:type="dxa" w:w="1661"/>
          </w:tcPr>
          <w:p>
            <w:pPr>
              <w:pStyle w:val="null3"/>
            </w:pPr>
            <w:r>
              <w:rPr/>
              <w:t>履约能力</w:t>
            </w:r>
          </w:p>
        </w:tc>
        <w:tc>
          <w:tcPr>
            <w:tcW w:type="dxa" w:w="2492"/>
          </w:tcPr>
          <w:p>
            <w:pPr>
              <w:pStyle w:val="null3"/>
            </w:pPr>
            <w:r>
              <w:rPr/>
              <w:t>1、软件著作权：投标人提供针对本项目所投业务系统中任意一个业务系统具有软件著作权的得2分。 注：（1）以上材料须提供相应有效证书复印件并加盖供应商公章。 2、供应商拟投入本项目的教学管理系统软件研发团队：每具有1名高级软件工程师得0.5分，最高得3分。 注：（1）需提供相应证书复印件以及在职证明材料予以佐证。</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其他证明材料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1、满足招标文件要求且投标报价最低的报价为评标基准价，其价格分为满分。其他投标人的价格分统一按照下列公式计算：投标报价得分=(评标基准价／投标报价)×15%×100。</w:t>
            </w:r>
          </w:p>
        </w:tc>
        <w:tc>
          <w:tcPr>
            <w:tcW w:type="dxa" w:w="831"/>
          </w:tcPr>
          <w:p>
            <w:pPr>
              <w:pStyle w:val="null3"/>
              <w:jc w:val="right"/>
            </w:pPr>
            <w:r>
              <w:rPr/>
              <w:t>15.00</w:t>
            </w:r>
          </w:p>
        </w:tc>
        <w:tc>
          <w:tcPr>
            <w:tcW w:type="dxa" w:w="831"/>
          </w:tcPr>
          <w:p>
            <w:pPr>
              <w:pStyle w:val="null3"/>
            </w:pPr>
            <w:r>
              <w:rPr/>
              <w:t>客观</w:t>
            </w:r>
          </w:p>
        </w:tc>
        <w:tc>
          <w:tcPr>
            <w:tcW w:type="dxa" w:w="1661"/>
          </w:tcPr>
          <w:p>
            <w:pPr>
              <w:pStyle w:val="null3"/>
            </w:pPr>
            <w:r>
              <w:rPr/>
              <w:t>开标一览表</w:t>
            </w:r>
          </w:p>
          <w:p>
            <w:pPr>
              <w:pStyle w:val="null3"/>
            </w:pPr>
            <w:r>
              <w:rPr/>
              <w:t>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价格扣除评审内容</w:t>
            </w:r>
          </w:p>
        </w:tc>
        <w:tc>
          <w:tcPr>
            <w:tcW w:type="dxa" w:w="1661"/>
          </w:tcPr>
          <w:p>
            <w:pPr>
              <w:pStyle w:val="null3"/>
            </w:pPr>
            <w:r>
              <w:rPr/>
              <w:t xml:space="preserve"> 适用情形</w:t>
            </w:r>
          </w:p>
        </w:tc>
        <w:tc>
          <w:tcPr>
            <w:tcW w:type="dxa" w:w="831"/>
          </w:tcPr>
          <w:p>
            <w:pPr>
              <w:pStyle w:val="null3"/>
            </w:pPr>
            <w:r>
              <w:rPr/>
              <w:t xml:space="preserve"> 扣除比例（C1）</w:t>
            </w:r>
          </w:p>
        </w:tc>
        <w:tc>
          <w:tcPr>
            <w:tcW w:type="dxa" w:w="1661"/>
          </w:tcPr>
          <w:p>
            <w:pPr>
              <w:pStyle w:val="null3"/>
            </w:pPr>
            <w:r>
              <w:rPr/>
              <w:t xml:space="preserve"> 具体标准和要求</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落实支持中小企业发展政策</w:t>
            </w:r>
          </w:p>
        </w:tc>
        <w:tc>
          <w:tcPr>
            <w:tcW w:type="dxa" w:w="1661"/>
          </w:tcPr>
          <w:p>
            <w:pPr>
              <w:pStyle w:val="null3"/>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661"/>
          </w:tcPr>
          <w:p>
            <w:pPr>
              <w:pStyle w:val="null3"/>
            </w:pPr>
            <w:r>
              <w:rPr/>
              <w:t>开标一览表</w:t>
            </w:r>
          </w:p>
          <w:p>
            <w:pPr>
              <w:pStyle w:val="null3"/>
            </w:pPr>
            <w:r>
              <w:rPr/>
              <w:t>分项报价表</w:t>
            </w:r>
          </w:p>
          <w:p>
            <w:pPr>
              <w:pStyle w:val="null3"/>
            </w:pPr>
            <w:r>
              <w:rPr/>
              <w:t>中小企业声明函</w:t>
            </w:r>
          </w:p>
          <w:p>
            <w:pPr>
              <w:pStyle w:val="null3"/>
            </w:pPr>
            <w:r>
              <w:rPr/>
              <w:t>残疾人福利性单位声明函</w:t>
            </w:r>
          </w:p>
          <w:p>
            <w:pPr>
              <w:pStyle w:val="null3"/>
            </w:pPr>
            <w:r>
              <w:rPr/>
              <w:t>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废标后，代理机构将在四川政府采购网上公告。对于评标过程中废标的采购项目，评标委员会应当对招标文件是否存在倾向性和歧视性、是否存在不合理条款进行论证，并出具书面论证意见。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四、根据确定的中标供应商，代理机构在四川政府采购网上发布中标结果公告，通过项目电子化交易系统向中标供应商发出中标通知书。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（五）在评审过程中和评审结束后，不得记录、复制或带走任何评审资料，除因履行本规程第十三条第（六）项规定的义务外，不得向外界透露评审内容。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第6章投标文件格式</w:t>
      </w:r>
    </w:p>
    <w:p>
      <w:pPr>
        <w:pStyle w:val="null3"/>
        <w:outlineLvl w:val="2"/>
      </w:pPr>
      <w:r>
        <w:rPr>
          <w:b/>
          <w:sz w:val="28"/>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详见附件：商务应答表</w:t>
      </w:r>
    </w:p>
    <w:p>
      <w:pPr>
        <w:pStyle w:val="null3"/>
        <w:ind w:firstLine="960"/>
      </w:pPr>
      <w:r>
        <w:rPr/>
        <w:t>详见附件：开标一览表</w:t>
      </w:r>
    </w:p>
    <w:p>
      <w:pPr>
        <w:pStyle w:val="null3"/>
        <w:ind w:firstLine="960"/>
      </w:pPr>
      <w:r>
        <w:rPr/>
        <w:t>详见附件：分项报价表</w:t>
      </w:r>
    </w:p>
    <w:p>
      <w:pPr>
        <w:pStyle w:val="null3"/>
        <w:ind w:firstLine="960"/>
      </w:pPr>
      <w:r>
        <w:rPr/>
        <w:t>详见附件：服务内容及服务要求应答表</w:t>
      </w:r>
    </w:p>
    <w:p>
      <w:pPr>
        <w:pStyle w:val="null3"/>
        <w:ind w:firstLine="960"/>
      </w:pPr>
      <w:r>
        <w:rPr/>
        <w:t>详见附件：具有独立承担民事责任的能力证明材料</w:t>
      </w:r>
    </w:p>
    <w:p>
      <w:pPr>
        <w:pStyle w:val="null3"/>
        <w:ind w:firstLine="960"/>
      </w:pPr>
      <w:r>
        <w:rPr/>
        <w:t>详见附件：其他证明材料</w:t>
      </w:r>
    </w:p>
    <w:p>
      <w:pPr>
        <w:pStyle w:val="null3"/>
        <w:ind w:firstLine="960"/>
      </w:pPr>
      <w:r>
        <w:rPr/>
        <w:t>详见附件：方案</w:t>
      </w:r>
    </w:p>
    <w:p>
      <w:pPr>
        <w:pStyle w:val="null3"/>
        <w:ind w:firstLine="960"/>
      </w:pPr>
      <w:r>
        <w:rPr/>
        <w:t>详见附件：业绩证明材料</w:t>
      </w:r>
    </w:p>
    <w:p>
      <w:pPr>
        <w:pStyle w:val="null3"/>
        <w:ind w:firstLine="960"/>
      </w:pPr>
      <w:r>
        <w:rPr/>
        <w:t>详见附件：现场演示</w:t>
      </w:r>
    </w:p>
    <w:p>
      <w:pPr>
        <w:pStyle w:val="null3"/>
      </w:pPr>
      <w:r>
        <w:rPr/>
        <w:t xml:space="preserve"> </w:t>
        <w:br/>
        <w:br w:type="page"/>
      </w:r>
    </w:p>
    <w:p>
      <w:pPr>
        <w:pStyle w:val="null3"/>
        <w:jc w:val="center"/>
        <w:outlineLvl w:val="1"/>
      </w:pPr>
      <w:r>
        <w:rPr>
          <w:b/>
          <w:sz w:val="36"/>
        </w:rPr>
        <w:t>第7章 拟签订采购合同文本</w:t>
      </w:r>
    </w:p>
    <w:p>
      <w:pPr>
        <w:pStyle w:val="null3"/>
        <w:outlineLvl w:val="0"/>
      </w:pPr>
      <w:r>
        <w:rPr>
          <w:b/>
          <w:sz w:val="48"/>
        </w:rPr>
        <w:t xml:space="preserve"> 政府采购合同（服务类）</w:t>
      </w:r>
      <w:r>
        <w:br/>
      </w:r>
    </w:p>
    <w:p>
      <w:pPr>
        <w:pStyle w:val="null3"/>
      </w:pPr>
      <w:r>
        <w:rPr/>
        <w:t xml:space="preserve"> 政府采购合同编号： __________________</w:t>
      </w:r>
    </w:p>
    <w:p>
      <w:pPr>
        <w:pStyle w:val="null3"/>
      </w:pPr>
      <w:r>
        <w:rPr/>
        <w:t xml:space="preserve"> 履约地点：__________________</w:t>
      </w:r>
    </w:p>
    <w:p>
      <w:pPr>
        <w:pStyle w:val="null3"/>
      </w:pPr>
      <w:r>
        <w:rPr/>
        <w:t xml:space="preserve"> 签订日期：20___年___月___日</w:t>
      </w:r>
    </w:p>
    <w:p>
      <w:pPr>
        <w:pStyle w:val="null3"/>
      </w:pPr>
      <w:r>
        <w:rPr/>
        <w:t xml:space="preserve"> 签订地点：__________________</w:t>
      </w:r>
    </w:p>
    <w:p>
      <w:pPr>
        <w:pStyle w:val="null3"/>
      </w:pPr>
      <w:r>
        <w:rPr/>
        <w:t xml:space="preserve"> 采购人（甲方）：__________________</w:t>
      </w:r>
    </w:p>
    <w:p>
      <w:pPr>
        <w:pStyle w:val="null3"/>
      </w:pPr>
      <w:r>
        <w:rPr/>
        <w:t xml:space="preserve"> 地址：__________________</w:t>
      </w:r>
    </w:p>
    <w:p>
      <w:pPr>
        <w:pStyle w:val="null3"/>
      </w:pPr>
      <w:r>
        <w:rPr/>
        <w:t xml:space="preserve"> 供应商(乙方)：__________________</w:t>
      </w:r>
    </w:p>
    <w:p>
      <w:pPr>
        <w:pStyle w:val="null3"/>
      </w:pPr>
      <w:r>
        <w:rPr/>
        <w:t xml:space="preserve"> 地址：__________________</w:t>
      </w:r>
    </w:p>
    <w:p>
      <w:pPr>
        <w:pStyle w:val="null3"/>
      </w:pPr>
      <w:r>
        <w:rPr/>
        <w:t xml:space="preserve"> 依据《中华人民共和国民法典》《中华人民共和国政府采购法》与项目行业有关的法律法规，以及XXX采购项目的</w:t>
      </w:r>
      <w:r>
        <w:rPr/>
        <w:t>《采购文件》</w:t>
      </w:r>
      <w:r>
        <w:rPr/>
        <w:t xml:space="preserve"> ，乙方的《投标（响应）文件》及《中标（成交）通知书》，甲乙双方同意签订本合同。具体情况及要求如下</w:t>
      </w:r>
    </w:p>
    <w:p>
      <w:pPr>
        <w:pStyle w:val="null3"/>
        <w:outlineLvl w:val="3"/>
      </w:pPr>
      <w:r>
        <w:rPr>
          <w:b/>
          <w:sz w:val="24"/>
        </w:rPr>
        <w:t xml:space="preserve"> 一、标的信息</w:t>
      </w:r>
      <w:r>
        <w:br/>
      </w:r>
    </w:p>
    <w:p>
      <w:pPr>
        <w:pStyle w:val="null3"/>
        <w:outlineLvl w:val="3"/>
      </w:pPr>
      <w:r>
        <w:rPr>
          <w:b/>
          <w:sz w:val="24"/>
        </w:rPr>
        <w:t xml:space="preserve"> 二、服务要求</w:t>
      </w:r>
      <w:r>
        <w:br/>
      </w:r>
    </w:p>
    <w:p>
      <w:pPr>
        <w:pStyle w:val="null3"/>
        <w:outlineLvl w:val="3"/>
      </w:pPr>
      <w:r>
        <w:rPr>
          <w:b/>
          <w:sz w:val="24"/>
        </w:rPr>
        <w:t xml:space="preserve"> 三、合同定价方式、付款进度和支付方式</w:t>
      </w:r>
      <w:r>
        <w:br/>
      </w:r>
    </w:p>
    <w:p>
      <w:pPr>
        <w:pStyle w:val="null3"/>
        <w:outlineLvl w:val="3"/>
      </w:pPr>
      <w:r>
        <w:rPr>
          <w:b/>
          <w:sz w:val="24"/>
        </w:rPr>
        <w:t xml:space="preserve"> 四、履约保证金</w:t>
      </w:r>
      <w:r>
        <w:br/>
      </w:r>
    </w:p>
    <w:p>
      <w:pPr>
        <w:pStyle w:val="null3"/>
        <w:outlineLvl w:val="3"/>
      </w:pPr>
      <w:r>
        <w:rPr>
          <w:b/>
          <w:sz w:val="24"/>
        </w:rPr>
        <w:t xml:space="preserve"> 五、验收标准和方法</w:t>
      </w:r>
      <w:r>
        <w:br/>
      </w:r>
    </w:p>
    <w:p>
      <w:pPr>
        <w:pStyle w:val="null3"/>
        <w:outlineLvl w:val="3"/>
      </w:pPr>
      <w:r>
        <w:rPr>
          <w:b/>
          <w:sz w:val="24"/>
        </w:rPr>
        <w:t xml:space="preserve"> 六、甲方的权利和义务</w:t>
      </w:r>
    </w:p>
    <w:p>
      <w:pPr>
        <w:pStyle w:val="null3"/>
      </w:pPr>
      <w:r>
        <w:rPr/>
        <w:t>1.甲方有权对合同规定范围内乙方的服务行为进行监督和检查，拥有监管权。有权定期核对乙方提供服务所配备的人员数量。对甲方认为不合理的部分XXX。</w:t>
      </w:r>
    </w:p>
    <w:p>
      <w:pPr>
        <w:pStyle w:val="null3"/>
      </w:pPr>
      <w:r>
        <w:rPr/>
        <w:t>2.根据本合同规定，按时向乙方支付应付服务费用。</w:t>
      </w:r>
    </w:p>
    <w:p>
      <w:pPr>
        <w:pStyle w:val="null3"/>
      </w:pPr>
      <w:r>
        <w:rPr/>
        <w:t>3.国家法律、法规所规定由甲方承担的其它责任。</w:t>
      </w:r>
    </w:p>
    <w:p>
      <w:pPr>
        <w:pStyle w:val="null3"/>
      </w:pPr>
      <w:r>
        <w:rPr/>
        <w:t>......</w:t>
      </w:r>
    </w:p>
    <w:p>
      <w:pPr>
        <w:pStyle w:val="null3"/>
        <w:outlineLvl w:val="3"/>
      </w:pPr>
      <w:r>
        <w:rPr>
          <w:b/>
          <w:sz w:val="24"/>
        </w:rPr>
        <w:t xml:space="preserve"> 七、乙方的权利和义务</w:t>
      </w:r>
    </w:p>
    <w:p>
      <w:pPr>
        <w:pStyle w:val="null3"/>
      </w:pPr>
      <w:r>
        <w:rPr/>
        <w:t>1.根据本合同的约定向甲方收取相关服务费用。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pPr>
      <w:r>
        <w:rPr/>
        <w:t>......</w:t>
      </w:r>
    </w:p>
    <w:p>
      <w:pPr>
        <w:pStyle w:val="null3"/>
        <w:outlineLvl w:val="3"/>
      </w:pPr>
      <w:r>
        <w:rPr>
          <w:b/>
          <w:sz w:val="24"/>
        </w:rPr>
        <w:t xml:space="preserve"> 八、违约责任</w:t>
      </w: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pPr>
      <w:r>
        <w:rPr/>
        <w:t>......</w:t>
      </w:r>
    </w:p>
    <w:p>
      <w:pPr>
        <w:pStyle w:val="null3"/>
        <w:outlineLvl w:val="3"/>
      </w:pPr>
      <w:r>
        <w:rPr>
          <w:b/>
          <w:sz w:val="24"/>
        </w:rPr>
        <w:t xml:space="preserve"> 九、不可抗事件处理</w:t>
      </w:r>
    </w:p>
    <w:p>
      <w:pPr>
        <w:pStyle w:val="null3"/>
      </w:pPr>
      <w:r>
        <w:rPr/>
        <w:t>1.在合同有效期内，任何一方因战争、洪灾、台风、地震等不可抗力事件导致不能履行合同，则合同履行期可延长，其延长期与不可抗力事件影响期相同。</w:t>
      </w:r>
    </w:p>
    <w:p>
      <w:pPr>
        <w:pStyle w:val="null3"/>
      </w:pPr>
      <w:r>
        <w:rPr/>
        <w:t>2.受阻一方应在不可抗力事件发生后尽快用电话通知对方并于事故发生后XX天内将有关部门出具的证明文件等用特快专递或挂号信寄给对方审阅确认。</w:t>
      </w:r>
    </w:p>
    <w:p>
      <w:pPr>
        <w:pStyle w:val="null3"/>
      </w:pPr>
      <w:r>
        <w:rPr/>
        <w:t>3.不可抗力事件延续XX天以上，双方应通过友好协商，确定是否继续履行合同</w:t>
      </w:r>
    </w:p>
    <w:p>
      <w:pPr>
        <w:pStyle w:val="null3"/>
      </w:pPr>
      <w:r>
        <w:rPr/>
        <w:t>......</w:t>
      </w:r>
    </w:p>
    <w:p>
      <w:pPr>
        <w:pStyle w:val="null3"/>
        <w:outlineLvl w:val="3"/>
      </w:pPr>
      <w:r>
        <w:rPr>
          <w:b/>
          <w:sz w:val="24"/>
        </w:rPr>
        <w:t xml:space="preserve"> 十、解决合同纠纷的方式</w:t>
      </w:r>
      <w:r>
        <w:br/>
      </w:r>
    </w:p>
    <w:p>
      <w:pPr>
        <w:pStyle w:val="null3"/>
        <w:outlineLvl w:val="3"/>
      </w:pPr>
      <w:r>
        <w:rPr>
          <w:b/>
          <w:sz w:val="24"/>
        </w:rPr>
        <w:t xml:space="preserve"> 十一、合同生效及其他</w:t>
      </w: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p>
    <w:p>
      <w:pPr>
        <w:pStyle w:val="null3"/>
      </w:pPr>
      <w:r>
        <w:br/>
      </w:r>
      <w:r>
        <w:br/>
      </w:r>
      <w:r>
        <w:br/>
      </w:r>
      <w:r>
        <w:br/>
      </w:r>
      <w:r>
        <w:br/>
      </w:r>
    </w:p>
    <w:p>
      <w:pPr>
        <w:pStyle w:val="null3"/>
      </w:pPr>
      <w:r>
        <w:rPr/>
        <w:t xml:space="preserve"> 甲方： （盖章）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r>
        <w:rPr/>
        <w:t xml:space="preserve"> 乙方：(盖章）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