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043DB">
      <w:pPr>
        <w:pStyle w:val="2"/>
        <w:keepNext w:val="0"/>
        <w:adjustRightInd w:val="0"/>
        <w:snapToGrid w:val="0"/>
        <w:spacing w:before="156" w:beforeLines="50" w:line="360" w:lineRule="auto"/>
        <w:rPr>
          <w:rFonts w:ascii="黑体" w:hAnsi="华文中宋" w:eastAsia="黑体"/>
          <w:sz w:val="32"/>
          <w:szCs w:val="32"/>
        </w:rPr>
      </w:pPr>
      <w:r>
        <w:rPr>
          <w:rFonts w:hint="eastAsia" w:ascii="黑体" w:hAnsi="华文中宋" w:eastAsia="黑体"/>
          <w:sz w:val="32"/>
          <w:szCs w:val="32"/>
          <w:highlight w:val="white"/>
        </w:rPr>
        <w:t>采购需求</w:t>
      </w:r>
    </w:p>
    <w:p w14:paraId="4C330B46">
      <w:pPr>
        <w:rPr>
          <w:rFonts w:hint="eastAsia"/>
          <w:highlight w:val="red"/>
        </w:rPr>
      </w:pPr>
    </w:p>
    <w:p w14:paraId="79CCBFFD">
      <w:pPr>
        <w:pStyle w:val="5"/>
        <w:keepNext/>
        <w:keepLines/>
        <w:adjustRightInd w:val="0"/>
        <w:snapToGrid w:val="0"/>
        <w:spacing w:before="156" w:beforeLines="50" w:line="360" w:lineRule="auto"/>
        <w:jc w:val="center"/>
        <w:outlineLvl w:val="1"/>
        <w:rPr>
          <w:rStyle w:val="4"/>
          <w:rFonts w:ascii="黑体" w:hAnsi="黑体" w:eastAsia="黑体" w:cs="Times New Roman"/>
          <w:b/>
          <w:bCs/>
          <w:color w:val="548DD4"/>
          <w:sz w:val="52"/>
          <w:szCs w:val="52"/>
        </w:rPr>
      </w:pPr>
      <w:bookmarkStart w:id="0" w:name="_Toc29913942"/>
      <w:bookmarkStart w:id="1" w:name="_Toc256000038"/>
      <w:r>
        <w:rPr>
          <w:rStyle w:val="4"/>
          <w:rFonts w:hint="eastAsia" w:ascii="黑体" w:hAnsi="黑体" w:eastAsia="黑体" w:cs="Times New Roman"/>
          <w:b/>
          <w:bCs/>
          <w:sz w:val="28"/>
          <w:szCs w:val="28"/>
        </w:rPr>
        <w:t>第一节 采购清单一览表</w:t>
      </w:r>
      <w:bookmarkEnd w:id="0"/>
      <w:bookmarkEnd w:id="1"/>
    </w:p>
    <w:tbl>
      <w:tblPr>
        <w:tblStyle w:val="3"/>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950"/>
        <w:gridCol w:w="900"/>
        <w:gridCol w:w="925"/>
        <w:gridCol w:w="1237"/>
        <w:gridCol w:w="1363"/>
        <w:gridCol w:w="1350"/>
      </w:tblGrid>
      <w:tr w14:paraId="54B1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000000" w:fill="FFFFFF"/>
            <w:noWrap w:val="0"/>
            <w:vAlign w:val="center"/>
          </w:tcPr>
          <w:p w14:paraId="3F33ADDA">
            <w:pPr>
              <w:pStyle w:val="5"/>
              <w:widowControl/>
              <w:jc w:val="center"/>
              <w:rPr>
                <w:rStyle w:val="4"/>
                <w:rFonts w:ascii="宋体" w:hAnsi="宋体" w:eastAsia="宋体" w:cs="宋体"/>
                <w:b/>
                <w:bCs/>
                <w:color w:val="000000"/>
                <w:kern w:val="0"/>
                <w:sz w:val="18"/>
                <w:szCs w:val="18"/>
              </w:rPr>
            </w:pPr>
            <w:r>
              <w:rPr>
                <w:rStyle w:val="4"/>
                <w:rFonts w:hint="eastAsia" w:ascii="宋体" w:hAnsi="宋体" w:eastAsia="宋体" w:cs="宋体"/>
                <w:b/>
                <w:bCs/>
                <w:color w:val="000000"/>
                <w:kern w:val="0"/>
                <w:sz w:val="18"/>
                <w:szCs w:val="18"/>
              </w:rPr>
              <w:t>品目号</w:t>
            </w:r>
          </w:p>
        </w:tc>
        <w:tc>
          <w:tcPr>
            <w:tcW w:w="1950" w:type="dxa"/>
            <w:shd w:val="clear" w:color="000000" w:fill="FFFFFF"/>
            <w:noWrap w:val="0"/>
            <w:vAlign w:val="center"/>
          </w:tcPr>
          <w:p w14:paraId="493B4E20">
            <w:pPr>
              <w:pStyle w:val="5"/>
              <w:widowControl/>
              <w:jc w:val="center"/>
              <w:rPr>
                <w:rStyle w:val="4"/>
                <w:rFonts w:ascii="宋体" w:hAnsi="宋体" w:eastAsia="宋体" w:cs="宋体"/>
                <w:b/>
                <w:bCs/>
                <w:color w:val="000000"/>
                <w:kern w:val="0"/>
                <w:sz w:val="18"/>
                <w:szCs w:val="18"/>
              </w:rPr>
            </w:pPr>
            <w:r>
              <w:rPr>
                <w:rStyle w:val="4"/>
                <w:rFonts w:hint="eastAsia" w:ascii="宋体" w:hAnsi="宋体" w:eastAsia="宋体" w:cs="宋体"/>
                <w:b/>
                <w:bCs/>
                <w:color w:val="000000"/>
                <w:kern w:val="0"/>
                <w:sz w:val="18"/>
                <w:szCs w:val="18"/>
              </w:rPr>
              <w:t>设备名称</w:t>
            </w:r>
          </w:p>
        </w:tc>
        <w:tc>
          <w:tcPr>
            <w:tcW w:w="900" w:type="dxa"/>
            <w:shd w:val="clear" w:color="000000" w:fill="FFFFFF"/>
            <w:noWrap w:val="0"/>
            <w:vAlign w:val="center"/>
          </w:tcPr>
          <w:p w14:paraId="65A219D9">
            <w:pPr>
              <w:pStyle w:val="5"/>
              <w:widowControl/>
              <w:jc w:val="center"/>
              <w:rPr>
                <w:rStyle w:val="4"/>
                <w:rFonts w:ascii="宋体" w:hAnsi="宋体" w:eastAsia="宋体" w:cs="宋体"/>
                <w:b/>
                <w:bCs/>
                <w:color w:val="000000"/>
                <w:kern w:val="0"/>
                <w:sz w:val="18"/>
                <w:szCs w:val="18"/>
              </w:rPr>
            </w:pPr>
            <w:r>
              <w:rPr>
                <w:rStyle w:val="4"/>
                <w:rFonts w:hint="eastAsia" w:ascii="宋体" w:hAnsi="宋体" w:eastAsia="宋体" w:cs="宋体"/>
                <w:b/>
                <w:bCs/>
                <w:color w:val="000000"/>
                <w:kern w:val="0"/>
                <w:sz w:val="18"/>
                <w:szCs w:val="18"/>
              </w:rPr>
              <w:t>单位</w:t>
            </w:r>
          </w:p>
        </w:tc>
        <w:tc>
          <w:tcPr>
            <w:tcW w:w="925" w:type="dxa"/>
            <w:shd w:val="clear" w:color="000000" w:fill="FFFFFF"/>
            <w:noWrap w:val="0"/>
            <w:vAlign w:val="center"/>
          </w:tcPr>
          <w:p w14:paraId="29022777">
            <w:pPr>
              <w:pStyle w:val="5"/>
              <w:widowControl/>
              <w:jc w:val="center"/>
              <w:rPr>
                <w:rStyle w:val="4"/>
                <w:rFonts w:ascii="宋体" w:hAnsi="宋体" w:eastAsia="宋体" w:cs="宋体"/>
                <w:b/>
                <w:bCs/>
                <w:color w:val="000000"/>
                <w:kern w:val="0"/>
                <w:sz w:val="18"/>
                <w:szCs w:val="18"/>
              </w:rPr>
            </w:pPr>
            <w:r>
              <w:rPr>
                <w:rStyle w:val="4"/>
                <w:rFonts w:hint="eastAsia" w:ascii="宋体" w:hAnsi="宋体" w:eastAsia="宋体" w:cs="宋体"/>
                <w:b/>
                <w:bCs/>
                <w:color w:val="000000"/>
                <w:kern w:val="0"/>
                <w:sz w:val="18"/>
                <w:szCs w:val="18"/>
              </w:rPr>
              <w:t>数量</w:t>
            </w:r>
          </w:p>
        </w:tc>
        <w:tc>
          <w:tcPr>
            <w:tcW w:w="1237" w:type="dxa"/>
            <w:shd w:val="clear" w:color="000000" w:fill="FFFFFF"/>
            <w:noWrap w:val="0"/>
            <w:vAlign w:val="center"/>
          </w:tcPr>
          <w:p w14:paraId="4739F93A">
            <w:pPr>
              <w:pStyle w:val="5"/>
              <w:widowControl/>
              <w:jc w:val="center"/>
              <w:rPr>
                <w:rStyle w:val="4"/>
                <w:rFonts w:ascii="宋体" w:hAnsi="宋体" w:eastAsia="宋体" w:cs="宋体"/>
                <w:b/>
                <w:bCs/>
                <w:color w:val="000000"/>
                <w:kern w:val="0"/>
                <w:sz w:val="18"/>
                <w:szCs w:val="18"/>
              </w:rPr>
            </w:pPr>
            <w:r>
              <w:rPr>
                <w:rStyle w:val="4"/>
                <w:rFonts w:ascii="宋体" w:hAnsi="宋体" w:eastAsia="宋体" w:cs="Times New Roman"/>
                <w:b/>
                <w:kern w:val="0"/>
                <w:szCs w:val="21"/>
              </w:rPr>
              <w:t>原装进口</w:t>
            </w:r>
          </w:p>
        </w:tc>
        <w:tc>
          <w:tcPr>
            <w:tcW w:w="1363" w:type="dxa"/>
            <w:shd w:val="clear" w:color="000000" w:fill="FFFFFF"/>
            <w:noWrap w:val="0"/>
            <w:vAlign w:val="center"/>
          </w:tcPr>
          <w:p w14:paraId="605662E5">
            <w:pPr>
              <w:pStyle w:val="5"/>
              <w:widowControl/>
              <w:jc w:val="center"/>
              <w:rPr>
                <w:rStyle w:val="4"/>
                <w:rFonts w:ascii="宋体" w:hAnsi="宋体" w:eastAsia="宋体" w:cs="宋体"/>
                <w:b/>
                <w:bCs/>
                <w:color w:val="000000"/>
                <w:kern w:val="0"/>
                <w:sz w:val="18"/>
                <w:szCs w:val="18"/>
              </w:rPr>
            </w:pPr>
            <w:r>
              <w:rPr>
                <w:rStyle w:val="4"/>
                <w:rFonts w:ascii="宋体" w:hAnsi="Calibri" w:eastAsia="宋体" w:cs="Times New Roman"/>
                <w:b/>
                <w:kern w:val="0"/>
                <w:szCs w:val="21"/>
              </w:rPr>
              <w:t>是否为核心产品</w:t>
            </w:r>
          </w:p>
        </w:tc>
        <w:tc>
          <w:tcPr>
            <w:tcW w:w="1350" w:type="dxa"/>
            <w:shd w:val="clear" w:color="000000" w:fill="FFFFFF"/>
            <w:noWrap w:val="0"/>
            <w:vAlign w:val="center"/>
          </w:tcPr>
          <w:p w14:paraId="60248C6E">
            <w:pPr>
              <w:pStyle w:val="5"/>
              <w:widowControl/>
              <w:jc w:val="center"/>
              <w:rPr>
                <w:rStyle w:val="4"/>
                <w:rFonts w:ascii="宋体" w:hAnsi="宋体" w:eastAsia="宋体" w:cs="Times New Roman"/>
                <w:b/>
                <w:kern w:val="0"/>
                <w:szCs w:val="21"/>
              </w:rPr>
            </w:pPr>
            <w:r>
              <w:rPr>
                <w:rStyle w:val="4"/>
                <w:rFonts w:ascii="宋体" w:hAnsi="宋体" w:eastAsia="宋体" w:cs="Times New Roman"/>
                <w:b/>
                <w:kern w:val="0"/>
                <w:szCs w:val="21"/>
              </w:rPr>
              <w:t>是否为强制节能产品</w:t>
            </w:r>
          </w:p>
        </w:tc>
      </w:tr>
      <w:tr w14:paraId="017E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6959F419">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w:t>
            </w:r>
          </w:p>
        </w:tc>
        <w:tc>
          <w:tcPr>
            <w:tcW w:w="1950" w:type="dxa"/>
            <w:noWrap w:val="0"/>
            <w:vAlign w:val="center"/>
          </w:tcPr>
          <w:p w14:paraId="7C0B2E2F">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单口面板</w:t>
            </w:r>
          </w:p>
        </w:tc>
        <w:tc>
          <w:tcPr>
            <w:tcW w:w="900" w:type="dxa"/>
            <w:noWrap w:val="0"/>
            <w:vAlign w:val="center"/>
          </w:tcPr>
          <w:p w14:paraId="53F99ECD">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个</w:t>
            </w:r>
          </w:p>
        </w:tc>
        <w:tc>
          <w:tcPr>
            <w:tcW w:w="925" w:type="dxa"/>
            <w:noWrap w:val="0"/>
            <w:vAlign w:val="center"/>
          </w:tcPr>
          <w:p w14:paraId="38953C61">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1885</w:t>
            </w:r>
          </w:p>
        </w:tc>
        <w:tc>
          <w:tcPr>
            <w:tcW w:w="1237" w:type="dxa"/>
            <w:noWrap w:val="0"/>
            <w:vAlign w:val="center"/>
          </w:tcPr>
          <w:p w14:paraId="608F15BE">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88B8A6A">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3D6C081E">
            <w:pPr>
              <w:pStyle w:val="5"/>
              <w:widowControl/>
              <w:jc w:val="center"/>
              <w:rPr>
                <w:rStyle w:val="4"/>
                <w:rFonts w:ascii="宋体" w:hAnsi="宋体" w:eastAsia="宋体" w:cs="宋体"/>
                <w:color w:val="000000"/>
                <w:kern w:val="0"/>
                <w:sz w:val="18"/>
                <w:szCs w:val="18"/>
              </w:rPr>
            </w:pPr>
          </w:p>
        </w:tc>
      </w:tr>
      <w:tr w14:paraId="2B5F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4969495A">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w:t>
            </w:r>
          </w:p>
        </w:tc>
        <w:tc>
          <w:tcPr>
            <w:tcW w:w="1950" w:type="dxa"/>
            <w:noWrap w:val="0"/>
            <w:vAlign w:val="center"/>
          </w:tcPr>
          <w:p w14:paraId="1FD7CAD9">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6类非屏蔽信息模块</w:t>
            </w:r>
          </w:p>
        </w:tc>
        <w:tc>
          <w:tcPr>
            <w:tcW w:w="900" w:type="dxa"/>
            <w:noWrap w:val="0"/>
            <w:vAlign w:val="center"/>
          </w:tcPr>
          <w:p w14:paraId="5863FA39">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个</w:t>
            </w:r>
          </w:p>
        </w:tc>
        <w:tc>
          <w:tcPr>
            <w:tcW w:w="925" w:type="dxa"/>
            <w:noWrap w:val="0"/>
            <w:vAlign w:val="center"/>
          </w:tcPr>
          <w:p w14:paraId="601EAC69">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1885</w:t>
            </w:r>
          </w:p>
        </w:tc>
        <w:tc>
          <w:tcPr>
            <w:tcW w:w="1237" w:type="dxa"/>
            <w:noWrap w:val="0"/>
            <w:vAlign w:val="center"/>
          </w:tcPr>
          <w:p w14:paraId="2124469E">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4CF9F1F6">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06FB62E2">
            <w:pPr>
              <w:pStyle w:val="5"/>
              <w:widowControl/>
              <w:jc w:val="center"/>
              <w:rPr>
                <w:rStyle w:val="4"/>
                <w:rFonts w:ascii="宋体" w:hAnsi="宋体" w:eastAsia="宋体" w:cs="宋体"/>
                <w:color w:val="000000"/>
                <w:kern w:val="0"/>
                <w:sz w:val="18"/>
                <w:szCs w:val="18"/>
              </w:rPr>
            </w:pPr>
          </w:p>
        </w:tc>
      </w:tr>
      <w:tr w14:paraId="0CF0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5EB4D81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w:t>
            </w:r>
          </w:p>
        </w:tc>
        <w:tc>
          <w:tcPr>
            <w:tcW w:w="1950" w:type="dxa"/>
            <w:noWrap w:val="0"/>
            <w:vAlign w:val="center"/>
          </w:tcPr>
          <w:p w14:paraId="0FBA2397">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6类RJ45水晶头</w:t>
            </w:r>
          </w:p>
        </w:tc>
        <w:tc>
          <w:tcPr>
            <w:tcW w:w="900" w:type="dxa"/>
            <w:noWrap w:val="0"/>
            <w:vAlign w:val="center"/>
          </w:tcPr>
          <w:p w14:paraId="4FF73F71">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个</w:t>
            </w:r>
          </w:p>
        </w:tc>
        <w:tc>
          <w:tcPr>
            <w:tcW w:w="925" w:type="dxa"/>
            <w:noWrap w:val="0"/>
            <w:vAlign w:val="center"/>
          </w:tcPr>
          <w:p w14:paraId="6A2AC09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2000</w:t>
            </w:r>
          </w:p>
        </w:tc>
        <w:tc>
          <w:tcPr>
            <w:tcW w:w="1237" w:type="dxa"/>
            <w:noWrap w:val="0"/>
            <w:vAlign w:val="center"/>
          </w:tcPr>
          <w:p w14:paraId="21609632">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016AB8E7">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088845CA">
            <w:pPr>
              <w:pStyle w:val="5"/>
              <w:widowControl/>
              <w:jc w:val="center"/>
              <w:rPr>
                <w:rStyle w:val="4"/>
                <w:rFonts w:ascii="宋体" w:hAnsi="宋体" w:eastAsia="宋体" w:cs="宋体"/>
                <w:color w:val="000000"/>
                <w:kern w:val="0"/>
                <w:sz w:val="18"/>
                <w:szCs w:val="18"/>
              </w:rPr>
            </w:pPr>
          </w:p>
        </w:tc>
      </w:tr>
      <w:tr w14:paraId="5AF42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5411F6E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4</w:t>
            </w:r>
          </w:p>
        </w:tc>
        <w:tc>
          <w:tcPr>
            <w:tcW w:w="1950" w:type="dxa"/>
            <w:noWrap w:val="0"/>
            <w:vAlign w:val="center"/>
          </w:tcPr>
          <w:p w14:paraId="07C04844">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单芯单模SC尾纤</w:t>
            </w:r>
          </w:p>
        </w:tc>
        <w:tc>
          <w:tcPr>
            <w:tcW w:w="900" w:type="dxa"/>
            <w:noWrap w:val="0"/>
            <w:vAlign w:val="center"/>
          </w:tcPr>
          <w:p w14:paraId="0509B11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根</w:t>
            </w:r>
          </w:p>
        </w:tc>
        <w:tc>
          <w:tcPr>
            <w:tcW w:w="925" w:type="dxa"/>
            <w:noWrap w:val="0"/>
            <w:vAlign w:val="center"/>
          </w:tcPr>
          <w:p w14:paraId="5599B84E">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670</w:t>
            </w:r>
          </w:p>
        </w:tc>
        <w:tc>
          <w:tcPr>
            <w:tcW w:w="1237" w:type="dxa"/>
            <w:noWrap w:val="0"/>
            <w:vAlign w:val="center"/>
          </w:tcPr>
          <w:p w14:paraId="710A9E9E">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37B8F6CE">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3DD89090">
            <w:pPr>
              <w:pStyle w:val="5"/>
              <w:widowControl/>
              <w:jc w:val="center"/>
              <w:rPr>
                <w:rStyle w:val="4"/>
                <w:rFonts w:ascii="宋体" w:hAnsi="宋体" w:eastAsia="宋体" w:cs="宋体"/>
                <w:color w:val="000000"/>
                <w:kern w:val="0"/>
                <w:sz w:val="18"/>
                <w:szCs w:val="18"/>
              </w:rPr>
            </w:pPr>
          </w:p>
        </w:tc>
      </w:tr>
      <w:tr w14:paraId="51E5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36EF187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5</w:t>
            </w:r>
          </w:p>
        </w:tc>
        <w:tc>
          <w:tcPr>
            <w:tcW w:w="1950" w:type="dxa"/>
            <w:noWrap w:val="0"/>
            <w:vAlign w:val="center"/>
          </w:tcPr>
          <w:p w14:paraId="2B41293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6类4对非屏蔽双绞线</w:t>
            </w:r>
          </w:p>
        </w:tc>
        <w:tc>
          <w:tcPr>
            <w:tcW w:w="900" w:type="dxa"/>
            <w:noWrap w:val="0"/>
            <w:vAlign w:val="center"/>
          </w:tcPr>
          <w:p w14:paraId="687090A9">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米</w:t>
            </w:r>
          </w:p>
        </w:tc>
        <w:tc>
          <w:tcPr>
            <w:tcW w:w="925" w:type="dxa"/>
            <w:noWrap w:val="0"/>
            <w:vAlign w:val="center"/>
          </w:tcPr>
          <w:p w14:paraId="1D47E9F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20000</w:t>
            </w:r>
          </w:p>
        </w:tc>
        <w:tc>
          <w:tcPr>
            <w:tcW w:w="1237" w:type="dxa"/>
            <w:noWrap w:val="0"/>
            <w:vAlign w:val="center"/>
          </w:tcPr>
          <w:p w14:paraId="3E3D23BD">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C7522A6">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79BF2309">
            <w:pPr>
              <w:pStyle w:val="5"/>
              <w:widowControl/>
              <w:jc w:val="center"/>
              <w:rPr>
                <w:rStyle w:val="4"/>
                <w:rFonts w:ascii="宋体" w:hAnsi="宋体" w:eastAsia="宋体" w:cs="宋体"/>
                <w:color w:val="000000"/>
                <w:kern w:val="0"/>
                <w:sz w:val="18"/>
                <w:szCs w:val="18"/>
              </w:rPr>
            </w:pPr>
          </w:p>
        </w:tc>
      </w:tr>
      <w:tr w14:paraId="616A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20BF3614">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6</w:t>
            </w:r>
          </w:p>
        </w:tc>
        <w:tc>
          <w:tcPr>
            <w:tcW w:w="1950" w:type="dxa"/>
            <w:noWrap w:val="0"/>
            <w:vAlign w:val="center"/>
          </w:tcPr>
          <w:p w14:paraId="47ABAE59">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入室光纤</w:t>
            </w:r>
          </w:p>
        </w:tc>
        <w:tc>
          <w:tcPr>
            <w:tcW w:w="900" w:type="dxa"/>
            <w:noWrap w:val="0"/>
            <w:vAlign w:val="center"/>
          </w:tcPr>
          <w:p w14:paraId="244C13B7">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米</w:t>
            </w:r>
          </w:p>
        </w:tc>
        <w:tc>
          <w:tcPr>
            <w:tcW w:w="925" w:type="dxa"/>
            <w:noWrap w:val="0"/>
            <w:vAlign w:val="center"/>
          </w:tcPr>
          <w:p w14:paraId="4105CE26">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35000</w:t>
            </w:r>
          </w:p>
        </w:tc>
        <w:tc>
          <w:tcPr>
            <w:tcW w:w="1237" w:type="dxa"/>
            <w:noWrap w:val="0"/>
            <w:vAlign w:val="center"/>
          </w:tcPr>
          <w:p w14:paraId="2FE9A0FF">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09CF6FDD">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44FA16B0">
            <w:pPr>
              <w:pStyle w:val="5"/>
              <w:widowControl/>
              <w:jc w:val="center"/>
              <w:rPr>
                <w:rStyle w:val="4"/>
                <w:rFonts w:ascii="宋体" w:hAnsi="宋体" w:eastAsia="宋体" w:cs="宋体"/>
                <w:color w:val="000000"/>
                <w:kern w:val="0"/>
                <w:sz w:val="18"/>
                <w:szCs w:val="18"/>
              </w:rPr>
            </w:pPr>
          </w:p>
        </w:tc>
      </w:tr>
      <w:tr w14:paraId="2CC0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130B74BE">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7</w:t>
            </w:r>
          </w:p>
        </w:tc>
        <w:tc>
          <w:tcPr>
            <w:tcW w:w="1950" w:type="dxa"/>
            <w:noWrap w:val="0"/>
            <w:vAlign w:val="center"/>
          </w:tcPr>
          <w:p w14:paraId="5501FFBF">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72芯光分箱</w:t>
            </w:r>
          </w:p>
        </w:tc>
        <w:tc>
          <w:tcPr>
            <w:tcW w:w="900" w:type="dxa"/>
            <w:noWrap w:val="0"/>
            <w:vAlign w:val="center"/>
          </w:tcPr>
          <w:p w14:paraId="121E0099">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套</w:t>
            </w:r>
          </w:p>
        </w:tc>
        <w:tc>
          <w:tcPr>
            <w:tcW w:w="925" w:type="dxa"/>
            <w:noWrap w:val="0"/>
            <w:vAlign w:val="center"/>
          </w:tcPr>
          <w:p w14:paraId="462474E0">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12</w:t>
            </w:r>
          </w:p>
        </w:tc>
        <w:tc>
          <w:tcPr>
            <w:tcW w:w="1237" w:type="dxa"/>
            <w:noWrap w:val="0"/>
            <w:vAlign w:val="center"/>
          </w:tcPr>
          <w:p w14:paraId="4B8074BB">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7C54B7ED">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7B1051B0">
            <w:pPr>
              <w:pStyle w:val="5"/>
              <w:widowControl/>
              <w:jc w:val="center"/>
              <w:rPr>
                <w:rStyle w:val="4"/>
                <w:rFonts w:ascii="宋体" w:hAnsi="宋体" w:eastAsia="宋体" w:cs="宋体"/>
                <w:color w:val="000000"/>
                <w:kern w:val="0"/>
                <w:sz w:val="18"/>
                <w:szCs w:val="18"/>
              </w:rPr>
            </w:pPr>
          </w:p>
        </w:tc>
      </w:tr>
      <w:tr w14:paraId="79FE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917" w:type="dxa"/>
            <w:noWrap w:val="0"/>
            <w:vAlign w:val="center"/>
          </w:tcPr>
          <w:p w14:paraId="20F75D5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8</w:t>
            </w:r>
          </w:p>
        </w:tc>
        <w:tc>
          <w:tcPr>
            <w:tcW w:w="1950" w:type="dxa"/>
            <w:noWrap w:val="0"/>
            <w:vAlign w:val="center"/>
          </w:tcPr>
          <w:p w14:paraId="469EF90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SC耦合器</w:t>
            </w:r>
          </w:p>
        </w:tc>
        <w:tc>
          <w:tcPr>
            <w:tcW w:w="900" w:type="dxa"/>
            <w:noWrap w:val="0"/>
            <w:vAlign w:val="center"/>
          </w:tcPr>
          <w:p w14:paraId="4BB5A935">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个</w:t>
            </w:r>
          </w:p>
        </w:tc>
        <w:tc>
          <w:tcPr>
            <w:tcW w:w="925" w:type="dxa"/>
            <w:noWrap w:val="0"/>
            <w:vAlign w:val="center"/>
          </w:tcPr>
          <w:p w14:paraId="1D2A05E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864</w:t>
            </w:r>
          </w:p>
        </w:tc>
        <w:tc>
          <w:tcPr>
            <w:tcW w:w="1237" w:type="dxa"/>
            <w:noWrap w:val="0"/>
            <w:vAlign w:val="center"/>
          </w:tcPr>
          <w:p w14:paraId="1181DA2D">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03D60B96">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03119389">
            <w:pPr>
              <w:pStyle w:val="5"/>
              <w:widowControl/>
              <w:jc w:val="center"/>
              <w:rPr>
                <w:rStyle w:val="4"/>
                <w:rFonts w:ascii="宋体" w:hAnsi="宋体" w:eastAsia="宋体" w:cs="宋体"/>
                <w:color w:val="000000"/>
                <w:kern w:val="0"/>
                <w:sz w:val="18"/>
                <w:szCs w:val="18"/>
              </w:rPr>
            </w:pPr>
          </w:p>
        </w:tc>
      </w:tr>
      <w:tr w14:paraId="5B063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5017660A">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9</w:t>
            </w:r>
          </w:p>
        </w:tc>
        <w:tc>
          <w:tcPr>
            <w:tcW w:w="1950" w:type="dxa"/>
            <w:noWrap w:val="0"/>
            <w:vAlign w:val="center"/>
          </w:tcPr>
          <w:p w14:paraId="16F3E5C3">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单芯单模SC尾纤</w:t>
            </w:r>
          </w:p>
        </w:tc>
        <w:tc>
          <w:tcPr>
            <w:tcW w:w="900" w:type="dxa"/>
            <w:noWrap w:val="0"/>
            <w:vAlign w:val="center"/>
          </w:tcPr>
          <w:p w14:paraId="07D4A20E">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根</w:t>
            </w:r>
          </w:p>
        </w:tc>
        <w:tc>
          <w:tcPr>
            <w:tcW w:w="925" w:type="dxa"/>
            <w:noWrap w:val="0"/>
            <w:vAlign w:val="center"/>
          </w:tcPr>
          <w:p w14:paraId="185E8B9A">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1008</w:t>
            </w:r>
          </w:p>
        </w:tc>
        <w:tc>
          <w:tcPr>
            <w:tcW w:w="1237" w:type="dxa"/>
            <w:noWrap w:val="0"/>
            <w:vAlign w:val="center"/>
          </w:tcPr>
          <w:p w14:paraId="656BE6D7">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31C0840D">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79A31642">
            <w:pPr>
              <w:pStyle w:val="5"/>
              <w:widowControl/>
              <w:jc w:val="center"/>
              <w:rPr>
                <w:rStyle w:val="4"/>
                <w:rFonts w:ascii="宋体" w:hAnsi="宋体" w:eastAsia="宋体" w:cs="宋体"/>
                <w:color w:val="000000"/>
                <w:kern w:val="0"/>
                <w:sz w:val="18"/>
                <w:szCs w:val="18"/>
              </w:rPr>
            </w:pPr>
          </w:p>
        </w:tc>
      </w:tr>
      <w:tr w14:paraId="74B8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51B20F91">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10</w:t>
            </w:r>
          </w:p>
        </w:tc>
        <w:tc>
          <w:tcPr>
            <w:tcW w:w="1950" w:type="dxa"/>
            <w:noWrap w:val="0"/>
            <w:vAlign w:val="center"/>
          </w:tcPr>
          <w:p w14:paraId="44C355CE">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1：16盒式分光器</w:t>
            </w:r>
          </w:p>
        </w:tc>
        <w:tc>
          <w:tcPr>
            <w:tcW w:w="900" w:type="dxa"/>
            <w:noWrap w:val="0"/>
            <w:vAlign w:val="center"/>
          </w:tcPr>
          <w:p w14:paraId="77BAB54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noWrap w:val="0"/>
            <w:vAlign w:val="center"/>
          </w:tcPr>
          <w:p w14:paraId="4E32B95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32</w:t>
            </w:r>
          </w:p>
        </w:tc>
        <w:tc>
          <w:tcPr>
            <w:tcW w:w="1237" w:type="dxa"/>
            <w:noWrap w:val="0"/>
            <w:vAlign w:val="center"/>
          </w:tcPr>
          <w:p w14:paraId="2B9360BB">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85D7ED3">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04E3C50D">
            <w:pPr>
              <w:pStyle w:val="5"/>
              <w:widowControl/>
              <w:jc w:val="center"/>
              <w:rPr>
                <w:rStyle w:val="4"/>
                <w:rFonts w:ascii="宋体" w:hAnsi="宋体" w:eastAsia="宋体" w:cs="宋体"/>
                <w:color w:val="000000"/>
                <w:kern w:val="0"/>
                <w:sz w:val="18"/>
                <w:szCs w:val="18"/>
              </w:rPr>
            </w:pPr>
          </w:p>
        </w:tc>
      </w:tr>
      <w:tr w14:paraId="45A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08F3423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11</w:t>
            </w:r>
          </w:p>
        </w:tc>
        <w:tc>
          <w:tcPr>
            <w:tcW w:w="1950" w:type="dxa"/>
            <w:noWrap w:val="0"/>
            <w:vAlign w:val="center"/>
          </w:tcPr>
          <w:p w14:paraId="3D68E68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12芯室内低烟无卤万兆光缆</w:t>
            </w:r>
          </w:p>
        </w:tc>
        <w:tc>
          <w:tcPr>
            <w:tcW w:w="900" w:type="dxa"/>
            <w:noWrap w:val="0"/>
            <w:vAlign w:val="center"/>
          </w:tcPr>
          <w:p w14:paraId="623E842A">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米</w:t>
            </w:r>
          </w:p>
        </w:tc>
        <w:tc>
          <w:tcPr>
            <w:tcW w:w="925" w:type="dxa"/>
            <w:noWrap w:val="0"/>
            <w:vAlign w:val="center"/>
          </w:tcPr>
          <w:p w14:paraId="78B9B95F">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1500</w:t>
            </w:r>
          </w:p>
        </w:tc>
        <w:tc>
          <w:tcPr>
            <w:tcW w:w="1237" w:type="dxa"/>
            <w:noWrap w:val="0"/>
            <w:vAlign w:val="center"/>
          </w:tcPr>
          <w:p w14:paraId="0468F437">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4F8CC68">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31190A12">
            <w:pPr>
              <w:pStyle w:val="5"/>
              <w:widowControl/>
              <w:jc w:val="center"/>
              <w:rPr>
                <w:rStyle w:val="4"/>
                <w:rFonts w:ascii="宋体" w:hAnsi="宋体" w:eastAsia="宋体" w:cs="宋体"/>
                <w:color w:val="000000"/>
                <w:kern w:val="0"/>
                <w:sz w:val="18"/>
                <w:szCs w:val="18"/>
              </w:rPr>
            </w:pPr>
          </w:p>
        </w:tc>
      </w:tr>
      <w:tr w14:paraId="1315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7BD5D39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12</w:t>
            </w:r>
          </w:p>
        </w:tc>
        <w:tc>
          <w:tcPr>
            <w:tcW w:w="1950" w:type="dxa"/>
            <w:noWrap w:val="0"/>
            <w:vAlign w:val="center"/>
          </w:tcPr>
          <w:p w14:paraId="734CE06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288芯光交箱</w:t>
            </w:r>
          </w:p>
        </w:tc>
        <w:tc>
          <w:tcPr>
            <w:tcW w:w="900" w:type="dxa"/>
            <w:noWrap w:val="0"/>
            <w:vAlign w:val="center"/>
          </w:tcPr>
          <w:p w14:paraId="59B53B3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台</w:t>
            </w:r>
          </w:p>
        </w:tc>
        <w:tc>
          <w:tcPr>
            <w:tcW w:w="925" w:type="dxa"/>
            <w:noWrap w:val="0"/>
            <w:vAlign w:val="center"/>
          </w:tcPr>
          <w:p w14:paraId="1FABF87D">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w:t>
            </w:r>
          </w:p>
        </w:tc>
        <w:tc>
          <w:tcPr>
            <w:tcW w:w="1237" w:type="dxa"/>
            <w:noWrap w:val="0"/>
            <w:vAlign w:val="center"/>
          </w:tcPr>
          <w:p w14:paraId="60069DC9">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0209531E">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2CA4DEEE">
            <w:pPr>
              <w:pStyle w:val="5"/>
              <w:widowControl/>
              <w:jc w:val="center"/>
              <w:rPr>
                <w:rStyle w:val="4"/>
                <w:rFonts w:ascii="宋体" w:hAnsi="宋体" w:eastAsia="宋体" w:cs="宋体"/>
                <w:color w:val="000000"/>
                <w:kern w:val="0"/>
                <w:sz w:val="18"/>
                <w:szCs w:val="18"/>
              </w:rPr>
            </w:pPr>
          </w:p>
        </w:tc>
      </w:tr>
      <w:tr w14:paraId="3EC29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314B7E9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13</w:t>
            </w:r>
          </w:p>
        </w:tc>
        <w:tc>
          <w:tcPr>
            <w:tcW w:w="1950" w:type="dxa"/>
            <w:noWrap w:val="0"/>
            <w:vAlign w:val="center"/>
          </w:tcPr>
          <w:p w14:paraId="59457FD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144芯光交箱</w:t>
            </w:r>
          </w:p>
        </w:tc>
        <w:tc>
          <w:tcPr>
            <w:tcW w:w="900" w:type="dxa"/>
            <w:noWrap w:val="0"/>
            <w:vAlign w:val="center"/>
          </w:tcPr>
          <w:p w14:paraId="327680A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台</w:t>
            </w:r>
          </w:p>
        </w:tc>
        <w:tc>
          <w:tcPr>
            <w:tcW w:w="925" w:type="dxa"/>
            <w:noWrap w:val="0"/>
            <w:vAlign w:val="center"/>
          </w:tcPr>
          <w:p w14:paraId="23AE3A2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w:t>
            </w:r>
          </w:p>
        </w:tc>
        <w:tc>
          <w:tcPr>
            <w:tcW w:w="1237" w:type="dxa"/>
            <w:noWrap w:val="0"/>
            <w:vAlign w:val="center"/>
          </w:tcPr>
          <w:p w14:paraId="1215293B">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2DD80023">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4942FDBD">
            <w:pPr>
              <w:pStyle w:val="5"/>
              <w:widowControl/>
              <w:jc w:val="center"/>
              <w:rPr>
                <w:rStyle w:val="4"/>
                <w:rFonts w:ascii="宋体" w:hAnsi="宋体" w:eastAsia="宋体" w:cs="宋体"/>
                <w:color w:val="000000"/>
                <w:kern w:val="0"/>
                <w:sz w:val="18"/>
                <w:szCs w:val="18"/>
              </w:rPr>
            </w:pPr>
          </w:p>
        </w:tc>
      </w:tr>
      <w:tr w14:paraId="4C33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3751B9E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14</w:t>
            </w:r>
          </w:p>
        </w:tc>
        <w:tc>
          <w:tcPr>
            <w:tcW w:w="1950" w:type="dxa"/>
            <w:noWrap w:val="0"/>
            <w:vAlign w:val="center"/>
          </w:tcPr>
          <w:p w14:paraId="2A49CCFA">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SC-SC光纤跳线</w:t>
            </w:r>
          </w:p>
        </w:tc>
        <w:tc>
          <w:tcPr>
            <w:tcW w:w="900" w:type="dxa"/>
            <w:noWrap w:val="0"/>
            <w:vAlign w:val="center"/>
          </w:tcPr>
          <w:p w14:paraId="7CFB0B5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条</w:t>
            </w:r>
          </w:p>
        </w:tc>
        <w:tc>
          <w:tcPr>
            <w:tcW w:w="925" w:type="dxa"/>
            <w:noWrap w:val="0"/>
            <w:vAlign w:val="center"/>
          </w:tcPr>
          <w:p w14:paraId="0DDE51A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72</w:t>
            </w:r>
          </w:p>
        </w:tc>
        <w:tc>
          <w:tcPr>
            <w:tcW w:w="1237" w:type="dxa"/>
            <w:noWrap w:val="0"/>
            <w:vAlign w:val="center"/>
          </w:tcPr>
          <w:p w14:paraId="7555CBE7">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7FDFFCC">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66E17D60">
            <w:pPr>
              <w:pStyle w:val="5"/>
              <w:widowControl/>
              <w:jc w:val="center"/>
              <w:rPr>
                <w:rStyle w:val="4"/>
                <w:rFonts w:ascii="宋体" w:hAnsi="宋体" w:eastAsia="宋体" w:cs="宋体"/>
                <w:color w:val="000000"/>
                <w:kern w:val="0"/>
                <w:sz w:val="18"/>
                <w:szCs w:val="18"/>
              </w:rPr>
            </w:pPr>
          </w:p>
        </w:tc>
      </w:tr>
      <w:tr w14:paraId="2D51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09927F7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15</w:t>
            </w:r>
          </w:p>
        </w:tc>
        <w:tc>
          <w:tcPr>
            <w:tcW w:w="1950" w:type="dxa"/>
            <w:noWrap w:val="0"/>
            <w:vAlign w:val="center"/>
          </w:tcPr>
          <w:p w14:paraId="0DC93D4A">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96芯主干直埋重凯光缆</w:t>
            </w:r>
          </w:p>
        </w:tc>
        <w:tc>
          <w:tcPr>
            <w:tcW w:w="900" w:type="dxa"/>
            <w:noWrap w:val="0"/>
            <w:vAlign w:val="center"/>
          </w:tcPr>
          <w:p w14:paraId="09C9B27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米</w:t>
            </w:r>
          </w:p>
        </w:tc>
        <w:tc>
          <w:tcPr>
            <w:tcW w:w="925" w:type="dxa"/>
            <w:noWrap w:val="0"/>
            <w:vAlign w:val="center"/>
          </w:tcPr>
          <w:p w14:paraId="23E59850">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1500</w:t>
            </w:r>
          </w:p>
        </w:tc>
        <w:tc>
          <w:tcPr>
            <w:tcW w:w="1237" w:type="dxa"/>
            <w:noWrap w:val="0"/>
            <w:vAlign w:val="center"/>
          </w:tcPr>
          <w:p w14:paraId="473B853E">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6BE86DE7">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0A5353CE">
            <w:pPr>
              <w:pStyle w:val="5"/>
              <w:widowControl/>
              <w:jc w:val="center"/>
              <w:rPr>
                <w:rStyle w:val="4"/>
                <w:rFonts w:ascii="宋体" w:hAnsi="宋体" w:eastAsia="宋体" w:cs="宋体"/>
                <w:color w:val="000000"/>
                <w:kern w:val="0"/>
                <w:sz w:val="18"/>
                <w:szCs w:val="18"/>
              </w:rPr>
            </w:pPr>
          </w:p>
        </w:tc>
      </w:tr>
      <w:tr w14:paraId="2DB2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2F3BB62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16</w:t>
            </w:r>
          </w:p>
        </w:tc>
        <w:tc>
          <w:tcPr>
            <w:tcW w:w="1950" w:type="dxa"/>
            <w:noWrap w:val="0"/>
            <w:vAlign w:val="center"/>
          </w:tcPr>
          <w:p w14:paraId="16C55D2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48芯主干直埋重凯光缆</w:t>
            </w:r>
          </w:p>
        </w:tc>
        <w:tc>
          <w:tcPr>
            <w:tcW w:w="900" w:type="dxa"/>
            <w:noWrap w:val="0"/>
            <w:vAlign w:val="center"/>
          </w:tcPr>
          <w:p w14:paraId="388FEE6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米</w:t>
            </w:r>
          </w:p>
        </w:tc>
        <w:tc>
          <w:tcPr>
            <w:tcW w:w="925" w:type="dxa"/>
            <w:noWrap w:val="0"/>
            <w:vAlign w:val="center"/>
          </w:tcPr>
          <w:p w14:paraId="30A43AB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1500</w:t>
            </w:r>
          </w:p>
        </w:tc>
        <w:tc>
          <w:tcPr>
            <w:tcW w:w="1237" w:type="dxa"/>
            <w:noWrap w:val="0"/>
            <w:vAlign w:val="center"/>
          </w:tcPr>
          <w:p w14:paraId="77B251B5">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78BE4905">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79F4B7BB">
            <w:pPr>
              <w:pStyle w:val="5"/>
              <w:widowControl/>
              <w:jc w:val="center"/>
              <w:rPr>
                <w:rStyle w:val="4"/>
                <w:rFonts w:ascii="宋体" w:hAnsi="宋体" w:eastAsia="宋体" w:cs="宋体"/>
                <w:color w:val="000000"/>
                <w:kern w:val="0"/>
                <w:sz w:val="18"/>
                <w:szCs w:val="18"/>
              </w:rPr>
            </w:pPr>
          </w:p>
        </w:tc>
      </w:tr>
      <w:tr w14:paraId="5EB00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4D26EE1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17</w:t>
            </w:r>
          </w:p>
        </w:tc>
        <w:tc>
          <w:tcPr>
            <w:tcW w:w="1950" w:type="dxa"/>
            <w:noWrap w:val="0"/>
            <w:vAlign w:val="center"/>
          </w:tcPr>
          <w:p w14:paraId="69CB634E">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12U机柜</w:t>
            </w:r>
          </w:p>
        </w:tc>
        <w:tc>
          <w:tcPr>
            <w:tcW w:w="900" w:type="dxa"/>
            <w:noWrap w:val="0"/>
            <w:vAlign w:val="center"/>
          </w:tcPr>
          <w:p w14:paraId="685304C4">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noWrap w:val="0"/>
            <w:vAlign w:val="center"/>
          </w:tcPr>
          <w:p w14:paraId="7BABD57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w:t>
            </w:r>
          </w:p>
        </w:tc>
        <w:tc>
          <w:tcPr>
            <w:tcW w:w="1237" w:type="dxa"/>
            <w:noWrap w:val="0"/>
            <w:vAlign w:val="center"/>
          </w:tcPr>
          <w:p w14:paraId="5246B4E7">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6595634D">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015F11D3">
            <w:pPr>
              <w:pStyle w:val="5"/>
              <w:widowControl/>
              <w:jc w:val="center"/>
              <w:rPr>
                <w:rStyle w:val="4"/>
                <w:rFonts w:ascii="宋体" w:hAnsi="宋体" w:eastAsia="宋体" w:cs="宋体"/>
                <w:color w:val="000000"/>
                <w:kern w:val="0"/>
                <w:sz w:val="18"/>
                <w:szCs w:val="18"/>
              </w:rPr>
            </w:pPr>
          </w:p>
        </w:tc>
      </w:tr>
      <w:tr w14:paraId="2DEA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0982D113">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18</w:t>
            </w:r>
          </w:p>
        </w:tc>
        <w:tc>
          <w:tcPr>
            <w:tcW w:w="1950" w:type="dxa"/>
            <w:noWrap w:val="0"/>
            <w:vAlign w:val="center"/>
          </w:tcPr>
          <w:p w14:paraId="5A4D0394">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22U机柜</w:t>
            </w:r>
          </w:p>
        </w:tc>
        <w:tc>
          <w:tcPr>
            <w:tcW w:w="900" w:type="dxa"/>
            <w:noWrap w:val="0"/>
            <w:vAlign w:val="center"/>
          </w:tcPr>
          <w:p w14:paraId="1F231799">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noWrap w:val="0"/>
            <w:vAlign w:val="center"/>
          </w:tcPr>
          <w:p w14:paraId="4BE6190E">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w:t>
            </w:r>
          </w:p>
        </w:tc>
        <w:tc>
          <w:tcPr>
            <w:tcW w:w="1237" w:type="dxa"/>
            <w:noWrap w:val="0"/>
            <w:vAlign w:val="center"/>
          </w:tcPr>
          <w:p w14:paraId="0587B368">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2D2FA7EF">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389178F3">
            <w:pPr>
              <w:pStyle w:val="5"/>
              <w:widowControl/>
              <w:jc w:val="center"/>
              <w:rPr>
                <w:rStyle w:val="4"/>
                <w:rFonts w:ascii="宋体" w:hAnsi="宋体" w:eastAsia="宋体" w:cs="宋体"/>
                <w:color w:val="000000"/>
                <w:kern w:val="0"/>
                <w:sz w:val="18"/>
                <w:szCs w:val="18"/>
              </w:rPr>
            </w:pPr>
          </w:p>
        </w:tc>
      </w:tr>
      <w:tr w14:paraId="5CFC4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27E11BAD">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19</w:t>
            </w:r>
          </w:p>
        </w:tc>
        <w:tc>
          <w:tcPr>
            <w:tcW w:w="1950" w:type="dxa"/>
            <w:noWrap w:val="0"/>
            <w:vAlign w:val="center"/>
          </w:tcPr>
          <w:p w14:paraId="562FC5E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六类非屏蔽24口数据配线架</w:t>
            </w:r>
          </w:p>
        </w:tc>
        <w:tc>
          <w:tcPr>
            <w:tcW w:w="900" w:type="dxa"/>
            <w:noWrap w:val="0"/>
            <w:vAlign w:val="center"/>
          </w:tcPr>
          <w:p w14:paraId="55EC4FFF">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个</w:t>
            </w:r>
          </w:p>
        </w:tc>
        <w:tc>
          <w:tcPr>
            <w:tcW w:w="925" w:type="dxa"/>
            <w:noWrap w:val="0"/>
            <w:vAlign w:val="center"/>
          </w:tcPr>
          <w:p w14:paraId="6B3806E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4</w:t>
            </w:r>
          </w:p>
        </w:tc>
        <w:tc>
          <w:tcPr>
            <w:tcW w:w="1237" w:type="dxa"/>
            <w:noWrap w:val="0"/>
            <w:vAlign w:val="center"/>
          </w:tcPr>
          <w:p w14:paraId="68C5AD2F">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25C0811">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5ADE64D0">
            <w:pPr>
              <w:pStyle w:val="5"/>
              <w:widowControl/>
              <w:jc w:val="center"/>
              <w:rPr>
                <w:rStyle w:val="4"/>
                <w:rFonts w:ascii="宋体" w:hAnsi="宋体" w:eastAsia="宋体" w:cs="宋体"/>
                <w:color w:val="000000"/>
                <w:kern w:val="0"/>
                <w:sz w:val="18"/>
                <w:szCs w:val="18"/>
              </w:rPr>
            </w:pPr>
          </w:p>
        </w:tc>
      </w:tr>
      <w:tr w14:paraId="2A0A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60A1FF76">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20</w:t>
            </w:r>
          </w:p>
        </w:tc>
        <w:tc>
          <w:tcPr>
            <w:tcW w:w="1950" w:type="dxa"/>
            <w:noWrap w:val="0"/>
            <w:vAlign w:val="center"/>
          </w:tcPr>
          <w:p w14:paraId="700E7A37">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UTP CAT6 跳线 2米</w:t>
            </w:r>
          </w:p>
        </w:tc>
        <w:tc>
          <w:tcPr>
            <w:tcW w:w="900" w:type="dxa"/>
            <w:noWrap w:val="0"/>
            <w:vAlign w:val="center"/>
          </w:tcPr>
          <w:p w14:paraId="4A96085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条</w:t>
            </w:r>
          </w:p>
        </w:tc>
        <w:tc>
          <w:tcPr>
            <w:tcW w:w="925" w:type="dxa"/>
            <w:noWrap w:val="0"/>
            <w:vAlign w:val="center"/>
          </w:tcPr>
          <w:p w14:paraId="5C6452ED">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42</w:t>
            </w:r>
          </w:p>
        </w:tc>
        <w:tc>
          <w:tcPr>
            <w:tcW w:w="1237" w:type="dxa"/>
            <w:noWrap w:val="0"/>
            <w:vAlign w:val="center"/>
          </w:tcPr>
          <w:p w14:paraId="2A09AE3E">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2016EEA5">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5C7A7454">
            <w:pPr>
              <w:pStyle w:val="5"/>
              <w:widowControl/>
              <w:jc w:val="center"/>
              <w:rPr>
                <w:rStyle w:val="4"/>
                <w:rFonts w:ascii="宋体" w:hAnsi="宋体" w:eastAsia="宋体" w:cs="宋体"/>
                <w:color w:val="000000"/>
                <w:kern w:val="0"/>
                <w:sz w:val="18"/>
                <w:szCs w:val="18"/>
              </w:rPr>
            </w:pPr>
          </w:p>
        </w:tc>
      </w:tr>
      <w:tr w14:paraId="6E36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40ACF8AF">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21</w:t>
            </w:r>
          </w:p>
        </w:tc>
        <w:tc>
          <w:tcPr>
            <w:tcW w:w="1950" w:type="dxa"/>
            <w:noWrap w:val="0"/>
            <w:vAlign w:val="center"/>
          </w:tcPr>
          <w:p w14:paraId="704A5CE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理线架</w:t>
            </w:r>
          </w:p>
        </w:tc>
        <w:tc>
          <w:tcPr>
            <w:tcW w:w="900" w:type="dxa"/>
            <w:noWrap w:val="0"/>
            <w:vAlign w:val="center"/>
          </w:tcPr>
          <w:p w14:paraId="58D5A3CE">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noWrap w:val="0"/>
            <w:vAlign w:val="center"/>
          </w:tcPr>
          <w:p w14:paraId="33B5872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42</w:t>
            </w:r>
          </w:p>
        </w:tc>
        <w:tc>
          <w:tcPr>
            <w:tcW w:w="1237" w:type="dxa"/>
            <w:noWrap w:val="0"/>
            <w:vAlign w:val="center"/>
          </w:tcPr>
          <w:p w14:paraId="31330B2E">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26A81A2A">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6568AD16">
            <w:pPr>
              <w:pStyle w:val="5"/>
              <w:widowControl/>
              <w:jc w:val="center"/>
              <w:rPr>
                <w:rStyle w:val="4"/>
                <w:rFonts w:ascii="宋体" w:hAnsi="宋体" w:eastAsia="宋体" w:cs="宋体"/>
                <w:color w:val="000000"/>
                <w:kern w:val="0"/>
                <w:sz w:val="18"/>
                <w:szCs w:val="18"/>
              </w:rPr>
            </w:pPr>
          </w:p>
        </w:tc>
      </w:tr>
      <w:tr w14:paraId="7A67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143BF047">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22</w:t>
            </w:r>
          </w:p>
        </w:tc>
        <w:tc>
          <w:tcPr>
            <w:tcW w:w="1950" w:type="dxa"/>
            <w:noWrap w:val="0"/>
            <w:vAlign w:val="center"/>
          </w:tcPr>
          <w:p w14:paraId="7D4AEE5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LC-LC双芯单模光跳线</w:t>
            </w:r>
          </w:p>
        </w:tc>
        <w:tc>
          <w:tcPr>
            <w:tcW w:w="900" w:type="dxa"/>
            <w:noWrap w:val="0"/>
            <w:vAlign w:val="center"/>
          </w:tcPr>
          <w:p w14:paraId="5B010ECE">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对</w:t>
            </w:r>
          </w:p>
        </w:tc>
        <w:tc>
          <w:tcPr>
            <w:tcW w:w="925" w:type="dxa"/>
            <w:noWrap w:val="0"/>
            <w:vAlign w:val="center"/>
          </w:tcPr>
          <w:p w14:paraId="57ECBA1A">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10</w:t>
            </w:r>
          </w:p>
        </w:tc>
        <w:tc>
          <w:tcPr>
            <w:tcW w:w="1237" w:type="dxa"/>
            <w:noWrap w:val="0"/>
            <w:vAlign w:val="center"/>
          </w:tcPr>
          <w:p w14:paraId="372316B8">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0930CE2A">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3D70A844">
            <w:pPr>
              <w:pStyle w:val="5"/>
              <w:widowControl/>
              <w:jc w:val="center"/>
              <w:rPr>
                <w:rStyle w:val="4"/>
                <w:rFonts w:ascii="宋体" w:hAnsi="宋体" w:eastAsia="宋体" w:cs="宋体"/>
                <w:color w:val="000000"/>
                <w:kern w:val="0"/>
                <w:sz w:val="18"/>
                <w:szCs w:val="18"/>
              </w:rPr>
            </w:pPr>
          </w:p>
        </w:tc>
      </w:tr>
      <w:tr w14:paraId="3785C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917" w:type="dxa"/>
            <w:noWrap w:val="0"/>
            <w:vAlign w:val="center"/>
          </w:tcPr>
          <w:p w14:paraId="7E659F80">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23</w:t>
            </w:r>
          </w:p>
        </w:tc>
        <w:tc>
          <w:tcPr>
            <w:tcW w:w="1950" w:type="dxa"/>
            <w:noWrap w:val="0"/>
            <w:vAlign w:val="center"/>
          </w:tcPr>
          <w:p w14:paraId="5D5C0EE1">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12芯光纤配线架</w:t>
            </w:r>
          </w:p>
        </w:tc>
        <w:tc>
          <w:tcPr>
            <w:tcW w:w="900" w:type="dxa"/>
            <w:noWrap w:val="0"/>
            <w:vAlign w:val="center"/>
          </w:tcPr>
          <w:p w14:paraId="1EF5DBD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个</w:t>
            </w:r>
          </w:p>
        </w:tc>
        <w:tc>
          <w:tcPr>
            <w:tcW w:w="925" w:type="dxa"/>
            <w:noWrap w:val="0"/>
            <w:vAlign w:val="center"/>
          </w:tcPr>
          <w:p w14:paraId="08CC82C8">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4</w:t>
            </w:r>
          </w:p>
        </w:tc>
        <w:tc>
          <w:tcPr>
            <w:tcW w:w="1237" w:type="dxa"/>
            <w:noWrap w:val="0"/>
            <w:vAlign w:val="center"/>
          </w:tcPr>
          <w:p w14:paraId="3712AE60">
            <w:pPr>
              <w:pStyle w:val="5"/>
              <w:widowControl/>
              <w:jc w:val="center"/>
              <w:rPr>
                <w:rStyle w:val="4"/>
                <w:rFonts w:ascii="宋体" w:hAnsi="宋体" w:eastAsia="宋体" w:cs="宋体"/>
                <w:color w:val="000000"/>
                <w:kern w:val="0"/>
                <w:sz w:val="18"/>
                <w:szCs w:val="18"/>
              </w:rPr>
            </w:pPr>
          </w:p>
        </w:tc>
        <w:tc>
          <w:tcPr>
            <w:tcW w:w="1363" w:type="dxa"/>
            <w:noWrap w:val="0"/>
            <w:vAlign w:val="center"/>
          </w:tcPr>
          <w:p w14:paraId="5FB8EB63">
            <w:pPr>
              <w:pStyle w:val="5"/>
              <w:widowControl/>
              <w:jc w:val="center"/>
              <w:rPr>
                <w:rStyle w:val="4"/>
                <w:rFonts w:ascii="宋体" w:hAnsi="宋体" w:eastAsia="宋体" w:cs="宋体"/>
                <w:color w:val="000000"/>
                <w:kern w:val="0"/>
                <w:sz w:val="18"/>
                <w:szCs w:val="18"/>
              </w:rPr>
            </w:pPr>
          </w:p>
        </w:tc>
        <w:tc>
          <w:tcPr>
            <w:tcW w:w="1350" w:type="dxa"/>
            <w:noWrap w:val="0"/>
            <w:vAlign w:val="center"/>
          </w:tcPr>
          <w:p w14:paraId="7DEF84F8">
            <w:pPr>
              <w:pStyle w:val="5"/>
              <w:widowControl/>
              <w:jc w:val="center"/>
              <w:rPr>
                <w:rStyle w:val="4"/>
                <w:rFonts w:ascii="宋体" w:hAnsi="宋体" w:eastAsia="宋体" w:cs="宋体"/>
                <w:color w:val="000000"/>
                <w:kern w:val="0"/>
                <w:sz w:val="18"/>
                <w:szCs w:val="18"/>
              </w:rPr>
            </w:pPr>
          </w:p>
        </w:tc>
      </w:tr>
      <w:tr w14:paraId="7687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267DA6C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24</w:t>
            </w:r>
          </w:p>
        </w:tc>
        <w:tc>
          <w:tcPr>
            <w:tcW w:w="1950" w:type="dxa"/>
            <w:noWrap/>
            <w:vAlign w:val="center"/>
          </w:tcPr>
          <w:p w14:paraId="6C5D3C1F">
            <w:pPr>
              <w:pStyle w:val="5"/>
              <w:widowControl/>
              <w:jc w:val="center"/>
              <w:rPr>
                <w:rStyle w:val="4"/>
                <w:rFonts w:ascii="宋体" w:hAnsi="宋体" w:eastAsia="宋体" w:cs="宋体"/>
                <w:color w:val="000000"/>
                <w:kern w:val="0"/>
                <w:sz w:val="22"/>
              </w:rPr>
            </w:pPr>
            <w:r>
              <w:rPr>
                <w:rFonts w:hint="eastAsia" w:ascii="宋体" w:hAnsi="宋体" w:cs="宋体"/>
                <w:color w:val="000000"/>
                <w:kern w:val="0"/>
                <w:sz w:val="22"/>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9525"/>
                  <wp:effectExtent l="0" t="0" r="0" b="0"/>
                  <wp:wrapNone/>
                  <wp:docPr id="37" name="图片 8348"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348"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9525"/>
                  <wp:effectExtent l="0" t="0" r="0" b="0"/>
                  <wp:wrapNone/>
                  <wp:docPr id="28" name="图片 8349"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349"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9525"/>
                  <wp:effectExtent l="0" t="0" r="0" b="0"/>
                  <wp:wrapNone/>
                  <wp:docPr id="18" name="图片 8350"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350"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9050" cy="9525"/>
                  <wp:effectExtent l="0" t="0" r="0" b="0"/>
                  <wp:wrapNone/>
                  <wp:docPr id="13" name="图片 8351"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351"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9050" cy="9525"/>
                  <wp:effectExtent l="0" t="0" r="0" b="0"/>
                  <wp:wrapNone/>
                  <wp:docPr id="19" name="图片 8352"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352"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9050" cy="9525"/>
                  <wp:effectExtent l="0" t="0" r="0" b="0"/>
                  <wp:wrapNone/>
                  <wp:docPr id="34" name="图片 8353"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353"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9050" cy="9525"/>
                  <wp:effectExtent l="0" t="0" r="0" b="0"/>
                  <wp:wrapNone/>
                  <wp:docPr id="35" name="图片 8354"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354"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9050" cy="9525"/>
                  <wp:effectExtent l="0" t="0" r="0" b="0"/>
                  <wp:wrapNone/>
                  <wp:docPr id="39" name="图片 8355"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355"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9050" cy="9525"/>
                  <wp:effectExtent l="0" t="0" r="0" b="0"/>
                  <wp:wrapNone/>
                  <wp:docPr id="11" name="图片 8356"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356"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9050" cy="9525"/>
                  <wp:effectExtent l="0" t="0" r="0" b="0"/>
                  <wp:wrapNone/>
                  <wp:docPr id="14" name="图片 8357"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357"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9050" cy="9525"/>
                  <wp:effectExtent l="0" t="0" r="0" b="0"/>
                  <wp:wrapNone/>
                  <wp:docPr id="15" name="图片 8358"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358"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9050" cy="9525"/>
                  <wp:effectExtent l="0" t="0" r="0" b="0"/>
                  <wp:wrapNone/>
                  <wp:docPr id="12" name="图片 8359"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359"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9050" cy="9525"/>
                  <wp:effectExtent l="0" t="0" r="0" b="0"/>
                  <wp:wrapNone/>
                  <wp:docPr id="38" name="图片 8360"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8360"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9050" cy="9525"/>
                  <wp:effectExtent l="0" t="0" r="0" b="0"/>
                  <wp:wrapNone/>
                  <wp:docPr id="20" name="图片 8361"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361"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9050" cy="9525"/>
                  <wp:effectExtent l="0" t="0" r="0" b="0"/>
                  <wp:wrapNone/>
                  <wp:docPr id="26" name="图片 8362"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362"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19050" cy="9525"/>
                  <wp:effectExtent l="0" t="0" r="0" b="0"/>
                  <wp:wrapNone/>
                  <wp:docPr id="22" name="图片 8363"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363"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19050" cy="9525"/>
                  <wp:effectExtent l="0" t="0" r="0" b="0"/>
                  <wp:wrapNone/>
                  <wp:docPr id="21" name="图片 8364"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364"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19050" cy="9525"/>
                  <wp:effectExtent l="0" t="0" r="0" b="0"/>
                  <wp:wrapNone/>
                  <wp:docPr id="16" name="图片 8365"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365"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19050" cy="9525"/>
                  <wp:effectExtent l="0" t="0" r="0" b="0"/>
                  <wp:wrapNone/>
                  <wp:docPr id="30" name="图片 8366"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366"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19050" cy="9525"/>
                  <wp:effectExtent l="0" t="0" r="0" b="0"/>
                  <wp:wrapNone/>
                  <wp:docPr id="25" name="图片 8367"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367"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19050" cy="9525"/>
                  <wp:effectExtent l="0" t="0" r="0" b="0"/>
                  <wp:wrapNone/>
                  <wp:docPr id="23" name="图片 8368"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368"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19050" cy="9525"/>
                  <wp:effectExtent l="0" t="0" r="0" b="0"/>
                  <wp:wrapNone/>
                  <wp:docPr id="17" name="图片 8369"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369"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19050" cy="9525"/>
                  <wp:effectExtent l="0" t="0" r="0" b="0"/>
                  <wp:wrapNone/>
                  <wp:docPr id="24" name="图片 8370"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370"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19050" cy="9525"/>
                  <wp:effectExtent l="0" t="0" r="0" b="0"/>
                  <wp:wrapNone/>
                  <wp:docPr id="27" name="图片 8371"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371"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19050" cy="9525"/>
                  <wp:effectExtent l="0" t="0" r="0" b="0"/>
                  <wp:wrapNone/>
                  <wp:docPr id="29" name="图片 8372"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372"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19050" cy="9525"/>
                  <wp:effectExtent l="0" t="0" r="0" b="0"/>
                  <wp:wrapNone/>
                  <wp:docPr id="31" name="图片 8373"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373"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19050" cy="9525"/>
                  <wp:effectExtent l="0" t="0" r="0" b="0"/>
                  <wp:wrapNone/>
                  <wp:docPr id="32" name="图片 8374"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374"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19050" cy="9525"/>
                  <wp:effectExtent l="0" t="0" r="0" b="0"/>
                  <wp:wrapNone/>
                  <wp:docPr id="33" name="图片 8375"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375"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19050" cy="9525"/>
                  <wp:effectExtent l="0" t="0" r="0" b="0"/>
                  <wp:wrapNone/>
                  <wp:docPr id="36" name="图片 8376"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376"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19050" cy="9525"/>
                  <wp:effectExtent l="0" t="0" r="0" b="0"/>
                  <wp:wrapNone/>
                  <wp:docPr id="41" name="图片 8377"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8377"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Fonts w:hint="eastAsia" w:ascii="宋体" w:hAnsi="宋体" w:cs="宋体"/>
                <w:color w:val="000000"/>
                <w:kern w:val="0"/>
                <w:sz w:val="22"/>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19050" cy="9525"/>
                  <wp:effectExtent l="0" t="0" r="0" b="0"/>
                  <wp:wrapNone/>
                  <wp:docPr id="63" name="图片 8378" descr="M-PL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8378" descr="M-PL150"/>
                          <pic:cNvPicPr>
                            <a:picLocks noChangeAspect="1"/>
                          </pic:cNvPicPr>
                        </pic:nvPicPr>
                        <pic:blipFill>
                          <a:blip r:embed="rId4"/>
                          <a:stretch>
                            <a:fillRect/>
                          </a:stretch>
                        </pic:blipFill>
                        <pic:spPr>
                          <a:xfrm>
                            <a:off x="0" y="0"/>
                            <a:ext cx="19050" cy="9525"/>
                          </a:xfrm>
                          <a:prstGeom prst="rect">
                            <a:avLst/>
                          </a:prstGeom>
                          <a:noFill/>
                          <a:ln>
                            <a:noFill/>
                          </a:ln>
                        </pic:spPr>
                      </pic:pic>
                    </a:graphicData>
                  </a:graphic>
                </wp:anchor>
              </w:drawing>
            </w:r>
            <w:r>
              <w:rPr>
                <w:rStyle w:val="4"/>
                <w:rFonts w:hint="eastAsia" w:ascii="宋体" w:hAnsi="宋体" w:eastAsia="宋体" w:cs="宋体"/>
                <w:color w:val="000000"/>
                <w:kern w:val="0"/>
                <w:sz w:val="18"/>
                <w:szCs w:val="18"/>
              </w:rPr>
              <w:t>全光</w:t>
            </w:r>
            <w:r>
              <w:rPr>
                <w:rStyle w:val="4"/>
                <w:rFonts w:hint="eastAsia" w:ascii="宋体" w:hAnsi="宋体" w:eastAsia="宋体" w:cs="宋体"/>
                <w:color w:val="000000"/>
                <w:kern w:val="0"/>
                <w:sz w:val="18"/>
                <w:szCs w:val="18"/>
                <w:lang w:val="en-US" w:eastAsia="zh-CN"/>
              </w:rPr>
              <w:t>网</w:t>
            </w:r>
            <w:r>
              <w:rPr>
                <w:rStyle w:val="4"/>
                <w:rFonts w:hint="eastAsia" w:ascii="宋体" w:hAnsi="宋体" w:eastAsia="宋体" w:cs="宋体"/>
                <w:color w:val="000000"/>
                <w:kern w:val="0"/>
                <w:sz w:val="18"/>
                <w:szCs w:val="18"/>
              </w:rPr>
              <w:t>-主机</w:t>
            </w:r>
          </w:p>
        </w:tc>
        <w:tc>
          <w:tcPr>
            <w:tcW w:w="900" w:type="dxa"/>
            <w:noWrap w:val="0"/>
            <w:vAlign w:val="center"/>
          </w:tcPr>
          <w:p w14:paraId="5FA141F5">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noWrap w:val="0"/>
            <w:vAlign w:val="center"/>
          </w:tcPr>
          <w:p w14:paraId="792F7FC0">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1</w:t>
            </w:r>
          </w:p>
        </w:tc>
        <w:tc>
          <w:tcPr>
            <w:tcW w:w="1237" w:type="dxa"/>
            <w:noWrap w:val="0"/>
            <w:vAlign w:val="center"/>
          </w:tcPr>
          <w:p w14:paraId="10D81E1E">
            <w:pPr>
              <w:pStyle w:val="5"/>
              <w:widowControl/>
              <w:jc w:val="center"/>
              <w:rPr>
                <w:rStyle w:val="4"/>
                <w:rFonts w:ascii="宋体" w:hAnsi="宋体" w:eastAsia="宋体" w:cs="宋体"/>
                <w:kern w:val="0"/>
                <w:sz w:val="18"/>
                <w:szCs w:val="18"/>
              </w:rPr>
            </w:pPr>
          </w:p>
        </w:tc>
        <w:tc>
          <w:tcPr>
            <w:tcW w:w="1363" w:type="dxa"/>
            <w:noWrap w:val="0"/>
            <w:vAlign w:val="center"/>
          </w:tcPr>
          <w:p w14:paraId="27DF61A6">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是</w:t>
            </w:r>
          </w:p>
        </w:tc>
        <w:tc>
          <w:tcPr>
            <w:tcW w:w="1350" w:type="dxa"/>
            <w:noWrap w:val="0"/>
            <w:vAlign w:val="center"/>
          </w:tcPr>
          <w:p w14:paraId="059C138C">
            <w:pPr>
              <w:pStyle w:val="5"/>
              <w:widowControl/>
              <w:jc w:val="center"/>
              <w:rPr>
                <w:rStyle w:val="4"/>
                <w:rFonts w:ascii="宋体" w:hAnsi="宋体" w:eastAsia="宋体" w:cs="宋体"/>
                <w:kern w:val="0"/>
                <w:sz w:val="18"/>
                <w:szCs w:val="18"/>
              </w:rPr>
            </w:pPr>
          </w:p>
        </w:tc>
      </w:tr>
      <w:tr w14:paraId="2469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noWrap w:val="0"/>
            <w:vAlign w:val="center"/>
          </w:tcPr>
          <w:p w14:paraId="6C2CF72B">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25</w:t>
            </w:r>
          </w:p>
        </w:tc>
        <w:tc>
          <w:tcPr>
            <w:tcW w:w="1950" w:type="dxa"/>
            <w:noWrap w:val="0"/>
            <w:vAlign w:val="center"/>
          </w:tcPr>
          <w:p w14:paraId="0DCB67D3">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全光网-室内终端</w:t>
            </w:r>
          </w:p>
        </w:tc>
        <w:tc>
          <w:tcPr>
            <w:tcW w:w="900" w:type="dxa"/>
            <w:noWrap w:val="0"/>
            <w:vAlign w:val="center"/>
          </w:tcPr>
          <w:p w14:paraId="39F062D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noWrap w:val="0"/>
            <w:vAlign w:val="center"/>
          </w:tcPr>
          <w:p w14:paraId="1A5A9FFC">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335</w:t>
            </w:r>
          </w:p>
        </w:tc>
        <w:tc>
          <w:tcPr>
            <w:tcW w:w="1237" w:type="dxa"/>
            <w:noWrap w:val="0"/>
            <w:vAlign w:val="center"/>
          </w:tcPr>
          <w:p w14:paraId="6404AFE1">
            <w:pPr>
              <w:pStyle w:val="5"/>
              <w:widowControl/>
              <w:jc w:val="center"/>
              <w:rPr>
                <w:rStyle w:val="4"/>
                <w:rFonts w:ascii="宋体" w:hAnsi="宋体" w:eastAsia="宋体" w:cs="宋体"/>
                <w:kern w:val="0"/>
                <w:sz w:val="18"/>
                <w:szCs w:val="18"/>
              </w:rPr>
            </w:pPr>
          </w:p>
        </w:tc>
        <w:tc>
          <w:tcPr>
            <w:tcW w:w="1363" w:type="dxa"/>
            <w:noWrap w:val="0"/>
            <w:vAlign w:val="center"/>
          </w:tcPr>
          <w:p w14:paraId="0290D42F">
            <w:pPr>
              <w:pStyle w:val="5"/>
              <w:widowControl/>
              <w:jc w:val="center"/>
              <w:rPr>
                <w:rStyle w:val="4"/>
                <w:rFonts w:ascii="宋体" w:hAnsi="宋体" w:eastAsia="宋体" w:cs="宋体"/>
                <w:kern w:val="0"/>
                <w:sz w:val="18"/>
                <w:szCs w:val="18"/>
              </w:rPr>
            </w:pPr>
          </w:p>
        </w:tc>
        <w:tc>
          <w:tcPr>
            <w:tcW w:w="1350" w:type="dxa"/>
            <w:noWrap w:val="0"/>
            <w:vAlign w:val="center"/>
          </w:tcPr>
          <w:p w14:paraId="5D6C103E">
            <w:pPr>
              <w:pStyle w:val="5"/>
              <w:widowControl/>
              <w:jc w:val="center"/>
              <w:rPr>
                <w:rStyle w:val="4"/>
                <w:rFonts w:ascii="宋体" w:hAnsi="宋体" w:eastAsia="宋体" w:cs="宋体"/>
                <w:kern w:val="0"/>
                <w:sz w:val="18"/>
                <w:szCs w:val="18"/>
              </w:rPr>
            </w:pPr>
          </w:p>
        </w:tc>
      </w:tr>
      <w:tr w14:paraId="383E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0CE0EC24">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26</w:t>
            </w:r>
          </w:p>
        </w:tc>
        <w:tc>
          <w:tcPr>
            <w:tcW w:w="1950" w:type="dxa"/>
            <w:shd w:val="clear" w:color="000000" w:fill="FFFFFF"/>
            <w:noWrap w:val="0"/>
            <w:vAlign w:val="center"/>
          </w:tcPr>
          <w:p w14:paraId="1CED104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24口POE交换机</w:t>
            </w:r>
          </w:p>
        </w:tc>
        <w:tc>
          <w:tcPr>
            <w:tcW w:w="900" w:type="dxa"/>
            <w:shd w:val="clear" w:color="000000" w:fill="FFFFFF"/>
            <w:noWrap w:val="0"/>
            <w:vAlign w:val="center"/>
          </w:tcPr>
          <w:p w14:paraId="3757CE11">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shd w:val="clear" w:color="000000" w:fill="FFFFFF"/>
            <w:noWrap w:val="0"/>
            <w:vAlign w:val="center"/>
          </w:tcPr>
          <w:p w14:paraId="75C6FB54">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4</w:t>
            </w:r>
          </w:p>
        </w:tc>
        <w:tc>
          <w:tcPr>
            <w:tcW w:w="1237" w:type="dxa"/>
            <w:shd w:val="clear" w:color="000000" w:fill="FFFFFF"/>
            <w:noWrap w:val="0"/>
            <w:vAlign w:val="center"/>
          </w:tcPr>
          <w:p w14:paraId="5CDF62CC">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5A8A31D8">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0F136242">
            <w:pPr>
              <w:pStyle w:val="5"/>
              <w:widowControl/>
              <w:jc w:val="center"/>
              <w:rPr>
                <w:rStyle w:val="4"/>
                <w:rFonts w:ascii="宋体" w:hAnsi="宋体" w:eastAsia="宋体" w:cs="宋体"/>
                <w:kern w:val="0"/>
                <w:sz w:val="18"/>
                <w:szCs w:val="18"/>
              </w:rPr>
            </w:pPr>
          </w:p>
        </w:tc>
      </w:tr>
      <w:tr w14:paraId="2475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05F9E26C">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27</w:t>
            </w:r>
          </w:p>
        </w:tc>
        <w:tc>
          <w:tcPr>
            <w:tcW w:w="1950" w:type="dxa"/>
            <w:shd w:val="clear" w:color="000000" w:fill="FFFFFF"/>
            <w:noWrap w:val="0"/>
            <w:vAlign w:val="center"/>
          </w:tcPr>
          <w:p w14:paraId="5A31DFB4">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48口全光口交换机</w:t>
            </w:r>
          </w:p>
        </w:tc>
        <w:tc>
          <w:tcPr>
            <w:tcW w:w="900" w:type="dxa"/>
            <w:shd w:val="clear" w:color="000000" w:fill="FFFFFF"/>
            <w:noWrap w:val="0"/>
            <w:vAlign w:val="center"/>
          </w:tcPr>
          <w:p w14:paraId="006B328B">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shd w:val="clear" w:color="000000" w:fill="FFFFFF"/>
            <w:noWrap w:val="0"/>
            <w:vAlign w:val="center"/>
          </w:tcPr>
          <w:p w14:paraId="46810449">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1</w:t>
            </w:r>
          </w:p>
        </w:tc>
        <w:tc>
          <w:tcPr>
            <w:tcW w:w="1237" w:type="dxa"/>
            <w:shd w:val="clear" w:color="000000" w:fill="FFFFFF"/>
            <w:noWrap w:val="0"/>
            <w:vAlign w:val="center"/>
          </w:tcPr>
          <w:p w14:paraId="3159752A">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7651C8D8">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6FECAB97">
            <w:pPr>
              <w:pStyle w:val="5"/>
              <w:widowControl/>
              <w:jc w:val="center"/>
              <w:rPr>
                <w:rStyle w:val="4"/>
                <w:rFonts w:ascii="宋体" w:hAnsi="宋体" w:eastAsia="宋体" w:cs="宋体"/>
                <w:kern w:val="0"/>
                <w:sz w:val="18"/>
                <w:szCs w:val="18"/>
              </w:rPr>
            </w:pPr>
          </w:p>
        </w:tc>
      </w:tr>
      <w:tr w14:paraId="23AF1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77F15F1D">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28</w:t>
            </w:r>
          </w:p>
        </w:tc>
        <w:tc>
          <w:tcPr>
            <w:tcW w:w="1950" w:type="dxa"/>
            <w:shd w:val="clear" w:color="000000" w:fill="FFFFFF"/>
            <w:noWrap w:val="0"/>
            <w:vAlign w:val="center"/>
          </w:tcPr>
          <w:p w14:paraId="6A14BAF5">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24专网交换机</w:t>
            </w:r>
          </w:p>
        </w:tc>
        <w:tc>
          <w:tcPr>
            <w:tcW w:w="900" w:type="dxa"/>
            <w:shd w:val="clear" w:color="000000" w:fill="FFFFFF"/>
            <w:noWrap w:val="0"/>
            <w:vAlign w:val="center"/>
          </w:tcPr>
          <w:p w14:paraId="7BB6BE8C">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shd w:val="clear" w:color="000000" w:fill="FFFFFF"/>
            <w:noWrap w:val="0"/>
            <w:vAlign w:val="center"/>
          </w:tcPr>
          <w:p w14:paraId="73C9CEF5">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2</w:t>
            </w:r>
          </w:p>
        </w:tc>
        <w:tc>
          <w:tcPr>
            <w:tcW w:w="1237" w:type="dxa"/>
            <w:shd w:val="clear" w:color="000000" w:fill="FFFFFF"/>
            <w:noWrap w:val="0"/>
            <w:vAlign w:val="center"/>
          </w:tcPr>
          <w:p w14:paraId="3CEB369D">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3ED902A0">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1D8B7940">
            <w:pPr>
              <w:pStyle w:val="5"/>
              <w:widowControl/>
              <w:jc w:val="center"/>
              <w:rPr>
                <w:rStyle w:val="4"/>
                <w:rFonts w:ascii="宋体" w:hAnsi="宋体" w:eastAsia="宋体" w:cs="宋体"/>
                <w:kern w:val="0"/>
                <w:sz w:val="18"/>
                <w:szCs w:val="18"/>
              </w:rPr>
            </w:pPr>
          </w:p>
        </w:tc>
      </w:tr>
      <w:tr w14:paraId="2E17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109D818F">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29</w:t>
            </w:r>
          </w:p>
        </w:tc>
        <w:tc>
          <w:tcPr>
            <w:tcW w:w="1950" w:type="dxa"/>
            <w:shd w:val="clear" w:color="000000" w:fill="FFFFFF"/>
            <w:noWrap w:val="0"/>
            <w:vAlign w:val="center"/>
          </w:tcPr>
          <w:p w14:paraId="79D4A50B">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放装高密AP</w:t>
            </w:r>
          </w:p>
        </w:tc>
        <w:tc>
          <w:tcPr>
            <w:tcW w:w="900" w:type="dxa"/>
            <w:shd w:val="clear" w:color="000000" w:fill="FFFFFF"/>
            <w:noWrap w:val="0"/>
            <w:vAlign w:val="center"/>
          </w:tcPr>
          <w:p w14:paraId="11083F36">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shd w:val="clear" w:color="000000" w:fill="FFFFFF"/>
            <w:noWrap w:val="0"/>
            <w:vAlign w:val="center"/>
          </w:tcPr>
          <w:p w14:paraId="26FD728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24</w:t>
            </w:r>
          </w:p>
        </w:tc>
        <w:tc>
          <w:tcPr>
            <w:tcW w:w="1237" w:type="dxa"/>
            <w:shd w:val="clear" w:color="000000" w:fill="FFFFFF"/>
            <w:noWrap w:val="0"/>
            <w:vAlign w:val="center"/>
          </w:tcPr>
          <w:p w14:paraId="4F275D04">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0AAF1B4C">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1E4AA443">
            <w:pPr>
              <w:pStyle w:val="5"/>
              <w:widowControl/>
              <w:jc w:val="center"/>
              <w:rPr>
                <w:rStyle w:val="4"/>
                <w:rFonts w:ascii="宋体" w:hAnsi="宋体" w:eastAsia="宋体" w:cs="宋体"/>
                <w:kern w:val="0"/>
                <w:sz w:val="18"/>
                <w:szCs w:val="18"/>
              </w:rPr>
            </w:pPr>
          </w:p>
        </w:tc>
      </w:tr>
      <w:tr w14:paraId="0AC8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73CF4E20">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30</w:t>
            </w:r>
          </w:p>
        </w:tc>
        <w:tc>
          <w:tcPr>
            <w:tcW w:w="1950" w:type="dxa"/>
            <w:shd w:val="clear" w:color="000000" w:fill="FFFFFF"/>
            <w:noWrap w:val="0"/>
            <w:vAlign w:val="center"/>
          </w:tcPr>
          <w:p w14:paraId="52B7DDE6">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 xml:space="preserve">室外高密AP </w:t>
            </w:r>
          </w:p>
        </w:tc>
        <w:tc>
          <w:tcPr>
            <w:tcW w:w="900" w:type="dxa"/>
            <w:shd w:val="clear" w:color="000000" w:fill="FFFFFF"/>
            <w:noWrap w:val="0"/>
            <w:vAlign w:val="center"/>
          </w:tcPr>
          <w:p w14:paraId="18A5212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shd w:val="clear" w:color="000000" w:fill="FFFFFF"/>
            <w:noWrap w:val="0"/>
            <w:vAlign w:val="center"/>
          </w:tcPr>
          <w:p w14:paraId="3CD21634">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30</w:t>
            </w:r>
          </w:p>
        </w:tc>
        <w:tc>
          <w:tcPr>
            <w:tcW w:w="1237" w:type="dxa"/>
            <w:shd w:val="clear" w:color="000000" w:fill="FFFFFF"/>
            <w:noWrap w:val="0"/>
            <w:vAlign w:val="center"/>
          </w:tcPr>
          <w:p w14:paraId="0BB2DA66">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24B94077">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2C388C31">
            <w:pPr>
              <w:pStyle w:val="5"/>
              <w:widowControl/>
              <w:jc w:val="center"/>
              <w:rPr>
                <w:rStyle w:val="4"/>
                <w:rFonts w:ascii="宋体" w:hAnsi="宋体" w:eastAsia="宋体" w:cs="宋体"/>
                <w:kern w:val="0"/>
                <w:sz w:val="18"/>
                <w:szCs w:val="18"/>
              </w:rPr>
            </w:pPr>
          </w:p>
        </w:tc>
      </w:tr>
      <w:tr w14:paraId="03B8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2ABCCCC3">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31</w:t>
            </w:r>
          </w:p>
        </w:tc>
        <w:tc>
          <w:tcPr>
            <w:tcW w:w="1950" w:type="dxa"/>
            <w:shd w:val="clear" w:color="000000" w:fill="FFFFFF"/>
            <w:noWrap w:val="0"/>
            <w:vAlign w:val="center"/>
          </w:tcPr>
          <w:p w14:paraId="2B00E84A">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终端消费机</w:t>
            </w:r>
          </w:p>
        </w:tc>
        <w:tc>
          <w:tcPr>
            <w:tcW w:w="900" w:type="dxa"/>
            <w:shd w:val="clear" w:color="000000" w:fill="FFFFFF"/>
            <w:noWrap w:val="0"/>
            <w:vAlign w:val="center"/>
          </w:tcPr>
          <w:p w14:paraId="35EDDB50">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台</w:t>
            </w:r>
          </w:p>
        </w:tc>
        <w:tc>
          <w:tcPr>
            <w:tcW w:w="925" w:type="dxa"/>
            <w:shd w:val="clear" w:color="auto" w:fill="auto"/>
            <w:noWrap/>
            <w:vAlign w:val="center"/>
          </w:tcPr>
          <w:p w14:paraId="7621273C">
            <w:pPr>
              <w:pStyle w:val="5"/>
              <w:widowControl/>
              <w:jc w:val="center"/>
              <w:rPr>
                <w:rStyle w:val="4"/>
                <w:rFonts w:ascii="宋体" w:hAnsi="宋体" w:eastAsia="宋体" w:cs="宋体"/>
                <w:color w:val="000000"/>
                <w:kern w:val="0"/>
                <w:sz w:val="22"/>
              </w:rPr>
            </w:pPr>
            <w:r>
              <w:rPr>
                <w:rStyle w:val="4"/>
                <w:rFonts w:hint="eastAsia" w:ascii="宋体" w:hAnsi="宋体" w:eastAsia="宋体" w:cs="宋体"/>
                <w:color w:val="000000"/>
                <w:kern w:val="0"/>
                <w:sz w:val="22"/>
              </w:rPr>
              <w:t>25</w:t>
            </w:r>
          </w:p>
        </w:tc>
        <w:tc>
          <w:tcPr>
            <w:tcW w:w="1237" w:type="dxa"/>
            <w:shd w:val="clear" w:color="auto" w:fill="auto"/>
            <w:noWrap/>
            <w:vAlign w:val="center"/>
          </w:tcPr>
          <w:p w14:paraId="34492BC6">
            <w:pPr>
              <w:pStyle w:val="5"/>
              <w:widowControl/>
              <w:jc w:val="center"/>
              <w:rPr>
                <w:rStyle w:val="4"/>
                <w:rFonts w:ascii="宋体" w:hAnsi="宋体" w:eastAsia="宋体" w:cs="宋体"/>
                <w:color w:val="000000"/>
                <w:kern w:val="0"/>
                <w:sz w:val="22"/>
              </w:rPr>
            </w:pPr>
          </w:p>
        </w:tc>
        <w:tc>
          <w:tcPr>
            <w:tcW w:w="1363" w:type="dxa"/>
            <w:shd w:val="clear" w:color="auto" w:fill="auto"/>
            <w:noWrap/>
            <w:vAlign w:val="center"/>
          </w:tcPr>
          <w:p w14:paraId="0DD649C3">
            <w:pPr>
              <w:pStyle w:val="5"/>
              <w:widowControl/>
              <w:jc w:val="center"/>
              <w:rPr>
                <w:rStyle w:val="4"/>
                <w:rFonts w:ascii="宋体" w:hAnsi="宋体" w:eastAsia="宋体" w:cs="宋体"/>
                <w:color w:val="000000"/>
                <w:kern w:val="0"/>
                <w:sz w:val="22"/>
              </w:rPr>
            </w:pPr>
          </w:p>
        </w:tc>
        <w:tc>
          <w:tcPr>
            <w:tcW w:w="1350" w:type="dxa"/>
            <w:shd w:val="clear" w:color="auto" w:fill="auto"/>
            <w:noWrap/>
            <w:vAlign w:val="center"/>
          </w:tcPr>
          <w:p w14:paraId="778EBDCD">
            <w:pPr>
              <w:pStyle w:val="5"/>
              <w:widowControl/>
              <w:jc w:val="center"/>
              <w:rPr>
                <w:rStyle w:val="4"/>
                <w:rFonts w:ascii="宋体" w:hAnsi="宋体" w:eastAsia="宋体" w:cs="宋体"/>
                <w:color w:val="000000"/>
                <w:kern w:val="0"/>
                <w:sz w:val="22"/>
              </w:rPr>
            </w:pPr>
          </w:p>
        </w:tc>
      </w:tr>
      <w:tr w14:paraId="4000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541C80D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32</w:t>
            </w:r>
          </w:p>
        </w:tc>
        <w:tc>
          <w:tcPr>
            <w:tcW w:w="1950" w:type="dxa"/>
            <w:shd w:val="clear" w:color="000000" w:fill="FFFFFF"/>
            <w:noWrap w:val="0"/>
            <w:vAlign w:val="center"/>
          </w:tcPr>
          <w:p w14:paraId="644319F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千兆单模模块</w:t>
            </w:r>
          </w:p>
        </w:tc>
        <w:tc>
          <w:tcPr>
            <w:tcW w:w="900" w:type="dxa"/>
            <w:shd w:val="clear" w:color="000000" w:fill="FFFFFF"/>
            <w:noWrap w:val="0"/>
            <w:vAlign w:val="center"/>
          </w:tcPr>
          <w:p w14:paraId="528E2823">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块</w:t>
            </w:r>
          </w:p>
        </w:tc>
        <w:tc>
          <w:tcPr>
            <w:tcW w:w="925" w:type="dxa"/>
            <w:shd w:val="clear" w:color="000000" w:fill="FFFFFF"/>
            <w:noWrap w:val="0"/>
            <w:vAlign w:val="center"/>
          </w:tcPr>
          <w:p w14:paraId="702B85C4">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30</w:t>
            </w:r>
          </w:p>
        </w:tc>
        <w:tc>
          <w:tcPr>
            <w:tcW w:w="1237" w:type="dxa"/>
            <w:shd w:val="clear" w:color="000000" w:fill="FFFFFF"/>
            <w:noWrap w:val="0"/>
            <w:vAlign w:val="center"/>
          </w:tcPr>
          <w:p w14:paraId="7898213D">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1F5F431B">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63D1071F">
            <w:pPr>
              <w:pStyle w:val="5"/>
              <w:widowControl/>
              <w:jc w:val="center"/>
              <w:rPr>
                <w:rStyle w:val="4"/>
                <w:rFonts w:ascii="宋体" w:hAnsi="宋体" w:eastAsia="宋体" w:cs="宋体"/>
                <w:kern w:val="0"/>
                <w:sz w:val="18"/>
                <w:szCs w:val="18"/>
              </w:rPr>
            </w:pPr>
          </w:p>
        </w:tc>
      </w:tr>
      <w:tr w14:paraId="2D35A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57C17272">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33</w:t>
            </w:r>
          </w:p>
        </w:tc>
        <w:tc>
          <w:tcPr>
            <w:tcW w:w="1950" w:type="dxa"/>
            <w:shd w:val="clear" w:color="000000" w:fill="FFFFFF"/>
            <w:noWrap w:val="0"/>
            <w:vAlign w:val="center"/>
          </w:tcPr>
          <w:p w14:paraId="48DA2E31">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24口光纤配线架</w:t>
            </w:r>
          </w:p>
        </w:tc>
        <w:tc>
          <w:tcPr>
            <w:tcW w:w="900" w:type="dxa"/>
            <w:shd w:val="clear" w:color="auto" w:fill="auto"/>
            <w:noWrap w:val="0"/>
            <w:vAlign w:val="center"/>
          </w:tcPr>
          <w:p w14:paraId="5BEC20BD">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个</w:t>
            </w:r>
          </w:p>
        </w:tc>
        <w:tc>
          <w:tcPr>
            <w:tcW w:w="925" w:type="dxa"/>
            <w:shd w:val="clear" w:color="000000" w:fill="FFFFFF"/>
            <w:noWrap w:val="0"/>
            <w:vAlign w:val="center"/>
          </w:tcPr>
          <w:p w14:paraId="732D2341">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6</w:t>
            </w:r>
          </w:p>
        </w:tc>
        <w:tc>
          <w:tcPr>
            <w:tcW w:w="1237" w:type="dxa"/>
            <w:shd w:val="clear" w:color="000000" w:fill="FFFFFF"/>
            <w:noWrap w:val="0"/>
            <w:vAlign w:val="center"/>
          </w:tcPr>
          <w:p w14:paraId="0C483870">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7B92F624">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5FF1BE7C">
            <w:pPr>
              <w:pStyle w:val="5"/>
              <w:widowControl/>
              <w:jc w:val="center"/>
              <w:rPr>
                <w:rStyle w:val="4"/>
                <w:rFonts w:ascii="宋体" w:hAnsi="宋体" w:eastAsia="宋体" w:cs="宋体"/>
                <w:kern w:val="0"/>
                <w:sz w:val="18"/>
                <w:szCs w:val="18"/>
              </w:rPr>
            </w:pPr>
          </w:p>
        </w:tc>
      </w:tr>
      <w:tr w14:paraId="647B5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652E58A6">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34</w:t>
            </w:r>
          </w:p>
        </w:tc>
        <w:tc>
          <w:tcPr>
            <w:tcW w:w="1950" w:type="dxa"/>
            <w:shd w:val="clear" w:color="000000" w:fill="FFFFFF"/>
            <w:noWrap w:val="0"/>
            <w:vAlign w:val="center"/>
          </w:tcPr>
          <w:p w14:paraId="5AFB0BFD">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室外及楼内主电源线</w:t>
            </w:r>
          </w:p>
        </w:tc>
        <w:tc>
          <w:tcPr>
            <w:tcW w:w="900" w:type="dxa"/>
            <w:shd w:val="clear" w:color="auto" w:fill="auto"/>
            <w:noWrap w:val="0"/>
            <w:vAlign w:val="center"/>
          </w:tcPr>
          <w:p w14:paraId="304B935B">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米</w:t>
            </w:r>
          </w:p>
        </w:tc>
        <w:tc>
          <w:tcPr>
            <w:tcW w:w="925" w:type="dxa"/>
            <w:shd w:val="clear" w:color="000000" w:fill="FFFFFF"/>
            <w:noWrap w:val="0"/>
            <w:vAlign w:val="center"/>
          </w:tcPr>
          <w:p w14:paraId="364F592D">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7800</w:t>
            </w:r>
          </w:p>
        </w:tc>
        <w:tc>
          <w:tcPr>
            <w:tcW w:w="1237" w:type="dxa"/>
            <w:shd w:val="clear" w:color="000000" w:fill="FFFFFF"/>
            <w:noWrap w:val="0"/>
            <w:vAlign w:val="center"/>
          </w:tcPr>
          <w:p w14:paraId="17E95EA5">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7D290F74">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46098CD1">
            <w:pPr>
              <w:pStyle w:val="5"/>
              <w:widowControl/>
              <w:jc w:val="center"/>
              <w:rPr>
                <w:rStyle w:val="4"/>
                <w:rFonts w:ascii="宋体" w:hAnsi="宋体" w:eastAsia="宋体" w:cs="宋体"/>
                <w:kern w:val="0"/>
                <w:sz w:val="18"/>
                <w:szCs w:val="18"/>
              </w:rPr>
            </w:pPr>
          </w:p>
        </w:tc>
      </w:tr>
      <w:tr w14:paraId="237DE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53D6F5F5">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35</w:t>
            </w:r>
          </w:p>
        </w:tc>
        <w:tc>
          <w:tcPr>
            <w:tcW w:w="1950" w:type="dxa"/>
            <w:shd w:val="clear" w:color="000000" w:fill="FFFFFF"/>
            <w:noWrap w:val="0"/>
            <w:vAlign w:val="center"/>
          </w:tcPr>
          <w:p w14:paraId="42B8ABE3">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房间ap电源线路</w:t>
            </w:r>
          </w:p>
        </w:tc>
        <w:tc>
          <w:tcPr>
            <w:tcW w:w="900" w:type="dxa"/>
            <w:shd w:val="clear" w:color="auto" w:fill="auto"/>
            <w:noWrap w:val="0"/>
            <w:vAlign w:val="center"/>
          </w:tcPr>
          <w:p w14:paraId="7B20D9DF">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米</w:t>
            </w:r>
          </w:p>
        </w:tc>
        <w:tc>
          <w:tcPr>
            <w:tcW w:w="925" w:type="dxa"/>
            <w:shd w:val="clear" w:color="000000" w:fill="FFFFFF"/>
            <w:noWrap w:val="0"/>
            <w:vAlign w:val="center"/>
          </w:tcPr>
          <w:p w14:paraId="79CF36C8">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3600</w:t>
            </w:r>
          </w:p>
        </w:tc>
        <w:tc>
          <w:tcPr>
            <w:tcW w:w="1237" w:type="dxa"/>
            <w:shd w:val="clear" w:color="000000" w:fill="FFFFFF"/>
            <w:noWrap w:val="0"/>
            <w:vAlign w:val="center"/>
          </w:tcPr>
          <w:p w14:paraId="4DB7DF8F">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5E6229E2">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353E35CE">
            <w:pPr>
              <w:pStyle w:val="5"/>
              <w:widowControl/>
              <w:jc w:val="center"/>
              <w:rPr>
                <w:rStyle w:val="4"/>
                <w:rFonts w:ascii="宋体" w:hAnsi="宋体" w:eastAsia="宋体" w:cs="宋体"/>
                <w:kern w:val="0"/>
                <w:sz w:val="18"/>
                <w:szCs w:val="18"/>
              </w:rPr>
            </w:pPr>
          </w:p>
        </w:tc>
      </w:tr>
      <w:tr w14:paraId="0D42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290CCD41">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36</w:t>
            </w:r>
          </w:p>
        </w:tc>
        <w:tc>
          <w:tcPr>
            <w:tcW w:w="1950" w:type="dxa"/>
            <w:shd w:val="clear" w:color="000000" w:fill="FFFFFF"/>
            <w:noWrap w:val="0"/>
            <w:vAlign w:val="center"/>
          </w:tcPr>
          <w:p w14:paraId="7BD138A2">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施工和辅材费用</w:t>
            </w:r>
          </w:p>
        </w:tc>
        <w:tc>
          <w:tcPr>
            <w:tcW w:w="900" w:type="dxa"/>
            <w:shd w:val="clear" w:color="auto" w:fill="auto"/>
            <w:noWrap w:val="0"/>
            <w:vAlign w:val="center"/>
          </w:tcPr>
          <w:p w14:paraId="1BEDBE75">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批</w:t>
            </w:r>
          </w:p>
        </w:tc>
        <w:tc>
          <w:tcPr>
            <w:tcW w:w="925" w:type="dxa"/>
            <w:shd w:val="clear" w:color="000000" w:fill="FFFFFF"/>
            <w:noWrap w:val="0"/>
            <w:vAlign w:val="center"/>
          </w:tcPr>
          <w:p w14:paraId="6B037CB3">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1</w:t>
            </w:r>
          </w:p>
        </w:tc>
        <w:tc>
          <w:tcPr>
            <w:tcW w:w="1237" w:type="dxa"/>
            <w:shd w:val="clear" w:color="000000" w:fill="FFFFFF"/>
            <w:noWrap w:val="0"/>
            <w:vAlign w:val="center"/>
          </w:tcPr>
          <w:p w14:paraId="59F1754A">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5611D577">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0FF5CD76">
            <w:pPr>
              <w:pStyle w:val="5"/>
              <w:widowControl/>
              <w:jc w:val="center"/>
              <w:rPr>
                <w:rStyle w:val="4"/>
                <w:rFonts w:ascii="宋体" w:hAnsi="宋体" w:eastAsia="宋体" w:cs="宋体"/>
                <w:kern w:val="0"/>
                <w:sz w:val="18"/>
                <w:szCs w:val="18"/>
              </w:rPr>
            </w:pPr>
          </w:p>
        </w:tc>
      </w:tr>
      <w:tr w14:paraId="4488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7" w:type="dxa"/>
            <w:shd w:val="clear" w:color="auto" w:fill="auto"/>
            <w:noWrap w:val="0"/>
            <w:vAlign w:val="center"/>
          </w:tcPr>
          <w:p w14:paraId="2E3B8D1D">
            <w:pPr>
              <w:pStyle w:val="5"/>
              <w:widowControl/>
              <w:jc w:val="center"/>
              <w:rPr>
                <w:rStyle w:val="4"/>
                <w:rFonts w:ascii="宋体" w:hAnsi="宋体" w:eastAsia="宋体" w:cs="宋体"/>
                <w:color w:val="000000"/>
                <w:kern w:val="0"/>
                <w:sz w:val="18"/>
                <w:szCs w:val="18"/>
              </w:rPr>
            </w:pPr>
            <w:r>
              <w:rPr>
                <w:rStyle w:val="4"/>
                <w:rFonts w:hint="eastAsia" w:ascii="宋体" w:hAnsi="宋体" w:eastAsia="宋体" w:cs="宋体"/>
                <w:color w:val="000000"/>
                <w:kern w:val="0"/>
                <w:sz w:val="18"/>
                <w:szCs w:val="18"/>
              </w:rPr>
              <w:t>37</w:t>
            </w:r>
          </w:p>
        </w:tc>
        <w:tc>
          <w:tcPr>
            <w:tcW w:w="1950" w:type="dxa"/>
            <w:shd w:val="clear" w:color="000000" w:fill="FFFFFF"/>
            <w:noWrap w:val="0"/>
            <w:vAlign w:val="center"/>
          </w:tcPr>
          <w:p w14:paraId="5B573D38">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技术集成服务</w:t>
            </w:r>
          </w:p>
        </w:tc>
        <w:tc>
          <w:tcPr>
            <w:tcW w:w="900" w:type="dxa"/>
            <w:shd w:val="clear" w:color="auto" w:fill="auto"/>
            <w:noWrap w:val="0"/>
            <w:vAlign w:val="center"/>
          </w:tcPr>
          <w:p w14:paraId="426EC4C6">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批</w:t>
            </w:r>
          </w:p>
        </w:tc>
        <w:tc>
          <w:tcPr>
            <w:tcW w:w="925" w:type="dxa"/>
            <w:shd w:val="clear" w:color="000000" w:fill="FFFFFF"/>
            <w:noWrap w:val="0"/>
            <w:vAlign w:val="center"/>
          </w:tcPr>
          <w:p w14:paraId="62561A4B">
            <w:pPr>
              <w:pStyle w:val="5"/>
              <w:widowControl/>
              <w:jc w:val="center"/>
              <w:rPr>
                <w:rStyle w:val="4"/>
                <w:rFonts w:ascii="宋体" w:hAnsi="宋体" w:eastAsia="宋体" w:cs="宋体"/>
                <w:kern w:val="0"/>
                <w:sz w:val="18"/>
                <w:szCs w:val="18"/>
              </w:rPr>
            </w:pPr>
            <w:r>
              <w:rPr>
                <w:rStyle w:val="4"/>
                <w:rFonts w:hint="eastAsia" w:ascii="宋体" w:hAnsi="宋体" w:eastAsia="宋体" w:cs="宋体"/>
                <w:kern w:val="0"/>
                <w:sz w:val="18"/>
                <w:szCs w:val="18"/>
              </w:rPr>
              <w:t>1</w:t>
            </w:r>
          </w:p>
        </w:tc>
        <w:tc>
          <w:tcPr>
            <w:tcW w:w="1237" w:type="dxa"/>
            <w:shd w:val="clear" w:color="000000" w:fill="FFFFFF"/>
            <w:noWrap w:val="0"/>
            <w:vAlign w:val="center"/>
          </w:tcPr>
          <w:p w14:paraId="5CDAFCF0">
            <w:pPr>
              <w:pStyle w:val="5"/>
              <w:widowControl/>
              <w:jc w:val="center"/>
              <w:rPr>
                <w:rStyle w:val="4"/>
                <w:rFonts w:ascii="宋体" w:hAnsi="宋体" w:eastAsia="宋体" w:cs="宋体"/>
                <w:kern w:val="0"/>
                <w:sz w:val="18"/>
                <w:szCs w:val="18"/>
              </w:rPr>
            </w:pPr>
          </w:p>
        </w:tc>
        <w:tc>
          <w:tcPr>
            <w:tcW w:w="1363" w:type="dxa"/>
            <w:shd w:val="clear" w:color="000000" w:fill="FFFFFF"/>
            <w:noWrap w:val="0"/>
            <w:vAlign w:val="center"/>
          </w:tcPr>
          <w:p w14:paraId="5E63001D">
            <w:pPr>
              <w:pStyle w:val="5"/>
              <w:widowControl/>
              <w:jc w:val="center"/>
              <w:rPr>
                <w:rStyle w:val="4"/>
                <w:rFonts w:ascii="宋体" w:hAnsi="宋体" w:eastAsia="宋体" w:cs="宋体"/>
                <w:kern w:val="0"/>
                <w:sz w:val="18"/>
                <w:szCs w:val="18"/>
              </w:rPr>
            </w:pPr>
          </w:p>
        </w:tc>
        <w:tc>
          <w:tcPr>
            <w:tcW w:w="1350" w:type="dxa"/>
            <w:shd w:val="clear" w:color="000000" w:fill="FFFFFF"/>
            <w:noWrap w:val="0"/>
            <w:vAlign w:val="center"/>
          </w:tcPr>
          <w:p w14:paraId="2DC3F4AE">
            <w:pPr>
              <w:pStyle w:val="5"/>
              <w:widowControl/>
              <w:jc w:val="center"/>
              <w:rPr>
                <w:rStyle w:val="4"/>
                <w:rFonts w:ascii="宋体" w:hAnsi="宋体" w:eastAsia="宋体" w:cs="宋体"/>
                <w:kern w:val="0"/>
                <w:sz w:val="18"/>
                <w:szCs w:val="18"/>
              </w:rPr>
            </w:pPr>
          </w:p>
        </w:tc>
      </w:tr>
    </w:tbl>
    <w:p w14:paraId="05F4D0D5">
      <w:pPr>
        <w:pStyle w:val="6"/>
        <w:adjustRightInd w:val="0"/>
        <w:snapToGrid w:val="0"/>
        <w:spacing w:before="156" w:beforeLines="50" w:line="360" w:lineRule="auto"/>
        <w:rPr>
          <w:rStyle w:val="4"/>
          <w:rFonts w:ascii="Times New Roman" w:hAnsi="Times New Roman"/>
          <w:sz w:val="18"/>
          <w:szCs w:val="18"/>
        </w:rPr>
      </w:pPr>
      <w:r>
        <w:rPr>
          <w:rStyle w:val="4"/>
          <w:rFonts w:ascii="Times New Roman" w:hAnsi="Times New Roman"/>
          <w:sz w:val="18"/>
          <w:szCs w:val="18"/>
        </w:rPr>
        <w:t>注：</w:t>
      </w:r>
    </w:p>
    <w:p w14:paraId="57D63D68">
      <w:pPr>
        <w:pStyle w:val="6"/>
        <w:adjustRightInd w:val="0"/>
        <w:snapToGrid w:val="0"/>
        <w:spacing w:line="360" w:lineRule="auto"/>
        <w:rPr>
          <w:rStyle w:val="4"/>
          <w:rFonts w:ascii="Times New Roman" w:hAnsi="Times New Roman"/>
          <w:sz w:val="18"/>
          <w:szCs w:val="18"/>
        </w:rPr>
      </w:pPr>
      <w:r>
        <w:rPr>
          <w:rStyle w:val="4"/>
          <w:rFonts w:ascii="Times New Roman" w:hAnsi="Times New Roman"/>
          <w:sz w:val="18"/>
          <w:szCs w:val="18"/>
        </w:rPr>
        <w:t>1.“包”为最小合同单位（最小投标单位）。每“包”内容应细化到“品目”（如果分品目的）。</w:t>
      </w:r>
    </w:p>
    <w:p w14:paraId="06D2C521">
      <w:pPr>
        <w:pStyle w:val="6"/>
        <w:adjustRightInd w:val="0"/>
        <w:snapToGrid w:val="0"/>
        <w:spacing w:line="360" w:lineRule="auto"/>
        <w:rPr>
          <w:rStyle w:val="4"/>
          <w:rFonts w:ascii="Times New Roman" w:hAnsi="Times New Roman"/>
          <w:sz w:val="18"/>
          <w:szCs w:val="18"/>
        </w:rPr>
      </w:pPr>
      <w:r>
        <w:rPr>
          <w:rStyle w:val="4"/>
          <w:rFonts w:ascii="Times New Roman" w:hAnsi="Times New Roman"/>
          <w:sz w:val="18"/>
          <w:szCs w:val="18"/>
        </w:rPr>
        <w:t>2.投标人必须对一个完整、独立的包进行投标，不得仅对一个包中的部分品目投标，否则</w:t>
      </w:r>
      <w:r>
        <w:rPr>
          <w:rStyle w:val="4"/>
          <w:rFonts w:ascii="Times New Roman" w:hAnsi="Times New Roman"/>
          <w:b/>
          <w:sz w:val="18"/>
          <w:szCs w:val="18"/>
        </w:rPr>
        <w:t>投标无效</w:t>
      </w:r>
      <w:r>
        <w:rPr>
          <w:rStyle w:val="4"/>
          <w:rFonts w:ascii="Times New Roman" w:hAnsi="Times New Roman"/>
          <w:sz w:val="18"/>
          <w:szCs w:val="18"/>
        </w:rPr>
        <w:t>。</w:t>
      </w:r>
    </w:p>
    <w:p w14:paraId="1EAD2A7A">
      <w:pPr>
        <w:pStyle w:val="6"/>
        <w:adjustRightInd w:val="0"/>
        <w:snapToGrid w:val="0"/>
        <w:spacing w:line="360" w:lineRule="auto"/>
        <w:rPr>
          <w:rStyle w:val="4"/>
          <w:rFonts w:ascii="Times New Roman" w:hAnsi="Times New Roman"/>
          <w:sz w:val="18"/>
          <w:szCs w:val="18"/>
        </w:rPr>
      </w:pPr>
      <w:r>
        <w:rPr>
          <w:rStyle w:val="4"/>
          <w:rFonts w:ascii="Times New Roman" w:hAnsi="Times New Roman"/>
          <w:sz w:val="18"/>
          <w:szCs w:val="18"/>
        </w:rPr>
        <w:t>3.货物的主要技术参数或规格：详见“技术要求”中的具体技术参数。</w:t>
      </w:r>
    </w:p>
    <w:p w14:paraId="210C8B14">
      <w:pPr>
        <w:pStyle w:val="6"/>
        <w:adjustRightInd w:val="0"/>
        <w:snapToGrid w:val="0"/>
        <w:spacing w:line="360" w:lineRule="auto"/>
        <w:rPr>
          <w:rStyle w:val="4"/>
          <w:rFonts w:ascii="Times New Roman" w:hAnsi="Times New Roman"/>
          <w:sz w:val="18"/>
          <w:szCs w:val="18"/>
        </w:rPr>
      </w:pPr>
      <w:r>
        <w:rPr>
          <w:rStyle w:val="4"/>
          <w:rFonts w:ascii="Times New Roman" w:hAnsi="Times New Roman"/>
          <w:sz w:val="18"/>
          <w:szCs w:val="18"/>
        </w:rPr>
        <w:t>4.投标人应在投标文件《分项报价明细表》中按分项项目名称（包括条目号/品目名称）顺序逐项填写，且每个品目中的条目均需按招标文件规定报价。如有缺项、漏项，其</w:t>
      </w:r>
      <w:r>
        <w:rPr>
          <w:rStyle w:val="4"/>
          <w:rFonts w:ascii="Times New Roman" w:hAnsi="Times New Roman"/>
          <w:b/>
          <w:sz w:val="18"/>
          <w:szCs w:val="18"/>
        </w:rPr>
        <w:t>投标无效</w:t>
      </w:r>
      <w:r>
        <w:rPr>
          <w:rStyle w:val="4"/>
          <w:rFonts w:ascii="Times New Roman" w:hAnsi="Times New Roman"/>
          <w:sz w:val="18"/>
          <w:szCs w:val="18"/>
        </w:rPr>
        <w:t>。</w:t>
      </w:r>
    </w:p>
    <w:p w14:paraId="1566C8AC">
      <w:pPr>
        <w:pStyle w:val="6"/>
        <w:adjustRightInd w:val="0"/>
        <w:snapToGrid w:val="0"/>
        <w:spacing w:line="360" w:lineRule="auto"/>
        <w:rPr>
          <w:rStyle w:val="4"/>
          <w:rFonts w:ascii="Times New Roman" w:hAnsi="Times New Roman"/>
          <w:sz w:val="18"/>
          <w:szCs w:val="18"/>
        </w:rPr>
      </w:pPr>
      <w:r>
        <w:rPr>
          <w:rStyle w:val="4"/>
          <w:rFonts w:ascii="Times New Roman" w:hAnsi="Times New Roman"/>
          <w:b/>
          <w:sz w:val="18"/>
          <w:szCs w:val="18"/>
        </w:rPr>
        <w:t>5.原装进口：</w:t>
      </w:r>
      <w:r>
        <w:rPr>
          <w:rStyle w:val="4"/>
          <w:rFonts w:ascii="Times New Roman" w:hAnsi="Times New Roman"/>
          <w:sz w:val="18"/>
          <w:szCs w:val="18"/>
        </w:rPr>
        <w:t>上表“原装进口栏”标注“允许”的设备已经通过主管部门审核同意，接受进口产品参与投标，未标注“允许”的拒绝进口产品参与投标。</w:t>
      </w:r>
    </w:p>
    <w:p w14:paraId="361A6073">
      <w:pPr>
        <w:pStyle w:val="6"/>
        <w:adjustRightInd w:val="0"/>
        <w:snapToGrid w:val="0"/>
        <w:spacing w:line="360" w:lineRule="auto"/>
        <w:rPr>
          <w:rStyle w:val="4"/>
          <w:rFonts w:ascii="Times New Roman" w:hAnsi="Times New Roman"/>
          <w:sz w:val="18"/>
          <w:szCs w:val="18"/>
        </w:rPr>
      </w:pPr>
      <w:r>
        <w:rPr>
          <w:rStyle w:val="4"/>
          <w:rFonts w:hint="eastAsia" w:ascii="Times New Roman" w:hAnsi="Times New Roman"/>
          <w:b/>
          <w:sz w:val="18"/>
          <w:szCs w:val="18"/>
        </w:rPr>
        <w:t>6</w:t>
      </w:r>
      <w:r>
        <w:rPr>
          <w:rStyle w:val="4"/>
          <w:rFonts w:ascii="Times New Roman" w:hAnsi="Times New Roman"/>
          <w:b/>
          <w:sz w:val="18"/>
          <w:szCs w:val="18"/>
        </w:rPr>
        <w:t>.核心产品：</w:t>
      </w:r>
      <w:r>
        <w:rPr>
          <w:rStyle w:val="4"/>
          <w:rFonts w:ascii="Times New Roman" w:hAnsi="Times New Roman"/>
          <w:sz w:val="18"/>
          <w:szCs w:val="18"/>
        </w:rPr>
        <w:t>上表“</w:t>
      </w:r>
      <w:r>
        <w:rPr>
          <w:rStyle w:val="4"/>
          <w:rFonts w:ascii="Times New Roman" w:hAnsi="Times New Roman"/>
          <w:b/>
          <w:kern w:val="0"/>
          <w:sz w:val="18"/>
          <w:szCs w:val="18"/>
        </w:rPr>
        <w:t>是否为核心产品</w:t>
      </w:r>
      <w:r>
        <w:rPr>
          <w:rStyle w:val="4"/>
          <w:rFonts w:ascii="Times New Roman" w:hAnsi="Times New Roman"/>
          <w:sz w:val="18"/>
          <w:szCs w:val="18"/>
        </w:rPr>
        <w:t>”栏中标注“是”的为核心产品，多家投标人提供的核心产品品牌相同的，按一个有效投标人处理。</w:t>
      </w:r>
    </w:p>
    <w:p w14:paraId="3401BECC">
      <w:pPr>
        <w:pStyle w:val="6"/>
        <w:adjustRightInd w:val="0"/>
        <w:snapToGrid w:val="0"/>
        <w:spacing w:line="360" w:lineRule="auto"/>
        <w:rPr>
          <w:rStyle w:val="4"/>
          <w:rFonts w:ascii="Times New Roman" w:hAnsi="Times New Roman"/>
          <w:sz w:val="18"/>
          <w:szCs w:val="18"/>
        </w:rPr>
      </w:pPr>
      <w:r>
        <w:rPr>
          <w:rStyle w:val="4"/>
          <w:rFonts w:hint="eastAsia" w:ascii="Times New Roman" w:hAnsi="Times New Roman"/>
          <w:b/>
          <w:bCs/>
          <w:sz w:val="18"/>
          <w:szCs w:val="18"/>
        </w:rPr>
        <w:t>7</w:t>
      </w:r>
      <w:r>
        <w:rPr>
          <w:rStyle w:val="4"/>
          <w:rFonts w:ascii="Times New Roman" w:hAnsi="Times New Roman"/>
          <w:b/>
          <w:bCs/>
          <w:sz w:val="18"/>
          <w:szCs w:val="18"/>
        </w:rPr>
        <w:t>.强制节能产品</w:t>
      </w:r>
      <w:r>
        <w:rPr>
          <w:rStyle w:val="4"/>
          <w:rFonts w:ascii="Times New Roman" w:hAnsi="Times New Roman"/>
          <w:sz w:val="18"/>
          <w:szCs w:val="18"/>
        </w:rPr>
        <w:t>：上表“</w:t>
      </w:r>
      <w:r>
        <w:rPr>
          <w:rStyle w:val="4"/>
          <w:rFonts w:ascii="Times New Roman" w:hAnsi="Times New Roman"/>
          <w:b/>
          <w:bCs/>
          <w:sz w:val="18"/>
          <w:szCs w:val="18"/>
        </w:rPr>
        <w:t>是否为强制节能产品</w:t>
      </w:r>
      <w:r>
        <w:rPr>
          <w:rStyle w:val="4"/>
          <w:rFonts w:ascii="Times New Roman" w:hAnsi="Times New Roman"/>
          <w:sz w:val="18"/>
          <w:szCs w:val="18"/>
        </w:rPr>
        <w:t>”栏中标注“是”的为强制节能产品，投标人投标产品应当取得国家确定的认证机构出具的、处于有效期之内的节能产品认证证书，否则其投标无效。</w:t>
      </w:r>
    </w:p>
    <w:p w14:paraId="0DA1A42C">
      <w:pPr>
        <w:pStyle w:val="6"/>
        <w:adjustRightInd w:val="0"/>
        <w:snapToGrid w:val="0"/>
        <w:spacing w:line="360" w:lineRule="auto"/>
        <w:rPr>
          <w:rStyle w:val="4"/>
          <w:rFonts w:ascii="Times New Roman" w:hAnsi="Times New Roman"/>
          <w:sz w:val="18"/>
          <w:szCs w:val="18"/>
        </w:rPr>
      </w:pPr>
      <w:r>
        <w:rPr>
          <w:rStyle w:val="4"/>
          <w:rFonts w:hint="eastAsia" w:ascii="Times New Roman" w:hAnsi="Times New Roman"/>
          <w:sz w:val="18"/>
          <w:szCs w:val="18"/>
        </w:rPr>
        <w:t>8</w:t>
      </w:r>
      <w:r>
        <w:rPr>
          <w:rStyle w:val="4"/>
          <w:rFonts w:ascii="Times New Roman" w:hAnsi="Times New Roman"/>
          <w:sz w:val="18"/>
          <w:szCs w:val="18"/>
        </w:rPr>
        <w:t>.依据《关于印发中小企业划型标准规定的通知》（工信部联企业〔2011〕300号）规定，本项目中小企业划分标准所属行业为“工业”。</w:t>
      </w:r>
    </w:p>
    <w:p w14:paraId="0184DE38">
      <w:pPr>
        <w:pStyle w:val="5"/>
        <w:adjustRightInd w:val="0"/>
        <w:snapToGrid w:val="0"/>
        <w:spacing w:before="156" w:beforeLines="50" w:line="360" w:lineRule="auto"/>
        <w:ind w:firstLine="420" w:firstLineChars="200"/>
        <w:rPr>
          <w:rStyle w:val="4"/>
          <w:rFonts w:ascii="宋体" w:hAnsi="宋体" w:eastAsia="宋体" w:cs="宋体"/>
          <w:kern w:val="0"/>
          <w:szCs w:val="21"/>
        </w:rPr>
      </w:pPr>
    </w:p>
    <w:p w14:paraId="07E696F2">
      <w:pPr>
        <w:pStyle w:val="5"/>
        <w:keepNext/>
        <w:keepLines/>
        <w:adjustRightInd w:val="0"/>
        <w:snapToGrid w:val="0"/>
        <w:spacing w:before="156" w:beforeLines="50" w:line="360" w:lineRule="auto"/>
        <w:jc w:val="center"/>
        <w:outlineLvl w:val="1"/>
        <w:rPr>
          <w:rStyle w:val="4"/>
          <w:rFonts w:ascii="宋体" w:hAnsi="宋体" w:eastAsia="宋体" w:cs="宋体"/>
          <w:b w:val="0"/>
          <w:bCs w:val="0"/>
          <w:sz w:val="21"/>
          <w:szCs w:val="21"/>
        </w:rPr>
      </w:pPr>
      <w:bookmarkStart w:id="2" w:name="_Toc29913943"/>
      <w:bookmarkStart w:id="3" w:name="_Toc256000039"/>
      <w:r>
        <w:rPr>
          <w:rStyle w:val="4"/>
          <w:rFonts w:hint="eastAsia" w:ascii="黑体" w:hAnsi="黑体" w:eastAsia="黑体" w:cs="Times New Roman"/>
          <w:b/>
          <w:bCs/>
          <w:sz w:val="28"/>
          <w:szCs w:val="28"/>
        </w:rPr>
        <w:t xml:space="preserve">第二节 </w:t>
      </w:r>
      <w:r>
        <w:rPr>
          <w:rStyle w:val="4"/>
          <w:rFonts w:ascii="黑体" w:hAnsi="黑体" w:eastAsia="黑体" w:cs="Times New Roman"/>
          <w:b/>
          <w:bCs/>
          <w:sz w:val="28"/>
          <w:szCs w:val="28"/>
        </w:rPr>
        <w:t>技术要求</w:t>
      </w:r>
      <w:bookmarkEnd w:id="2"/>
      <w:bookmarkEnd w:id="3"/>
    </w:p>
    <w:p w14:paraId="76FC71F4">
      <w:pPr>
        <w:pStyle w:val="5"/>
        <w:widowControl/>
        <w:spacing w:line="360" w:lineRule="auto"/>
        <w:ind w:firstLine="420"/>
        <w:jc w:val="left"/>
        <w:rPr>
          <w:rStyle w:val="4"/>
          <w:rFonts w:hint="eastAsia" w:ascii="宋体" w:hAnsi="宋体" w:eastAsia="宋体" w:cs="宋体"/>
          <w:b/>
          <w:bCs/>
          <w:szCs w:val="21"/>
          <w:lang w:val="en-US" w:eastAsia="zh-CN"/>
        </w:rPr>
      </w:pPr>
      <w:r>
        <w:rPr>
          <w:rStyle w:val="4"/>
          <w:rFonts w:hint="eastAsia" w:ascii="宋体" w:hAnsi="宋体" w:eastAsia="宋体" w:cs="宋体"/>
          <w:b/>
          <w:bCs/>
          <w:szCs w:val="21"/>
          <w:lang w:val="en-US" w:eastAsia="zh-CN"/>
        </w:rPr>
        <w:t>1.项目概况</w:t>
      </w:r>
    </w:p>
    <w:p w14:paraId="1A3CF88D">
      <w:pPr>
        <w:pStyle w:val="5"/>
        <w:widowControl/>
        <w:spacing w:line="360" w:lineRule="auto"/>
        <w:ind w:firstLine="420"/>
        <w:jc w:val="left"/>
        <w:rPr>
          <w:rStyle w:val="4"/>
          <w:rFonts w:ascii="宋体" w:hAnsi="宋体" w:eastAsia="宋体" w:cs="宋体"/>
          <w:szCs w:val="21"/>
        </w:rPr>
      </w:pPr>
      <w:r>
        <w:rPr>
          <w:rStyle w:val="4"/>
          <w:rFonts w:hint="eastAsia" w:ascii="宋体" w:hAnsi="宋体" w:eastAsia="宋体" w:cs="宋体"/>
          <w:szCs w:val="21"/>
        </w:rPr>
        <w:t>1、本次为学校新建宿舍楼和食堂大楼，宿舍楼共11层（地面以上），全部为6人学生宿舍，食堂共4层，具体点位需求表如下：</w:t>
      </w:r>
    </w:p>
    <w:tbl>
      <w:tblPr>
        <w:tblStyle w:val="3"/>
        <w:tblW w:w="8716" w:type="dxa"/>
        <w:jc w:val="center"/>
        <w:tblLayout w:type="autofit"/>
        <w:tblCellMar>
          <w:top w:w="0" w:type="dxa"/>
          <w:left w:w="108" w:type="dxa"/>
          <w:bottom w:w="0" w:type="dxa"/>
          <w:right w:w="108" w:type="dxa"/>
        </w:tblCellMar>
      </w:tblPr>
      <w:tblGrid>
        <w:gridCol w:w="1256"/>
        <w:gridCol w:w="1518"/>
        <w:gridCol w:w="2434"/>
        <w:gridCol w:w="1698"/>
        <w:gridCol w:w="1810"/>
      </w:tblGrid>
      <w:tr w14:paraId="321E0DDF">
        <w:tblPrEx>
          <w:tblCellMar>
            <w:top w:w="0" w:type="dxa"/>
            <w:left w:w="108" w:type="dxa"/>
            <w:bottom w:w="0" w:type="dxa"/>
            <w:right w:w="108" w:type="dxa"/>
          </w:tblCellMar>
        </w:tblPrEx>
        <w:trPr>
          <w:trHeight w:val="961"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0A2F6C3D">
            <w:pPr>
              <w:pStyle w:val="5"/>
              <w:widowControl/>
              <w:ind w:firstLine="440"/>
              <w:jc w:val="left"/>
              <w:textAlignment w:val="center"/>
              <w:rPr>
                <w:rStyle w:val="4"/>
                <w:rFonts w:ascii="等线" w:hAnsi="等线" w:eastAsia="等线" w:cs="等线"/>
                <w:b/>
                <w:bCs/>
                <w:sz w:val="22"/>
              </w:rPr>
            </w:pPr>
            <w:r>
              <w:rPr>
                <w:rStyle w:val="4"/>
                <w:rFonts w:hint="eastAsia" w:ascii="等线" w:hAnsi="等线" w:eastAsia="等线" w:cs="等线"/>
                <w:b/>
                <w:bCs/>
                <w:kern w:val="0"/>
                <w:sz w:val="22"/>
                <w:lang w:bidi="ar"/>
              </w:rPr>
              <w:t>楼栋</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3706E324">
            <w:pPr>
              <w:pStyle w:val="5"/>
              <w:widowControl/>
              <w:ind w:firstLine="440"/>
              <w:jc w:val="left"/>
              <w:textAlignment w:val="center"/>
              <w:rPr>
                <w:rStyle w:val="4"/>
                <w:rFonts w:ascii="等线" w:hAnsi="等线" w:eastAsia="等线" w:cs="等线"/>
                <w:b/>
                <w:bCs/>
                <w:sz w:val="22"/>
              </w:rPr>
            </w:pPr>
            <w:r>
              <w:rPr>
                <w:rStyle w:val="4"/>
                <w:rFonts w:hint="eastAsia" w:ascii="等线" w:hAnsi="等线" w:eastAsia="等线" w:cs="等线"/>
                <w:b/>
                <w:bCs/>
                <w:kern w:val="0"/>
                <w:sz w:val="22"/>
                <w:lang w:bidi="ar"/>
              </w:rPr>
              <w:t>楼层</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609B555D">
            <w:pPr>
              <w:pStyle w:val="5"/>
              <w:widowControl/>
              <w:ind w:firstLine="440"/>
              <w:jc w:val="left"/>
              <w:textAlignment w:val="center"/>
              <w:rPr>
                <w:rStyle w:val="4"/>
                <w:rFonts w:ascii="等线" w:hAnsi="等线" w:eastAsia="等线" w:cs="等线"/>
                <w:b/>
                <w:bCs/>
                <w:sz w:val="22"/>
              </w:rPr>
            </w:pPr>
            <w:r>
              <w:rPr>
                <w:rStyle w:val="4"/>
                <w:rFonts w:hint="eastAsia" w:ascii="等线" w:hAnsi="等线" w:eastAsia="等线" w:cs="等线"/>
                <w:b/>
                <w:bCs/>
                <w:kern w:val="0"/>
                <w:sz w:val="22"/>
                <w:lang w:bidi="ar"/>
              </w:rPr>
              <w:t>房间类型</w:t>
            </w:r>
          </w:p>
        </w:tc>
        <w:tc>
          <w:tcPr>
            <w:tcW w:w="1698" w:type="dxa"/>
            <w:vMerge w:val="restart"/>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1119C94F">
            <w:pPr>
              <w:pStyle w:val="5"/>
              <w:widowControl/>
              <w:jc w:val="left"/>
              <w:textAlignment w:val="center"/>
              <w:rPr>
                <w:rStyle w:val="4"/>
                <w:rFonts w:ascii="等线" w:hAnsi="等线" w:eastAsia="等线" w:cs="等线"/>
                <w:b/>
                <w:bCs/>
                <w:sz w:val="22"/>
              </w:rPr>
            </w:pPr>
            <w:r>
              <w:rPr>
                <w:rStyle w:val="4"/>
                <w:rFonts w:hint="eastAsia" w:ascii="等线" w:hAnsi="等线" w:eastAsia="等线" w:cs="等线"/>
                <w:b/>
                <w:bCs/>
                <w:kern w:val="0"/>
                <w:sz w:val="22"/>
                <w:lang w:bidi="ar"/>
              </w:rPr>
              <w:t>每房间人数</w:t>
            </w:r>
          </w:p>
        </w:tc>
        <w:tc>
          <w:tcPr>
            <w:tcW w:w="1810" w:type="dxa"/>
            <w:vMerge w:val="restart"/>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7D8F010A">
            <w:pPr>
              <w:pStyle w:val="5"/>
              <w:widowControl/>
              <w:jc w:val="left"/>
              <w:textAlignment w:val="center"/>
              <w:rPr>
                <w:rStyle w:val="4"/>
                <w:rFonts w:ascii="等线" w:hAnsi="等线" w:eastAsia="等线" w:cs="等线"/>
                <w:b/>
                <w:bCs/>
                <w:sz w:val="22"/>
              </w:rPr>
            </w:pPr>
            <w:r>
              <w:rPr>
                <w:rStyle w:val="4"/>
                <w:rFonts w:hint="eastAsia" w:ascii="等线" w:hAnsi="等线" w:eastAsia="等线" w:cs="等线"/>
                <w:b/>
                <w:bCs/>
                <w:kern w:val="0"/>
                <w:sz w:val="22"/>
                <w:lang w:bidi="ar"/>
              </w:rPr>
              <w:t>楼层房间数量</w:t>
            </w:r>
          </w:p>
        </w:tc>
      </w:tr>
      <w:tr w14:paraId="6C4B8455">
        <w:tblPrEx>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34A3FE3F">
            <w:pPr>
              <w:pStyle w:val="5"/>
              <w:ind w:firstLine="440"/>
              <w:jc w:val="left"/>
              <w:rPr>
                <w:rStyle w:val="4"/>
                <w:rFonts w:ascii="等线" w:hAnsi="等线" w:eastAsia="等线" w:cs="等线"/>
                <w:b/>
                <w:bCs/>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7246C28B">
            <w:pPr>
              <w:pStyle w:val="5"/>
              <w:ind w:firstLine="440"/>
              <w:jc w:val="left"/>
              <w:rPr>
                <w:rStyle w:val="4"/>
                <w:rFonts w:ascii="等线" w:hAnsi="等线" w:eastAsia="等线" w:cs="等线"/>
                <w:b/>
                <w:bCs/>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26261674">
            <w:pPr>
              <w:pStyle w:val="5"/>
              <w:ind w:firstLine="440"/>
              <w:jc w:val="left"/>
              <w:rPr>
                <w:rStyle w:val="4"/>
                <w:rFonts w:ascii="等线" w:hAnsi="等线" w:eastAsia="等线" w:cs="等线"/>
                <w:b/>
                <w:bCs/>
                <w:sz w:val="22"/>
              </w:rPr>
            </w:pPr>
          </w:p>
        </w:tc>
        <w:tc>
          <w:tcPr>
            <w:tcW w:w="1698" w:type="dxa"/>
            <w:vMerge w:val="continue"/>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04D87DE5">
            <w:pPr>
              <w:pStyle w:val="5"/>
              <w:ind w:firstLine="440"/>
              <w:jc w:val="left"/>
              <w:rPr>
                <w:rStyle w:val="4"/>
                <w:rFonts w:ascii="等线" w:hAnsi="等线" w:eastAsia="等线" w:cs="等线"/>
                <w:b/>
                <w:bCs/>
                <w:sz w:val="22"/>
              </w:rPr>
            </w:pPr>
          </w:p>
        </w:tc>
        <w:tc>
          <w:tcPr>
            <w:tcW w:w="1810" w:type="dxa"/>
            <w:vMerge w:val="continue"/>
            <w:tcBorders>
              <w:top w:val="single" w:color="000000" w:sz="4" w:space="0"/>
              <w:left w:val="single" w:color="000000" w:sz="4" w:space="0"/>
              <w:bottom w:val="single" w:color="000000" w:sz="4" w:space="0"/>
              <w:right w:val="single" w:color="000000" w:sz="4" w:space="0"/>
            </w:tcBorders>
            <w:shd w:val="clear" w:color="auto" w:fill="8EA9DB"/>
            <w:noWrap w:val="0"/>
            <w:vAlign w:val="center"/>
          </w:tcPr>
          <w:p w14:paraId="6BA9692D">
            <w:pPr>
              <w:pStyle w:val="5"/>
              <w:ind w:firstLine="440"/>
              <w:jc w:val="left"/>
              <w:rPr>
                <w:rStyle w:val="4"/>
                <w:rFonts w:ascii="等线" w:hAnsi="等线" w:eastAsia="等线" w:cs="等线"/>
                <w:b/>
                <w:bCs/>
                <w:sz w:val="22"/>
              </w:rPr>
            </w:pPr>
          </w:p>
        </w:tc>
      </w:tr>
      <w:tr w14:paraId="6C4C21A3">
        <w:tblPrEx>
          <w:tblCellMar>
            <w:top w:w="0" w:type="dxa"/>
            <w:left w:w="108" w:type="dxa"/>
            <w:bottom w:w="0" w:type="dxa"/>
            <w:right w:w="108" w:type="dxa"/>
          </w:tblCellMar>
        </w:tblPrEx>
        <w:trPr>
          <w:trHeight w:val="541"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1112A29">
            <w:pPr>
              <w:pStyle w:val="5"/>
              <w:widowControl/>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宿舍楼</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9AC9AD3">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41C4DB5D">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6人宿舍</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4FEB841C">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716D44AB">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14</w:t>
            </w:r>
          </w:p>
        </w:tc>
      </w:tr>
      <w:tr w14:paraId="55E41794">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9AFFCC9">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AD0BB1F">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F2CA7C8">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辅导员办公室</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0728144C">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465B7D4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5</w:t>
            </w:r>
          </w:p>
        </w:tc>
      </w:tr>
      <w:tr w14:paraId="1ABC8B9C">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42E86AB">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ADCC13E">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433C3C0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无障碍宿舍</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591034C5">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734C0F1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4</w:t>
            </w:r>
          </w:p>
        </w:tc>
      </w:tr>
      <w:tr w14:paraId="6B82239C">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9744ADB">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4311B0F">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E8BC3F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管理员室</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599EA2EA">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7D44CB3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w:t>
            </w:r>
          </w:p>
        </w:tc>
      </w:tr>
      <w:tr w14:paraId="23436FBC">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157E024">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C323D19">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42FB53CB">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电梯厅</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307E1995">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04BC95E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w:t>
            </w:r>
          </w:p>
        </w:tc>
      </w:tr>
      <w:tr w14:paraId="01CBC00A">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501AB21">
            <w:pPr>
              <w:pStyle w:val="5"/>
              <w:ind w:firstLine="440"/>
              <w:jc w:val="left"/>
              <w:rPr>
                <w:rStyle w:val="4"/>
                <w:rFonts w:ascii="等线" w:hAnsi="等线" w:eastAsia="等线" w:cs="等线"/>
                <w:sz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72DE897">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2F-4F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1A3C70C">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6人宿舍</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111CAC44">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1EE5C952">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87</w:t>
            </w:r>
          </w:p>
        </w:tc>
      </w:tr>
      <w:tr w14:paraId="392D8CCF">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F0FC9C7">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3FFDC6B">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74A5C54">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电梯厅</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40B55447">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2BB93642">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w:t>
            </w:r>
          </w:p>
        </w:tc>
      </w:tr>
      <w:tr w14:paraId="4DA76EDC">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FB07A7E">
            <w:pPr>
              <w:pStyle w:val="5"/>
              <w:ind w:firstLine="440"/>
              <w:jc w:val="left"/>
              <w:rPr>
                <w:rStyle w:val="4"/>
                <w:rFonts w:ascii="等线" w:hAnsi="等线" w:eastAsia="等线" w:cs="等线"/>
                <w:sz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2569DCB">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5F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CA34516">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6人宿舍</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7E9E7812">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66C1DD94">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27</w:t>
            </w:r>
          </w:p>
        </w:tc>
      </w:tr>
      <w:tr w14:paraId="7A02CB63">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D67090D">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1F9B65C1">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B5D902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电梯厅</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5715AEAA">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0583338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w:t>
            </w:r>
          </w:p>
        </w:tc>
      </w:tr>
      <w:tr w14:paraId="00483327">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23139C5">
            <w:pPr>
              <w:pStyle w:val="5"/>
              <w:ind w:firstLine="440"/>
              <w:jc w:val="left"/>
              <w:rPr>
                <w:rStyle w:val="4"/>
                <w:rFonts w:ascii="等线" w:hAnsi="等线" w:eastAsia="等线" w:cs="等线"/>
                <w:sz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4B94CFF9">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6F-11F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61CCBEC">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6人宿舍</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2B700CCF">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6</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42570213">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174</w:t>
            </w:r>
          </w:p>
        </w:tc>
      </w:tr>
      <w:tr w14:paraId="7DC2604B">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6106147">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9803BC5">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149903A8">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电梯厅</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34D6EA9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4C1910F2">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12</w:t>
            </w:r>
          </w:p>
        </w:tc>
      </w:tr>
      <w:tr w14:paraId="264C68C6">
        <w:tblPrEx>
          <w:tblCellMar>
            <w:top w:w="0" w:type="dxa"/>
            <w:left w:w="108" w:type="dxa"/>
            <w:bottom w:w="0" w:type="dxa"/>
            <w:right w:w="108" w:type="dxa"/>
          </w:tblCellMar>
        </w:tblPrEx>
        <w:trPr>
          <w:trHeight w:val="541"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1E8318D">
            <w:pPr>
              <w:pStyle w:val="5"/>
              <w:widowControl/>
              <w:jc w:val="center"/>
              <w:textAlignment w:val="center"/>
              <w:rPr>
                <w:rStyle w:val="4"/>
                <w:rFonts w:ascii="等线" w:hAnsi="等线" w:eastAsia="等线" w:cs="等线"/>
                <w:sz w:val="22"/>
              </w:rPr>
            </w:pPr>
            <w:r>
              <w:rPr>
                <w:rStyle w:val="4"/>
                <w:rFonts w:hint="eastAsia" w:ascii="等线" w:hAnsi="等线" w:eastAsia="等线" w:cs="等线"/>
                <w:kern w:val="0"/>
                <w:sz w:val="22"/>
                <w:lang w:bidi="ar"/>
              </w:rPr>
              <w:t>食堂</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17F3940">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E5F1D29">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大众餐厅</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07E0B173">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384</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069B9613">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w:t>
            </w:r>
          </w:p>
        </w:tc>
      </w:tr>
      <w:tr w14:paraId="2B03C3E6">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D7C5931">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90DDEC4">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098A3841">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过道</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4FDFA45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6747FB2A">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w:t>
            </w:r>
          </w:p>
        </w:tc>
      </w:tr>
      <w:tr w14:paraId="35ED5576">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2FE286F">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09BE9A47">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C70495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学生生活超市</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00BE5049">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ign w:val="center"/>
          </w:tcPr>
          <w:p w14:paraId="2DFDAAB5">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w:t>
            </w:r>
          </w:p>
        </w:tc>
      </w:tr>
      <w:tr w14:paraId="7E305AB3">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645A203">
            <w:pPr>
              <w:pStyle w:val="5"/>
              <w:ind w:firstLine="440"/>
              <w:jc w:val="left"/>
              <w:rPr>
                <w:rStyle w:val="4"/>
                <w:rFonts w:ascii="等线" w:hAnsi="等线" w:eastAsia="等线" w:cs="等线"/>
                <w:sz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1382232A">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1F834EFF">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特色经营餐厅</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0DA393C">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456</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EF180F8">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w:t>
            </w:r>
          </w:p>
        </w:tc>
      </w:tr>
      <w:tr w14:paraId="31F2D039">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0F7DF52">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4E7C694E">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01065F33">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过道</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10E86BF4">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FCBBE36">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w:t>
            </w:r>
          </w:p>
        </w:tc>
      </w:tr>
      <w:tr w14:paraId="283F1877">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093825C5">
            <w:pPr>
              <w:pStyle w:val="5"/>
              <w:ind w:firstLine="440"/>
              <w:jc w:val="left"/>
              <w:rPr>
                <w:rStyle w:val="4"/>
                <w:rFonts w:ascii="等线" w:hAnsi="等线" w:eastAsia="等线" w:cs="等线"/>
                <w:sz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11C3CEB">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3F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3382424">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预留餐厅区域</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E27059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400</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4173617">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w:t>
            </w:r>
          </w:p>
        </w:tc>
      </w:tr>
      <w:tr w14:paraId="046F6AE0">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C3D0C01">
            <w:pPr>
              <w:pStyle w:val="5"/>
              <w:ind w:firstLine="440"/>
              <w:jc w:val="left"/>
              <w:rPr>
                <w:rStyle w:val="4"/>
                <w:rFonts w:ascii="等线" w:hAnsi="等线" w:eastAsia="等线" w:cs="等线"/>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9361C08">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68648509">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过道</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51E3EBC2">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待定</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DBD2BAC">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2</w:t>
            </w:r>
          </w:p>
        </w:tc>
      </w:tr>
      <w:tr w14:paraId="01B88A5E">
        <w:tblPrEx>
          <w:tblCellMar>
            <w:top w:w="0" w:type="dxa"/>
            <w:left w:w="108" w:type="dxa"/>
            <w:bottom w:w="0" w:type="dxa"/>
            <w:right w:w="108" w:type="dxa"/>
          </w:tblCellMar>
        </w:tblPrEx>
        <w:trPr>
          <w:trHeight w:val="54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4823EABE">
            <w:pPr>
              <w:pStyle w:val="5"/>
              <w:ind w:firstLine="440"/>
              <w:jc w:val="left"/>
              <w:rPr>
                <w:rStyle w:val="4"/>
                <w:rFonts w:ascii="等线" w:hAnsi="等线" w:eastAsia="等线" w:cs="等线"/>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3DDDC284">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4F</w:t>
            </w:r>
          </w:p>
        </w:tc>
        <w:tc>
          <w:tcPr>
            <w:tcW w:w="0" w:type="auto"/>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2C67BA07">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报告厅+准备室</w:t>
            </w:r>
          </w:p>
        </w:tc>
        <w:tc>
          <w:tcPr>
            <w:tcW w:w="1698"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7EB9AFC8">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500</w:t>
            </w:r>
          </w:p>
        </w:tc>
        <w:tc>
          <w:tcPr>
            <w:tcW w:w="1810" w:type="dxa"/>
            <w:tcBorders>
              <w:top w:val="single" w:color="000000" w:sz="4" w:space="0"/>
              <w:left w:val="single" w:color="000000" w:sz="4" w:space="0"/>
              <w:bottom w:val="single" w:color="000000" w:sz="4" w:space="0"/>
              <w:right w:val="single" w:color="000000" w:sz="4" w:space="0"/>
            </w:tcBorders>
            <w:shd w:val="clear" w:color="auto" w:fill="D9E1F2"/>
            <w:noWrap w:val="0"/>
            <w:vAlign w:val="center"/>
          </w:tcPr>
          <w:p w14:paraId="15AA85FE">
            <w:pPr>
              <w:pStyle w:val="5"/>
              <w:widowControl/>
              <w:ind w:firstLine="440"/>
              <w:jc w:val="left"/>
              <w:textAlignment w:val="center"/>
              <w:rPr>
                <w:rStyle w:val="4"/>
                <w:rFonts w:ascii="等线" w:hAnsi="等线" w:eastAsia="等线" w:cs="等线"/>
                <w:sz w:val="22"/>
              </w:rPr>
            </w:pPr>
            <w:r>
              <w:rPr>
                <w:rStyle w:val="4"/>
                <w:rFonts w:hint="eastAsia" w:ascii="等线" w:hAnsi="等线" w:eastAsia="等线" w:cs="等线"/>
                <w:kern w:val="0"/>
                <w:sz w:val="22"/>
                <w:lang w:bidi="ar"/>
              </w:rPr>
              <w:t>1</w:t>
            </w:r>
          </w:p>
        </w:tc>
      </w:tr>
    </w:tbl>
    <w:p w14:paraId="4F54A3E7">
      <w:pPr>
        <w:pStyle w:val="9"/>
        <w:spacing w:line="240" w:lineRule="auto"/>
        <w:rPr>
          <w:rStyle w:val="4"/>
          <w:rFonts w:ascii="宋体" w:hAnsi="宋体" w:eastAsia="宋体" w:cs="宋体"/>
          <w:b/>
          <w:bCs/>
          <w:sz w:val="21"/>
          <w:szCs w:val="21"/>
        </w:rPr>
      </w:pPr>
      <w:bookmarkStart w:id="4" w:name="OLE_LINK4"/>
      <w:bookmarkStart w:id="5" w:name="_Toc191883624"/>
    </w:p>
    <w:p w14:paraId="56EFF536">
      <w:pPr>
        <w:pStyle w:val="5"/>
        <w:widowControl/>
        <w:spacing w:line="360" w:lineRule="auto"/>
        <w:ind w:firstLine="420"/>
        <w:jc w:val="left"/>
        <w:rPr>
          <w:rStyle w:val="4"/>
          <w:rFonts w:hint="eastAsia" w:ascii="宋体" w:hAnsi="宋体" w:eastAsia="宋体" w:cs="宋体"/>
          <w:b/>
          <w:bCs/>
          <w:szCs w:val="21"/>
          <w:lang w:val="en-US" w:eastAsia="zh-CN"/>
        </w:rPr>
      </w:pPr>
      <w:r>
        <w:rPr>
          <w:rStyle w:val="4"/>
          <w:rFonts w:hint="eastAsia" w:ascii="宋体" w:hAnsi="宋体" w:eastAsia="宋体" w:cs="宋体"/>
          <w:b/>
          <w:bCs/>
          <w:szCs w:val="21"/>
          <w:lang w:val="en-US" w:eastAsia="zh-CN"/>
        </w:rPr>
        <w:t>2.F5G全光网络</w:t>
      </w:r>
      <w:bookmarkEnd w:id="4"/>
      <w:r>
        <w:rPr>
          <w:rStyle w:val="4"/>
          <w:rFonts w:hint="eastAsia" w:ascii="宋体" w:hAnsi="宋体" w:eastAsia="宋体" w:cs="宋体"/>
          <w:b/>
          <w:bCs/>
          <w:szCs w:val="21"/>
          <w:lang w:val="en-US" w:eastAsia="zh-CN"/>
        </w:rPr>
        <w:t>方案规划</w:t>
      </w:r>
      <w:bookmarkEnd w:id="5"/>
      <w:bookmarkStart w:id="6" w:name="_Toc191883625"/>
    </w:p>
    <w:p w14:paraId="3D57025A">
      <w:pPr>
        <w:pStyle w:val="5"/>
        <w:widowControl/>
        <w:spacing w:line="360" w:lineRule="auto"/>
        <w:ind w:firstLine="420"/>
        <w:jc w:val="left"/>
        <w:rPr>
          <w:rStyle w:val="4"/>
          <w:rFonts w:hint="eastAsia" w:ascii="宋体" w:hAnsi="宋体" w:eastAsia="宋体" w:cs="宋体"/>
          <w:b/>
          <w:bCs/>
          <w:szCs w:val="21"/>
          <w:lang w:val="en-US" w:eastAsia="zh-CN"/>
        </w:rPr>
      </w:pPr>
      <w:r>
        <w:rPr>
          <w:rStyle w:val="4"/>
          <w:rFonts w:hint="eastAsia" w:ascii="宋体" w:hAnsi="宋体" w:eastAsia="宋体" w:cs="宋体"/>
          <w:b/>
          <w:bCs/>
          <w:szCs w:val="21"/>
          <w:lang w:val="en-US" w:eastAsia="zh-CN"/>
        </w:rPr>
        <w:t>2.1整体规划设计</w:t>
      </w:r>
      <w:bookmarkEnd w:id="6"/>
    </w:p>
    <w:p w14:paraId="612C3F01">
      <w:pPr>
        <w:pStyle w:val="5"/>
        <w:spacing w:line="360" w:lineRule="auto"/>
        <w:ind w:firstLine="420" w:firstLineChars="200"/>
        <w:rPr>
          <w:rStyle w:val="4"/>
          <w:rFonts w:ascii="宋体" w:hAnsi="宋体" w:eastAsia="宋体" w:cs="宋体"/>
          <w:szCs w:val="21"/>
        </w:rPr>
      </w:pPr>
      <w:r>
        <w:rPr>
          <w:rStyle w:val="4"/>
          <w:rFonts w:hint="eastAsia" w:ascii="宋体" w:hAnsi="宋体" w:eastAsia="宋体" w:cs="宋体"/>
          <w:szCs w:val="21"/>
        </w:rPr>
        <w:t>湖南科技学院南校区网络建设采用以GPON为核心的第五代固定网络通信技术。两层的简架构组网，主要涉及的设备包括OLT（光线路局端）、ONU（光网络单元），无源分光器及无线AP设备。整体组网结构如下所示：</w:t>
      </w:r>
    </w:p>
    <w:p w14:paraId="4EB1662A">
      <w:pPr>
        <w:pStyle w:val="5"/>
        <w:spacing w:line="360" w:lineRule="auto"/>
        <w:ind w:firstLine="480"/>
        <w:rPr>
          <w:rStyle w:val="4"/>
          <w:rFonts w:ascii="宋体" w:hAnsi="宋体" w:eastAsia="宋体" w:cs="宋体"/>
          <w:szCs w:val="21"/>
        </w:rPr>
      </w:pPr>
      <w:r>
        <w:rPr>
          <w:rStyle w:val="4"/>
          <w:rFonts w:hint="eastAsia" w:ascii="宋体" w:hAnsi="宋体" w:eastAsia="宋体" w:cs="宋体"/>
          <w:szCs w:val="21"/>
        </w:rPr>
        <w:t>核心交换机下连汇聚OLT，横向连接园区内部各种信息系统平台及服务器，网管系统监控系统等。OLT通过4条10G接口聚合与核心交换机互联，OLT与核心交换机互联端口可扩容。OLT对光网单元设备ONU提供统一的汇聚和管理控制功能。</w:t>
      </w:r>
    </w:p>
    <w:p w14:paraId="4128DE5A">
      <w:pPr>
        <w:pStyle w:val="5"/>
        <w:spacing w:line="360" w:lineRule="auto"/>
        <w:ind w:firstLine="480"/>
        <w:rPr>
          <w:rStyle w:val="4"/>
          <w:rFonts w:ascii="宋体" w:hAnsi="宋体" w:eastAsia="宋体" w:cs="宋体"/>
          <w:szCs w:val="21"/>
        </w:rPr>
      </w:pPr>
      <w:r>
        <w:rPr>
          <w:rStyle w:val="4"/>
          <w:rFonts w:hint="eastAsia" w:ascii="宋体" w:hAnsi="宋体" w:eastAsia="宋体" w:cs="宋体"/>
          <w:szCs w:val="21"/>
        </w:rPr>
        <w:t>接入层：在每间房间放置ONU设备，ONU根据场景选择不同型号，提供有线、无线、语音统一接入，连接园区内部的电脑、电话、打印机、监控摄像头及无线AP等。做到“一房一纤，一房一终端”，满足园区内所有网络需求。</w:t>
      </w:r>
    </w:p>
    <w:p w14:paraId="68589FCA">
      <w:pPr>
        <w:pStyle w:val="5"/>
        <w:ind w:firstLine="480"/>
        <w:jc w:val="center"/>
        <w:rPr>
          <w:rStyle w:val="4"/>
          <w:rFonts w:ascii="宋体" w:hAnsi="宋体" w:eastAsia="宋体" w:cs="宋体"/>
          <w:sz w:val="28"/>
          <w:szCs w:val="28"/>
        </w:rPr>
      </w:pPr>
      <w:r>
        <w:rPr>
          <w:rFonts w:hint="eastAsia" w:ascii="宋体" w:hAnsi="宋体" w:cs="宋体"/>
          <w:sz w:val="28"/>
          <w:szCs w:val="28"/>
        </w:rPr>
        <w:drawing>
          <wp:inline distT="0" distB="0" distL="114300" distR="114300">
            <wp:extent cx="4290695" cy="3230880"/>
            <wp:effectExtent l="0" t="0" r="14605" b="7620"/>
            <wp:docPr id="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
                    <pic:cNvPicPr>
                      <a:picLocks noChangeAspect="1"/>
                    </pic:cNvPicPr>
                  </pic:nvPicPr>
                  <pic:blipFill>
                    <a:blip r:embed="rId5"/>
                    <a:stretch>
                      <a:fillRect/>
                    </a:stretch>
                  </pic:blipFill>
                  <pic:spPr>
                    <a:xfrm>
                      <a:off x="0" y="0"/>
                      <a:ext cx="4290695" cy="3230880"/>
                    </a:xfrm>
                    <a:prstGeom prst="rect">
                      <a:avLst/>
                    </a:prstGeom>
                    <a:noFill/>
                    <a:ln>
                      <a:noFill/>
                    </a:ln>
                  </pic:spPr>
                </pic:pic>
              </a:graphicData>
            </a:graphic>
          </wp:inline>
        </w:drawing>
      </w:r>
    </w:p>
    <w:p w14:paraId="5D425E9D">
      <w:pPr>
        <w:pStyle w:val="5"/>
        <w:widowControl/>
        <w:spacing w:line="360" w:lineRule="auto"/>
        <w:ind w:firstLine="420"/>
        <w:jc w:val="left"/>
        <w:rPr>
          <w:rStyle w:val="4"/>
          <w:rFonts w:hint="eastAsia" w:ascii="宋体" w:hAnsi="宋体" w:eastAsia="宋体" w:cs="宋体"/>
          <w:b/>
          <w:bCs/>
          <w:szCs w:val="21"/>
          <w:lang w:val="en-US" w:eastAsia="zh-CN"/>
        </w:rPr>
      </w:pPr>
      <w:bookmarkStart w:id="7" w:name="_Toc191883627"/>
      <w:r>
        <w:rPr>
          <w:rStyle w:val="4"/>
          <w:rFonts w:hint="eastAsia" w:ascii="宋体" w:hAnsi="宋体" w:eastAsia="宋体" w:cs="宋体"/>
          <w:b/>
          <w:bCs/>
          <w:szCs w:val="21"/>
          <w:lang w:val="en-US" w:eastAsia="zh-CN"/>
        </w:rPr>
        <w:t>2.2 ODN规划设计</w:t>
      </w:r>
      <w:bookmarkEnd w:id="7"/>
    </w:p>
    <w:p w14:paraId="210E5F25">
      <w:pPr>
        <w:pStyle w:val="5"/>
        <w:ind w:firstLine="482"/>
        <w:rPr>
          <w:rStyle w:val="4"/>
          <w:rFonts w:ascii="宋体" w:hAnsi="宋体" w:eastAsia="宋体" w:cs="宋体"/>
          <w:b/>
          <w:snapToGrid w:val="0"/>
          <w:kern w:val="0"/>
          <w:szCs w:val="21"/>
        </w:rPr>
      </w:pPr>
      <w:r>
        <w:rPr>
          <w:rStyle w:val="4"/>
          <w:rFonts w:hint="eastAsia" w:ascii="宋体" w:hAnsi="宋体" w:eastAsia="宋体" w:cs="宋体"/>
          <w:b/>
          <w:snapToGrid w:val="0"/>
          <w:kern w:val="0"/>
          <w:szCs w:val="21"/>
        </w:rPr>
        <w:t>光纤链路部署规划：</w:t>
      </w:r>
    </w:p>
    <w:p w14:paraId="0DCB9D43">
      <w:pPr>
        <w:pStyle w:val="5"/>
        <w:ind w:firstLine="480"/>
        <w:rPr>
          <w:rStyle w:val="4"/>
          <w:rFonts w:ascii="宋体" w:hAnsi="宋体" w:eastAsia="宋体" w:cs="宋体"/>
          <w:szCs w:val="21"/>
        </w:rPr>
      </w:pPr>
      <w:r>
        <w:rPr>
          <w:rStyle w:val="4"/>
          <w:rFonts w:hint="eastAsia" w:ascii="宋体" w:hAnsi="宋体" w:eastAsia="宋体" w:cs="宋体"/>
          <w:szCs w:val="21"/>
        </w:rPr>
        <w:t>光纤链路组成参考下图</w:t>
      </w:r>
    </w:p>
    <w:p w14:paraId="1708225F">
      <w:pPr>
        <w:pStyle w:val="5"/>
        <w:ind w:firstLine="232" w:firstLineChars="83"/>
        <w:rPr>
          <w:rStyle w:val="4"/>
          <w:rFonts w:ascii="宋体" w:hAnsi="宋体" w:eastAsia="宋体" w:cs="宋体"/>
          <w:sz w:val="28"/>
          <w:szCs w:val="28"/>
        </w:rPr>
      </w:pPr>
      <w:r>
        <w:rPr>
          <w:rFonts w:hint="eastAsia" w:ascii="宋体" w:hAnsi="宋体" w:cs="宋体"/>
          <w:sz w:val="28"/>
          <w:szCs w:val="28"/>
        </w:rPr>
        <w:drawing>
          <wp:inline distT="0" distB="0" distL="114300" distR="114300">
            <wp:extent cx="5274310" cy="528320"/>
            <wp:effectExtent l="0" t="0" r="2540" b="5080"/>
            <wp:docPr id="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
                    <pic:cNvPicPr>
                      <a:picLocks noChangeAspect="1"/>
                    </pic:cNvPicPr>
                  </pic:nvPicPr>
                  <pic:blipFill>
                    <a:blip r:embed="rId6"/>
                    <a:stretch>
                      <a:fillRect/>
                    </a:stretch>
                  </pic:blipFill>
                  <pic:spPr>
                    <a:xfrm>
                      <a:off x="0" y="0"/>
                      <a:ext cx="5274310" cy="528320"/>
                    </a:xfrm>
                    <a:prstGeom prst="rect">
                      <a:avLst/>
                    </a:prstGeom>
                    <a:noFill/>
                    <a:ln>
                      <a:noFill/>
                    </a:ln>
                  </pic:spPr>
                </pic:pic>
              </a:graphicData>
            </a:graphic>
          </wp:inline>
        </w:drawing>
      </w:r>
    </w:p>
    <w:p w14:paraId="3CBDC1B3">
      <w:pPr>
        <w:pStyle w:val="5"/>
        <w:spacing w:line="360" w:lineRule="auto"/>
        <w:ind w:firstLine="480"/>
        <w:rPr>
          <w:rStyle w:val="4"/>
          <w:rFonts w:ascii="宋体" w:hAnsi="宋体" w:eastAsia="宋体" w:cs="宋体"/>
          <w:color w:val="000000"/>
          <w:szCs w:val="21"/>
        </w:rPr>
      </w:pPr>
      <w:r>
        <w:rPr>
          <w:rStyle w:val="4"/>
          <w:rFonts w:hint="eastAsia" w:ascii="宋体" w:hAnsi="宋体" w:eastAsia="宋体" w:cs="宋体"/>
          <w:color w:val="000000"/>
          <w:szCs w:val="21"/>
        </w:rPr>
        <w:t>宿舍楼网络建设</w:t>
      </w:r>
    </w:p>
    <w:p w14:paraId="690B4509">
      <w:pPr>
        <w:pStyle w:val="5"/>
        <w:spacing w:line="360" w:lineRule="auto"/>
        <w:ind w:firstLine="480"/>
        <w:rPr>
          <w:rStyle w:val="4"/>
          <w:rFonts w:ascii="宋体" w:hAnsi="宋体" w:eastAsia="宋体" w:cs="宋体"/>
          <w:color w:val="000000"/>
          <w:szCs w:val="21"/>
        </w:rPr>
      </w:pPr>
      <w:r>
        <w:rPr>
          <w:rStyle w:val="4"/>
          <w:rFonts w:hint="eastAsia" w:ascii="宋体" w:hAnsi="宋体" w:eastAsia="宋体" w:cs="宋体"/>
          <w:color w:val="000000"/>
          <w:szCs w:val="21"/>
        </w:rPr>
        <w:t>1.万兆光纤直达房间，光AP有线无线一体化接入，节约成本且管理简单，运维方便；</w:t>
      </w:r>
    </w:p>
    <w:p w14:paraId="7608D824">
      <w:pPr>
        <w:pStyle w:val="5"/>
        <w:spacing w:line="360" w:lineRule="auto"/>
        <w:ind w:firstLine="480"/>
        <w:rPr>
          <w:rStyle w:val="4"/>
          <w:rFonts w:ascii="宋体" w:hAnsi="宋体" w:eastAsia="宋体" w:cs="宋体"/>
          <w:color w:val="000000"/>
          <w:szCs w:val="21"/>
        </w:rPr>
      </w:pPr>
      <w:r>
        <w:rPr>
          <w:rStyle w:val="4"/>
          <w:rFonts w:hint="eastAsia" w:ascii="宋体" w:hAnsi="宋体" w:eastAsia="宋体" w:cs="宋体"/>
          <w:color w:val="000000"/>
          <w:szCs w:val="21"/>
        </w:rPr>
        <w:t>2.</w:t>
      </w:r>
      <w:r>
        <w:rPr>
          <w:rStyle w:val="4"/>
          <w:rFonts w:hint="eastAsia" w:ascii="宋体" w:hAnsi="宋体" w:eastAsia="宋体" w:cs="宋体"/>
          <w:szCs w:val="21"/>
        </w:rPr>
        <w:t>有线测速到千兆，万兆入室WIFI7回传无瓶颈，测速到2G</w:t>
      </w:r>
      <w:r>
        <w:rPr>
          <w:rStyle w:val="4"/>
          <w:rFonts w:hint="eastAsia" w:ascii="宋体" w:hAnsi="宋体" w:eastAsia="宋体" w:cs="宋体"/>
          <w:color w:val="000000"/>
          <w:szCs w:val="21"/>
        </w:rPr>
        <w:t>。最新技术，满足未来8-10年技术；</w:t>
      </w:r>
    </w:p>
    <w:p w14:paraId="3230C714">
      <w:pPr>
        <w:pStyle w:val="5"/>
        <w:spacing w:line="360" w:lineRule="auto"/>
        <w:ind w:firstLine="480"/>
        <w:rPr>
          <w:rStyle w:val="4"/>
          <w:rFonts w:ascii="宋体" w:hAnsi="宋体" w:eastAsia="宋体" w:cs="宋体"/>
          <w:color w:val="000000"/>
          <w:szCs w:val="21"/>
        </w:rPr>
      </w:pPr>
      <w:r>
        <w:rPr>
          <w:rStyle w:val="4"/>
          <w:rFonts w:hint="eastAsia" w:ascii="宋体" w:hAnsi="宋体" w:eastAsia="宋体" w:cs="宋体"/>
          <w:color w:val="000000"/>
          <w:szCs w:val="21"/>
        </w:rPr>
        <w:t>3.内置AC对无线做自动调优，华为C-WAN模式，无缝切换。</w:t>
      </w:r>
    </w:p>
    <w:p w14:paraId="0614E153">
      <w:pPr>
        <w:pStyle w:val="5"/>
        <w:ind w:firstLine="480"/>
        <w:rPr>
          <w:rStyle w:val="4"/>
          <w:rFonts w:ascii="宋体" w:hAnsi="宋体" w:eastAsia="宋体" w:cs="宋体"/>
          <w:sz w:val="28"/>
          <w:szCs w:val="28"/>
        </w:rPr>
      </w:pPr>
      <w:r>
        <w:rPr>
          <w:rFonts w:hint="eastAsia" w:ascii="宋体" w:hAnsi="宋体" w:cs="宋体"/>
          <w:sz w:val="28"/>
          <w:szCs w:val="28"/>
        </w:rPr>
        <w:drawing>
          <wp:inline distT="0" distB="0" distL="114300" distR="114300">
            <wp:extent cx="5451475" cy="2934335"/>
            <wp:effectExtent l="0" t="0" r="15875" b="18415"/>
            <wp:docPr id="70" name="图片 3" descr="C:\Users\p84183707\AppData\Roaming\eSpace_Desktop\UserData\p84183707\imagefiles\originalImgfiles\5A454360-5206-4D5C-8721-12D4B2BD1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 descr="C:\Users\p84183707\AppData\Roaming\eSpace_Desktop\UserData\p84183707\imagefiles\originalImgfiles\5A454360-5206-4D5C-8721-12D4B2BD1441.png"/>
                    <pic:cNvPicPr>
                      <a:picLocks noChangeAspect="1"/>
                    </pic:cNvPicPr>
                  </pic:nvPicPr>
                  <pic:blipFill>
                    <a:blip r:embed="rId7"/>
                    <a:stretch>
                      <a:fillRect/>
                    </a:stretch>
                  </pic:blipFill>
                  <pic:spPr>
                    <a:xfrm>
                      <a:off x="0" y="0"/>
                      <a:ext cx="5451475" cy="2934335"/>
                    </a:xfrm>
                    <a:prstGeom prst="rect">
                      <a:avLst/>
                    </a:prstGeom>
                    <a:noFill/>
                    <a:ln>
                      <a:noFill/>
                    </a:ln>
                  </pic:spPr>
                </pic:pic>
              </a:graphicData>
            </a:graphic>
          </wp:inline>
        </w:drawing>
      </w:r>
    </w:p>
    <w:p w14:paraId="79496A4C">
      <w:pPr>
        <w:pStyle w:val="5"/>
        <w:ind w:firstLine="480"/>
        <w:rPr>
          <w:rStyle w:val="4"/>
          <w:rFonts w:ascii="宋体" w:hAnsi="宋体" w:eastAsia="宋体" w:cs="宋体"/>
          <w:color w:val="000000"/>
          <w:sz w:val="28"/>
          <w:szCs w:val="28"/>
        </w:rPr>
      </w:pPr>
    </w:p>
    <w:p w14:paraId="7E8629BE">
      <w:pPr>
        <w:pStyle w:val="5"/>
        <w:spacing w:line="360" w:lineRule="auto"/>
        <w:ind w:firstLine="480"/>
        <w:rPr>
          <w:rStyle w:val="4"/>
          <w:rFonts w:ascii="宋体" w:hAnsi="宋体" w:eastAsia="宋体" w:cs="宋体"/>
          <w:color w:val="000000"/>
          <w:szCs w:val="21"/>
        </w:rPr>
      </w:pPr>
      <w:r>
        <w:rPr>
          <w:rStyle w:val="4"/>
          <w:rFonts w:hint="eastAsia" w:ascii="宋体" w:hAnsi="宋体" w:eastAsia="宋体" w:cs="宋体"/>
          <w:color w:val="000000"/>
          <w:szCs w:val="21"/>
        </w:rPr>
        <w:t>食堂及报告大厅网络建设</w:t>
      </w:r>
    </w:p>
    <w:p w14:paraId="7652A4A9">
      <w:pPr>
        <w:pStyle w:val="5"/>
        <w:spacing w:line="360" w:lineRule="auto"/>
        <w:ind w:firstLine="420" w:firstLineChars="200"/>
        <w:rPr>
          <w:rStyle w:val="4"/>
          <w:rFonts w:ascii="宋体" w:hAnsi="宋体" w:eastAsia="宋体" w:cs="宋体"/>
          <w:color w:val="000000"/>
          <w:szCs w:val="21"/>
        </w:rPr>
      </w:pPr>
      <w:r>
        <w:rPr>
          <w:rStyle w:val="4"/>
          <w:rFonts w:hint="eastAsia" w:ascii="宋体" w:hAnsi="宋体" w:eastAsia="宋体" w:cs="宋体"/>
          <w:szCs w:val="21"/>
        </w:rPr>
        <w:t>1.</w:t>
      </w:r>
      <w:r>
        <w:rPr>
          <w:rStyle w:val="4"/>
          <w:rFonts w:hint="eastAsia" w:ascii="宋体" w:hAnsi="宋体" w:eastAsia="宋体" w:cs="宋体"/>
          <w:color w:val="000000"/>
          <w:szCs w:val="21"/>
        </w:rPr>
        <w:t>光纤直达房间，避免私接乱拉，有限解决网线传输距离问题；</w:t>
      </w:r>
    </w:p>
    <w:p w14:paraId="72F46D02">
      <w:pPr>
        <w:pStyle w:val="5"/>
        <w:spacing w:line="360" w:lineRule="auto"/>
        <w:ind w:firstLine="420" w:firstLineChars="200"/>
        <w:rPr>
          <w:rStyle w:val="4"/>
          <w:rFonts w:ascii="宋体" w:hAnsi="宋体" w:eastAsia="宋体" w:cs="宋体"/>
          <w:color w:val="000000"/>
          <w:szCs w:val="21"/>
        </w:rPr>
      </w:pPr>
      <w:r>
        <w:rPr>
          <w:rStyle w:val="4"/>
          <w:rFonts w:hint="eastAsia" w:ascii="宋体" w:hAnsi="宋体" w:eastAsia="宋体" w:cs="宋体"/>
          <w:szCs w:val="21"/>
        </w:rPr>
        <w:t>2.</w:t>
      </w:r>
      <w:r>
        <w:rPr>
          <w:rStyle w:val="4"/>
          <w:rFonts w:hint="eastAsia" w:ascii="宋体" w:hAnsi="宋体" w:eastAsia="宋体" w:cs="宋体"/>
          <w:color w:val="000000"/>
          <w:szCs w:val="21"/>
        </w:rPr>
        <w:t>高密AP并发能力强，满足大开间成百上千用户接入；</w:t>
      </w:r>
    </w:p>
    <w:p w14:paraId="407CAA76">
      <w:pPr>
        <w:pStyle w:val="5"/>
        <w:spacing w:line="360" w:lineRule="auto"/>
        <w:ind w:firstLine="420" w:firstLineChars="200"/>
        <w:rPr>
          <w:rStyle w:val="4"/>
          <w:rFonts w:ascii="宋体" w:hAnsi="宋体" w:eastAsia="宋体" w:cs="宋体"/>
          <w:szCs w:val="21"/>
        </w:rPr>
      </w:pPr>
      <w:r>
        <w:rPr>
          <w:rStyle w:val="4"/>
          <w:rFonts w:hint="eastAsia" w:ascii="宋体" w:hAnsi="宋体" w:eastAsia="宋体" w:cs="宋体"/>
          <w:szCs w:val="21"/>
        </w:rPr>
        <w:t>3.硬隔离切片技术，各业务独立传输，提供确定性的业务体验。</w:t>
      </w:r>
    </w:p>
    <w:p w14:paraId="106D8140">
      <w:pPr>
        <w:pStyle w:val="5"/>
        <w:spacing w:line="360" w:lineRule="auto"/>
        <w:ind w:firstLine="560" w:firstLineChars="200"/>
        <w:jc w:val="center"/>
        <w:rPr>
          <w:rStyle w:val="4"/>
          <w:rFonts w:ascii="宋体" w:hAnsi="宋体" w:eastAsia="宋体" w:cs="宋体"/>
          <w:color w:val="000000"/>
          <w:sz w:val="28"/>
          <w:szCs w:val="28"/>
        </w:rPr>
      </w:pPr>
      <w:r>
        <w:rPr>
          <w:rFonts w:hint="eastAsia" w:ascii="宋体" w:hAnsi="宋体" w:cs="宋体"/>
          <w:sz w:val="28"/>
          <w:szCs w:val="28"/>
        </w:rPr>
        <w:drawing>
          <wp:inline distT="0" distB="0" distL="114300" distR="114300">
            <wp:extent cx="5267325" cy="2967355"/>
            <wp:effectExtent l="0" t="0" r="9525" b="4445"/>
            <wp:docPr id="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
                    <pic:cNvPicPr>
                      <a:picLocks noChangeAspect="1"/>
                    </pic:cNvPicPr>
                  </pic:nvPicPr>
                  <pic:blipFill>
                    <a:blip r:embed="rId8"/>
                    <a:stretch>
                      <a:fillRect/>
                    </a:stretch>
                  </pic:blipFill>
                  <pic:spPr>
                    <a:xfrm>
                      <a:off x="0" y="0"/>
                      <a:ext cx="5267325" cy="2967355"/>
                    </a:xfrm>
                    <a:prstGeom prst="rect">
                      <a:avLst/>
                    </a:prstGeom>
                    <a:noFill/>
                    <a:ln>
                      <a:noFill/>
                    </a:ln>
                  </pic:spPr>
                </pic:pic>
              </a:graphicData>
            </a:graphic>
          </wp:inline>
        </w:drawing>
      </w:r>
    </w:p>
    <w:p w14:paraId="72B63233">
      <w:pPr>
        <w:pStyle w:val="9"/>
        <w:spacing w:line="240" w:lineRule="auto"/>
        <w:rPr>
          <w:rStyle w:val="4"/>
          <w:rFonts w:hint="eastAsia" w:ascii="宋体" w:hAnsi="宋体" w:eastAsia="宋体" w:cs="宋体"/>
          <w:b/>
          <w:bCs/>
          <w:sz w:val="21"/>
          <w:szCs w:val="21"/>
        </w:rPr>
      </w:pPr>
    </w:p>
    <w:p w14:paraId="59EFBA35">
      <w:pPr>
        <w:pStyle w:val="5"/>
        <w:widowControl/>
        <w:spacing w:line="360" w:lineRule="auto"/>
        <w:ind w:firstLine="420"/>
        <w:jc w:val="left"/>
        <w:rPr>
          <w:rStyle w:val="4"/>
          <w:rFonts w:ascii="宋体" w:hAnsi="宋体" w:eastAsia="宋体" w:cs="宋体"/>
          <w:b/>
          <w:bCs/>
          <w:sz w:val="21"/>
          <w:szCs w:val="21"/>
        </w:rPr>
      </w:pPr>
      <w:r>
        <w:rPr>
          <w:rStyle w:val="4"/>
          <w:rFonts w:hint="eastAsia" w:ascii="宋体" w:hAnsi="宋体" w:eastAsia="宋体" w:cs="宋体"/>
          <w:b/>
          <w:bCs/>
          <w:szCs w:val="21"/>
          <w:lang w:val="en-US" w:eastAsia="zh-CN"/>
        </w:rPr>
        <w:t>3、测绘及虚拟仿真</w:t>
      </w:r>
    </w:p>
    <w:p w14:paraId="7912ABBE">
      <w:pPr>
        <w:pStyle w:val="5"/>
        <w:widowControl/>
        <w:spacing w:line="360" w:lineRule="auto"/>
        <w:ind w:firstLine="420"/>
        <w:jc w:val="left"/>
        <w:rPr>
          <w:rStyle w:val="4"/>
          <w:rFonts w:hint="eastAsia" w:ascii="宋体" w:hAnsi="宋体" w:eastAsia="宋体" w:cs="宋体"/>
          <w:b/>
          <w:bCs/>
          <w:szCs w:val="21"/>
          <w:lang w:val="en-US" w:eastAsia="zh-CN"/>
        </w:rPr>
      </w:pPr>
      <w:r>
        <w:rPr>
          <w:rStyle w:val="4"/>
          <w:rFonts w:hint="eastAsia" w:ascii="宋体" w:hAnsi="宋体" w:eastAsia="宋体" w:cs="宋体"/>
          <w:b/>
          <w:bCs/>
          <w:szCs w:val="21"/>
          <w:lang w:val="en-US" w:eastAsia="zh-CN"/>
        </w:rPr>
        <w:t>3.1 宿舍楼</w:t>
      </w:r>
    </w:p>
    <w:tbl>
      <w:tblPr>
        <w:tblStyle w:val="3"/>
        <w:tblW w:w="5000" w:type="pct"/>
        <w:jc w:val="right"/>
        <w:tblCellSpacing w:w="15" w:type="dxa"/>
        <w:tblLayout w:type="fixed"/>
        <w:tblCellMar>
          <w:top w:w="15" w:type="dxa"/>
          <w:left w:w="15" w:type="dxa"/>
          <w:bottom w:w="15" w:type="dxa"/>
          <w:right w:w="15" w:type="dxa"/>
        </w:tblCellMar>
      </w:tblPr>
      <w:tblGrid>
        <w:gridCol w:w="8396"/>
      </w:tblGrid>
      <w:tr w14:paraId="05783A65">
        <w:tblPrEx>
          <w:tblCellMar>
            <w:top w:w="15" w:type="dxa"/>
            <w:left w:w="15" w:type="dxa"/>
            <w:bottom w:w="15" w:type="dxa"/>
            <w:right w:w="15" w:type="dxa"/>
          </w:tblCellMar>
        </w:tblPrEx>
        <w:trPr>
          <w:tblCellSpacing w:w="15" w:type="dxa"/>
          <w:jc w:val="right"/>
        </w:trPr>
        <w:tc>
          <w:tcPr>
            <w:tcW w:w="8336" w:type="dxa"/>
            <w:noWrap w:val="0"/>
            <w:vAlign w:val="center"/>
          </w:tcPr>
          <w:p w14:paraId="5AF7B23E">
            <w:pPr>
              <w:pStyle w:val="5"/>
              <w:spacing w:line="360" w:lineRule="auto"/>
              <w:ind w:firstLine="560" w:firstLineChars="200"/>
              <w:rPr>
                <w:rStyle w:val="4"/>
                <w:rFonts w:ascii="宋体" w:hAnsi="宋体" w:eastAsia="宋体" w:cs="宋体"/>
                <w:color w:val="000000"/>
                <w:sz w:val="28"/>
                <w:szCs w:val="28"/>
              </w:rPr>
            </w:pPr>
            <w:r>
              <w:rPr>
                <w:rStyle w:val="4"/>
                <w:rFonts w:hint="eastAsia" w:ascii="宋体" w:hAnsi="宋体" w:eastAsia="宋体" w:cs="宋体"/>
                <w:color w:val="000000"/>
                <w:sz w:val="28"/>
                <w:szCs w:val="28"/>
              </w:rPr>
              <w:t>系统规划图</w:t>
            </w:r>
          </w:p>
          <w:p w14:paraId="318DABFB">
            <w:pPr>
              <w:pStyle w:val="5"/>
              <w:adjustRightInd w:val="0"/>
              <w:snapToGrid w:val="0"/>
              <w:jc w:val="center"/>
              <w:rPr>
                <w:rStyle w:val="4"/>
                <w:rFonts w:ascii="宋体" w:hAnsi="宋体" w:eastAsia="宋体" w:cs="宋体"/>
                <w:sz w:val="28"/>
                <w:szCs w:val="28"/>
              </w:rPr>
            </w:pPr>
            <w:r>
              <w:rPr>
                <w:rFonts w:hint="eastAsia" w:ascii="宋体" w:hAnsi="宋体" w:cs="宋体"/>
                <w:sz w:val="28"/>
                <w:szCs w:val="28"/>
              </w:rPr>
              <w:drawing>
                <wp:inline distT="0" distB="0" distL="114300" distR="114300">
                  <wp:extent cx="5290185" cy="2827020"/>
                  <wp:effectExtent l="0" t="0" r="5715" b="11430"/>
                  <wp:docPr id="48" name="图片 5" descr="7146e733df2e4b700c501173449802747c3d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descr="7146e733df2e4b700c501173449802747c3d4919"/>
                          <pic:cNvPicPr>
                            <a:picLocks noChangeAspect="1"/>
                          </pic:cNvPicPr>
                        </pic:nvPicPr>
                        <pic:blipFill>
                          <a:blip r:embed="rId9"/>
                          <a:stretch>
                            <a:fillRect/>
                          </a:stretch>
                        </pic:blipFill>
                        <pic:spPr>
                          <a:xfrm>
                            <a:off x="0" y="0"/>
                            <a:ext cx="5290185" cy="2827020"/>
                          </a:xfrm>
                          <a:prstGeom prst="rect">
                            <a:avLst/>
                          </a:prstGeom>
                          <a:noFill/>
                          <a:ln>
                            <a:noFill/>
                          </a:ln>
                        </pic:spPr>
                      </pic:pic>
                    </a:graphicData>
                  </a:graphic>
                </wp:inline>
              </w:drawing>
            </w:r>
          </w:p>
        </w:tc>
      </w:tr>
    </w:tbl>
    <w:p w14:paraId="1FDB5A37">
      <w:pPr>
        <w:pStyle w:val="5"/>
        <w:spacing w:line="360" w:lineRule="auto"/>
        <w:ind w:firstLine="420" w:firstLineChars="200"/>
        <w:rPr>
          <w:rStyle w:val="4"/>
          <w:rFonts w:ascii="宋体" w:hAnsi="宋体" w:eastAsia="宋体" w:cs="宋体"/>
          <w:color w:val="000000"/>
          <w:szCs w:val="21"/>
        </w:rPr>
      </w:pPr>
      <w:r>
        <w:rPr>
          <w:rStyle w:val="4"/>
          <w:rFonts w:hint="eastAsia" w:ascii="宋体" w:hAnsi="宋体" w:eastAsia="宋体" w:cs="宋体"/>
          <w:color w:val="000000"/>
          <w:szCs w:val="21"/>
        </w:rPr>
        <w:t>2.4G&amp;5G仿真图</w:t>
      </w:r>
    </w:p>
    <w:p w14:paraId="4B3ABECC">
      <w:pPr>
        <w:pStyle w:val="5"/>
        <w:rPr>
          <w:rStyle w:val="12"/>
          <w:rFonts w:hint="default" w:cs="宋体"/>
          <w:b w:val="0"/>
          <w:bCs w:val="0"/>
          <w:sz w:val="21"/>
          <w:szCs w:val="21"/>
        </w:rPr>
      </w:pPr>
      <w:r>
        <w:rPr>
          <w:rStyle w:val="11"/>
          <w:rFonts w:hint="eastAsia" w:ascii="宋体" w:hAnsi="宋体" w:eastAsia="宋体" w:cs="宋体"/>
          <w:b w:val="0"/>
          <w:bCs w:val="0"/>
          <w:sz w:val="21"/>
          <w:szCs w:val="21"/>
        </w:rPr>
        <w:t xml:space="preserve">1) </w:t>
      </w:r>
      <w:r>
        <w:rPr>
          <w:rStyle w:val="12"/>
          <w:rFonts w:hint="default" w:cs="宋体"/>
          <w:b w:val="0"/>
          <w:bCs w:val="0"/>
          <w:sz w:val="21"/>
          <w:szCs w:val="21"/>
        </w:rPr>
        <w:t>场强规划仿真图</w:t>
      </w:r>
    </w:p>
    <w:p w14:paraId="728C48DB">
      <w:pPr>
        <w:pStyle w:val="5"/>
        <w:jc w:val="center"/>
        <w:rPr>
          <w:rStyle w:val="4"/>
          <w:rFonts w:ascii="宋体" w:hAnsi="宋体" w:eastAsia="宋体" w:cs="宋体"/>
          <w:sz w:val="28"/>
          <w:szCs w:val="28"/>
        </w:rPr>
      </w:pPr>
      <w:r>
        <w:rPr>
          <w:rFonts w:hint="eastAsia" w:ascii="宋体" w:hAnsi="宋体" w:cs="宋体"/>
          <w:sz w:val="28"/>
          <w:szCs w:val="28"/>
        </w:rPr>
        <w:drawing>
          <wp:inline distT="0" distB="0" distL="114300" distR="114300">
            <wp:extent cx="5289550" cy="2786380"/>
            <wp:effectExtent l="0" t="0" r="6350" b="13970"/>
            <wp:docPr id="58" name="图片 6" descr="52ba8707a09ee4a06dabd0096ce5addfe0a2c5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 descr="52ba8707a09ee4a06dabd0096ce5addfe0a2c51f"/>
                    <pic:cNvPicPr>
                      <a:picLocks noChangeAspect="1"/>
                    </pic:cNvPicPr>
                  </pic:nvPicPr>
                  <pic:blipFill>
                    <a:blip r:embed="rId10"/>
                    <a:stretch>
                      <a:fillRect/>
                    </a:stretch>
                  </pic:blipFill>
                  <pic:spPr>
                    <a:xfrm>
                      <a:off x="0" y="0"/>
                      <a:ext cx="5289550" cy="2786380"/>
                    </a:xfrm>
                    <a:prstGeom prst="rect">
                      <a:avLst/>
                    </a:prstGeom>
                    <a:noFill/>
                    <a:ln>
                      <a:noFill/>
                    </a:ln>
                  </pic:spPr>
                </pic:pic>
              </a:graphicData>
            </a:graphic>
          </wp:inline>
        </w:drawing>
      </w:r>
    </w:p>
    <w:p w14:paraId="075BFBA5">
      <w:pPr>
        <w:pStyle w:val="5"/>
        <w:jc w:val="center"/>
        <w:rPr>
          <w:rStyle w:val="4"/>
          <w:rFonts w:ascii="宋体" w:hAnsi="宋体" w:eastAsia="宋体" w:cs="宋体"/>
          <w:sz w:val="28"/>
          <w:szCs w:val="28"/>
        </w:rPr>
      </w:pPr>
      <w:r>
        <w:rPr>
          <w:rFonts w:hint="eastAsia" w:ascii="宋体" w:hAnsi="宋体" w:cs="宋体"/>
          <w:sz w:val="28"/>
          <w:szCs w:val="28"/>
        </w:rPr>
        <w:drawing>
          <wp:inline distT="0" distB="0" distL="114300" distR="114300">
            <wp:extent cx="5655310" cy="319405"/>
            <wp:effectExtent l="0" t="0" r="2540" b="4445"/>
            <wp:docPr id="59" name="图片 7" descr="52ba8707a09ee4a06dabd0096ce5addfe0a2c5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7" descr="52ba8707a09ee4a06dabd0096ce5addfe0a2c51f"/>
                    <pic:cNvPicPr>
                      <a:picLocks noChangeAspect="1"/>
                    </pic:cNvPicPr>
                  </pic:nvPicPr>
                  <pic:blipFill>
                    <a:blip r:embed="rId11"/>
                    <a:stretch>
                      <a:fillRect/>
                    </a:stretch>
                  </pic:blipFill>
                  <pic:spPr>
                    <a:xfrm>
                      <a:off x="0" y="0"/>
                      <a:ext cx="5655310" cy="319405"/>
                    </a:xfrm>
                    <a:prstGeom prst="rect">
                      <a:avLst/>
                    </a:prstGeom>
                    <a:noFill/>
                    <a:ln>
                      <a:noFill/>
                    </a:ln>
                  </pic:spPr>
                </pic:pic>
              </a:graphicData>
            </a:graphic>
          </wp:inline>
        </w:drawing>
      </w:r>
    </w:p>
    <w:p w14:paraId="462B6ABC">
      <w:pPr>
        <w:pStyle w:val="5"/>
        <w:widowControl/>
        <w:spacing w:line="360" w:lineRule="auto"/>
        <w:ind w:firstLine="420"/>
        <w:jc w:val="left"/>
        <w:rPr>
          <w:rStyle w:val="4"/>
          <w:rFonts w:hint="eastAsia" w:ascii="宋体" w:hAnsi="宋体" w:eastAsia="宋体" w:cs="宋体"/>
          <w:b/>
          <w:bCs/>
          <w:szCs w:val="21"/>
          <w:lang w:val="en-US" w:eastAsia="zh-CN"/>
        </w:rPr>
      </w:pPr>
      <w:r>
        <w:rPr>
          <w:rStyle w:val="4"/>
          <w:rFonts w:hint="eastAsia" w:ascii="宋体" w:hAnsi="宋体" w:eastAsia="宋体" w:cs="宋体"/>
          <w:b/>
          <w:bCs/>
          <w:szCs w:val="21"/>
          <w:lang w:val="en-US" w:eastAsia="zh-CN"/>
        </w:rPr>
        <w:t>3.2食堂</w:t>
      </w:r>
    </w:p>
    <w:tbl>
      <w:tblPr>
        <w:tblStyle w:val="3"/>
        <w:tblW w:w="5000" w:type="pct"/>
        <w:jc w:val="right"/>
        <w:tblCellSpacing w:w="15" w:type="dxa"/>
        <w:tblLayout w:type="fixed"/>
        <w:tblCellMar>
          <w:top w:w="15" w:type="dxa"/>
          <w:left w:w="15" w:type="dxa"/>
          <w:bottom w:w="15" w:type="dxa"/>
          <w:right w:w="15" w:type="dxa"/>
        </w:tblCellMar>
      </w:tblPr>
      <w:tblGrid>
        <w:gridCol w:w="8396"/>
      </w:tblGrid>
      <w:tr w14:paraId="1E39F14C">
        <w:tblPrEx>
          <w:tblCellMar>
            <w:top w:w="15" w:type="dxa"/>
            <w:left w:w="15" w:type="dxa"/>
            <w:bottom w:w="15" w:type="dxa"/>
            <w:right w:w="15" w:type="dxa"/>
          </w:tblCellMar>
        </w:tblPrEx>
        <w:trPr>
          <w:tblCellSpacing w:w="15" w:type="dxa"/>
          <w:jc w:val="right"/>
        </w:trPr>
        <w:tc>
          <w:tcPr>
            <w:tcW w:w="8336" w:type="dxa"/>
            <w:noWrap w:val="0"/>
            <w:vAlign w:val="center"/>
          </w:tcPr>
          <w:p w14:paraId="4C63FFB9">
            <w:pPr>
              <w:pStyle w:val="5"/>
              <w:spacing w:line="360" w:lineRule="auto"/>
              <w:ind w:firstLine="560" w:firstLineChars="200"/>
              <w:rPr>
                <w:rStyle w:val="4"/>
                <w:rFonts w:ascii="宋体" w:hAnsi="宋体" w:eastAsia="宋体" w:cs="宋体"/>
                <w:color w:val="000000"/>
                <w:sz w:val="28"/>
                <w:szCs w:val="28"/>
              </w:rPr>
            </w:pPr>
            <w:r>
              <w:rPr>
                <w:rStyle w:val="4"/>
                <w:rFonts w:hint="eastAsia" w:ascii="宋体" w:hAnsi="宋体" w:eastAsia="宋体" w:cs="宋体"/>
                <w:color w:val="000000"/>
                <w:sz w:val="28"/>
                <w:szCs w:val="28"/>
              </w:rPr>
              <w:t>系统规划图</w:t>
            </w:r>
          </w:p>
          <w:p w14:paraId="7FA6E268">
            <w:pPr>
              <w:pStyle w:val="13"/>
              <w:adjustRightInd w:val="0"/>
              <w:snapToGrid w:val="0"/>
              <w:ind w:left="425" w:firstLine="0" w:firstLineChars="0"/>
              <w:jc w:val="center"/>
              <w:rPr>
                <w:rStyle w:val="4"/>
                <w:rFonts w:ascii="宋体" w:hAnsi="宋体" w:eastAsia="宋体" w:cs="宋体"/>
                <w:sz w:val="28"/>
                <w:szCs w:val="28"/>
              </w:rPr>
            </w:pPr>
            <w:r>
              <w:rPr>
                <w:rFonts w:hint="eastAsia" w:ascii="宋体" w:hAnsi="宋体" w:cs="宋体"/>
                <w:sz w:val="28"/>
                <w:szCs w:val="28"/>
              </w:rPr>
              <w:drawing>
                <wp:inline distT="0" distB="0" distL="114300" distR="114300">
                  <wp:extent cx="3859530" cy="3382645"/>
                  <wp:effectExtent l="0" t="0" r="7620" b="8255"/>
                  <wp:docPr id="42" name="图片 8" descr="7146e733df2e4b700c501173449802747c3d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8" descr="7146e733df2e4b700c501173449802747c3d4919"/>
                          <pic:cNvPicPr>
                            <a:picLocks noChangeAspect="1"/>
                          </pic:cNvPicPr>
                        </pic:nvPicPr>
                        <pic:blipFill>
                          <a:blip r:embed="rId12"/>
                          <a:stretch>
                            <a:fillRect/>
                          </a:stretch>
                        </pic:blipFill>
                        <pic:spPr>
                          <a:xfrm>
                            <a:off x="0" y="0"/>
                            <a:ext cx="3859530" cy="3382645"/>
                          </a:xfrm>
                          <a:prstGeom prst="rect">
                            <a:avLst/>
                          </a:prstGeom>
                          <a:noFill/>
                          <a:ln>
                            <a:noFill/>
                          </a:ln>
                        </pic:spPr>
                      </pic:pic>
                    </a:graphicData>
                  </a:graphic>
                </wp:inline>
              </w:drawing>
            </w:r>
          </w:p>
        </w:tc>
      </w:tr>
    </w:tbl>
    <w:p w14:paraId="54AF6B81">
      <w:pPr>
        <w:pStyle w:val="5"/>
        <w:spacing w:line="360" w:lineRule="auto"/>
        <w:ind w:firstLine="420" w:firstLineChars="200"/>
        <w:rPr>
          <w:rStyle w:val="4"/>
          <w:rFonts w:ascii="宋体" w:hAnsi="宋体" w:eastAsia="宋体" w:cs="宋体"/>
          <w:color w:val="000000"/>
          <w:szCs w:val="21"/>
        </w:rPr>
      </w:pPr>
      <w:r>
        <w:rPr>
          <w:rStyle w:val="4"/>
          <w:rFonts w:hint="eastAsia" w:ascii="宋体" w:hAnsi="宋体" w:eastAsia="宋体" w:cs="宋体"/>
          <w:color w:val="000000"/>
          <w:szCs w:val="21"/>
        </w:rPr>
        <w:t>2.4G&amp;5G仿真图</w:t>
      </w:r>
    </w:p>
    <w:p w14:paraId="0F2DC136">
      <w:pPr>
        <w:pStyle w:val="5"/>
        <w:rPr>
          <w:rStyle w:val="12"/>
          <w:rFonts w:hint="default" w:cs="宋体"/>
          <w:b w:val="0"/>
          <w:bCs w:val="0"/>
          <w:sz w:val="21"/>
          <w:szCs w:val="21"/>
        </w:rPr>
      </w:pPr>
      <w:r>
        <w:rPr>
          <w:rStyle w:val="11"/>
          <w:rFonts w:hint="eastAsia" w:ascii="宋体" w:hAnsi="宋体" w:eastAsia="宋体" w:cs="宋体"/>
          <w:b w:val="0"/>
          <w:bCs w:val="0"/>
          <w:sz w:val="21"/>
          <w:szCs w:val="21"/>
        </w:rPr>
        <w:t xml:space="preserve">1) </w:t>
      </w:r>
      <w:r>
        <w:rPr>
          <w:rStyle w:val="12"/>
          <w:rFonts w:hint="default" w:cs="宋体"/>
          <w:b w:val="0"/>
          <w:bCs w:val="0"/>
          <w:sz w:val="21"/>
          <w:szCs w:val="21"/>
        </w:rPr>
        <w:t>场强规划仿真图</w:t>
      </w:r>
    </w:p>
    <w:p w14:paraId="627E75C1">
      <w:pPr>
        <w:pStyle w:val="5"/>
        <w:rPr>
          <w:rStyle w:val="4"/>
          <w:rFonts w:ascii="Calibri" w:hAnsi="Calibri" w:eastAsia="宋体" w:cs="Times New Roman"/>
        </w:rPr>
      </w:pPr>
    </w:p>
    <w:tbl>
      <w:tblPr>
        <w:tblStyle w:val="3"/>
        <w:tblW w:w="5000" w:type="pct"/>
        <w:jc w:val="right"/>
        <w:tblCellSpacing w:w="15" w:type="dxa"/>
        <w:tblLayout w:type="fixed"/>
        <w:tblCellMar>
          <w:top w:w="15" w:type="dxa"/>
          <w:left w:w="15" w:type="dxa"/>
          <w:bottom w:w="15" w:type="dxa"/>
          <w:right w:w="15" w:type="dxa"/>
        </w:tblCellMar>
      </w:tblPr>
      <w:tblGrid>
        <w:gridCol w:w="8396"/>
      </w:tblGrid>
      <w:tr w14:paraId="5D1E6CAD">
        <w:tblPrEx>
          <w:tblCellMar>
            <w:top w:w="15" w:type="dxa"/>
            <w:left w:w="15" w:type="dxa"/>
            <w:bottom w:w="15" w:type="dxa"/>
            <w:right w:w="15" w:type="dxa"/>
          </w:tblCellMar>
        </w:tblPrEx>
        <w:trPr>
          <w:tblCellSpacing w:w="15" w:type="dxa"/>
          <w:jc w:val="right"/>
        </w:trPr>
        <w:tc>
          <w:tcPr>
            <w:tcW w:w="8336" w:type="dxa"/>
            <w:noWrap w:val="0"/>
            <w:vAlign w:val="center"/>
          </w:tcPr>
          <w:p w14:paraId="6D28512E">
            <w:pPr>
              <w:pStyle w:val="5"/>
              <w:adjustRightInd w:val="0"/>
              <w:snapToGrid w:val="0"/>
              <w:jc w:val="center"/>
              <w:rPr>
                <w:rStyle w:val="4"/>
                <w:rFonts w:ascii="Calibri" w:hAnsi="Calibri" w:eastAsia="宋体" w:cs="Times New Roman"/>
              </w:rPr>
            </w:pPr>
            <w:r>
              <w:rPr>
                <w:rFonts w:ascii="Huawei Sans" w:hAnsi="Huawei Sans" w:cs="Huawei Sans"/>
              </w:rPr>
              <w:drawing>
                <wp:inline distT="0" distB="0" distL="114300" distR="114300">
                  <wp:extent cx="4100195" cy="2950210"/>
                  <wp:effectExtent l="0" t="0" r="14605" b="2540"/>
                  <wp:docPr id="53" name="图片 9" descr="52ba8707a09ee4a06dabd0096ce5addfe0a2c5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9" descr="52ba8707a09ee4a06dabd0096ce5addfe0a2c51f"/>
                          <pic:cNvPicPr>
                            <a:picLocks noChangeAspect="1"/>
                          </pic:cNvPicPr>
                        </pic:nvPicPr>
                        <pic:blipFill>
                          <a:blip r:embed="rId13"/>
                          <a:stretch>
                            <a:fillRect/>
                          </a:stretch>
                        </pic:blipFill>
                        <pic:spPr>
                          <a:xfrm>
                            <a:off x="0" y="0"/>
                            <a:ext cx="4100195" cy="2950210"/>
                          </a:xfrm>
                          <a:prstGeom prst="rect">
                            <a:avLst/>
                          </a:prstGeom>
                          <a:noFill/>
                          <a:ln>
                            <a:noFill/>
                          </a:ln>
                        </pic:spPr>
                      </pic:pic>
                    </a:graphicData>
                  </a:graphic>
                </wp:inline>
              </w:drawing>
            </w:r>
          </w:p>
          <w:p w14:paraId="0FBF24B0">
            <w:pPr>
              <w:pStyle w:val="5"/>
              <w:adjustRightInd w:val="0"/>
              <w:snapToGrid w:val="0"/>
              <w:jc w:val="center"/>
              <w:rPr>
                <w:rStyle w:val="4"/>
                <w:rFonts w:ascii="Calibri" w:hAnsi="Calibri" w:eastAsia="宋体" w:cs="Times New Roman"/>
              </w:rPr>
            </w:pPr>
            <w:r>
              <w:rPr>
                <w:rFonts w:ascii="Huawei Sans" w:hAnsi="Huawei Sans" w:cs="Huawei Sans"/>
              </w:rPr>
              <w:drawing>
                <wp:inline distT="0" distB="0" distL="114300" distR="114300">
                  <wp:extent cx="4356100" cy="296545"/>
                  <wp:effectExtent l="0" t="0" r="6350" b="8255"/>
                  <wp:docPr id="66" name="图片 10" descr="52ba8707a09ee4a06dabd0096ce5addfe0a2c5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0" descr="52ba8707a09ee4a06dabd0096ce5addfe0a2c51f"/>
                          <pic:cNvPicPr>
                            <a:picLocks noChangeAspect="1"/>
                          </pic:cNvPicPr>
                        </pic:nvPicPr>
                        <pic:blipFill>
                          <a:blip r:embed="rId14"/>
                          <a:stretch>
                            <a:fillRect/>
                          </a:stretch>
                        </pic:blipFill>
                        <pic:spPr>
                          <a:xfrm>
                            <a:off x="0" y="0"/>
                            <a:ext cx="4356100" cy="296545"/>
                          </a:xfrm>
                          <a:prstGeom prst="rect">
                            <a:avLst/>
                          </a:prstGeom>
                          <a:noFill/>
                          <a:ln>
                            <a:noFill/>
                          </a:ln>
                        </pic:spPr>
                      </pic:pic>
                    </a:graphicData>
                  </a:graphic>
                </wp:inline>
              </w:drawing>
            </w:r>
          </w:p>
        </w:tc>
      </w:tr>
    </w:tbl>
    <w:p w14:paraId="74508EB4">
      <w:pPr>
        <w:pStyle w:val="5"/>
        <w:widowControl/>
        <w:spacing w:line="360" w:lineRule="auto"/>
        <w:ind w:firstLine="420"/>
        <w:jc w:val="left"/>
        <w:rPr>
          <w:rStyle w:val="4"/>
          <w:rFonts w:hint="eastAsia" w:ascii="宋体" w:hAnsi="宋体" w:eastAsia="宋体" w:cs="宋体"/>
          <w:b/>
          <w:bCs/>
          <w:szCs w:val="21"/>
          <w:lang w:val="en-US" w:eastAsia="zh-CN"/>
        </w:rPr>
      </w:pPr>
      <w:r>
        <w:rPr>
          <w:rStyle w:val="4"/>
          <w:rFonts w:hint="eastAsia" w:ascii="宋体" w:hAnsi="宋体" w:eastAsia="宋体" w:cs="宋体"/>
          <w:b/>
          <w:bCs/>
          <w:szCs w:val="21"/>
          <w:lang w:val="en-US" w:eastAsia="zh-CN"/>
        </w:rPr>
        <w:t>3.3设备技术参数</w:t>
      </w:r>
    </w:p>
    <w:tbl>
      <w:tblPr>
        <w:tblStyle w:val="3"/>
        <w:tblW w:w="8895" w:type="dxa"/>
        <w:tblInd w:w="98" w:type="dxa"/>
        <w:tblLayout w:type="fixed"/>
        <w:tblCellMar>
          <w:top w:w="0" w:type="dxa"/>
          <w:left w:w="108" w:type="dxa"/>
          <w:bottom w:w="0" w:type="dxa"/>
          <w:right w:w="108" w:type="dxa"/>
        </w:tblCellMar>
      </w:tblPr>
      <w:tblGrid>
        <w:gridCol w:w="508"/>
        <w:gridCol w:w="1415"/>
        <w:gridCol w:w="5010"/>
        <w:gridCol w:w="1000"/>
        <w:gridCol w:w="962"/>
      </w:tblGrid>
      <w:tr w14:paraId="6753FB33">
        <w:tblPrEx>
          <w:tblCellMar>
            <w:top w:w="0" w:type="dxa"/>
            <w:left w:w="108" w:type="dxa"/>
            <w:bottom w:w="0" w:type="dxa"/>
            <w:right w:w="108" w:type="dxa"/>
          </w:tblCellMar>
        </w:tblPrEx>
        <w:trPr>
          <w:trHeight w:val="402" w:hRule="atLeast"/>
        </w:trPr>
        <w:tc>
          <w:tcPr>
            <w:tcW w:w="5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8CF82">
            <w:pPr>
              <w:pStyle w:val="5"/>
              <w:widowControl/>
              <w:jc w:val="center"/>
              <w:textAlignment w:val="center"/>
              <w:rPr>
                <w:rStyle w:val="4"/>
                <w:rFonts w:ascii="宋体" w:hAnsi="宋体" w:eastAsia="宋体" w:cs="宋体"/>
                <w:b/>
                <w:bCs/>
                <w:color w:val="000000"/>
                <w:sz w:val="18"/>
                <w:szCs w:val="18"/>
              </w:rPr>
            </w:pPr>
            <w:bookmarkStart w:id="8" w:name="OLE_LINK13"/>
            <w:r>
              <w:rPr>
                <w:rStyle w:val="4"/>
                <w:rFonts w:hint="eastAsia" w:ascii="宋体" w:hAnsi="宋体" w:eastAsia="宋体" w:cs="宋体"/>
                <w:b/>
                <w:bCs/>
                <w:color w:val="000000"/>
                <w:kern w:val="0"/>
                <w:sz w:val="18"/>
                <w:szCs w:val="18"/>
                <w:lang w:bidi="ar"/>
              </w:rPr>
              <w:t>品目号</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DF143">
            <w:pPr>
              <w:pStyle w:val="5"/>
              <w:widowControl/>
              <w:jc w:val="center"/>
              <w:textAlignment w:val="center"/>
              <w:rPr>
                <w:rStyle w:val="4"/>
                <w:rFonts w:ascii="宋体" w:hAnsi="宋体" w:eastAsia="宋体" w:cs="宋体"/>
                <w:b/>
                <w:bCs/>
                <w:color w:val="000000"/>
                <w:sz w:val="18"/>
                <w:szCs w:val="18"/>
              </w:rPr>
            </w:pPr>
            <w:r>
              <w:rPr>
                <w:rStyle w:val="4"/>
                <w:rFonts w:hint="eastAsia" w:ascii="宋体" w:hAnsi="宋体" w:eastAsia="宋体" w:cs="宋体"/>
                <w:b/>
                <w:bCs/>
                <w:color w:val="000000"/>
                <w:kern w:val="0"/>
                <w:sz w:val="18"/>
                <w:szCs w:val="18"/>
                <w:lang w:bidi="ar"/>
              </w:rPr>
              <w:t>设备名称</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BBF35">
            <w:pPr>
              <w:pStyle w:val="5"/>
              <w:widowControl/>
              <w:jc w:val="center"/>
              <w:textAlignment w:val="center"/>
              <w:rPr>
                <w:rStyle w:val="4"/>
                <w:rFonts w:ascii="宋体" w:hAnsi="宋体" w:eastAsia="宋体" w:cs="宋体"/>
                <w:b/>
                <w:bCs/>
                <w:color w:val="000000"/>
                <w:sz w:val="18"/>
                <w:szCs w:val="18"/>
              </w:rPr>
            </w:pPr>
            <w:r>
              <w:rPr>
                <w:rStyle w:val="4"/>
                <w:rFonts w:hint="eastAsia" w:ascii="宋体" w:hAnsi="宋体" w:eastAsia="宋体" w:cs="宋体"/>
                <w:b/>
                <w:bCs/>
                <w:color w:val="000000"/>
                <w:kern w:val="0"/>
                <w:sz w:val="18"/>
                <w:szCs w:val="18"/>
                <w:lang w:bidi="ar"/>
              </w:rPr>
              <w:t>技术参数</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F6527">
            <w:pPr>
              <w:pStyle w:val="5"/>
              <w:widowControl/>
              <w:jc w:val="center"/>
              <w:textAlignment w:val="center"/>
              <w:rPr>
                <w:rStyle w:val="4"/>
                <w:rFonts w:ascii="宋体" w:hAnsi="宋体" w:eastAsia="宋体" w:cs="宋体"/>
                <w:b/>
                <w:bCs/>
                <w:color w:val="000000"/>
                <w:sz w:val="18"/>
                <w:szCs w:val="18"/>
              </w:rPr>
            </w:pPr>
            <w:r>
              <w:rPr>
                <w:rStyle w:val="4"/>
                <w:rFonts w:hint="eastAsia" w:ascii="宋体" w:hAnsi="宋体" w:eastAsia="宋体" w:cs="宋体"/>
                <w:b/>
                <w:bCs/>
                <w:color w:val="000000"/>
                <w:kern w:val="0"/>
                <w:sz w:val="18"/>
                <w:szCs w:val="18"/>
                <w:lang w:bidi="ar"/>
              </w:rPr>
              <w:t>单位</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F70D31">
            <w:pPr>
              <w:pStyle w:val="5"/>
              <w:widowControl/>
              <w:jc w:val="center"/>
              <w:textAlignment w:val="center"/>
              <w:rPr>
                <w:rStyle w:val="4"/>
                <w:rFonts w:ascii="宋体" w:hAnsi="宋体" w:eastAsia="宋体" w:cs="宋体"/>
                <w:b/>
                <w:bCs/>
                <w:color w:val="000000"/>
                <w:sz w:val="18"/>
                <w:szCs w:val="18"/>
              </w:rPr>
            </w:pPr>
            <w:r>
              <w:rPr>
                <w:rStyle w:val="4"/>
                <w:rFonts w:hint="eastAsia" w:ascii="宋体" w:hAnsi="宋体" w:eastAsia="宋体" w:cs="宋体"/>
                <w:b/>
                <w:bCs/>
                <w:color w:val="000000"/>
                <w:kern w:val="0"/>
                <w:sz w:val="18"/>
                <w:szCs w:val="18"/>
                <w:lang w:bidi="ar"/>
              </w:rPr>
              <w:t>数量</w:t>
            </w:r>
          </w:p>
        </w:tc>
      </w:tr>
      <w:tr w14:paraId="4380B05E">
        <w:tblPrEx>
          <w:tblCellMar>
            <w:top w:w="0" w:type="dxa"/>
            <w:left w:w="108" w:type="dxa"/>
            <w:bottom w:w="0" w:type="dxa"/>
            <w:right w:w="108" w:type="dxa"/>
          </w:tblCellMar>
        </w:tblPrEx>
        <w:trPr>
          <w:trHeight w:val="220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D193F22">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447B67AC">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单口面板</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69CDDC0A">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1.规格：墙上型平口弹簧门面板，可支持非屏蔽/屏蔽模块安装。</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2.标准：需符合JB/T 8593。</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3.端口：单口</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4.样式：平口。</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5.结构：符合国标86型，须采用双层设计的嵌入式组合方式，螺丝不外露，外型美观大方。</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6.材料：需采用优质高阻燃型PC+ASB工程材料。</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 xml:space="preserve">7.防尘：自带直滑式弹簧防尘盖，有效防止尘土和水气对模块的腐蚀。 </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8.标签：需自带彩色电脑、电话标识块，以及透明标签条，提高系统维护的灵活性，方便管理。</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9.阻燃：需符合UL 94 V-0</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35EC27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419EB6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1885</w:t>
            </w:r>
          </w:p>
        </w:tc>
      </w:tr>
      <w:tr w14:paraId="096EC750">
        <w:tblPrEx>
          <w:tblCellMar>
            <w:top w:w="0" w:type="dxa"/>
            <w:left w:w="108" w:type="dxa"/>
            <w:bottom w:w="0" w:type="dxa"/>
            <w:right w:w="108" w:type="dxa"/>
          </w:tblCellMar>
        </w:tblPrEx>
        <w:trPr>
          <w:trHeight w:val="271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1006641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604FB6E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6类非屏蔽信息模块</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BBB302D">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1.规格：Cat.6类非屏蔽RJ45数据模块</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2.性能：保证达到或超过ANSI/TIA-568.2-D Category 6、ISO/IEC 11801 Class E、中的各项信道规范要求。</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3.应用：支持1000 BASE-T。</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4.材料：需采用高强度阻燃材料。</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5.特点：采用无焊锡栽针技术，绿色环保；</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6.端接：为了便于端接和维护，必须180度端接方式。</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7.线规：支持22-24AWG线规双绞线端接。</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8.连通性：需采用50μ〞镀金层，保证多次插拔的良好导通性；</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9.插拔次数：≧1200次；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10.颜色：可提供7种定制颜色选择；</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工作温度：－10至+60℃。</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7102AC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5B61CB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1885</w:t>
            </w:r>
          </w:p>
        </w:tc>
      </w:tr>
      <w:tr w14:paraId="085CB280">
        <w:tblPrEx>
          <w:tblCellMar>
            <w:top w:w="0" w:type="dxa"/>
            <w:left w:w="108" w:type="dxa"/>
            <w:bottom w:w="0" w:type="dxa"/>
            <w:right w:w="108" w:type="dxa"/>
          </w:tblCellMar>
        </w:tblPrEx>
        <w:trPr>
          <w:trHeight w:val="183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A90AD4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A05171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6类RJ45水晶头</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DB2364A">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1.规格：Cat.6类非屏蔽RJ45水晶头</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2.性能：保证达到或超过ANSI/TIA-568.2-D Category 6A、ISO/IEC 11801 Class EA中的各项信道规范要求。</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3.应用：支持10G BASE-T。</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4.标准：需符合FCC 68.500、IEC60603-7。</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5.外壳材料：聚碳酸酯(PC)。</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6.连通性：需采用50μ〞镀金层，保证多次插拔的良好导通性。</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7.插拔次数：≧1200次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C3D751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E790BC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2000</w:t>
            </w:r>
          </w:p>
        </w:tc>
      </w:tr>
      <w:tr w14:paraId="4F72ED6C">
        <w:tblPrEx>
          <w:tblCellMar>
            <w:top w:w="0" w:type="dxa"/>
            <w:left w:w="108" w:type="dxa"/>
            <w:bottom w:w="0" w:type="dxa"/>
            <w:right w:w="108" w:type="dxa"/>
          </w:tblCellMar>
        </w:tblPrEx>
        <w:trPr>
          <w:trHeight w:val="115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2C53E2C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491B837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单芯单模SC尾纤</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2A90ABD">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1.光源波长：1310/1550</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2.规格：9/125μm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3.插入损耗：≤0.30dB</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4.回波损耗：≥50dB(单模UPC)</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67FB5D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根</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032CFD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670</w:t>
            </w:r>
          </w:p>
        </w:tc>
      </w:tr>
      <w:tr w14:paraId="7853EDEB">
        <w:tblPrEx>
          <w:tblCellMar>
            <w:top w:w="0" w:type="dxa"/>
            <w:left w:w="108" w:type="dxa"/>
            <w:bottom w:w="0" w:type="dxa"/>
            <w:right w:w="108" w:type="dxa"/>
          </w:tblCellMar>
        </w:tblPrEx>
        <w:trPr>
          <w:trHeight w:val="352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B835BC2">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5</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0110A30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6类4对非屏蔽双绞线</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0FE28B2">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1.规格：线对采用十字隔离的室内用4对Cat.6类非屏蔽（U/UTP）双绞线</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2.性能：保证达到或超过ANSI/TIA-568.2-D Category 6、ISO/IEC 11801 Class E 、中的各项性能规范要求。</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3.带宽：≧250MHz。</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4.应用：支持1000 BASE-T。</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5.线规：需采用</w:t>
            </w:r>
            <w:r>
              <w:rPr>
                <w:rStyle w:val="14"/>
                <w:rFonts w:hint="default"/>
                <w:lang w:bidi="ar"/>
              </w:rPr>
              <w:t>23AWG</w:t>
            </w:r>
            <w:r>
              <w:rPr>
                <w:rStyle w:val="15"/>
                <w:rFonts w:hint="default"/>
                <w:lang w:bidi="ar"/>
              </w:rPr>
              <w:t>，并满足YD/T 1019-2013中对导体直径的相关要求。</w:t>
            </w:r>
            <w:r>
              <w:rPr>
                <w:rStyle w:val="15"/>
                <w:rFonts w:hint="default"/>
                <w:lang w:bidi="ar"/>
              </w:rPr>
              <w:br w:type="textWrapping"/>
            </w:r>
            <w:r>
              <w:rPr>
                <w:rStyle w:val="15"/>
                <w:rFonts w:hint="default"/>
                <w:lang w:bidi="ar"/>
              </w:rPr>
              <w:t>6.导体材料：需采用99.99%的无氧铜。</w:t>
            </w:r>
            <w:r>
              <w:rPr>
                <w:rStyle w:val="15"/>
                <w:rFonts w:hint="default"/>
                <w:lang w:bidi="ar"/>
              </w:rPr>
              <w:br w:type="textWrapping"/>
            </w:r>
            <w:r>
              <w:rPr>
                <w:rStyle w:val="15"/>
                <w:rFonts w:hint="default"/>
                <w:lang w:bidi="ar"/>
              </w:rPr>
              <w:t>7.导体直径：≥0.56mm</w:t>
            </w:r>
            <w:r>
              <w:rPr>
                <w:rStyle w:val="15"/>
                <w:rFonts w:hint="default"/>
                <w:lang w:bidi="ar"/>
              </w:rPr>
              <w:br w:type="textWrapping"/>
            </w:r>
            <w:r>
              <w:rPr>
                <w:rStyle w:val="15"/>
                <w:rFonts w:hint="default"/>
                <w:lang w:bidi="ar"/>
              </w:rPr>
              <w:t>8.性能：信道支持6连接点性能保证。</w:t>
            </w:r>
            <w:r>
              <w:rPr>
                <w:rStyle w:val="15"/>
                <w:rFonts w:hint="default"/>
                <w:lang w:bidi="ar"/>
              </w:rPr>
              <w:br w:type="textWrapping"/>
            </w:r>
            <w:r>
              <w:rPr>
                <w:rStyle w:val="15"/>
                <w:rFonts w:hint="default"/>
                <w:lang w:bidi="ar"/>
              </w:rPr>
              <w:t>9.绝缘层材料：需采用高密度聚乙烯(HDPE)。</w:t>
            </w:r>
            <w:r>
              <w:rPr>
                <w:rStyle w:val="15"/>
                <w:rFonts w:hint="default"/>
                <w:lang w:bidi="ar"/>
              </w:rPr>
              <w:br w:type="textWrapping"/>
            </w:r>
            <w:r>
              <w:rPr>
                <w:rStyle w:val="15"/>
                <w:rFonts w:hint="default"/>
                <w:lang w:bidi="ar"/>
              </w:rPr>
              <w:t>10.线对隔离结构：需采用十字构龙骨芯结构。</w:t>
            </w:r>
            <w:r>
              <w:rPr>
                <w:rStyle w:val="15"/>
                <w:rFonts w:hint="default"/>
                <w:lang w:bidi="ar"/>
              </w:rPr>
              <w:br w:type="textWrapping"/>
            </w:r>
            <w:r>
              <w:rPr>
                <w:rStyle w:val="15"/>
                <w:rFonts w:hint="default"/>
                <w:lang w:bidi="ar"/>
              </w:rPr>
              <w:t>11.外护套(阻燃等级)：PVC(聚氯乙烯)。</w:t>
            </w:r>
            <w:r>
              <w:rPr>
                <w:rStyle w:val="15"/>
                <w:rFonts w:hint="default"/>
                <w:lang w:bidi="ar"/>
              </w:rPr>
              <w:br w:type="textWrapping"/>
            </w:r>
            <w:r>
              <w:rPr>
                <w:rStyle w:val="15"/>
                <w:rFonts w:hint="default"/>
                <w:lang w:bidi="ar"/>
              </w:rPr>
              <w:t>12.颜色：灰色，可提供多种定制颜色选择。</w:t>
            </w:r>
            <w:r>
              <w:rPr>
                <w:rStyle w:val="15"/>
                <w:rFonts w:hint="default"/>
                <w:lang w:bidi="ar"/>
              </w:rPr>
              <w:br w:type="textWrapping"/>
            </w:r>
            <w:r>
              <w:rPr>
                <w:rStyle w:val="15"/>
                <w:rFonts w:hint="default"/>
                <w:lang w:bidi="ar"/>
              </w:rPr>
              <w:t>13.最大承受拉力：≥110N。</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5F5EC8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50F328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20000</w:t>
            </w:r>
          </w:p>
        </w:tc>
      </w:tr>
      <w:tr w14:paraId="6941DB66">
        <w:tblPrEx>
          <w:tblCellMar>
            <w:top w:w="0" w:type="dxa"/>
            <w:left w:w="108" w:type="dxa"/>
            <w:bottom w:w="0" w:type="dxa"/>
            <w:right w:w="108" w:type="dxa"/>
          </w:tblCellMar>
        </w:tblPrEx>
        <w:trPr>
          <w:trHeight w:val="41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E3AEF9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3A667BE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入室光纤</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6B9C85F">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1.规格：非自承式引入型双芯单模蝶型水平光缆,为方便对接及维护。</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2.光缆基本要求：本次采用的光缆中所有纤芯为OS2（G.657.A1/A2）。</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3.参考标准：1、ITU-T的相关标准；2、《通信光纤系列 第3部分：综合布线用室内光缆（GB/T 13993.3-2001）》；3、《室内光缆系列第1部分：总（YD/T1258.1-2003）》；4、《室内光缆系列第4部分：多芯光缆（YD/T1258.4-2005）》；5、《光纤总规范》GB/T15972。</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光纤衰减系数：在1550nm波长上的衰减平均值应不大于0.22dB/km，单盘光缆中每根光纤的最大衰减系数应不大于0.25dB/km。在1310nm波长上的衰减平均值应不大于0.35dB/km，单盘光缆中每根光纤的最大衰减系数应不大于0.38dB/km。上述数据应在交货时提供的检验报告中具体说明。</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5.光纤接头损耗：所供光缆中的任意两根光纤在工厂条件下1310nm和1550nm波长的熔接损耗应满足：平均值≤0.05dB；最大值≤0.1 dB。</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6.光纤的温度衰减特性（与20摄氏度值相比较）：-20摄氏度—+50摄氏度；光纤衰减值变化不大于0.05 dB/Km-50摄氏度—+50摄氏度；光纤衰减值变化不大于0.1 dB/Km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7.测试方法：以上各项按照《GB/T 13993.3-2001》规定的方法测试，要保证过测。</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8.保护层结构：PVC外护层厚度：标称值：≥1.0mm,平均值：≥1.0mm,最小值：≥0.9mm；PVC护层表面应光滑平整，无气泡。厚度测试方法应符合《GB/T 13993.3-2001》</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9.光纤识别：为了便于识别，2.0mm子缆采用色谱打点方式区分。用于识别的色标应鲜明，在安装或运行中可能遇到的温度下，不褪色，不迁染到相邻的其它光缆元件上。每盘光缆两端应分别有端别识别标志。</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B994C7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298D96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35000</w:t>
            </w:r>
          </w:p>
        </w:tc>
      </w:tr>
      <w:tr w14:paraId="6A84DB7B">
        <w:tblPrEx>
          <w:tblCellMar>
            <w:top w:w="0" w:type="dxa"/>
            <w:left w:w="108" w:type="dxa"/>
            <w:bottom w:w="0" w:type="dxa"/>
            <w:right w:w="108" w:type="dxa"/>
          </w:tblCellMar>
        </w:tblPrEx>
        <w:trPr>
          <w:trHeight w:val="99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1D069BA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7</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A642AA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72芯光分箱</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73E3F80">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箱体材料采用SMC材料制作，使用寿命达到20年以上；</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双层结构的设计，上层为光分器配线层，下层为光纤熔接层；</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光分器模块采用抽屉式模块化设计，具有很强的互换性和通用性。</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21E7D4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套</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35B64CB">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12</w:t>
            </w:r>
          </w:p>
        </w:tc>
      </w:tr>
      <w:tr w14:paraId="2ACA5E2C">
        <w:tblPrEx>
          <w:tblCellMar>
            <w:top w:w="0" w:type="dxa"/>
            <w:left w:w="108" w:type="dxa"/>
            <w:bottom w:w="0" w:type="dxa"/>
            <w:right w:w="108" w:type="dxa"/>
          </w:tblCellMar>
        </w:tblPrEx>
        <w:trPr>
          <w:trHeight w:val="124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D0FD6EC">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8</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5878927C">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SC耦合器</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049BD159">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符合ITU-T G.652、IEC-60793-2-50、标准；</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规格：9/125μm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连接器类型：SC单工</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插入损耗：≤0.3dB</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7103BC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1B342B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864</w:t>
            </w:r>
          </w:p>
        </w:tc>
      </w:tr>
      <w:tr w14:paraId="5E7D911B">
        <w:tblPrEx>
          <w:tblCellMar>
            <w:top w:w="0" w:type="dxa"/>
            <w:left w:w="108" w:type="dxa"/>
            <w:bottom w:w="0" w:type="dxa"/>
            <w:right w:w="108" w:type="dxa"/>
          </w:tblCellMar>
        </w:tblPrEx>
        <w:trPr>
          <w:trHeight w:val="124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6CA45A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9</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15AE5C0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单芯单模SC尾纤</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D833B94">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光源波长：1310/1550；</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规格：9/125μm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插入损耗：≤0.30dB</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回波损耗：≥50dB(单模UPC)</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24B0EE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根</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0242CF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1008</w:t>
            </w:r>
          </w:p>
        </w:tc>
      </w:tr>
      <w:tr w14:paraId="26FCED94">
        <w:tblPrEx>
          <w:tblCellMar>
            <w:top w:w="0" w:type="dxa"/>
            <w:left w:w="108" w:type="dxa"/>
            <w:bottom w:w="0" w:type="dxa"/>
            <w:right w:w="108" w:type="dxa"/>
          </w:tblCellMar>
        </w:tblPrEx>
        <w:trPr>
          <w:trHeight w:val="402"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E3E70B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10</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5DC1808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1：16盒式分光器</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72EC8A1">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1：16盒式分光器</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77EEFF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668EFB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32</w:t>
            </w:r>
          </w:p>
        </w:tc>
      </w:tr>
      <w:tr w14:paraId="21FC13C7">
        <w:tblPrEx>
          <w:tblCellMar>
            <w:top w:w="0" w:type="dxa"/>
            <w:left w:w="108" w:type="dxa"/>
            <w:bottom w:w="0" w:type="dxa"/>
            <w:right w:w="108" w:type="dxa"/>
          </w:tblCellMar>
        </w:tblPrEx>
        <w:trPr>
          <w:trHeight w:val="126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42B2162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11</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46A8167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12芯室内低烟无卤万兆光缆</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6BE8B0A">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12芯室内低烟无卤单模万兆光纤</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产品 YD/T769-2010 的标准</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衰减系数1310nm≤0.36dB   1510nm≤0.22dB</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采用高强度芳纶加强层，保证光纤无拉伸应变，确保光纤传输特性长期稳定</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8F742B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56B6FA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1500</w:t>
            </w:r>
          </w:p>
        </w:tc>
      </w:tr>
      <w:tr w14:paraId="7867E192">
        <w:tblPrEx>
          <w:tblCellMar>
            <w:top w:w="0" w:type="dxa"/>
            <w:left w:w="108" w:type="dxa"/>
            <w:bottom w:w="0" w:type="dxa"/>
            <w:right w:w="108" w:type="dxa"/>
          </w:tblCellMar>
        </w:tblPrEx>
        <w:trPr>
          <w:trHeight w:val="225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05FB06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652EA1C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288芯光交箱</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2DD3BFA7">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288芯光交箱，满配LC耦合器及尾纤</w:t>
            </w:r>
          </w:p>
          <w:p w14:paraId="272ABE3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 采用标准NTM模块安装，每个模块可独立操作，操作方便，便于施工和维护。</w:t>
            </w:r>
          </w:p>
          <w:p w14:paraId="3615D75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2钣金箱体采用双层结构,表面喷塑处理。夹层间填充隔热材料，利用双层结构在外部气温和内部气温之间形成一个梯度，防止箱内气温急剧升降而形成凝露。</w:t>
            </w:r>
          </w:p>
          <w:p w14:paraId="0B6987D0">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 可根据需求加放光分路器模块，放光分路器模块后对箱体容量没有影响。</w:t>
            </w:r>
          </w:p>
          <w:p w14:paraId="336C1224">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4 内部走纤规范，满足光纤弯曲半径大于30mm。</w:t>
            </w:r>
          </w:p>
          <w:p w14:paraId="3E9ED16E">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5 能同时满足带状光缆和非带状光缆的使用需求。</w:t>
            </w:r>
          </w:p>
          <w:p w14:paraId="7CFD71E3">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6具有安全可靠的光纤存储及保护功能，可靠的光缆固定、开剥、接地保护装置</w:t>
            </w:r>
          </w:p>
          <w:p w14:paraId="5D043E2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7标识清楚，每芯光纤的接续和分配有明显的标识。</w:t>
            </w:r>
          </w:p>
          <w:p w14:paraId="346BFAF4">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8.含基座施工</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692E56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3D823C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tr w14:paraId="7F9B6481">
        <w:tblPrEx>
          <w:tblCellMar>
            <w:top w:w="0" w:type="dxa"/>
            <w:left w:w="108" w:type="dxa"/>
            <w:bottom w:w="0" w:type="dxa"/>
            <w:right w:w="108" w:type="dxa"/>
          </w:tblCellMar>
        </w:tblPrEx>
        <w:trPr>
          <w:trHeight w:val="977"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2DEF82F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13</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525DC36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144芯光交箱</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1643411">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96芯光交箱，满配LC耦合器及尾纤</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1.采用标准NTM模块安装，每个模块可独立操作，操作方便，便于施工和维护。</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2.钣金箱体采用双层结构,表面喷塑处理。夹层间填充隔热材料，利用双层结构在外部气温和内部气温之间形成一个梯度，防止箱内气温急剧升降而形成凝露。</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3.可根据需求加放光分路器模块，放光分路器模块后对箱体容量没有影响。</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4.内部走纤规范，满足光纤弯曲半径大于30mm。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5.能同时满足带状光缆和非带状光缆的使用需求。</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6.具有安全可靠的光纤存储及保护功能，可靠的光缆固定、开剥、接地保护装置。</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7.标识清楚，每芯光纤的接续和分配有明显的标识。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0D8FDD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D91906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tr w14:paraId="36439B44">
        <w:tblPrEx>
          <w:tblCellMar>
            <w:top w:w="0" w:type="dxa"/>
            <w:left w:w="108" w:type="dxa"/>
            <w:bottom w:w="0" w:type="dxa"/>
            <w:right w:w="108" w:type="dxa"/>
          </w:tblCellMar>
        </w:tblPrEx>
        <w:trPr>
          <w:trHeight w:val="168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400CE1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14</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A36C95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SC-SC光纤跳线</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0AABEF45">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光源波长：1310/1550；</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规格：9/125μm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连接器类型：SC-SC单芯</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插入损耗：≤0.30dB</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回波损耗：≥50dB(单模UPC)</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重复性：≥1000次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长度：3米。</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4496F7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条</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E2BE182">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72</w:t>
            </w:r>
          </w:p>
        </w:tc>
      </w:tr>
      <w:tr w14:paraId="7133C16E">
        <w:tblPrEx>
          <w:tblCellMar>
            <w:top w:w="0" w:type="dxa"/>
            <w:left w:w="108" w:type="dxa"/>
            <w:bottom w:w="0" w:type="dxa"/>
            <w:right w:w="108" w:type="dxa"/>
          </w:tblCellMar>
        </w:tblPrEx>
        <w:trPr>
          <w:trHeight w:val="3528"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6F435E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15</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72C605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96芯主干直埋重凯光缆</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69FE1A97">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1．规格：室外单模，重凯96芯，单管最大纤芯容量≤12芯。</w:t>
            </w:r>
          </w:p>
          <w:p w14:paraId="74CBF709">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2．总体要求：光缆全部为原厂生产的直埋加强层绞式GYTA53铠装光缆并符合GYTA53国家及行业生产标准,不允许使用运营商回收光缆，光缆要求防水, 每盘光缆标准盘长≥2000米，根据用户具体要求按盘交货。</w:t>
            </w:r>
          </w:p>
          <w:p w14:paraId="67DC5D75">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支持标准：支持ITU-T针对光通信的相关标准、中国信息产业部和广播电影电视总局颁布的相关标准、YD/T901-2001标准、GY/T130-199标准、质量管理符合ISO9001:2008、环境保护要求符合ISO14001:2004标准、IEC60794-1、GB/T15972和GB/T139938标准、B1.3.G652C(GB/T9771.3-2008)和B4.G655D(GB/T9771.5-2008)传输标准，渗水性符合IEC794.1.F5B标准，刮磨要求符合IEC794.1.E2标准；B1.3标配支持1310nm和1550nm传输波长在5KM内不需另配设备。</w:t>
            </w:r>
          </w:p>
          <w:p w14:paraId="0098A5E6">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4．内部结构：光缆中所有纤芯必须使用同一型号和同一来源（包括但不仅限于同一工厂、同一材料、同一生产工艺和同一折射率分布），缆芯为层绞松套管结构，中心加强件应为进口高强度磷化钢丝（144芯钢丝直径≥2mm，24和48芯要求直径≥1.5mm）；缆芯内和松套管内要求连续填充，要求全截面阻水结构，油膏要求保证—20℃时不固化，+70℃时不滴流。</w:t>
            </w:r>
          </w:p>
          <w:p w14:paraId="787F0802">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5．保护层结构：PE外护层厚度≥1.8mm（按IEC.540和IEC.1890标准测试），聚乙烯护层表面要求光滑平整无气泡。缆内铝带宽度≥5mm，与PE护层之间的粘接强度应≥1.4N/mm；每边涂塑层厚度≥0.05mm。</w:t>
            </w:r>
          </w:p>
          <w:p w14:paraId="0D1820B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6．外护层标记：外护层上要求每米印出的内容（订货时提供具体要求）包括单位名称、长度、光缆型号、光纤数量、类型和制造年份，所有标记在光缆寿命期间内必须保证永久、清晰，尺码的精确度满足100m±0.2m，外皮按校方要求着颜色标识。</w:t>
            </w:r>
          </w:p>
          <w:p w14:paraId="719A12F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 xml:space="preserve">7．接头损耗：所供光缆中的任意两根光纤在工厂条件下1310nm和1550nm波长的熔接损耗应满足平均值≤0.05dB，最大值≤0.1 dB。 </w:t>
            </w:r>
          </w:p>
          <w:p w14:paraId="605C541A">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8．衰减要求：在1310nm波长上的衰减平均值应≤0.35dB/km，单盘光缆中每根光纤的最大衰减系数应≤0.38dB/km；在1550nm波长上的衰减平均值应≤0.22dB/km，单盘光缆中每根光纤的最大衰减系数应≤0.25dB/km。工作条件为-50℃-+70℃，与20℃值相比较，-20℃-+60℃光纤衰减值变化≤0.05 dB/Km，-50℃—+70℃；光纤衰减值变化≤0.1 dB/Km；所投标光缆生产厂商必须具备温度循环试验箱等检测设备、</w:t>
            </w:r>
            <w:r>
              <w:rPr>
                <w:rStyle w:val="4"/>
                <w:rFonts w:hint="eastAsia" w:ascii="宋体" w:hAnsi="宋体" w:eastAsia="宋体" w:cs="宋体"/>
                <w:color w:val="000000"/>
                <w:kern w:val="0"/>
                <w:sz w:val="18"/>
                <w:szCs w:val="18"/>
                <w:lang w:val="en-US" w:eastAsia="zh-CN" w:bidi="ar"/>
              </w:rPr>
              <w:t>具有CMA或CNAS标识的</w:t>
            </w:r>
            <w:r>
              <w:rPr>
                <w:rStyle w:val="4"/>
                <w:rFonts w:hint="eastAsia" w:ascii="宋体" w:hAnsi="宋体" w:eastAsia="宋体" w:cs="宋体"/>
                <w:color w:val="000000"/>
                <w:kern w:val="0"/>
                <w:sz w:val="18"/>
                <w:szCs w:val="18"/>
                <w:lang w:bidi="ar"/>
              </w:rPr>
              <w:t>检测报告及中标后提供原厂证明、可验证。</w:t>
            </w:r>
          </w:p>
          <w:p w14:paraId="5C42B74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9. 机械性能: 承受“长期允许张力”的情况下,光缆延伸率应≤0.02%,光缆内的每根光纤的延伸率及附加衰减应为零。承受“短期允许张力”的情况下，光缆的延伸率应≤0.15%，张力解除后，每根光纤的衰减不应变化, 外套不应破损；对于冲击，反复弯曲，扭转，曲挠，弯折，卷绕，振动等测试项目应满足IEC794标准中的规定及方法。</w:t>
            </w:r>
          </w:p>
          <w:p w14:paraId="160F1A2F">
            <w:pPr>
              <w:pStyle w:val="5"/>
              <w:widowControl/>
              <w:jc w:val="left"/>
              <w:textAlignment w:val="center"/>
              <w:rPr>
                <w:rStyle w:val="4"/>
                <w:rFonts w:hint="eastAsia" w:ascii="宋体" w:hAnsi="宋体" w:eastAsia="宋体" w:cs="宋体"/>
                <w:color w:val="000000"/>
                <w:sz w:val="18"/>
                <w:szCs w:val="18"/>
                <w:lang w:eastAsia="zh-CN"/>
              </w:rPr>
            </w:pPr>
            <w:r>
              <w:rPr>
                <w:rStyle w:val="4"/>
                <w:rFonts w:hint="eastAsia" w:ascii="宋体" w:hAnsi="宋体" w:eastAsia="宋体" w:cs="宋体"/>
                <w:color w:val="000000"/>
                <w:kern w:val="0"/>
                <w:sz w:val="18"/>
                <w:szCs w:val="18"/>
                <w:lang w:bidi="ar"/>
              </w:rPr>
              <w:t>10.为方便对接及维护，需无缝接入原有系统的产品，由投标人提供承诺函</w:t>
            </w:r>
            <w:r>
              <w:rPr>
                <w:rStyle w:val="4"/>
                <w:rFonts w:hint="eastAsia" w:ascii="宋体" w:hAnsi="宋体" w:eastAsia="宋体" w:cs="宋体"/>
                <w:color w:val="000000"/>
                <w:kern w:val="0"/>
                <w:sz w:val="18"/>
                <w:szCs w:val="18"/>
                <w:lang w:eastAsia="zh-CN" w:bidi="ar"/>
              </w:rPr>
              <w:t>，</w:t>
            </w:r>
            <w:r>
              <w:rPr>
                <w:rStyle w:val="4"/>
                <w:rFonts w:hint="eastAsia" w:ascii="宋体" w:hAnsi="宋体" w:eastAsia="宋体" w:cs="宋体"/>
                <w:color w:val="000000"/>
                <w:kern w:val="0"/>
                <w:sz w:val="18"/>
                <w:szCs w:val="18"/>
                <w:lang w:bidi="ar"/>
              </w:rPr>
              <w:t>含施工辅材套管及配件等</w:t>
            </w:r>
            <w:r>
              <w:rPr>
                <w:rStyle w:val="4"/>
                <w:rFonts w:hint="eastAsia" w:ascii="宋体" w:hAnsi="宋体" w:eastAsia="宋体" w:cs="宋体"/>
                <w:color w:val="000000"/>
                <w:kern w:val="0"/>
                <w:sz w:val="18"/>
                <w:szCs w:val="18"/>
                <w:lang w:eastAsia="zh-CN" w:bidi="ar"/>
              </w:rPr>
              <w:t>。</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C82324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09FE68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1500</w:t>
            </w:r>
          </w:p>
        </w:tc>
      </w:tr>
      <w:tr w14:paraId="3FB2BA8E">
        <w:tblPrEx>
          <w:tblCellMar>
            <w:top w:w="0" w:type="dxa"/>
            <w:left w:w="108" w:type="dxa"/>
            <w:bottom w:w="0" w:type="dxa"/>
            <w:right w:w="108" w:type="dxa"/>
          </w:tblCellMar>
        </w:tblPrEx>
        <w:trPr>
          <w:trHeight w:val="3676"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621CAB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16</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25D740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48芯主干直埋重凯光缆</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18F4A9E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1．规格：室外单模，重凯48芯，单管最大纤芯容量≤12芯。</w:t>
            </w:r>
          </w:p>
          <w:p w14:paraId="39316C85">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2．总体要求：光缆全部为原厂生产的直埋加强层绞式GYTA53铠装光缆并符合GYTA53国家及行业生产标准,不允许使用运营商回收光缆，光缆要求防水, 每盘光缆标准盘长≥2000米，根据用户具体要求按盘交货。</w:t>
            </w:r>
          </w:p>
          <w:p w14:paraId="3EF1E2B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支持标准：支持ITU-T针对光通信的相关标准、中国信息产业部和广播电影电视总局颁布的相关标准、YD/T901-2001标准、GY/T130-199标准、质量管理符合ISO9001:2008、环境保护要求符合ISO14001:2004标准、IEC60794-1、GB/T15972和GB/T139938标准、B1.3.G652C(GB/T9771.3-2008)和B4.G655D(GB/T9771.5-2008)传输标准，渗水性符合IEC794.1.F5B标准，刮磨要求符合IEC794.1.E2标准；B1.3标配支持1310nm和1550nm传输波长在5KM内不需另配设备。</w:t>
            </w:r>
          </w:p>
          <w:p w14:paraId="44CDA8DA">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4．内部结构：光缆中所有纤芯必须使用同一型号和同一来源（包括但不仅限于同一工厂、同一材料、同一生产工艺和同一折射率分布），缆芯为层绞松套管结构，中心加强件应为进口高强度磷化钢丝（144芯钢丝直径≥2mm，24和48芯要求直径≥1.5mm）；缆芯内和松套管内要求连续填充，要求全截面阻水结构，油膏要求保证—20℃时不固化，+70℃时不滴流。</w:t>
            </w:r>
          </w:p>
          <w:p w14:paraId="12F16DD2">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5．保护层结构：PE外护层厚度≥1.8mm（按IEC.540和IEC.1890标准测试），聚乙烯护层表面要求光滑平整无气泡。缆内铝带宽度≥5mm，与PE护层之间的粘接强度应≥1.4N/mm；每边涂塑层厚度≥0.05mm。</w:t>
            </w:r>
          </w:p>
          <w:p w14:paraId="0B17FAD6">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6．外护层标记：外护层上要求每米印出的内容（订货时提供具体要求）包括单位名称、长度、光缆型号、光纤数量、类型和制造年份，所有标记在光缆寿命期间内必须保证永久、清晰，尺码的精确度满足100m±0.2m，外皮按校方要求着颜色标识。</w:t>
            </w:r>
          </w:p>
          <w:p w14:paraId="52285F14">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 xml:space="preserve">7、．接头损耗：所供光缆中的任意两根光纤在工厂条件下1310nm和1550nm波长的熔接损耗应满足平均值≤0.05dB，最大值≤0.1 dB。 </w:t>
            </w:r>
          </w:p>
          <w:p w14:paraId="0901B95D">
            <w:pPr>
              <w:pStyle w:val="5"/>
              <w:widowControl/>
              <w:jc w:val="left"/>
              <w:textAlignment w:val="center"/>
              <w:rPr>
                <w:rStyle w:val="4"/>
                <w:rFonts w:ascii="宋体" w:hAnsi="宋体" w:eastAsia="宋体" w:cs="宋体"/>
                <w:color w:val="auto"/>
                <w:kern w:val="0"/>
                <w:sz w:val="18"/>
                <w:szCs w:val="18"/>
                <w:lang w:bidi="ar"/>
              </w:rPr>
            </w:pPr>
            <w:r>
              <w:rPr>
                <w:rStyle w:val="4"/>
                <w:rFonts w:hint="eastAsia" w:ascii="宋体" w:hAnsi="宋体" w:eastAsia="宋体" w:cs="宋体"/>
                <w:color w:val="000000"/>
                <w:kern w:val="0"/>
                <w:sz w:val="18"/>
                <w:szCs w:val="18"/>
                <w:lang w:bidi="ar"/>
              </w:rPr>
              <w:t>8．衰减要求：在1310nm波长上的衰减平均值应≤0.35dB/km，单盘光缆中每根光纤的最大衰减系数应≤0.38dB/km；在1550nm波长上的衰减平均值应≤0.22dB/km，单盘光缆中每根光纤的最大衰减系数应≤0.25dB/km。工作条件为-50℃-+70℃，与20℃值相比较，-20℃-+60℃光纤衰减值变化≤0.05 dB/Km，-50℃—+70℃；光纤衰减值变化≤0.1 dB/Km；</w:t>
            </w:r>
            <w:r>
              <w:rPr>
                <w:rStyle w:val="4"/>
                <w:rFonts w:hint="eastAsia" w:ascii="宋体" w:hAnsi="宋体" w:eastAsia="宋体" w:cs="宋体"/>
                <w:color w:val="auto"/>
                <w:kern w:val="0"/>
                <w:sz w:val="18"/>
                <w:szCs w:val="18"/>
                <w:lang w:bidi="ar"/>
              </w:rPr>
              <w:t>所投标</w:t>
            </w:r>
            <w:bookmarkStart w:id="9" w:name="OLE_LINK12"/>
            <w:bookmarkStart w:id="10" w:name="OLE_LINK1"/>
            <w:r>
              <w:rPr>
                <w:rStyle w:val="4"/>
                <w:rFonts w:hint="eastAsia" w:ascii="宋体" w:hAnsi="宋体" w:eastAsia="宋体" w:cs="宋体"/>
                <w:color w:val="auto"/>
                <w:kern w:val="0"/>
                <w:sz w:val="18"/>
                <w:szCs w:val="18"/>
                <w:lang w:bidi="ar"/>
              </w:rPr>
              <w:t>光缆生产厂商必须具备温度循环试验箱</w:t>
            </w:r>
            <w:bookmarkEnd w:id="9"/>
            <w:bookmarkEnd w:id="10"/>
            <w:r>
              <w:rPr>
                <w:rStyle w:val="4"/>
                <w:rFonts w:hint="eastAsia" w:ascii="宋体" w:hAnsi="宋体" w:eastAsia="宋体" w:cs="宋体"/>
                <w:color w:val="auto"/>
                <w:kern w:val="0"/>
                <w:sz w:val="18"/>
                <w:szCs w:val="18"/>
                <w:lang w:bidi="ar"/>
              </w:rPr>
              <w:t>等检测设备</w:t>
            </w:r>
            <w:r>
              <w:rPr>
                <w:rStyle w:val="4"/>
                <w:rFonts w:hint="eastAsia" w:ascii="宋体" w:hAnsi="宋体" w:eastAsia="宋体" w:cs="宋体"/>
                <w:color w:val="auto"/>
                <w:kern w:val="0"/>
                <w:sz w:val="18"/>
                <w:szCs w:val="18"/>
                <w:lang w:eastAsia="zh-CN" w:bidi="ar"/>
              </w:rPr>
              <w:t>，</w:t>
            </w:r>
            <w:r>
              <w:rPr>
                <w:rStyle w:val="4"/>
                <w:rFonts w:hint="eastAsia" w:ascii="宋体" w:hAnsi="宋体" w:eastAsia="宋体" w:cs="宋体"/>
                <w:color w:val="auto"/>
                <w:kern w:val="0"/>
                <w:sz w:val="18"/>
                <w:szCs w:val="18"/>
                <w:lang w:val="en-US" w:eastAsia="zh-CN" w:bidi="ar"/>
              </w:rPr>
              <w:t>投标时提供衰减要求的具</w:t>
            </w:r>
            <w:r>
              <w:rPr>
                <w:rStyle w:val="4"/>
                <w:rFonts w:hint="eastAsia" w:ascii="宋体" w:hAnsi="宋体" w:eastAsia="宋体" w:cs="宋体"/>
                <w:color w:val="auto"/>
                <w:kern w:val="0"/>
                <w:sz w:val="18"/>
                <w:szCs w:val="18"/>
                <w:lang w:bidi="ar"/>
              </w:rPr>
              <w:t>有CMA或CNAS标识的检测报告及中标后提供可验证</w:t>
            </w:r>
            <w:r>
              <w:rPr>
                <w:rStyle w:val="4"/>
                <w:rFonts w:hint="eastAsia" w:ascii="宋体" w:hAnsi="宋体" w:eastAsia="宋体" w:cs="宋体"/>
                <w:color w:val="auto"/>
                <w:kern w:val="0"/>
                <w:sz w:val="18"/>
                <w:szCs w:val="18"/>
                <w:lang w:eastAsia="zh-CN" w:bidi="ar"/>
              </w:rPr>
              <w:t>的</w:t>
            </w:r>
            <w:r>
              <w:rPr>
                <w:rStyle w:val="4"/>
                <w:rFonts w:hint="eastAsia" w:ascii="宋体" w:hAnsi="宋体" w:eastAsia="宋体" w:cs="宋体"/>
                <w:color w:val="auto"/>
                <w:kern w:val="0"/>
                <w:sz w:val="18"/>
                <w:szCs w:val="18"/>
                <w:lang w:bidi="ar"/>
              </w:rPr>
              <w:t>原厂证明。</w:t>
            </w:r>
          </w:p>
          <w:p w14:paraId="3A91638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9. 机械性能: 承受“长期允许张力”的情况下,光缆延伸率应≤0.02%,光缆内的每根光纤的延伸率及附加衰减应为零。承受“短期允许张力”的情况下，光缆的延伸率应≤0.15%，张力解除后，每根光纤的衰减不应变化, 外套不应破损；对于冲击，反复弯曲，扭转，曲挠，弯折，卷绕，振动等测试项目应满足IEC794标准中的规定及方法。</w:t>
            </w:r>
          </w:p>
          <w:p w14:paraId="07238E5C">
            <w:pPr>
              <w:pStyle w:val="5"/>
              <w:widowControl/>
              <w:jc w:val="left"/>
              <w:textAlignment w:val="center"/>
              <w:rPr>
                <w:rStyle w:val="4"/>
                <w:rFonts w:hint="eastAsia" w:ascii="宋体" w:hAnsi="宋体" w:eastAsia="宋体" w:cs="宋体"/>
                <w:color w:val="000000"/>
                <w:sz w:val="18"/>
                <w:szCs w:val="18"/>
                <w:lang w:eastAsia="zh-CN"/>
              </w:rPr>
            </w:pPr>
            <w:r>
              <w:rPr>
                <w:rStyle w:val="4"/>
                <w:rFonts w:hint="eastAsia" w:ascii="宋体" w:hAnsi="宋体" w:eastAsia="宋体" w:cs="宋体"/>
                <w:color w:val="000000"/>
                <w:kern w:val="0"/>
                <w:sz w:val="18"/>
                <w:szCs w:val="18"/>
                <w:lang w:bidi="ar"/>
              </w:rPr>
              <w:t>10.为方便对接及维护，需无缝接入原有系统的产品，由投标人提供承诺函</w:t>
            </w:r>
            <w:r>
              <w:rPr>
                <w:rStyle w:val="4"/>
                <w:rFonts w:hint="eastAsia" w:ascii="宋体" w:hAnsi="宋体" w:eastAsia="宋体" w:cs="宋体"/>
                <w:color w:val="000000"/>
                <w:kern w:val="0"/>
                <w:sz w:val="18"/>
                <w:szCs w:val="18"/>
                <w:lang w:eastAsia="zh-CN" w:bidi="ar"/>
              </w:rPr>
              <w:t>，</w:t>
            </w:r>
            <w:r>
              <w:rPr>
                <w:rStyle w:val="4"/>
                <w:rFonts w:hint="eastAsia" w:ascii="宋体" w:hAnsi="宋体" w:eastAsia="宋体" w:cs="宋体"/>
                <w:color w:val="000000"/>
                <w:kern w:val="0"/>
                <w:sz w:val="18"/>
                <w:szCs w:val="18"/>
                <w:lang w:bidi="ar"/>
              </w:rPr>
              <w:t>含施工辅材套管及配件等</w:t>
            </w:r>
            <w:r>
              <w:rPr>
                <w:rStyle w:val="4"/>
                <w:rFonts w:hint="eastAsia" w:ascii="宋体" w:hAnsi="宋体" w:eastAsia="宋体" w:cs="宋体"/>
                <w:color w:val="000000"/>
                <w:kern w:val="0"/>
                <w:sz w:val="18"/>
                <w:szCs w:val="18"/>
                <w:lang w:eastAsia="zh-CN" w:bidi="ar"/>
              </w:rPr>
              <w:t>。</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645172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C3E262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1500</w:t>
            </w:r>
          </w:p>
        </w:tc>
      </w:tr>
      <w:tr w14:paraId="53639EE6">
        <w:tblPrEx>
          <w:tblCellMar>
            <w:top w:w="0" w:type="dxa"/>
            <w:left w:w="108" w:type="dxa"/>
            <w:bottom w:w="0" w:type="dxa"/>
            <w:right w:w="108" w:type="dxa"/>
          </w:tblCellMar>
        </w:tblPrEx>
        <w:trPr>
          <w:trHeight w:val="705"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493E257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17</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2E8271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12U机柜</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045778F4">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尺寸：635*450*600mm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技术规格：选用优质冷轧钢板，厚度：方孔条1.2mm,其他0.8mm，含1个8位10APDU</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FB06DD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57279FB">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w:t>
            </w:r>
          </w:p>
        </w:tc>
      </w:tr>
      <w:tr w14:paraId="3ADE80BF">
        <w:tblPrEx>
          <w:tblCellMar>
            <w:top w:w="0" w:type="dxa"/>
            <w:left w:w="108" w:type="dxa"/>
            <w:bottom w:w="0" w:type="dxa"/>
            <w:right w:w="108" w:type="dxa"/>
          </w:tblCellMar>
        </w:tblPrEx>
        <w:trPr>
          <w:trHeight w:val="9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CD76E0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18</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1044C3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22U机柜</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9AA8086">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尺寸：600*600*1200mm</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技术规格：前玻璃后钢门，选用优质冷轧钢板，厚度：方孔条1.2mm   侧门0.8mm  立柱0.8mm   层板1.2mm  白色钢化玻璃厚度5mm，含1个8位10A</w:t>
            </w:r>
            <w:r>
              <w:rPr>
                <w:rStyle w:val="4"/>
                <w:rFonts w:ascii="宋体" w:hAnsi="宋体" w:eastAsia="宋体" w:cs="宋体"/>
                <w:color w:val="000000"/>
                <w:kern w:val="0"/>
                <w:sz w:val="18"/>
                <w:szCs w:val="18"/>
                <w:lang w:bidi="ar"/>
              </w:rPr>
              <w:t xml:space="preserve"> </w:t>
            </w:r>
            <w:r>
              <w:rPr>
                <w:rStyle w:val="4"/>
                <w:rFonts w:hint="eastAsia" w:ascii="宋体" w:hAnsi="宋体" w:eastAsia="宋体" w:cs="宋体"/>
                <w:color w:val="000000"/>
                <w:kern w:val="0"/>
                <w:sz w:val="18"/>
                <w:szCs w:val="18"/>
                <w:lang w:bidi="ar"/>
              </w:rPr>
              <w:t>PDU</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93E037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B99766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tr w14:paraId="790F4F38">
        <w:tblPrEx>
          <w:tblCellMar>
            <w:top w:w="0" w:type="dxa"/>
            <w:left w:w="108" w:type="dxa"/>
            <w:bottom w:w="0" w:type="dxa"/>
            <w:right w:w="108" w:type="dxa"/>
          </w:tblCellMar>
        </w:tblPrEx>
        <w:trPr>
          <w:trHeight w:val="699"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15D87445">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19</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0B7494C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六类非屏蔽24口数据配线架</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77FA803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1.规格：1U24口Cat.6类非屏蔽数据配线架，含六类非屏蔽模块</w:t>
            </w:r>
          </w:p>
          <w:p w14:paraId="572C8448">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2.性能：保证达到或超过ANSI/TIA-568.2-D Category 6、ISO/IEC 11801 Class E、中的各项信道规范要求。</w:t>
            </w:r>
          </w:p>
          <w:p w14:paraId="22208D5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3.应用：支持1000 BASE-T。</w:t>
            </w:r>
          </w:p>
          <w:p w14:paraId="1002EBA3">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4.高度：1U。</w:t>
            </w:r>
          </w:p>
          <w:p w14:paraId="3C731A8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5.样式：水平型</w:t>
            </w:r>
          </w:p>
          <w:p w14:paraId="135D52FA">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6.端口数量：24口。</w:t>
            </w:r>
          </w:p>
          <w:p w14:paraId="24E01892">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7.颜色：黑色</w:t>
            </w:r>
          </w:p>
          <w:p w14:paraId="205316A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8.线规：需支持22-24AWG线规双绞线端接。</w:t>
            </w:r>
          </w:p>
          <w:p w14:paraId="5D10A787">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9.特点：需采用无焊锡栽针技术，绿色环保</w:t>
            </w:r>
          </w:p>
          <w:p w14:paraId="62EA3A16">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10.连通性：需采用50μ〞镀金层，保证多次插拔的良好导通性；</w:t>
            </w:r>
          </w:p>
          <w:p w14:paraId="4E8A0481">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11.插拔次数：≧1200次；</w:t>
            </w:r>
          </w:p>
          <w:p w14:paraId="2BA473E9">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12.标识：前部需带透明标识窗，标识窗可向上翻起，方便标签条更换维护。</w:t>
            </w:r>
          </w:p>
          <w:p w14:paraId="0A8E76DE">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13.管理：背部需带有可拆卸式理线支撑架。</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A627E7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50AB92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w:t>
            </w:r>
          </w:p>
        </w:tc>
      </w:tr>
      <w:tr w14:paraId="340FEFF3">
        <w:tblPrEx>
          <w:tblCellMar>
            <w:top w:w="0" w:type="dxa"/>
            <w:left w:w="108" w:type="dxa"/>
            <w:bottom w:w="0" w:type="dxa"/>
            <w:right w:w="108" w:type="dxa"/>
          </w:tblCellMar>
        </w:tblPrEx>
        <w:trPr>
          <w:trHeight w:val="557"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2E426F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20</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6094C1B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UTP CAT6 跳线 2米</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13FF21D7">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1.规格：Cat.6类非屏蔽（U/UTP）4对RJ45-RJ45数据跳线</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2.性能：保证达到或超过ANSI/TIA-568.2-D Category 6、ISO/IEC 11801 Class E、中的各项信道规范要求。</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3.应用：支持1000 BASE-T。</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4.规格：必须为原厂跳线，线体采用多股铜芯线设计的软跳线。</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5.线规：需采用24AWG。</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6.水晶头：必须采用50μ"镀金层，保证多次插拔的良好导通性；</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7.插拔次数：≧1200次。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8.外护套(阻燃等级)：PVC(聚氯乙烯)。</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9.长度：2米 ，颜色：橙色。</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7FCD3A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条</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FAD78BB">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42</w:t>
            </w:r>
          </w:p>
        </w:tc>
      </w:tr>
      <w:tr w14:paraId="49C681F6">
        <w:tblPrEx>
          <w:tblCellMar>
            <w:top w:w="0" w:type="dxa"/>
            <w:left w:w="108" w:type="dxa"/>
            <w:bottom w:w="0" w:type="dxa"/>
            <w:right w:w="108" w:type="dxa"/>
          </w:tblCellMar>
        </w:tblPrEx>
        <w:trPr>
          <w:trHeight w:val="96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F4F0AA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21</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3420B30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理线架</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14150604">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1.产品标准：YD/T 926.3-2009、TIA/EIA-568C.2-2001；</w:t>
            </w:r>
            <w:r>
              <w:rPr>
                <w:rStyle w:val="4"/>
                <w:rFonts w:hint="eastAsia" w:ascii="宋体" w:hAnsi="宋体" w:eastAsia="宋体" w:cs="宋体"/>
                <w:color w:val="000000"/>
                <w:kern w:val="0"/>
                <w:sz w:val="18"/>
                <w:szCs w:val="18"/>
                <w:lang w:bidi="ar"/>
              </w:rPr>
              <w:br w:type="textWrapping"/>
            </w:r>
            <w:r>
              <w:rPr>
                <w:rStyle w:val="4"/>
                <w:rFonts w:ascii="宋体" w:hAnsi="宋体" w:eastAsia="宋体" w:cs="宋体"/>
                <w:color w:val="000000"/>
                <w:kern w:val="0"/>
                <w:sz w:val="18"/>
                <w:szCs w:val="18"/>
                <w:lang w:bidi="ar"/>
              </w:rPr>
              <w:t>2.</w:t>
            </w:r>
            <w:r>
              <w:rPr>
                <w:rStyle w:val="4"/>
                <w:rFonts w:hint="eastAsia" w:ascii="宋体" w:hAnsi="宋体" w:eastAsia="宋体" w:cs="宋体"/>
                <w:color w:val="000000"/>
                <w:kern w:val="0"/>
                <w:sz w:val="18"/>
                <w:szCs w:val="18"/>
                <w:lang w:bidi="ar"/>
              </w:rPr>
              <w:t>产品性能：标准19"机架安装，工作高度1U ；采用优质金属材料，表面电喷处理；用于线缆容纳和管理，使布线更加方便美观 ；盖子可以装拆，便于安装和维护。</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F0C488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CD5602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42</w:t>
            </w:r>
          </w:p>
        </w:tc>
      </w:tr>
      <w:tr w14:paraId="535AC40D">
        <w:tblPrEx>
          <w:tblCellMar>
            <w:top w:w="0" w:type="dxa"/>
            <w:left w:w="108" w:type="dxa"/>
            <w:bottom w:w="0" w:type="dxa"/>
            <w:right w:w="108" w:type="dxa"/>
          </w:tblCellMar>
        </w:tblPrEx>
        <w:trPr>
          <w:trHeight w:val="115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561E30C">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36528B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LC-LC双芯单模光跳线</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434B3386">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光源波长：1310/1550；规格：9/125μm连接器类型：LC-LC双芯，插入损耗：≤0.30dB，回波损耗：≥50dB(单模UPC)</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重复性：≥1000次，长度：3米。</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998F9B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对</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E19DC9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10</w:t>
            </w:r>
          </w:p>
        </w:tc>
      </w:tr>
      <w:tr w14:paraId="2A6FE5CD">
        <w:tblPrEx>
          <w:tblCellMar>
            <w:top w:w="0" w:type="dxa"/>
            <w:left w:w="108" w:type="dxa"/>
            <w:bottom w:w="0" w:type="dxa"/>
            <w:right w:w="108" w:type="dxa"/>
          </w:tblCellMar>
        </w:tblPrEx>
        <w:trPr>
          <w:trHeight w:val="1047"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0ACD89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23</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DA7DB8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12芯光纤配线架</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20F649C8">
            <w:pPr>
              <w:pStyle w:val="5"/>
              <w:widowControl/>
              <w:jc w:val="left"/>
              <w:textAlignment w:val="center"/>
              <w:rPr>
                <w:rStyle w:val="4"/>
                <w:rFonts w:ascii="宋体" w:hAnsi="宋体" w:eastAsia="宋体" w:cs="宋体"/>
                <w:color w:val="FF0000"/>
                <w:sz w:val="18"/>
                <w:szCs w:val="18"/>
              </w:rPr>
            </w:pPr>
            <w:r>
              <w:rPr>
                <w:rStyle w:val="16"/>
                <w:rFonts w:hint="default"/>
                <w:lang w:bidi="ar"/>
              </w:rPr>
              <w:t>满配LC双工耦合器和尾纤</w:t>
            </w:r>
            <w:r>
              <w:rPr>
                <w:rStyle w:val="15"/>
                <w:rFonts w:hint="default"/>
                <w:lang w:bidi="ar"/>
              </w:rPr>
              <w:t>，适用于19英寸机柜及机架安装；</w:t>
            </w:r>
            <w:r>
              <w:rPr>
                <w:rStyle w:val="15"/>
                <w:rFonts w:hint="default"/>
                <w:lang w:bidi="ar"/>
              </w:rPr>
              <w:br w:type="textWrapping"/>
            </w:r>
            <w:r>
              <w:rPr>
                <w:rStyle w:val="15"/>
                <w:rFonts w:hint="default"/>
                <w:lang w:bidi="ar"/>
              </w:rPr>
              <w:t>支持耦合器类型：LC（双工）、SC/ST/FC（单工）。密度：最高可支持24芯(LC双工)。高度：1U。</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78A927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28A2E1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w:t>
            </w:r>
          </w:p>
        </w:tc>
      </w:tr>
      <w:tr w14:paraId="187054C7">
        <w:tblPrEx>
          <w:tblCellMar>
            <w:top w:w="0" w:type="dxa"/>
            <w:left w:w="108" w:type="dxa"/>
            <w:bottom w:w="0" w:type="dxa"/>
            <w:right w:w="108" w:type="dxa"/>
          </w:tblCellMar>
        </w:tblPrEx>
        <w:trPr>
          <w:trHeight w:val="977"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14ED19E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24</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4C5972C0">
            <w:pPr>
              <w:pStyle w:val="5"/>
              <w:widowControl/>
              <w:jc w:val="center"/>
              <w:textAlignment w:val="center"/>
              <w:rPr>
                <w:rStyle w:val="4"/>
                <w:rFonts w:ascii="宋体" w:hAnsi="宋体" w:eastAsia="宋体" w:cs="宋体"/>
                <w:color w:val="000000"/>
                <w:sz w:val="18"/>
                <w:szCs w:val="18"/>
              </w:rPr>
            </w:pPr>
            <w:r>
              <w:rPr>
                <w:rFonts w:hint="eastAsia" w:ascii="宋体" w:hAnsi="宋体" w:cs="宋体"/>
                <w:color w:val="000000"/>
                <w:kern w:val="0"/>
                <w:sz w:val="18"/>
                <w:szCs w:val="18"/>
                <w:bdr w:val="single" w:color="000000" w:sz="4" w:space="0"/>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17780" cy="8890"/>
                  <wp:effectExtent l="0" t="0" r="0" b="0"/>
                  <wp:wrapNone/>
                  <wp:docPr id="55" name="Picture_11"/>
                  <wp:cNvGraphicFramePr/>
                  <a:graphic xmlns:a="http://schemas.openxmlformats.org/drawingml/2006/main">
                    <a:graphicData uri="http://schemas.openxmlformats.org/drawingml/2006/picture">
                      <pic:pic xmlns:pic="http://schemas.openxmlformats.org/drawingml/2006/picture">
                        <pic:nvPicPr>
                          <pic:cNvPr id="55" name="Picture_11"/>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17780" cy="8890"/>
                  <wp:effectExtent l="0" t="0" r="0" b="0"/>
                  <wp:wrapNone/>
                  <wp:docPr id="68" name="Picture_11_SpCnt_1"/>
                  <wp:cNvGraphicFramePr/>
                  <a:graphic xmlns:a="http://schemas.openxmlformats.org/drawingml/2006/main">
                    <a:graphicData uri="http://schemas.openxmlformats.org/drawingml/2006/picture">
                      <pic:pic xmlns:pic="http://schemas.openxmlformats.org/drawingml/2006/picture">
                        <pic:nvPicPr>
                          <pic:cNvPr id="68" name="Picture_11_SpCnt_1"/>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17780" cy="8890"/>
                  <wp:effectExtent l="0" t="0" r="0" b="0"/>
                  <wp:wrapNone/>
                  <wp:docPr id="51" name="Picture_11_SpCnt_2"/>
                  <wp:cNvGraphicFramePr/>
                  <a:graphic xmlns:a="http://schemas.openxmlformats.org/drawingml/2006/main">
                    <a:graphicData uri="http://schemas.openxmlformats.org/drawingml/2006/picture">
                      <pic:pic xmlns:pic="http://schemas.openxmlformats.org/drawingml/2006/picture">
                        <pic:nvPicPr>
                          <pic:cNvPr id="51" name="Picture_11_SpCnt_2"/>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17780" cy="8890"/>
                  <wp:effectExtent l="0" t="0" r="0" b="0"/>
                  <wp:wrapNone/>
                  <wp:docPr id="67" name="Picture_11_SpCnt_3"/>
                  <wp:cNvGraphicFramePr/>
                  <a:graphic xmlns:a="http://schemas.openxmlformats.org/drawingml/2006/main">
                    <a:graphicData uri="http://schemas.openxmlformats.org/drawingml/2006/picture">
                      <pic:pic xmlns:pic="http://schemas.openxmlformats.org/drawingml/2006/picture">
                        <pic:nvPicPr>
                          <pic:cNvPr id="67" name="Picture_11_SpCnt_3"/>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17780" cy="8890"/>
                  <wp:effectExtent l="0" t="0" r="0" b="0"/>
                  <wp:wrapNone/>
                  <wp:docPr id="71" name="Picture_11_SpCnt_4"/>
                  <wp:cNvGraphicFramePr/>
                  <a:graphic xmlns:a="http://schemas.openxmlformats.org/drawingml/2006/main">
                    <a:graphicData uri="http://schemas.openxmlformats.org/drawingml/2006/picture">
                      <pic:pic xmlns:pic="http://schemas.openxmlformats.org/drawingml/2006/picture">
                        <pic:nvPicPr>
                          <pic:cNvPr id="71" name="Picture_11_SpCnt_4"/>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17780" cy="8890"/>
                  <wp:effectExtent l="0" t="0" r="0" b="0"/>
                  <wp:wrapNone/>
                  <wp:docPr id="40" name="Picture_11_SpCnt_5"/>
                  <wp:cNvGraphicFramePr/>
                  <a:graphic xmlns:a="http://schemas.openxmlformats.org/drawingml/2006/main">
                    <a:graphicData uri="http://schemas.openxmlformats.org/drawingml/2006/picture">
                      <pic:pic xmlns:pic="http://schemas.openxmlformats.org/drawingml/2006/picture">
                        <pic:nvPicPr>
                          <pic:cNvPr id="40" name="Picture_11_SpCnt_5"/>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17780" cy="8890"/>
                  <wp:effectExtent l="0" t="0" r="0" b="0"/>
                  <wp:wrapNone/>
                  <wp:docPr id="65" name="Picture_11_SpCnt_6"/>
                  <wp:cNvGraphicFramePr/>
                  <a:graphic xmlns:a="http://schemas.openxmlformats.org/drawingml/2006/main">
                    <a:graphicData uri="http://schemas.openxmlformats.org/drawingml/2006/picture">
                      <pic:pic xmlns:pic="http://schemas.openxmlformats.org/drawingml/2006/picture">
                        <pic:nvPicPr>
                          <pic:cNvPr id="65" name="Picture_11_SpCnt_6"/>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17780" cy="8890"/>
                  <wp:effectExtent l="0" t="0" r="0" b="0"/>
                  <wp:wrapNone/>
                  <wp:docPr id="60" name="Picture_11_SpCnt_7"/>
                  <wp:cNvGraphicFramePr/>
                  <a:graphic xmlns:a="http://schemas.openxmlformats.org/drawingml/2006/main">
                    <a:graphicData uri="http://schemas.openxmlformats.org/drawingml/2006/picture">
                      <pic:pic xmlns:pic="http://schemas.openxmlformats.org/drawingml/2006/picture">
                        <pic:nvPicPr>
                          <pic:cNvPr id="60" name="Picture_11_SpCnt_7"/>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17780" cy="8890"/>
                  <wp:effectExtent l="0" t="0" r="0" b="0"/>
                  <wp:wrapNone/>
                  <wp:docPr id="69" name="Picture_11_SpCnt_8"/>
                  <wp:cNvGraphicFramePr/>
                  <a:graphic xmlns:a="http://schemas.openxmlformats.org/drawingml/2006/main">
                    <a:graphicData uri="http://schemas.openxmlformats.org/drawingml/2006/picture">
                      <pic:pic xmlns:pic="http://schemas.openxmlformats.org/drawingml/2006/picture">
                        <pic:nvPicPr>
                          <pic:cNvPr id="69" name="Picture_11_SpCnt_8"/>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17780" cy="8890"/>
                  <wp:effectExtent l="0" t="0" r="0" b="0"/>
                  <wp:wrapNone/>
                  <wp:docPr id="54" name="Picture_11_SpCnt_9"/>
                  <wp:cNvGraphicFramePr/>
                  <a:graphic xmlns:a="http://schemas.openxmlformats.org/drawingml/2006/main">
                    <a:graphicData uri="http://schemas.openxmlformats.org/drawingml/2006/picture">
                      <pic:pic xmlns:pic="http://schemas.openxmlformats.org/drawingml/2006/picture">
                        <pic:nvPicPr>
                          <pic:cNvPr id="54" name="Picture_11_SpCnt_9"/>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17780" cy="8890"/>
                  <wp:effectExtent l="0" t="0" r="0" b="0"/>
                  <wp:wrapNone/>
                  <wp:docPr id="43" name="Picture_11_SpCnt_10"/>
                  <wp:cNvGraphicFramePr/>
                  <a:graphic xmlns:a="http://schemas.openxmlformats.org/drawingml/2006/main">
                    <a:graphicData uri="http://schemas.openxmlformats.org/drawingml/2006/picture">
                      <pic:pic xmlns:pic="http://schemas.openxmlformats.org/drawingml/2006/picture">
                        <pic:nvPicPr>
                          <pic:cNvPr id="43" name="Picture_11_SpCnt_10"/>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17780" cy="8890"/>
                  <wp:effectExtent l="0" t="0" r="0" b="0"/>
                  <wp:wrapNone/>
                  <wp:docPr id="44" name="Picture_11_SpCnt_11"/>
                  <wp:cNvGraphicFramePr/>
                  <a:graphic xmlns:a="http://schemas.openxmlformats.org/drawingml/2006/main">
                    <a:graphicData uri="http://schemas.openxmlformats.org/drawingml/2006/picture">
                      <pic:pic xmlns:pic="http://schemas.openxmlformats.org/drawingml/2006/picture">
                        <pic:nvPicPr>
                          <pic:cNvPr id="44" name="Picture_11_SpCnt_11"/>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17780" cy="8890"/>
                  <wp:effectExtent l="0" t="0" r="0" b="0"/>
                  <wp:wrapNone/>
                  <wp:docPr id="52" name="Picture_11_SpCnt_12"/>
                  <wp:cNvGraphicFramePr/>
                  <a:graphic xmlns:a="http://schemas.openxmlformats.org/drawingml/2006/main">
                    <a:graphicData uri="http://schemas.openxmlformats.org/drawingml/2006/picture">
                      <pic:pic xmlns:pic="http://schemas.openxmlformats.org/drawingml/2006/picture">
                        <pic:nvPicPr>
                          <pic:cNvPr id="52" name="Picture_11_SpCnt_12"/>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17780" cy="8890"/>
                  <wp:effectExtent l="0" t="0" r="0" b="0"/>
                  <wp:wrapNone/>
                  <wp:docPr id="45" name="Picture_11_SpCnt_13"/>
                  <wp:cNvGraphicFramePr/>
                  <a:graphic xmlns:a="http://schemas.openxmlformats.org/drawingml/2006/main">
                    <a:graphicData uri="http://schemas.openxmlformats.org/drawingml/2006/picture">
                      <pic:pic xmlns:pic="http://schemas.openxmlformats.org/drawingml/2006/picture">
                        <pic:nvPicPr>
                          <pic:cNvPr id="45" name="Picture_11_SpCnt_13"/>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17780" cy="8890"/>
                  <wp:effectExtent l="0" t="0" r="0" b="0"/>
                  <wp:wrapNone/>
                  <wp:docPr id="46" name="Picture_11_SpCnt_14"/>
                  <wp:cNvGraphicFramePr/>
                  <a:graphic xmlns:a="http://schemas.openxmlformats.org/drawingml/2006/main">
                    <a:graphicData uri="http://schemas.openxmlformats.org/drawingml/2006/picture">
                      <pic:pic xmlns:pic="http://schemas.openxmlformats.org/drawingml/2006/picture">
                        <pic:nvPicPr>
                          <pic:cNvPr id="46" name="Picture_11_SpCnt_14"/>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17780" cy="8890"/>
                  <wp:effectExtent l="0" t="0" r="0" b="0"/>
                  <wp:wrapNone/>
                  <wp:docPr id="56" name="Picture_11_SpCnt_15"/>
                  <wp:cNvGraphicFramePr/>
                  <a:graphic xmlns:a="http://schemas.openxmlformats.org/drawingml/2006/main">
                    <a:graphicData uri="http://schemas.openxmlformats.org/drawingml/2006/picture">
                      <pic:pic xmlns:pic="http://schemas.openxmlformats.org/drawingml/2006/picture">
                        <pic:nvPicPr>
                          <pic:cNvPr id="56" name="Picture_11_SpCnt_15"/>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17780" cy="8890"/>
                  <wp:effectExtent l="0" t="0" r="0" b="0"/>
                  <wp:wrapNone/>
                  <wp:docPr id="57" name="Picture_11_SpCnt_16"/>
                  <wp:cNvGraphicFramePr/>
                  <a:graphic xmlns:a="http://schemas.openxmlformats.org/drawingml/2006/main">
                    <a:graphicData uri="http://schemas.openxmlformats.org/drawingml/2006/picture">
                      <pic:pic xmlns:pic="http://schemas.openxmlformats.org/drawingml/2006/picture">
                        <pic:nvPicPr>
                          <pic:cNvPr id="57" name="Picture_11_SpCnt_16"/>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17780" cy="8890"/>
                  <wp:effectExtent l="0" t="0" r="0" b="0"/>
                  <wp:wrapNone/>
                  <wp:docPr id="47" name="Picture_11_SpCnt_17"/>
                  <wp:cNvGraphicFramePr/>
                  <a:graphic xmlns:a="http://schemas.openxmlformats.org/drawingml/2006/main">
                    <a:graphicData uri="http://schemas.openxmlformats.org/drawingml/2006/picture">
                      <pic:pic xmlns:pic="http://schemas.openxmlformats.org/drawingml/2006/picture">
                        <pic:nvPicPr>
                          <pic:cNvPr id="47" name="Picture_11_SpCnt_17"/>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17780" cy="8890"/>
                  <wp:effectExtent l="0" t="0" r="0" b="0"/>
                  <wp:wrapNone/>
                  <wp:docPr id="49" name="Picture_11_SpCnt_18"/>
                  <wp:cNvGraphicFramePr/>
                  <a:graphic xmlns:a="http://schemas.openxmlformats.org/drawingml/2006/main">
                    <a:graphicData uri="http://schemas.openxmlformats.org/drawingml/2006/picture">
                      <pic:pic xmlns:pic="http://schemas.openxmlformats.org/drawingml/2006/picture">
                        <pic:nvPicPr>
                          <pic:cNvPr id="49" name="Picture_11_SpCnt_18"/>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17780" cy="8890"/>
                  <wp:effectExtent l="0" t="0" r="0" b="0"/>
                  <wp:wrapNone/>
                  <wp:docPr id="50" name="Picture_11_SpCnt_19"/>
                  <wp:cNvGraphicFramePr/>
                  <a:graphic xmlns:a="http://schemas.openxmlformats.org/drawingml/2006/main">
                    <a:graphicData uri="http://schemas.openxmlformats.org/drawingml/2006/picture">
                      <pic:pic xmlns:pic="http://schemas.openxmlformats.org/drawingml/2006/picture">
                        <pic:nvPicPr>
                          <pic:cNvPr id="50" name="Picture_11_SpCnt_19"/>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17780" cy="8890"/>
                  <wp:effectExtent l="0" t="0" r="0" b="0"/>
                  <wp:wrapNone/>
                  <wp:docPr id="79" name="Picture_11_SpCnt_20"/>
                  <wp:cNvGraphicFramePr/>
                  <a:graphic xmlns:a="http://schemas.openxmlformats.org/drawingml/2006/main">
                    <a:graphicData uri="http://schemas.openxmlformats.org/drawingml/2006/picture">
                      <pic:pic xmlns:pic="http://schemas.openxmlformats.org/drawingml/2006/picture">
                        <pic:nvPicPr>
                          <pic:cNvPr id="79" name="Picture_11_SpCnt_20"/>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17780" cy="8890"/>
                  <wp:effectExtent l="0" t="0" r="0" b="0"/>
                  <wp:wrapNone/>
                  <wp:docPr id="73" name="Picture_11_SpCnt_21"/>
                  <wp:cNvGraphicFramePr/>
                  <a:graphic xmlns:a="http://schemas.openxmlformats.org/drawingml/2006/main">
                    <a:graphicData uri="http://schemas.openxmlformats.org/drawingml/2006/picture">
                      <pic:pic xmlns:pic="http://schemas.openxmlformats.org/drawingml/2006/picture">
                        <pic:nvPicPr>
                          <pic:cNvPr id="73" name="Picture_11_SpCnt_21"/>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17780" cy="8890"/>
                  <wp:effectExtent l="0" t="0" r="0" b="0"/>
                  <wp:wrapNone/>
                  <wp:docPr id="82" name="Picture_11_SpCnt_22"/>
                  <wp:cNvGraphicFramePr/>
                  <a:graphic xmlns:a="http://schemas.openxmlformats.org/drawingml/2006/main">
                    <a:graphicData uri="http://schemas.openxmlformats.org/drawingml/2006/picture">
                      <pic:pic xmlns:pic="http://schemas.openxmlformats.org/drawingml/2006/picture">
                        <pic:nvPicPr>
                          <pic:cNvPr id="82" name="Picture_11_SpCnt_22"/>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17780" cy="8890"/>
                  <wp:effectExtent l="0" t="0" r="0" b="0"/>
                  <wp:wrapNone/>
                  <wp:docPr id="74" name="Picture_11_SpCnt_23"/>
                  <wp:cNvGraphicFramePr/>
                  <a:graphic xmlns:a="http://schemas.openxmlformats.org/drawingml/2006/main">
                    <a:graphicData uri="http://schemas.openxmlformats.org/drawingml/2006/picture">
                      <pic:pic xmlns:pic="http://schemas.openxmlformats.org/drawingml/2006/picture">
                        <pic:nvPicPr>
                          <pic:cNvPr id="74" name="Picture_11_SpCnt_23"/>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17780" cy="8890"/>
                  <wp:effectExtent l="0" t="0" r="0" b="0"/>
                  <wp:wrapNone/>
                  <wp:docPr id="78" name="Picture_11_SpCnt_24"/>
                  <wp:cNvGraphicFramePr/>
                  <a:graphic xmlns:a="http://schemas.openxmlformats.org/drawingml/2006/main">
                    <a:graphicData uri="http://schemas.openxmlformats.org/drawingml/2006/picture">
                      <pic:pic xmlns:pic="http://schemas.openxmlformats.org/drawingml/2006/picture">
                        <pic:nvPicPr>
                          <pic:cNvPr id="78" name="Picture_11_SpCnt_24"/>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17780" cy="8890"/>
                  <wp:effectExtent l="0" t="0" r="0" b="0"/>
                  <wp:wrapNone/>
                  <wp:docPr id="76" name="Picture_11_SpCnt_25"/>
                  <wp:cNvGraphicFramePr/>
                  <a:graphic xmlns:a="http://schemas.openxmlformats.org/drawingml/2006/main">
                    <a:graphicData uri="http://schemas.openxmlformats.org/drawingml/2006/picture">
                      <pic:pic xmlns:pic="http://schemas.openxmlformats.org/drawingml/2006/picture">
                        <pic:nvPicPr>
                          <pic:cNvPr id="76" name="Picture_11_SpCnt_25"/>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17780" cy="8890"/>
                  <wp:effectExtent l="0" t="0" r="0" b="0"/>
                  <wp:wrapNone/>
                  <wp:docPr id="81" name="Picture_11_SpCnt_26"/>
                  <wp:cNvGraphicFramePr/>
                  <a:graphic xmlns:a="http://schemas.openxmlformats.org/drawingml/2006/main">
                    <a:graphicData uri="http://schemas.openxmlformats.org/drawingml/2006/picture">
                      <pic:pic xmlns:pic="http://schemas.openxmlformats.org/drawingml/2006/picture">
                        <pic:nvPicPr>
                          <pic:cNvPr id="81" name="Picture_11_SpCnt_26"/>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17780" cy="8890"/>
                  <wp:effectExtent l="0" t="0" r="0" b="0"/>
                  <wp:wrapNone/>
                  <wp:docPr id="80" name="Picture_11_SpCnt_27"/>
                  <wp:cNvGraphicFramePr/>
                  <a:graphic xmlns:a="http://schemas.openxmlformats.org/drawingml/2006/main">
                    <a:graphicData uri="http://schemas.openxmlformats.org/drawingml/2006/picture">
                      <pic:pic xmlns:pic="http://schemas.openxmlformats.org/drawingml/2006/picture">
                        <pic:nvPicPr>
                          <pic:cNvPr id="80" name="Picture_11_SpCnt_27"/>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17780" cy="8890"/>
                  <wp:effectExtent l="0" t="0" r="0" b="0"/>
                  <wp:wrapNone/>
                  <wp:docPr id="72" name="Picture_11_SpCnt_28"/>
                  <wp:cNvGraphicFramePr/>
                  <a:graphic xmlns:a="http://schemas.openxmlformats.org/drawingml/2006/main">
                    <a:graphicData uri="http://schemas.openxmlformats.org/drawingml/2006/picture">
                      <pic:pic xmlns:pic="http://schemas.openxmlformats.org/drawingml/2006/picture">
                        <pic:nvPicPr>
                          <pic:cNvPr id="72" name="Picture_11_SpCnt_28"/>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17780" cy="8890"/>
                  <wp:effectExtent l="0" t="0" r="0" b="0"/>
                  <wp:wrapNone/>
                  <wp:docPr id="77" name="Picture_11_SpCnt_29"/>
                  <wp:cNvGraphicFramePr/>
                  <a:graphic xmlns:a="http://schemas.openxmlformats.org/drawingml/2006/main">
                    <a:graphicData uri="http://schemas.openxmlformats.org/drawingml/2006/picture">
                      <pic:pic xmlns:pic="http://schemas.openxmlformats.org/drawingml/2006/picture">
                        <pic:nvPicPr>
                          <pic:cNvPr id="77" name="Picture_11_SpCnt_29"/>
                          <pic:cNvPicPr/>
                        </pic:nvPicPr>
                        <pic:blipFill>
                          <a:blip r:embed="rId15"/>
                          <a:stretch>
                            <a:fillRect/>
                          </a:stretch>
                        </pic:blipFill>
                        <pic:spPr>
                          <a:xfrm>
                            <a:off x="0" y="0"/>
                            <a:ext cx="17780" cy="8890"/>
                          </a:xfrm>
                          <a:prstGeom prst="rect">
                            <a:avLst/>
                          </a:prstGeom>
                          <a:noFill/>
                          <a:ln>
                            <a:noFill/>
                          </a:ln>
                        </pic:spPr>
                      </pic:pic>
                    </a:graphicData>
                  </a:graphic>
                </wp:anchor>
              </w:drawing>
            </w:r>
            <w:r>
              <w:rPr>
                <w:rFonts w:hint="eastAsia" w:ascii="宋体" w:hAnsi="宋体" w:cs="宋体"/>
                <w:color w:val="000000"/>
                <w:kern w:val="0"/>
                <w:sz w:val="18"/>
                <w:szCs w:val="18"/>
                <w:bdr w:val="single" w:color="000000" w:sz="4" w:space="0"/>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17780" cy="8890"/>
                  <wp:effectExtent l="0" t="0" r="0" b="0"/>
                  <wp:wrapNone/>
                  <wp:docPr id="75" name="Picture_11_SpCnt_30"/>
                  <wp:cNvGraphicFramePr/>
                  <a:graphic xmlns:a="http://schemas.openxmlformats.org/drawingml/2006/main">
                    <a:graphicData uri="http://schemas.openxmlformats.org/drawingml/2006/picture">
                      <pic:pic xmlns:pic="http://schemas.openxmlformats.org/drawingml/2006/picture">
                        <pic:nvPicPr>
                          <pic:cNvPr id="75" name="Picture_11_SpCnt_30"/>
                          <pic:cNvPicPr/>
                        </pic:nvPicPr>
                        <pic:blipFill>
                          <a:blip r:embed="rId15"/>
                          <a:stretch>
                            <a:fillRect/>
                          </a:stretch>
                        </pic:blipFill>
                        <pic:spPr>
                          <a:xfrm>
                            <a:off x="0" y="0"/>
                            <a:ext cx="17780" cy="8890"/>
                          </a:xfrm>
                          <a:prstGeom prst="rect">
                            <a:avLst/>
                          </a:prstGeom>
                          <a:noFill/>
                          <a:ln>
                            <a:noFill/>
                          </a:ln>
                        </pic:spPr>
                      </pic:pic>
                    </a:graphicData>
                  </a:graphic>
                </wp:anchor>
              </w:drawing>
            </w:r>
            <w:r>
              <w:rPr>
                <w:rStyle w:val="4"/>
                <w:rFonts w:hint="eastAsia" w:ascii="宋体" w:hAnsi="宋体" w:eastAsia="宋体" w:cs="宋体"/>
                <w:color w:val="000000"/>
                <w:kern w:val="0"/>
                <w:sz w:val="18"/>
                <w:szCs w:val="18"/>
                <w:lang w:bidi="ar"/>
              </w:rPr>
              <w:t>全光网-主机</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3D2D321E">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1.支持GPON/XGS PON/50G PON接入，IPv4/IPv6双栈，采用主控、电源冗余备份设计，支持安装在标准的19英寸机柜内。</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2.主控板交换容量≥8Tbit/s，业务板每槽位最大带宽≥200Gbit/s，支持的业务槽位≥15个，支持的GPON/XGSPON端口数量≥240。</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3.支持最低环境温度≤-40℃，支持最高环境温度≥65℃。</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4.支持SRv6，VXLAN，DHCP Server，IS-IS，MPLS L3VPN，BGP，OSPF技术。</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5.支持eMDI增强型媒体传输质量指标和VMOS视频质量监控技术。</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6.支持堆叠技术，可将多台OLT设备组合在一起，在逻辑上变成一台设备。</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7.支持内置AC功能，可对ONU的WiFi进行集中控制和射频调优，不用增加额外AC单板。</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8.支持反向组播技术，能加入或者离开用户侧的组播业务。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9.支持硬管道隔离技术，实现各专网MAC资源，队列缓存资源，带宽资源及时延相互独立，互不影响。</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10.主控板的CPU、网络处理芯片、转发芯片与GPON单板的主芯片均为自研国产。</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11.本次配置万兆多模光模块≥8，16端口GPON单板数量≥3（满配光模块），WiFi调优授权≥2000个，8口万兆上行业务板≥1。</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★12.产品质保期</w:t>
            </w:r>
            <w:r>
              <w:rPr>
                <w:rStyle w:val="4"/>
                <w:rFonts w:ascii="宋体" w:hAnsi="宋体" w:eastAsia="宋体" w:cs="宋体"/>
                <w:color w:val="000000"/>
                <w:kern w:val="0"/>
                <w:sz w:val="18"/>
                <w:szCs w:val="18"/>
                <w:lang w:bidi="ar"/>
              </w:rPr>
              <w:t>为</w:t>
            </w:r>
            <w:r>
              <w:rPr>
                <w:rStyle w:val="4"/>
                <w:rFonts w:hint="eastAsia" w:ascii="宋体" w:hAnsi="宋体" w:eastAsia="宋体" w:cs="宋体"/>
                <w:color w:val="000000"/>
                <w:kern w:val="0"/>
                <w:sz w:val="18"/>
                <w:szCs w:val="18"/>
                <w:lang w:bidi="ar"/>
              </w:rPr>
              <w:t>6年。</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E8CC55C">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190F8FC">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tr w14:paraId="0D847E37">
        <w:tblPrEx>
          <w:tblCellMar>
            <w:top w:w="0" w:type="dxa"/>
            <w:left w:w="108" w:type="dxa"/>
            <w:bottom w:w="0" w:type="dxa"/>
            <w:right w:w="108" w:type="dxa"/>
          </w:tblCellMar>
        </w:tblPrEx>
        <w:trPr>
          <w:trHeight w:val="1266"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50DBBF9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25</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72524F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全光网-室内终端</w:t>
            </w:r>
          </w:p>
        </w:tc>
        <w:tc>
          <w:tcPr>
            <w:tcW w:w="5010" w:type="dxa"/>
            <w:tcBorders>
              <w:top w:val="single" w:color="000000" w:sz="4" w:space="0"/>
              <w:left w:val="single" w:color="000000" w:sz="4" w:space="0"/>
              <w:bottom w:val="single" w:color="000000" w:sz="4" w:space="0"/>
              <w:right w:val="single" w:color="000000" w:sz="4" w:space="0"/>
            </w:tcBorders>
            <w:noWrap w:val="0"/>
            <w:vAlign w:val="center"/>
          </w:tcPr>
          <w:p w14:paraId="2ECA9EDA">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1.网络侧接口≥1个GPON接口</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2.用户侧接口≥8个GE接口+双频WiFi7</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 xml:space="preserve">3.设备支持最高温度≥40℃，最低温度≤0℃；设备支持防雷能力≥6KV </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4.无线能力：内置天线，支持MIMO≥2*2，空口速率≥3570Mbps</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5.支持capwap协议，可做FIT模式管理</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6.支持Type B保护</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7.支持流氓ONT检测和隔离，PPPoE/DHCP仿真测试，呼叫仿真，</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8.支持MAC地址过滤，IP地址过滤，802.1x认证</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★9.为网络系统的兼容性和统一管理，要求与OLT设备统一品牌</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AE35A2B">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BDD701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335</w:t>
            </w:r>
          </w:p>
        </w:tc>
      </w:tr>
      <w:tr w14:paraId="0B4F7F38">
        <w:tblPrEx>
          <w:tblCellMar>
            <w:top w:w="0" w:type="dxa"/>
            <w:left w:w="108" w:type="dxa"/>
            <w:bottom w:w="0" w:type="dxa"/>
            <w:right w:w="108" w:type="dxa"/>
          </w:tblCellMar>
        </w:tblPrEx>
        <w:trPr>
          <w:trHeight w:val="181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5009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BA05D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24口POE交换机</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E8C2DF">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1.1U标准机架式，千兆POE电口≥24个，千兆光口≥4个，整机最大PoE供电功率≥370W。</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2.交换容量≥336Gbps，包转发率≥78Mpps。</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3.支持生成树STP/RSTP，提高容错能力，保证网络的稳定运行和链路的负载均衡。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4.支持防环路检测，自动解决环路问题。</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5.支持端口镜像，多对一镜像。</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6.支持防雷等级≥6kV。</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7.支持Web管理，APP和云管理。</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4AF8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4ED6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w:t>
            </w:r>
          </w:p>
        </w:tc>
      </w:tr>
      <w:tr w14:paraId="55365035">
        <w:tblPrEx>
          <w:tblCellMar>
            <w:top w:w="0" w:type="dxa"/>
            <w:left w:w="108" w:type="dxa"/>
            <w:bottom w:w="0" w:type="dxa"/>
            <w:right w:w="108" w:type="dxa"/>
          </w:tblCellMar>
        </w:tblPrEx>
        <w:trPr>
          <w:trHeight w:val="214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8D15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27</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D2C75">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48口全光口交换机</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95187">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1.1U标准机架式，48个SFP口，4个万兆光口用于上联，全光口交换机，适合远距离传输组网方式。</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2.交换容量672Gbps/6.72Tbps，包转发率207Mpps/363Mpps。</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3.支持VSU虚拟化技术，灵活组网性能强；支持本地堆叠和远程堆叠；支持堆叠内跨机箱的链路捆绑；支持通过标准业务口实现虚拟化。</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4.支持一对一、多对一、一对多的镜像。</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5.完善的QoS策略，实现网络资源灵活分配，速率稳定不拥堵。</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6.多种网络安全策略，实时监测，保证网络稳定运行。</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7.防环路检测，自动解决环路问题。</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8.支持Web管理，APP和云管理。</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7878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C4D4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tr w14:paraId="67D40D73">
        <w:tblPrEx>
          <w:tblCellMar>
            <w:top w:w="0" w:type="dxa"/>
            <w:left w:w="108" w:type="dxa"/>
            <w:bottom w:w="0" w:type="dxa"/>
            <w:right w:w="108" w:type="dxa"/>
          </w:tblCellMar>
        </w:tblPrEx>
        <w:trPr>
          <w:trHeight w:val="172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FA96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D43DB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w:t>
            </w:r>
            <w:r>
              <w:rPr>
                <w:rStyle w:val="16"/>
                <w:rFonts w:hint="default"/>
                <w:lang w:bidi="ar"/>
              </w:rPr>
              <w:t>4专网交换机</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80D00E">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1.1U标准机架式，千兆电口≥24个，千兆光口≥4个。</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2.交换容量≥336Gbps，包转发率≥78Mpps。</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3.支持生成树STP/RSTP，提高容错能力，保证网络的稳定运行和链路的负载均衡。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4.支持防环路检测，自动解决环路问题。</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5.支持端口镜像，多对一镜像。</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6.支持防雷等级≥6kV。</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7.支持Web管理，APP和云管理。</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70A3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56EE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w:t>
            </w:r>
          </w:p>
        </w:tc>
      </w:tr>
      <w:tr w14:paraId="2891F847">
        <w:tblPrEx>
          <w:tblCellMar>
            <w:top w:w="0" w:type="dxa"/>
            <w:left w:w="108" w:type="dxa"/>
            <w:bottom w:w="0" w:type="dxa"/>
            <w:right w:w="108" w:type="dxa"/>
          </w:tblCellMar>
        </w:tblPrEx>
        <w:trPr>
          <w:trHeight w:val="699"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1117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29</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1371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放装高密AP</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FD29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1、支持802.11ax标准，采用硬件独立的四射频设计。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2、整机支持8条空间流，整机最大无线速率≥6Gbps。</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3、至少1个10/100/1000Base-T以太网接口支持对外供电，可扩展物联网模块。</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4、支持5G以太网电口≥1个，支持5G光口≥1个，含上行光模块。</w:t>
            </w:r>
            <w:r>
              <w:rPr>
                <w:rStyle w:val="4"/>
                <w:rFonts w:hint="eastAsia" w:ascii="宋体" w:hAnsi="宋体" w:eastAsia="宋体" w:cs="宋体"/>
                <w:color w:val="000000"/>
                <w:kern w:val="0"/>
                <w:sz w:val="18"/>
                <w:szCs w:val="18"/>
                <w:lang w:bidi="ar"/>
              </w:rPr>
              <w:br w:type="textWrapping"/>
            </w:r>
            <w:r>
              <w:rPr>
                <w:rStyle w:val="4"/>
                <w:rFonts w:hint="eastAsia" w:ascii="宋体" w:hAnsi="Calibri" w:eastAsia="宋体" w:cs="宋体"/>
              </w:rPr>
              <w:t>▲</w:t>
            </w:r>
            <w:r>
              <w:rPr>
                <w:rStyle w:val="4"/>
                <w:rFonts w:hint="eastAsia" w:ascii="宋体" w:hAnsi="宋体" w:eastAsia="宋体" w:cs="宋体"/>
                <w:color w:val="000000"/>
                <w:kern w:val="0"/>
                <w:sz w:val="18"/>
                <w:szCs w:val="18"/>
                <w:lang w:bidi="ar"/>
              </w:rPr>
              <w:t>5、为保障设备受到外部机械碰撞仍可以保持结构完整、功能完备，要求所投室内无线接入点符合国标GB/T 20138-2006即《电器设备外壳对外界机械碰撞的防护等级（IK代码）》标准，至少达到防护等级IK09。提供有CMA或CNAS标识的检测报告，官方查询结果截图（需体现设备防护等级）和查询链接。</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6、支持内置蓝牙5.1。</w:t>
            </w:r>
          </w:p>
          <w:p w14:paraId="159986BC">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b w:val="0"/>
                <w:bCs w:val="0"/>
                <w:color w:val="auto"/>
                <w:sz w:val="18"/>
                <w:szCs w:val="18"/>
              </w:rPr>
              <w:t>★</w:t>
            </w:r>
            <w:r>
              <w:rPr>
                <w:rStyle w:val="4"/>
                <w:rFonts w:ascii="宋体" w:hAnsi="宋体" w:eastAsia="宋体" w:cs="宋体"/>
                <w:b w:val="0"/>
                <w:bCs w:val="0"/>
                <w:color w:val="auto"/>
                <w:sz w:val="18"/>
                <w:szCs w:val="18"/>
              </w:rPr>
              <w:t>7</w:t>
            </w:r>
            <w:r>
              <w:rPr>
                <w:rStyle w:val="4"/>
                <w:rFonts w:hint="eastAsia" w:ascii="宋体" w:hAnsi="宋体" w:eastAsia="宋体" w:cs="宋体"/>
                <w:b w:val="0"/>
                <w:bCs w:val="0"/>
                <w:color w:val="auto"/>
                <w:sz w:val="18"/>
                <w:szCs w:val="18"/>
              </w:rPr>
              <w:t>、</w:t>
            </w:r>
            <w:bookmarkStart w:id="11" w:name="OLE_LINK2"/>
            <w:bookmarkStart w:id="12" w:name="OLE_LINK3"/>
            <w:r>
              <w:rPr>
                <w:rStyle w:val="4"/>
                <w:rFonts w:hint="eastAsia" w:ascii="宋体" w:hAnsi="宋体" w:eastAsia="宋体" w:cs="宋体"/>
                <w:b w:val="0"/>
                <w:bCs w:val="0"/>
                <w:color w:val="auto"/>
                <w:sz w:val="18"/>
                <w:szCs w:val="18"/>
              </w:rPr>
              <w:t>设备需与</w:t>
            </w:r>
            <w:r>
              <w:rPr>
                <w:rStyle w:val="4"/>
                <w:rFonts w:ascii="宋体" w:hAnsi="宋体" w:eastAsia="宋体" w:cs="宋体"/>
                <w:b w:val="0"/>
                <w:bCs w:val="0"/>
                <w:color w:val="auto"/>
                <w:sz w:val="18"/>
                <w:szCs w:val="18"/>
              </w:rPr>
              <w:t>原有</w:t>
            </w:r>
            <w:r>
              <w:rPr>
                <w:rStyle w:val="4"/>
                <w:rFonts w:hint="eastAsia" w:ascii="宋体" w:hAnsi="宋体" w:eastAsia="宋体" w:cs="宋体"/>
                <w:b w:val="0"/>
                <w:bCs w:val="0"/>
                <w:color w:val="auto"/>
                <w:sz w:val="18"/>
                <w:szCs w:val="18"/>
              </w:rPr>
              <w:t>校园网</w:t>
            </w:r>
            <w:r>
              <w:rPr>
                <w:rStyle w:val="4"/>
                <w:rFonts w:ascii="宋体" w:hAnsi="宋体" w:eastAsia="宋体" w:cs="宋体"/>
                <w:b w:val="0"/>
                <w:bCs w:val="0"/>
                <w:color w:val="auto"/>
                <w:sz w:val="18"/>
                <w:szCs w:val="18"/>
              </w:rPr>
              <w:t>无缝对接</w:t>
            </w:r>
            <w:bookmarkEnd w:id="11"/>
            <w:bookmarkEnd w:id="12"/>
            <w:r>
              <w:rPr>
                <w:rStyle w:val="4"/>
                <w:rFonts w:hint="eastAsia" w:ascii="宋体" w:hAnsi="宋体" w:eastAsia="宋体" w:cs="宋体"/>
                <w:b w:val="0"/>
                <w:bCs w:val="0"/>
                <w:color w:val="auto"/>
                <w:sz w:val="18"/>
                <w:szCs w:val="18"/>
              </w:rPr>
              <w:t>，投标人需提供承诺函。</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1C05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F6D2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24</w:t>
            </w:r>
          </w:p>
        </w:tc>
      </w:tr>
      <w:tr w14:paraId="63F9C40C">
        <w:tblPrEx>
          <w:tblCellMar>
            <w:top w:w="0" w:type="dxa"/>
            <w:left w:w="108" w:type="dxa"/>
            <w:bottom w:w="0" w:type="dxa"/>
            <w:right w:w="108" w:type="dxa"/>
          </w:tblCellMar>
        </w:tblPrEx>
        <w:trPr>
          <w:trHeight w:val="2310"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1952B">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56AE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室外高密A</w:t>
            </w:r>
            <w:r>
              <w:rPr>
                <w:rStyle w:val="16"/>
                <w:rFonts w:hint="default"/>
                <w:lang w:bidi="ar"/>
              </w:rPr>
              <w:t xml:space="preserve">P </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2A2433">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1、支持802.11ax标准，采用双频设计，整机4条空间流，整机最大接入速率≥2.9Gbps。</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2、支持1G有线接口≥1个，支持2.5G光口≥1个，含上行光模块。</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3、采用内置定向天线设计。</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4、支持内置蓝牙5.0。</w:t>
            </w:r>
            <w:r>
              <w:rPr>
                <w:rStyle w:val="4"/>
                <w:rFonts w:hint="eastAsia" w:ascii="宋体" w:hAnsi="宋体" w:eastAsia="宋体" w:cs="宋体"/>
                <w:color w:val="000000"/>
                <w:kern w:val="0"/>
                <w:sz w:val="18"/>
                <w:szCs w:val="18"/>
                <w:lang w:bidi="ar"/>
              </w:rPr>
              <w:br w:type="textWrapping"/>
            </w:r>
            <w:r>
              <w:rPr>
                <w:rStyle w:val="4"/>
                <w:rFonts w:hint="eastAsia" w:ascii="宋体" w:hAnsi="宋体" w:eastAsia="宋体" w:cs="宋体"/>
                <w:color w:val="000000"/>
                <w:kern w:val="0"/>
                <w:sz w:val="18"/>
                <w:szCs w:val="18"/>
                <w:lang w:bidi="ar"/>
              </w:rPr>
              <w:t>5、支持IP68防水防尘等级。</w:t>
            </w:r>
            <w:r>
              <w:rPr>
                <w:rStyle w:val="4"/>
                <w:rFonts w:hint="eastAsia" w:ascii="宋体" w:hAnsi="宋体" w:eastAsia="宋体" w:cs="宋体"/>
                <w:color w:val="000000"/>
                <w:kern w:val="0"/>
                <w:sz w:val="18"/>
                <w:szCs w:val="18"/>
                <w:lang w:bidi="ar"/>
              </w:rPr>
              <w:br w:type="textWrapping"/>
            </w:r>
            <w:r>
              <w:rPr>
                <w:rStyle w:val="4"/>
                <w:rFonts w:hint="eastAsia" w:ascii="宋体" w:hAnsi="Calibri" w:eastAsia="宋体" w:cs="宋体"/>
              </w:rPr>
              <w:t>▲</w:t>
            </w:r>
            <w:r>
              <w:rPr>
                <w:rStyle w:val="4"/>
                <w:rFonts w:hint="eastAsia" w:ascii="宋体" w:hAnsi="宋体" w:eastAsia="宋体" w:cs="宋体"/>
                <w:color w:val="000000"/>
                <w:kern w:val="0"/>
                <w:sz w:val="18"/>
                <w:szCs w:val="18"/>
                <w:lang w:bidi="ar"/>
              </w:rPr>
              <w:t>6、由于室外AP部署在室外无遮挡环境中，为保证设备受到外部机械碰撞仍可以保持结构完整、功能完备并且可以正常运行，要求所投室外无线接入点符合国标GB/T 20138-2006即《电器设备外壳对外界机械碰撞的防护等级（IK代码）》标准，至少达到防护等级IK09，</w:t>
            </w:r>
            <w:r>
              <w:rPr>
                <w:rStyle w:val="4"/>
                <w:rFonts w:hint="eastAsia" w:ascii="宋体" w:hAnsi="宋体" w:eastAsia="宋体" w:cs="宋体"/>
                <w:color w:val="auto"/>
                <w:kern w:val="0"/>
                <w:sz w:val="18"/>
                <w:szCs w:val="18"/>
                <w:lang w:bidi="ar"/>
              </w:rPr>
              <w:t>提供CMA或CNAS标识的检测报告复印件及设备技术指标官网截图。</w:t>
            </w:r>
          </w:p>
          <w:p w14:paraId="401B9272">
            <w:pPr>
              <w:pStyle w:val="5"/>
              <w:widowControl/>
              <w:jc w:val="left"/>
              <w:textAlignment w:val="center"/>
              <w:rPr>
                <w:rStyle w:val="4"/>
                <w:rFonts w:ascii="宋体" w:hAnsi="宋体" w:eastAsia="宋体" w:cs="宋体"/>
                <w:color w:val="000000"/>
                <w:sz w:val="18"/>
                <w:szCs w:val="18"/>
              </w:rPr>
            </w:pPr>
            <w:bookmarkStart w:id="13" w:name="OLE_LINK5"/>
            <w:r>
              <w:rPr>
                <w:rStyle w:val="4"/>
                <w:rFonts w:hint="eastAsia" w:ascii="宋体" w:hAnsi="宋体" w:eastAsia="宋体" w:cs="宋体"/>
                <w:color w:val="000000"/>
                <w:kern w:val="0"/>
                <w:sz w:val="18"/>
                <w:szCs w:val="18"/>
                <w:lang w:bidi="ar"/>
              </w:rPr>
              <w:t>★</w:t>
            </w:r>
            <w:bookmarkEnd w:id="13"/>
            <w:r>
              <w:rPr>
                <w:rStyle w:val="4"/>
                <w:rFonts w:hint="eastAsia" w:ascii="宋体" w:hAnsi="宋体" w:eastAsia="宋体" w:cs="宋体"/>
                <w:color w:val="000000"/>
                <w:kern w:val="0"/>
                <w:sz w:val="18"/>
                <w:szCs w:val="18"/>
                <w:lang w:bidi="ar"/>
              </w:rPr>
              <w:t>7、</w:t>
            </w:r>
            <w:r>
              <w:rPr>
                <w:rStyle w:val="4"/>
                <w:rFonts w:hint="eastAsia" w:ascii="宋体" w:hAnsi="宋体" w:eastAsia="宋体" w:cs="宋体"/>
                <w:color w:val="000000"/>
                <w:sz w:val="18"/>
                <w:szCs w:val="18"/>
              </w:rPr>
              <w:t>设备需与</w:t>
            </w:r>
            <w:r>
              <w:rPr>
                <w:rStyle w:val="4"/>
                <w:rFonts w:ascii="宋体" w:hAnsi="宋体" w:eastAsia="宋体" w:cs="宋体"/>
                <w:color w:val="000000"/>
                <w:sz w:val="18"/>
                <w:szCs w:val="18"/>
              </w:rPr>
              <w:t>原有</w:t>
            </w:r>
            <w:r>
              <w:rPr>
                <w:rStyle w:val="4"/>
                <w:rFonts w:hint="eastAsia" w:ascii="宋体" w:hAnsi="宋体" w:eastAsia="宋体" w:cs="宋体"/>
                <w:color w:val="000000"/>
                <w:sz w:val="18"/>
                <w:szCs w:val="18"/>
              </w:rPr>
              <w:t>校园网</w:t>
            </w:r>
            <w:r>
              <w:rPr>
                <w:rStyle w:val="4"/>
                <w:rFonts w:ascii="宋体" w:hAnsi="宋体" w:eastAsia="宋体" w:cs="宋体"/>
                <w:color w:val="000000"/>
                <w:sz w:val="18"/>
                <w:szCs w:val="18"/>
              </w:rPr>
              <w:t>无缝对接</w:t>
            </w:r>
            <w:r>
              <w:rPr>
                <w:rStyle w:val="4"/>
                <w:rFonts w:hint="eastAsia" w:ascii="宋体" w:hAnsi="宋体" w:eastAsia="宋体" w:cs="宋体"/>
                <w:color w:val="000000"/>
                <w:sz w:val="18"/>
                <w:szCs w:val="18"/>
              </w:rPr>
              <w:t>，投标人</w:t>
            </w:r>
            <w:r>
              <w:rPr>
                <w:rStyle w:val="4"/>
                <w:rFonts w:ascii="宋体" w:hAnsi="宋体" w:eastAsia="宋体" w:cs="宋体"/>
                <w:color w:val="000000"/>
                <w:sz w:val="18"/>
                <w:szCs w:val="18"/>
              </w:rPr>
              <w:t>需提供</w:t>
            </w:r>
            <w:r>
              <w:rPr>
                <w:rStyle w:val="4"/>
                <w:rFonts w:hint="eastAsia" w:ascii="宋体" w:hAnsi="宋体" w:eastAsia="宋体" w:cs="宋体"/>
                <w:color w:val="000000"/>
                <w:sz w:val="18"/>
                <w:szCs w:val="18"/>
              </w:rPr>
              <w:t>承诺</w:t>
            </w:r>
            <w:r>
              <w:rPr>
                <w:rStyle w:val="4"/>
                <w:rFonts w:ascii="宋体" w:hAnsi="宋体" w:eastAsia="宋体" w:cs="宋体"/>
                <w:color w:val="000000"/>
                <w:sz w:val="18"/>
                <w:szCs w:val="18"/>
              </w:rPr>
              <w:t>函</w:t>
            </w:r>
            <w:r>
              <w:rPr>
                <w:rStyle w:val="4"/>
                <w:rFonts w:hint="eastAsia" w:ascii="宋体" w:hAnsi="宋体" w:eastAsia="宋体" w:cs="宋体"/>
                <w:color w:val="000000"/>
                <w:sz w:val="18"/>
                <w:szCs w:val="18"/>
              </w:rPr>
              <w:t>。</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77A2A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台</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D95F1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30</w:t>
            </w:r>
          </w:p>
        </w:tc>
      </w:tr>
      <w:tr w14:paraId="034813CC">
        <w:tblPrEx>
          <w:tblCellMar>
            <w:top w:w="0" w:type="dxa"/>
            <w:left w:w="108" w:type="dxa"/>
            <w:bottom w:w="0" w:type="dxa"/>
            <w:right w:w="108" w:type="dxa"/>
          </w:tblCellMar>
        </w:tblPrEx>
        <w:trPr>
          <w:trHeight w:val="2278"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FBC5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11C43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终端消费机</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27E43">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 中央处理器 8核处理器，内置独立GPU</w:t>
            </w:r>
          </w:p>
          <w:p w14:paraId="7D5AE6A7">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 运行内存 2G</w:t>
            </w:r>
          </w:p>
          <w:p w14:paraId="2FD19843">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 储存器 16G FLASH</w:t>
            </w:r>
          </w:p>
          <w:p w14:paraId="6309915E">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4. 操作系统 Android 7.1</w:t>
            </w:r>
          </w:p>
          <w:p w14:paraId="55D50E72">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5. 显示屏 前屏：8吋彩屏，分辨率1280×800</w:t>
            </w:r>
          </w:p>
          <w:p w14:paraId="246FE65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6. 后屏：5吋彩屏，分辨率1280×720</w:t>
            </w:r>
          </w:p>
          <w:p w14:paraId="5C11FB08">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7. 显示信息脱敏 支付过程中，设备显示的个人信息支持脱敏</w:t>
            </w:r>
          </w:p>
          <w:p w14:paraId="3916A3F6">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8. 按键：机械按键（按键寿命60万次）</w:t>
            </w:r>
          </w:p>
          <w:p w14:paraId="70E35DD6">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9. 读卡：支持Mifare 1卡/CPU卡</w:t>
            </w:r>
          </w:p>
          <w:p w14:paraId="7ECCFF8A">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10. SAM卡座 2个PSAM卡座，1个SIM卡座</w:t>
            </w:r>
          </w:p>
          <w:p w14:paraId="2431DF35">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11. 二维码识别：支持QR Code、Code 128/39等（可旋转360°、偏转/倾斜45°），支持常用离线码识别，二维码识别时间400ms</w:t>
            </w:r>
          </w:p>
          <w:p w14:paraId="6CF33E21">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12. 人脸识别摄像头 200万像素双目摄像头，可见光+红外光</w:t>
            </w:r>
          </w:p>
          <w:p w14:paraId="4F34F55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13. 摄像头角度可调：支持向上或向下旋转，上下旋转角度15°</w:t>
            </w:r>
          </w:p>
          <w:p w14:paraId="26BB6CE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14. 人脸识别速度 400ms</w:t>
            </w:r>
          </w:p>
          <w:p w14:paraId="5B0A61A1">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15. 人脸识别特征库容量：设备离线状态下5万人</w:t>
            </w:r>
          </w:p>
          <w:p w14:paraId="5E8613B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16. 人脸识别防护：支持活体识别，可防止手机照片或视频、打印照片、面具造假攻击</w:t>
            </w:r>
          </w:p>
          <w:p w14:paraId="2A3DA05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17. 人脸识别通过率：人脸识别正确率99.98%，误识率0.02%</w:t>
            </w:r>
          </w:p>
          <w:p w14:paraId="4AAE66E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18. 通讯方式：支持以太网或WiFi，根据实际选型</w:t>
            </w:r>
          </w:p>
          <w:p w14:paraId="06A2ED49">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19. 数据离线存储：消费记录脱机时可离线存储到本地，网络恢复时可自动上传，支持百万离线数据存储，投标时已在投标文件中提供明确满足此项功能指标的测试报告复印件（检测报告具备CNAS及CMA资质）；</w:t>
            </w:r>
          </w:p>
          <w:p w14:paraId="292E4BC9">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20. 电源： DC12V</w:t>
            </w:r>
          </w:p>
          <w:p w14:paraId="09BA26C7">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21. 后备电池：5000mAh</w:t>
            </w:r>
          </w:p>
          <w:p w14:paraId="16B8AF6A">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22. 续航能力：电池可支持设备正常运行3.2小时，投标时已在投标文件中提供明确满足此项功能指标的测试报告复印件（检测报告具备CNAS及CMA资质）；</w:t>
            </w:r>
          </w:p>
          <w:p w14:paraId="07716F61">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23. 用电保护：支持短路保护（短路8H不损坏）</w:t>
            </w:r>
          </w:p>
          <w:p w14:paraId="06CACC4D">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24. 工作环境：-10°C～60°C</w:t>
            </w:r>
          </w:p>
          <w:p w14:paraId="256307E5">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25. 高温高湿运行：支持高温高湿环境（温度50℃/湿度95%下运行48H不损坏），</w:t>
            </w:r>
          </w:p>
          <w:p w14:paraId="3CAFA1E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26. 防水防尘等级 IP55</w:t>
            </w:r>
          </w:p>
          <w:p w14:paraId="7BB06587">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27. 外壳防护：设备屏幕部分应符合IK04的要求，其它表面能符合IK06的要求</w:t>
            </w:r>
          </w:p>
          <w:p w14:paraId="1A6F03B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28. 设备时钟：支持查看时间，并可手动或自动调整时间</w:t>
            </w:r>
          </w:p>
          <w:p w14:paraId="636FB185">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29. 程序升级：支持在线或本地升级</w:t>
            </w:r>
          </w:p>
          <w:p w14:paraId="0183C15F">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30. 接口：RJ45接口1个；RS232接口1个；USB2.0接口1个；</w:t>
            </w:r>
          </w:p>
          <w:p w14:paraId="6C5826A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31.与我校原系统实现无缝对接。</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F740B">
            <w:pPr>
              <w:pStyle w:val="5"/>
              <w:widowControl/>
              <w:jc w:val="center"/>
              <w:textAlignment w:val="center"/>
              <w:rPr>
                <w:rStyle w:val="4"/>
                <w:rFonts w:ascii="宋体" w:hAnsi="宋体" w:eastAsia="宋体" w:cs="宋体"/>
                <w:color w:val="000000"/>
                <w:sz w:val="22"/>
              </w:rPr>
            </w:pPr>
            <w:r>
              <w:rPr>
                <w:rStyle w:val="4"/>
                <w:rFonts w:hint="eastAsia" w:ascii="宋体" w:hAnsi="宋体" w:eastAsia="宋体" w:cs="宋体"/>
                <w:color w:val="000000"/>
                <w:kern w:val="0"/>
                <w:sz w:val="22"/>
                <w:lang w:bidi="ar"/>
              </w:rPr>
              <w:t>台</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5667">
            <w:pPr>
              <w:pStyle w:val="5"/>
              <w:widowControl/>
              <w:jc w:val="center"/>
              <w:textAlignment w:val="center"/>
              <w:rPr>
                <w:rStyle w:val="4"/>
                <w:rFonts w:ascii="宋体" w:hAnsi="宋体" w:eastAsia="宋体" w:cs="宋体"/>
                <w:color w:val="000000"/>
                <w:sz w:val="22"/>
              </w:rPr>
            </w:pPr>
            <w:r>
              <w:rPr>
                <w:rStyle w:val="4"/>
                <w:rFonts w:hint="eastAsia" w:ascii="宋体" w:hAnsi="宋体" w:eastAsia="宋体" w:cs="宋体"/>
                <w:color w:val="000000"/>
                <w:kern w:val="0"/>
                <w:sz w:val="22"/>
                <w:lang w:bidi="ar"/>
              </w:rPr>
              <w:t>25</w:t>
            </w:r>
          </w:p>
        </w:tc>
      </w:tr>
      <w:tr w14:paraId="7A7555DA">
        <w:tblPrEx>
          <w:tblCellMar>
            <w:top w:w="0" w:type="dxa"/>
            <w:left w:w="108" w:type="dxa"/>
            <w:bottom w:w="0" w:type="dxa"/>
            <w:right w:w="108" w:type="dxa"/>
          </w:tblCellMar>
        </w:tblPrEx>
        <w:trPr>
          <w:trHeight w:val="49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68D2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26163">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千兆单模模块</w:t>
            </w:r>
          </w:p>
        </w:tc>
        <w:tc>
          <w:tcPr>
            <w:tcW w:w="50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E9DDC2">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1.千兆单模光模块，波长1310nm，最大传输距离10km；</w:t>
            </w:r>
          </w:p>
        </w:tc>
        <w:tc>
          <w:tcPr>
            <w:tcW w:w="10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4A0C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块</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456ADA">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30</w:t>
            </w:r>
          </w:p>
        </w:tc>
      </w:tr>
      <w:tr w14:paraId="37ABE308">
        <w:tblPrEx>
          <w:tblCellMar>
            <w:top w:w="0" w:type="dxa"/>
            <w:left w:w="108" w:type="dxa"/>
            <w:bottom w:w="0" w:type="dxa"/>
            <w:right w:w="108" w:type="dxa"/>
          </w:tblCellMar>
        </w:tblPrEx>
        <w:trPr>
          <w:trHeight w:val="55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186E6">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8FB00">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24口光纤配线架</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4B98D">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满配SC耦合器及尾纤</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BE52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个</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C9FC2">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w:t>
            </w:r>
          </w:p>
        </w:tc>
      </w:tr>
      <w:tr w14:paraId="618389CC">
        <w:tblPrEx>
          <w:tblCellMar>
            <w:top w:w="0" w:type="dxa"/>
            <w:left w:w="108" w:type="dxa"/>
            <w:bottom w:w="0" w:type="dxa"/>
            <w:right w:w="108" w:type="dxa"/>
          </w:tblCellMar>
        </w:tblPrEx>
        <w:trPr>
          <w:trHeight w:val="67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3658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8BCA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室外及楼内主电源线</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76827">
            <w:pPr>
              <w:pStyle w:val="5"/>
              <w:widowControl/>
              <w:jc w:val="left"/>
              <w:textAlignment w:val="center"/>
              <w:rPr>
                <w:rStyle w:val="4"/>
                <w:rFonts w:ascii="宋体" w:hAnsi="宋体" w:eastAsia="宋体" w:cs="宋体"/>
                <w:color w:val="000000"/>
                <w:sz w:val="18"/>
                <w:szCs w:val="18"/>
              </w:rPr>
            </w:pPr>
            <w:r>
              <w:rPr>
                <w:rStyle w:val="4"/>
                <w:rFonts w:ascii="宋体" w:hAnsi="宋体" w:eastAsia="宋体" w:cs="宋体"/>
                <w:color w:val="000000"/>
                <w:kern w:val="0"/>
                <w:sz w:val="18"/>
                <w:szCs w:val="18"/>
                <w:lang w:bidi="ar"/>
              </w:rPr>
              <w:t>2</w:t>
            </w:r>
            <w:r>
              <w:rPr>
                <w:rStyle w:val="4"/>
                <w:rFonts w:hint="eastAsia" w:ascii="宋体" w:hAnsi="宋体" w:eastAsia="宋体" w:cs="宋体"/>
                <w:color w:val="000000"/>
                <w:kern w:val="0"/>
                <w:sz w:val="18"/>
                <w:szCs w:val="18"/>
                <w:lang w:bidi="ar"/>
              </w:rPr>
              <w:t>.5平方的主线，硬线</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2C1F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DB233B">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7800</w:t>
            </w:r>
          </w:p>
        </w:tc>
      </w:tr>
      <w:tr w14:paraId="2C4DA5D4">
        <w:tblPrEx>
          <w:tblCellMar>
            <w:top w:w="0" w:type="dxa"/>
            <w:left w:w="108" w:type="dxa"/>
            <w:bottom w:w="0" w:type="dxa"/>
            <w:right w:w="108" w:type="dxa"/>
          </w:tblCellMar>
        </w:tblPrEx>
        <w:trPr>
          <w:trHeight w:val="525"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3680D">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35</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04C4D2">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房间ap电源线路</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C6EAD">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1平方分线进入房间多媒体箱，硬线</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0653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米</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85A3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3600</w:t>
            </w:r>
          </w:p>
        </w:tc>
      </w:tr>
      <w:tr w14:paraId="0CF04FF8">
        <w:tblPrEx>
          <w:tblCellMar>
            <w:top w:w="0" w:type="dxa"/>
            <w:left w:w="108" w:type="dxa"/>
            <w:bottom w:w="0" w:type="dxa"/>
            <w:right w:w="108" w:type="dxa"/>
          </w:tblCellMar>
        </w:tblPrEx>
        <w:trPr>
          <w:trHeight w:val="480"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B364E">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436168">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施工和辅材费用</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527E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1.辅材</w:t>
            </w:r>
          </w:p>
          <w:p w14:paraId="2FDC773E">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2.96、48、24芯主干光缆预埋施工及熔接</w:t>
            </w:r>
          </w:p>
          <w:p w14:paraId="42BD0B02">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3.机柜安装</w:t>
            </w:r>
          </w:p>
          <w:p w14:paraId="09223A7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4.空气开关</w:t>
            </w:r>
          </w:p>
          <w:p w14:paraId="385EBACE">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5.防雷接地</w:t>
            </w:r>
          </w:p>
          <w:p w14:paraId="715473A7">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6.室外AP、室内AP电源线路及光纤线路施工</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D46C4">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批</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F696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tr w14:paraId="0F084246">
        <w:tblPrEx>
          <w:tblCellMar>
            <w:top w:w="0" w:type="dxa"/>
            <w:left w:w="108" w:type="dxa"/>
            <w:bottom w:w="0" w:type="dxa"/>
            <w:right w:w="108" w:type="dxa"/>
          </w:tblCellMar>
        </w:tblPrEx>
        <w:trPr>
          <w:trHeight w:val="450" w:hRule="atLeast"/>
        </w:trPr>
        <w:tc>
          <w:tcPr>
            <w:tcW w:w="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FB061">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37</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B1B78F">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技术集成服务</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4053B">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1.2004个有线信息点的线路铺设。</w:t>
            </w:r>
          </w:p>
          <w:p w14:paraId="04B8489C">
            <w:pPr>
              <w:pStyle w:val="5"/>
              <w:widowControl/>
              <w:jc w:val="left"/>
              <w:textAlignment w:val="center"/>
              <w:rPr>
                <w:rStyle w:val="4"/>
                <w:rFonts w:ascii="宋体" w:hAnsi="宋体" w:eastAsia="宋体" w:cs="宋体"/>
                <w:color w:val="000000"/>
                <w:kern w:val="0"/>
                <w:sz w:val="18"/>
                <w:szCs w:val="18"/>
                <w:lang w:bidi="ar"/>
              </w:rPr>
            </w:pPr>
            <w:r>
              <w:rPr>
                <w:rStyle w:val="4"/>
                <w:rFonts w:hint="eastAsia" w:ascii="宋体" w:hAnsi="宋体" w:eastAsia="宋体" w:cs="宋体"/>
                <w:color w:val="000000"/>
                <w:kern w:val="0"/>
                <w:sz w:val="18"/>
                <w:szCs w:val="18"/>
                <w:lang w:bidi="ar"/>
              </w:rPr>
              <w:t>2.所有弱电智能化产品的规划设计、技术调试和服务，含税费。</w:t>
            </w:r>
          </w:p>
          <w:p w14:paraId="7F32FD1D">
            <w:pPr>
              <w:pStyle w:val="5"/>
              <w:widowControl/>
              <w:jc w:val="left"/>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3.340个入室皮线光纤熔接。</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01969">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批</w:t>
            </w:r>
          </w:p>
        </w:tc>
        <w:tc>
          <w:tcPr>
            <w:tcW w:w="9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85A37">
            <w:pPr>
              <w:pStyle w:val="5"/>
              <w:widowControl/>
              <w:jc w:val="center"/>
              <w:textAlignment w:val="center"/>
              <w:rPr>
                <w:rStyle w:val="4"/>
                <w:rFonts w:ascii="宋体" w:hAnsi="宋体" w:eastAsia="宋体" w:cs="宋体"/>
                <w:color w:val="000000"/>
                <w:sz w:val="18"/>
                <w:szCs w:val="18"/>
              </w:rPr>
            </w:pPr>
            <w:r>
              <w:rPr>
                <w:rStyle w:val="4"/>
                <w:rFonts w:hint="eastAsia" w:ascii="宋体" w:hAnsi="宋体" w:eastAsia="宋体" w:cs="宋体"/>
                <w:color w:val="000000"/>
                <w:kern w:val="0"/>
                <w:sz w:val="18"/>
                <w:szCs w:val="18"/>
                <w:lang w:bidi="ar"/>
              </w:rPr>
              <w:t>1</w:t>
            </w:r>
          </w:p>
        </w:tc>
      </w:tr>
      <w:bookmarkEnd w:id="8"/>
    </w:tbl>
    <w:p w14:paraId="4DE24E01">
      <w:pPr>
        <w:pStyle w:val="5"/>
        <w:rPr>
          <w:rStyle w:val="4"/>
          <w:rFonts w:ascii="Calibri" w:hAnsi="Calibri" w:eastAsia="宋体" w:cs="Times New Roman"/>
        </w:rPr>
      </w:pPr>
    </w:p>
    <w:p w14:paraId="610BD6D4">
      <w:pPr>
        <w:pStyle w:val="7"/>
        <w:keepNext/>
        <w:keepLines/>
        <w:spacing w:line="360" w:lineRule="auto"/>
        <w:jc w:val="center"/>
        <w:outlineLvl w:val="1"/>
        <w:rPr>
          <w:rStyle w:val="4"/>
          <w:rFonts w:ascii="Times New Roman" w:hAnsi="Times New Roman"/>
          <w:b/>
          <w:bCs/>
          <w:sz w:val="24"/>
          <w:szCs w:val="32"/>
        </w:rPr>
      </w:pPr>
      <w:bookmarkStart w:id="14" w:name="_Toc256000042"/>
      <w:r>
        <w:rPr>
          <w:rStyle w:val="4"/>
          <w:rFonts w:ascii="Times New Roman" w:hAnsi="Times New Roman"/>
          <w:b/>
          <w:bCs/>
          <w:sz w:val="24"/>
          <w:szCs w:val="32"/>
        </w:rPr>
        <w:t>第三节 商务要求</w:t>
      </w:r>
      <w:bookmarkEnd w:id="14"/>
    </w:p>
    <w:p w14:paraId="10DCE852">
      <w:pPr>
        <w:pStyle w:val="7"/>
        <w:widowControl/>
        <w:spacing w:line="360" w:lineRule="auto"/>
        <w:jc w:val="left"/>
        <w:rPr>
          <w:rStyle w:val="4"/>
          <w:rFonts w:ascii="Times New Roman" w:hAnsi="Times New Roman"/>
          <w:b/>
          <w:bCs/>
          <w:szCs w:val="21"/>
        </w:rPr>
      </w:pPr>
      <w:r>
        <w:rPr>
          <w:rStyle w:val="4"/>
          <w:rFonts w:ascii="Times New Roman" w:hAnsi="Times New Roman"/>
          <w:b/>
          <w:bCs/>
          <w:szCs w:val="21"/>
        </w:rPr>
        <w:t>一、主要商务要求</w:t>
      </w:r>
    </w:p>
    <w:tbl>
      <w:tblPr>
        <w:tblStyle w:val="3"/>
        <w:tblW w:w="9180" w:type="dxa"/>
        <w:tblInd w:w="-131"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84"/>
        <w:gridCol w:w="7796"/>
      </w:tblGrid>
      <w:tr w14:paraId="1111FF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1384" w:type="dxa"/>
            <w:noWrap/>
            <w:vAlign w:val="center"/>
          </w:tcPr>
          <w:p w14:paraId="438FDE80">
            <w:pPr>
              <w:pStyle w:val="17"/>
              <w:widowControl/>
              <w:spacing w:line="360" w:lineRule="auto"/>
              <w:jc w:val="left"/>
              <w:rPr>
                <w:rStyle w:val="4"/>
                <w:rFonts w:ascii="Times New Roman" w:hAnsi="Times New Roman"/>
                <w:szCs w:val="21"/>
              </w:rPr>
            </w:pPr>
            <w:r>
              <w:rPr>
                <w:rStyle w:val="4"/>
                <w:rFonts w:ascii="Times New Roman" w:hAnsi="Times New Roman"/>
                <w:szCs w:val="21"/>
              </w:rPr>
              <w:t xml:space="preserve">甲方名称、地址 </w:t>
            </w:r>
          </w:p>
        </w:tc>
        <w:tc>
          <w:tcPr>
            <w:tcW w:w="7796" w:type="dxa"/>
            <w:noWrap/>
            <w:vAlign w:val="center"/>
          </w:tcPr>
          <w:p w14:paraId="0B03FDAF">
            <w:pPr>
              <w:pStyle w:val="17"/>
              <w:widowControl/>
              <w:spacing w:line="360" w:lineRule="auto"/>
              <w:jc w:val="left"/>
              <w:rPr>
                <w:rStyle w:val="4"/>
                <w:rFonts w:ascii="Times New Roman" w:hAnsi="Times New Roman"/>
                <w:szCs w:val="21"/>
              </w:rPr>
            </w:pPr>
            <w:r>
              <w:rPr>
                <w:rStyle w:val="4"/>
                <w:rFonts w:ascii="Times New Roman" w:hAnsi="Times New Roman"/>
                <w:szCs w:val="21"/>
              </w:rPr>
              <w:t>名称：湖南科技学院</w:t>
            </w:r>
          </w:p>
          <w:p w14:paraId="5658A322">
            <w:pPr>
              <w:pStyle w:val="17"/>
              <w:widowControl/>
              <w:spacing w:line="360" w:lineRule="auto"/>
              <w:jc w:val="left"/>
              <w:rPr>
                <w:rStyle w:val="4"/>
                <w:rFonts w:ascii="Times New Roman" w:hAnsi="Times New Roman"/>
                <w:szCs w:val="21"/>
              </w:rPr>
            </w:pPr>
            <w:r>
              <w:rPr>
                <w:rStyle w:val="4"/>
                <w:rFonts w:ascii="Times New Roman" w:hAnsi="Times New Roman"/>
                <w:szCs w:val="21"/>
              </w:rPr>
              <w:t>地址：永州市零陵区杨梓塘路130号</w:t>
            </w:r>
          </w:p>
        </w:tc>
      </w:tr>
      <w:tr w14:paraId="3D411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noWrap/>
            <w:vAlign w:val="center"/>
          </w:tcPr>
          <w:p w14:paraId="0394B148">
            <w:pPr>
              <w:pStyle w:val="17"/>
              <w:widowControl/>
              <w:spacing w:line="360" w:lineRule="auto"/>
              <w:jc w:val="left"/>
              <w:rPr>
                <w:rStyle w:val="4"/>
                <w:rFonts w:ascii="Times New Roman" w:hAnsi="Times New Roman"/>
                <w:szCs w:val="21"/>
              </w:rPr>
            </w:pPr>
            <w:r>
              <w:rPr>
                <w:rStyle w:val="4"/>
                <w:rFonts w:ascii="Times New Roman" w:hAnsi="Times New Roman"/>
                <w:szCs w:val="21"/>
              </w:rPr>
              <w:t>项目现场</w:t>
            </w:r>
          </w:p>
        </w:tc>
        <w:tc>
          <w:tcPr>
            <w:tcW w:w="7796" w:type="dxa"/>
            <w:noWrap/>
            <w:vAlign w:val="center"/>
          </w:tcPr>
          <w:p w14:paraId="5FB1FD2D">
            <w:pPr>
              <w:pStyle w:val="17"/>
              <w:widowControl/>
              <w:spacing w:line="360" w:lineRule="auto"/>
              <w:jc w:val="left"/>
              <w:rPr>
                <w:rStyle w:val="4"/>
                <w:rFonts w:ascii="Times New Roman" w:hAnsi="Times New Roman"/>
                <w:szCs w:val="21"/>
              </w:rPr>
            </w:pPr>
            <w:r>
              <w:rPr>
                <w:rStyle w:val="4"/>
                <w:rFonts w:ascii="Times New Roman" w:hAnsi="Times New Roman"/>
                <w:szCs w:val="21"/>
              </w:rPr>
              <w:t>采购人指定地点</w:t>
            </w:r>
          </w:p>
        </w:tc>
      </w:tr>
      <w:tr w14:paraId="4F9EA2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noWrap/>
            <w:vAlign w:val="center"/>
          </w:tcPr>
          <w:p w14:paraId="7C15CDA6">
            <w:pPr>
              <w:pStyle w:val="17"/>
              <w:widowControl/>
              <w:spacing w:line="360" w:lineRule="auto"/>
              <w:jc w:val="left"/>
              <w:rPr>
                <w:rStyle w:val="4"/>
                <w:rFonts w:ascii="Times New Roman" w:hAnsi="Times New Roman"/>
                <w:szCs w:val="21"/>
              </w:rPr>
            </w:pPr>
            <w:r>
              <w:rPr>
                <w:rStyle w:val="4"/>
                <w:rFonts w:ascii="Times New Roman" w:hAnsi="Times New Roman"/>
                <w:szCs w:val="21"/>
              </w:rPr>
              <w:t>履行合同的时间、地点及方式</w:t>
            </w:r>
          </w:p>
        </w:tc>
        <w:tc>
          <w:tcPr>
            <w:tcW w:w="7796" w:type="dxa"/>
            <w:noWrap/>
            <w:vAlign w:val="center"/>
          </w:tcPr>
          <w:p w14:paraId="658057D0">
            <w:pPr>
              <w:pStyle w:val="17"/>
              <w:widowControl/>
              <w:spacing w:line="360" w:lineRule="auto"/>
              <w:jc w:val="left"/>
              <w:rPr>
                <w:rStyle w:val="4"/>
                <w:rFonts w:hint="eastAsia" w:ascii="Times New Roman" w:hAnsi="Times New Roman"/>
                <w:szCs w:val="21"/>
              </w:rPr>
            </w:pPr>
            <w:r>
              <w:rPr>
                <w:rStyle w:val="4"/>
                <w:rFonts w:ascii="Times New Roman" w:hAnsi="Times New Roman"/>
                <w:szCs w:val="21"/>
              </w:rPr>
              <w:t>交货时间：</w:t>
            </w:r>
            <w:r>
              <w:rPr>
                <w:rStyle w:val="4"/>
                <w:rFonts w:hint="eastAsia" w:ascii="Times New Roman" w:hAnsi="Times New Roman"/>
                <w:szCs w:val="21"/>
              </w:rPr>
              <w:t>从签订本合同之日起 30日内乙方应当将全部产品运至甲方指定地点，并且收到甲方书面通知后30日内完成安装、调试和对接并向甲方申请验收。</w:t>
            </w:r>
          </w:p>
          <w:p w14:paraId="2C45268A">
            <w:pPr>
              <w:pStyle w:val="17"/>
              <w:widowControl/>
              <w:spacing w:line="360" w:lineRule="auto"/>
              <w:jc w:val="left"/>
              <w:rPr>
                <w:rStyle w:val="4"/>
                <w:rFonts w:ascii="Times New Roman" w:hAnsi="Times New Roman"/>
                <w:szCs w:val="21"/>
              </w:rPr>
            </w:pPr>
            <w:r>
              <w:rPr>
                <w:rStyle w:val="4"/>
                <w:rFonts w:ascii="Times New Roman" w:hAnsi="Times New Roman"/>
                <w:szCs w:val="21"/>
              </w:rPr>
              <w:t>交货地点：湖南科技学院</w:t>
            </w:r>
          </w:p>
          <w:p w14:paraId="5CBAF4C4">
            <w:pPr>
              <w:pStyle w:val="17"/>
              <w:widowControl/>
              <w:spacing w:line="360" w:lineRule="auto"/>
              <w:jc w:val="left"/>
              <w:rPr>
                <w:rStyle w:val="4"/>
                <w:rFonts w:ascii="Times New Roman" w:hAnsi="Times New Roman"/>
                <w:szCs w:val="21"/>
              </w:rPr>
            </w:pPr>
            <w:r>
              <w:rPr>
                <w:rStyle w:val="4"/>
                <w:rFonts w:ascii="Times New Roman" w:hAnsi="Times New Roman"/>
                <w:szCs w:val="21"/>
              </w:rPr>
              <w:t>交货方式：货到甲方指定校内安装位置，包括货物安装、调试及验收合格（交钥匙项目）。</w:t>
            </w:r>
          </w:p>
        </w:tc>
      </w:tr>
      <w:tr w14:paraId="4BD7EF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384" w:type="dxa"/>
            <w:noWrap/>
            <w:vAlign w:val="center"/>
          </w:tcPr>
          <w:p w14:paraId="380F445C">
            <w:pPr>
              <w:pStyle w:val="17"/>
              <w:widowControl/>
              <w:spacing w:line="360" w:lineRule="auto"/>
              <w:jc w:val="left"/>
              <w:rPr>
                <w:rStyle w:val="4"/>
                <w:rFonts w:ascii="Times New Roman" w:hAnsi="Times New Roman"/>
                <w:szCs w:val="21"/>
              </w:rPr>
            </w:pPr>
            <w:r>
              <w:rPr>
                <w:rStyle w:val="4"/>
                <w:rFonts w:ascii="Times New Roman" w:hAnsi="Times New Roman"/>
                <w:szCs w:val="21"/>
              </w:rPr>
              <w:t>质量保证期</w:t>
            </w:r>
          </w:p>
        </w:tc>
        <w:tc>
          <w:tcPr>
            <w:tcW w:w="7796" w:type="dxa"/>
            <w:noWrap/>
            <w:vAlign w:val="center"/>
          </w:tcPr>
          <w:p w14:paraId="747E3D50">
            <w:pPr>
              <w:pStyle w:val="17"/>
              <w:widowControl/>
              <w:spacing w:line="360" w:lineRule="auto"/>
              <w:jc w:val="left"/>
              <w:rPr>
                <w:rStyle w:val="4"/>
                <w:rFonts w:ascii="Times New Roman" w:hAnsi="Times New Roman"/>
                <w:color w:val="FF0000"/>
                <w:szCs w:val="21"/>
              </w:rPr>
            </w:pPr>
            <w:r>
              <w:rPr>
                <w:rStyle w:val="4"/>
                <w:rFonts w:hint="eastAsia" w:ascii="Times New Roman" w:hAnsi="Times New Roman"/>
                <w:color w:val="auto"/>
                <w:szCs w:val="21"/>
              </w:rPr>
              <w:t>整体项目质保三年，核心设备即全光网主机质保6年，自验收合格之日起计算。</w:t>
            </w:r>
            <w:bookmarkStart w:id="15" w:name="OLE_LINK11"/>
            <w:r>
              <w:rPr>
                <w:rStyle w:val="4"/>
                <w:rFonts w:ascii="Times New Roman" w:hAnsi="Times New Roman"/>
                <w:color w:val="auto"/>
                <w:szCs w:val="21"/>
              </w:rPr>
              <w:t>质保期间的</w:t>
            </w:r>
            <w:r>
              <w:rPr>
                <w:rStyle w:val="4"/>
                <w:rFonts w:hint="eastAsia" w:ascii="Times New Roman" w:hAnsi="Times New Roman"/>
                <w:color w:val="auto"/>
                <w:szCs w:val="21"/>
              </w:rPr>
              <w:t>运维</w:t>
            </w:r>
            <w:r>
              <w:rPr>
                <w:rStyle w:val="4"/>
                <w:rFonts w:ascii="Times New Roman" w:hAnsi="Times New Roman"/>
                <w:color w:val="auto"/>
                <w:szCs w:val="21"/>
              </w:rPr>
              <w:t>（</w:t>
            </w:r>
            <w:r>
              <w:rPr>
                <w:rStyle w:val="4"/>
                <w:rFonts w:hint="eastAsia" w:ascii="Times New Roman" w:hAnsi="Times New Roman"/>
                <w:color w:val="auto"/>
                <w:szCs w:val="21"/>
              </w:rPr>
              <w:t>设备</w:t>
            </w:r>
            <w:r>
              <w:rPr>
                <w:rStyle w:val="4"/>
                <w:rFonts w:ascii="Times New Roman" w:hAnsi="Times New Roman"/>
                <w:color w:val="auto"/>
                <w:szCs w:val="21"/>
              </w:rPr>
              <w:t>运行维护）由</w:t>
            </w:r>
            <w:r>
              <w:rPr>
                <w:rStyle w:val="4"/>
                <w:rFonts w:hint="eastAsia" w:ascii="Times New Roman" w:hAnsi="Times New Roman"/>
                <w:color w:val="auto"/>
                <w:szCs w:val="21"/>
              </w:rPr>
              <w:t>中标人</w:t>
            </w:r>
            <w:r>
              <w:rPr>
                <w:rStyle w:val="4"/>
                <w:rFonts w:ascii="Times New Roman" w:hAnsi="Times New Roman"/>
                <w:color w:val="auto"/>
                <w:szCs w:val="21"/>
              </w:rPr>
              <w:t>承担</w:t>
            </w:r>
            <w:r>
              <w:rPr>
                <w:rStyle w:val="4"/>
                <w:rFonts w:hint="eastAsia" w:ascii="Times New Roman" w:hAnsi="Times New Roman"/>
                <w:color w:val="auto"/>
                <w:szCs w:val="21"/>
              </w:rPr>
              <w:t>。</w:t>
            </w:r>
            <w:bookmarkEnd w:id="15"/>
          </w:p>
        </w:tc>
      </w:tr>
      <w:tr w14:paraId="0072AE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1" w:hRule="atLeast"/>
        </w:trPr>
        <w:tc>
          <w:tcPr>
            <w:tcW w:w="1384" w:type="dxa"/>
            <w:noWrap/>
            <w:vAlign w:val="center"/>
          </w:tcPr>
          <w:p w14:paraId="1ABAAD22">
            <w:pPr>
              <w:pStyle w:val="17"/>
              <w:widowControl/>
              <w:spacing w:line="360" w:lineRule="auto"/>
              <w:jc w:val="left"/>
              <w:rPr>
                <w:rStyle w:val="4"/>
                <w:rFonts w:ascii="Times New Roman" w:hAnsi="Times New Roman"/>
                <w:szCs w:val="21"/>
              </w:rPr>
            </w:pPr>
            <w:r>
              <w:rPr>
                <w:rStyle w:val="4"/>
                <w:rFonts w:ascii="Times New Roman" w:hAnsi="Times New Roman"/>
                <w:szCs w:val="21"/>
              </w:rPr>
              <w:t>响应时间</w:t>
            </w:r>
          </w:p>
        </w:tc>
        <w:tc>
          <w:tcPr>
            <w:tcW w:w="7796" w:type="dxa"/>
            <w:noWrap/>
            <w:vAlign w:val="center"/>
          </w:tcPr>
          <w:p w14:paraId="4BE2FBFE">
            <w:pPr>
              <w:pStyle w:val="17"/>
              <w:widowControl/>
              <w:spacing w:line="360" w:lineRule="auto"/>
              <w:jc w:val="left"/>
              <w:rPr>
                <w:rStyle w:val="4"/>
                <w:rFonts w:ascii="Times New Roman" w:hAnsi="Times New Roman"/>
                <w:szCs w:val="21"/>
              </w:rPr>
            </w:pPr>
            <w:r>
              <w:rPr>
                <w:rStyle w:val="4"/>
                <w:rFonts w:ascii="Times New Roman" w:hAnsi="Times New Roman"/>
                <w:szCs w:val="21"/>
              </w:rPr>
              <w:t>7×24×4（7天×24小时服务+4小时内响应）</w:t>
            </w:r>
          </w:p>
        </w:tc>
      </w:tr>
      <w:tr w14:paraId="7D897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noWrap/>
            <w:vAlign w:val="center"/>
          </w:tcPr>
          <w:p w14:paraId="29E74E7E">
            <w:pPr>
              <w:pStyle w:val="17"/>
              <w:widowControl/>
              <w:spacing w:line="360" w:lineRule="auto"/>
              <w:jc w:val="left"/>
              <w:rPr>
                <w:rStyle w:val="4"/>
                <w:rFonts w:ascii="Times New Roman" w:hAnsi="Times New Roman"/>
                <w:szCs w:val="21"/>
              </w:rPr>
            </w:pPr>
            <w:r>
              <w:rPr>
                <w:rStyle w:val="4"/>
                <w:rFonts w:ascii="Times New Roman" w:hAnsi="Times New Roman"/>
                <w:szCs w:val="21"/>
              </w:rPr>
              <w:t>合同价款支付方式和条件</w:t>
            </w:r>
          </w:p>
        </w:tc>
        <w:tc>
          <w:tcPr>
            <w:tcW w:w="7796" w:type="dxa"/>
            <w:noWrap/>
            <w:vAlign w:val="center"/>
          </w:tcPr>
          <w:p w14:paraId="790B4064">
            <w:pPr>
              <w:pStyle w:val="17"/>
              <w:widowControl/>
              <w:spacing w:line="360" w:lineRule="auto"/>
              <w:jc w:val="left"/>
              <w:rPr>
                <w:rStyle w:val="4"/>
                <w:rFonts w:ascii="Times New Roman" w:hAnsi="Times New Roman"/>
                <w:color w:val="auto"/>
                <w:szCs w:val="21"/>
              </w:rPr>
            </w:pPr>
            <w:r>
              <w:rPr>
                <w:rStyle w:val="4"/>
                <w:rFonts w:ascii="Times New Roman" w:hAnsi="Times New Roman"/>
                <w:color w:val="auto"/>
                <w:szCs w:val="21"/>
              </w:rPr>
              <w:t>支付方式：国库集中支付</w:t>
            </w:r>
          </w:p>
          <w:p w14:paraId="781D0C56">
            <w:pPr>
              <w:pStyle w:val="18"/>
              <w:widowControl/>
              <w:spacing w:line="360" w:lineRule="auto"/>
              <w:jc w:val="left"/>
              <w:rPr>
                <w:rStyle w:val="4"/>
                <w:rFonts w:hint="eastAsia" w:ascii="Times New Roman" w:hAnsi="Times New Roman" w:eastAsia="宋体"/>
                <w:color w:val="auto"/>
                <w:szCs w:val="21"/>
                <w:lang w:eastAsia="zh-CN"/>
              </w:rPr>
            </w:pPr>
            <w:r>
              <w:rPr>
                <w:rStyle w:val="4"/>
                <w:rFonts w:ascii="Times New Roman" w:hAnsi="Times New Roman"/>
                <w:color w:val="auto"/>
                <w:szCs w:val="21"/>
              </w:rPr>
              <w:t>支付条件：①</w:t>
            </w:r>
            <w:r>
              <w:rPr>
                <w:rStyle w:val="4"/>
                <w:rFonts w:hint="eastAsia" w:ascii="Times New Roman" w:hAnsi="Times New Roman"/>
                <w:color w:val="auto"/>
                <w:szCs w:val="21"/>
              </w:rPr>
              <w:t>项目</w:t>
            </w:r>
            <w:r>
              <w:rPr>
                <w:rStyle w:val="4"/>
                <w:rFonts w:ascii="Times New Roman" w:hAnsi="Times New Roman"/>
                <w:color w:val="auto"/>
                <w:szCs w:val="21"/>
              </w:rPr>
              <w:t>验收合格</w:t>
            </w:r>
            <w:r>
              <w:rPr>
                <w:rStyle w:val="4"/>
                <w:rFonts w:hint="eastAsia" w:ascii="Times New Roman" w:hAnsi="Times New Roman"/>
                <w:color w:val="auto"/>
                <w:szCs w:val="21"/>
              </w:rPr>
              <w:t>后七日内，中标人向采购人提交相关结算资料，采购人及时提交财评部门进行结算财政评审；项目验收合格后，采购人收到中标人提供的合规发票后30日内支付合同金额的50%；2026年12月20日前采购人支付中标人款项至财政评审金额的95%，但因中标人未及时提供相关结算资料导致财政评审无法完成的，该部分款项支付期限相应顺延至财政评审结论出具后30日</w:t>
            </w:r>
            <w:r>
              <w:rPr>
                <w:rStyle w:val="4"/>
                <w:rFonts w:hint="eastAsia" w:ascii="Times New Roman" w:hAnsi="Times New Roman"/>
                <w:color w:val="auto"/>
                <w:szCs w:val="21"/>
                <w:lang w:eastAsia="zh-CN"/>
              </w:rPr>
              <w:t>；</w:t>
            </w:r>
          </w:p>
          <w:p w14:paraId="6DBDF47A">
            <w:pPr>
              <w:pStyle w:val="18"/>
              <w:widowControl/>
              <w:spacing w:line="360" w:lineRule="auto"/>
              <w:jc w:val="left"/>
              <w:rPr>
                <w:rStyle w:val="4"/>
                <w:rFonts w:ascii="Times New Roman" w:hAnsi="Times New Roman"/>
                <w:color w:val="auto"/>
                <w:szCs w:val="21"/>
              </w:rPr>
            </w:pPr>
            <w:r>
              <w:rPr>
                <w:rStyle w:val="4"/>
                <w:rFonts w:ascii="Times New Roman" w:hAnsi="Times New Roman"/>
                <w:color w:val="auto"/>
                <w:szCs w:val="21"/>
              </w:rPr>
              <w:t>②</w:t>
            </w:r>
            <w:r>
              <w:rPr>
                <w:rStyle w:val="4"/>
                <w:rFonts w:hint="eastAsia" w:ascii="Times New Roman" w:hAnsi="Times New Roman"/>
                <w:color w:val="auto"/>
                <w:szCs w:val="21"/>
              </w:rPr>
              <w:t>剩余财政评审金额的5%作为质保金，整体项目质保期三年届满后，一次性无息支付。</w:t>
            </w:r>
          </w:p>
          <w:p w14:paraId="142C15A3">
            <w:pPr>
              <w:pStyle w:val="18"/>
              <w:widowControl/>
              <w:spacing w:line="360" w:lineRule="auto"/>
              <w:jc w:val="left"/>
              <w:rPr>
                <w:rStyle w:val="4"/>
                <w:rFonts w:ascii="Times New Roman" w:hAnsi="Times New Roman"/>
                <w:color w:val="auto"/>
                <w:szCs w:val="21"/>
              </w:rPr>
            </w:pPr>
            <w:r>
              <w:rPr>
                <w:rStyle w:val="4"/>
                <w:rFonts w:ascii="Times New Roman" w:hAnsi="Times New Roman"/>
                <w:color w:val="auto"/>
                <w:szCs w:val="21"/>
              </w:rPr>
              <w:t>③结算方式：供货方提供本单位开具的税务发票和本单位银行账号，按买方实际安装验收合格数量结算。</w:t>
            </w:r>
          </w:p>
          <w:p w14:paraId="5416AF01">
            <w:pPr>
              <w:pStyle w:val="17"/>
              <w:widowControl/>
              <w:spacing w:line="360" w:lineRule="auto"/>
              <w:jc w:val="left"/>
              <w:rPr>
                <w:rStyle w:val="4"/>
                <w:rFonts w:ascii="Times New Roman" w:hAnsi="Times New Roman"/>
                <w:szCs w:val="21"/>
              </w:rPr>
            </w:pPr>
            <w:r>
              <w:rPr>
                <w:rStyle w:val="4"/>
                <w:rFonts w:ascii="Times New Roman" w:hAnsi="Times New Roman"/>
                <w:color w:val="auto"/>
                <w:szCs w:val="21"/>
              </w:rPr>
              <w:t>发票类型：供货方在申请付款前按设备类与改造、服务类分类开票，发票类型为增值税专用发票。</w:t>
            </w:r>
            <w:r>
              <w:rPr>
                <w:rStyle w:val="4"/>
                <w:rFonts w:hint="eastAsia" w:ascii="Times New Roman" w:hAnsi="Times New Roman"/>
                <w:color w:val="auto"/>
                <w:szCs w:val="21"/>
              </w:rPr>
              <w:t>采购人</w:t>
            </w:r>
            <w:r>
              <w:rPr>
                <w:rStyle w:val="4"/>
                <w:rFonts w:ascii="Times New Roman" w:hAnsi="Times New Roman"/>
                <w:color w:val="auto"/>
                <w:szCs w:val="21"/>
              </w:rPr>
              <w:t>不接受委托付款</w:t>
            </w:r>
            <w:r>
              <w:rPr>
                <w:rStyle w:val="4"/>
                <w:rFonts w:hint="eastAsia" w:ascii="Times New Roman" w:hAnsi="Times New Roman"/>
                <w:color w:val="auto"/>
                <w:szCs w:val="21"/>
              </w:rPr>
              <w:t>。</w:t>
            </w:r>
          </w:p>
        </w:tc>
      </w:tr>
      <w:tr w14:paraId="379FE3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noWrap/>
            <w:vAlign w:val="center"/>
          </w:tcPr>
          <w:p w14:paraId="7E944734">
            <w:pPr>
              <w:pStyle w:val="17"/>
              <w:widowControl/>
              <w:spacing w:line="360" w:lineRule="auto"/>
              <w:jc w:val="left"/>
              <w:rPr>
                <w:rStyle w:val="4"/>
                <w:rFonts w:ascii="Times New Roman" w:hAnsi="Times New Roman"/>
                <w:szCs w:val="21"/>
              </w:rPr>
            </w:pPr>
            <w:r>
              <w:rPr>
                <w:rStyle w:val="4"/>
                <w:rFonts w:ascii="Times New Roman" w:hAnsi="Times New Roman"/>
                <w:szCs w:val="21"/>
              </w:rPr>
              <w:t>乙方提供的其他服务</w:t>
            </w:r>
          </w:p>
        </w:tc>
        <w:tc>
          <w:tcPr>
            <w:tcW w:w="7796" w:type="dxa"/>
            <w:noWrap/>
            <w:vAlign w:val="center"/>
          </w:tcPr>
          <w:p w14:paraId="4222B707">
            <w:pPr>
              <w:pStyle w:val="17"/>
              <w:widowControl/>
              <w:spacing w:line="360" w:lineRule="auto"/>
              <w:jc w:val="left"/>
              <w:rPr>
                <w:rStyle w:val="4"/>
                <w:rFonts w:ascii="Times New Roman" w:hAnsi="Times New Roman"/>
                <w:szCs w:val="21"/>
              </w:rPr>
            </w:pPr>
            <w:r>
              <w:rPr>
                <w:rStyle w:val="4"/>
                <w:rFonts w:ascii="Times New Roman" w:hAnsi="Times New Roman"/>
                <w:szCs w:val="21"/>
              </w:rPr>
              <w:t>一、质量保证</w:t>
            </w:r>
          </w:p>
          <w:p w14:paraId="388BD069">
            <w:pPr>
              <w:pStyle w:val="17"/>
              <w:widowControl/>
              <w:spacing w:line="360" w:lineRule="auto"/>
              <w:jc w:val="left"/>
              <w:rPr>
                <w:rStyle w:val="4"/>
                <w:rFonts w:ascii="Times New Roman" w:hAnsi="Times New Roman"/>
                <w:szCs w:val="21"/>
              </w:rPr>
            </w:pPr>
            <w:r>
              <w:rPr>
                <w:rStyle w:val="4"/>
                <w:rFonts w:ascii="Times New Roman" w:hAnsi="Times New Roman"/>
                <w:szCs w:val="21"/>
              </w:rPr>
              <w:t>1.中标人应保证货物是已定型上市销售的全新、原产地、原包装、手续合法完整、渠道正规的产品，完全符合合同规定质量、规格和性能的要求。</w:t>
            </w:r>
          </w:p>
          <w:p w14:paraId="4352AFDC">
            <w:pPr>
              <w:pStyle w:val="17"/>
              <w:widowControl/>
              <w:spacing w:line="360" w:lineRule="auto"/>
              <w:jc w:val="left"/>
              <w:rPr>
                <w:rStyle w:val="4"/>
                <w:rFonts w:ascii="Times New Roman" w:hAnsi="Times New Roman"/>
                <w:szCs w:val="21"/>
              </w:rPr>
            </w:pPr>
            <w:r>
              <w:rPr>
                <w:rStyle w:val="4"/>
                <w:rFonts w:ascii="Times New Roman" w:hAnsi="Times New Roman"/>
                <w:szCs w:val="21"/>
              </w:rPr>
              <w:t>2.中标人必须严格遵守《产品质量法》，在投标书中对产品质量保证体系做出说明，并完整地履行质保期内的免费现场维修服务承诺。</w:t>
            </w:r>
          </w:p>
          <w:p w14:paraId="7DBD91E9">
            <w:pPr>
              <w:pStyle w:val="17"/>
              <w:widowControl/>
              <w:spacing w:line="360" w:lineRule="auto"/>
              <w:jc w:val="left"/>
              <w:rPr>
                <w:rStyle w:val="4"/>
                <w:rFonts w:ascii="Times New Roman" w:hAnsi="Times New Roman"/>
                <w:szCs w:val="21"/>
              </w:rPr>
            </w:pPr>
            <w:r>
              <w:rPr>
                <w:rStyle w:val="4"/>
                <w:rFonts w:ascii="Times New Roman" w:hAnsi="Times New Roman"/>
                <w:szCs w:val="21"/>
              </w:rPr>
              <w:t>二、产品安装、调试及项目实施</w:t>
            </w:r>
          </w:p>
          <w:p w14:paraId="669DE9DB">
            <w:pPr>
              <w:pStyle w:val="17"/>
              <w:widowControl/>
              <w:spacing w:line="360" w:lineRule="auto"/>
              <w:jc w:val="left"/>
              <w:rPr>
                <w:rStyle w:val="4"/>
                <w:rFonts w:ascii="Times New Roman" w:hAnsi="Times New Roman"/>
                <w:szCs w:val="21"/>
              </w:rPr>
            </w:pPr>
            <w:r>
              <w:rPr>
                <w:rStyle w:val="4"/>
                <w:rFonts w:ascii="Times New Roman" w:hAnsi="Times New Roman"/>
                <w:szCs w:val="21"/>
              </w:rPr>
              <w:t>1.包装：原厂原包装送货，货到买方指定地点，经买方指定人员验证后方可开箱。</w:t>
            </w:r>
          </w:p>
          <w:p w14:paraId="7FF555A6">
            <w:pPr>
              <w:pStyle w:val="17"/>
              <w:widowControl/>
              <w:spacing w:line="360" w:lineRule="auto"/>
              <w:jc w:val="left"/>
              <w:rPr>
                <w:rStyle w:val="4"/>
                <w:rFonts w:ascii="Times New Roman" w:hAnsi="Times New Roman"/>
                <w:szCs w:val="21"/>
              </w:rPr>
            </w:pPr>
            <w:r>
              <w:rPr>
                <w:rStyle w:val="4"/>
                <w:rFonts w:ascii="Times New Roman" w:hAnsi="Times New Roman"/>
                <w:szCs w:val="21"/>
              </w:rPr>
              <w:t>2.安装：本项目的安装由中标人负责，中标人应对产品和系统安装提供全面的技术服务与支持，为顺利安装运行提供完全技术保证。</w:t>
            </w:r>
          </w:p>
          <w:p w14:paraId="4DF35400">
            <w:pPr>
              <w:pStyle w:val="17"/>
              <w:widowControl/>
              <w:spacing w:line="360" w:lineRule="auto"/>
              <w:jc w:val="left"/>
              <w:rPr>
                <w:rStyle w:val="4"/>
                <w:rFonts w:ascii="Times New Roman" w:hAnsi="Times New Roman"/>
                <w:szCs w:val="21"/>
              </w:rPr>
            </w:pPr>
            <w:r>
              <w:rPr>
                <w:rStyle w:val="4"/>
                <w:rFonts w:ascii="Times New Roman" w:hAnsi="Times New Roman"/>
                <w:szCs w:val="21"/>
              </w:rPr>
              <w:t>3.调试：调试由中标人负责，中标人为运行调试提供技术和产品的必要条件。并应向买方有关人员讲解产品和系统结构与计划调试方法，包括系统的性能、技术特点、调试技巧等有关技术原理、方法，解决调试过程中出现的技术问题。</w:t>
            </w:r>
          </w:p>
          <w:p w14:paraId="693DEDC5">
            <w:pPr>
              <w:pStyle w:val="17"/>
              <w:widowControl/>
              <w:spacing w:line="360" w:lineRule="auto"/>
              <w:jc w:val="left"/>
              <w:rPr>
                <w:rStyle w:val="4"/>
                <w:rFonts w:ascii="Times New Roman" w:hAnsi="Times New Roman"/>
                <w:szCs w:val="21"/>
              </w:rPr>
            </w:pPr>
            <w:r>
              <w:rPr>
                <w:rStyle w:val="4"/>
                <w:rFonts w:ascii="Times New Roman" w:hAnsi="Times New Roman"/>
                <w:szCs w:val="21"/>
              </w:rPr>
              <w:t>4.验收：中标人在完成合同规定的内容后（安装调试合格），可向采购人申请验收；验收依据招标文件、投标文件、采购合同及其它有效的补充文件。</w:t>
            </w:r>
          </w:p>
          <w:p w14:paraId="273C63AC">
            <w:pPr>
              <w:pStyle w:val="17"/>
              <w:widowControl/>
              <w:spacing w:line="360" w:lineRule="auto"/>
              <w:jc w:val="left"/>
              <w:rPr>
                <w:rStyle w:val="4"/>
                <w:rFonts w:ascii="Times New Roman" w:hAnsi="Times New Roman"/>
                <w:szCs w:val="21"/>
              </w:rPr>
            </w:pPr>
            <w:r>
              <w:rPr>
                <w:rStyle w:val="4"/>
                <w:rFonts w:ascii="Times New Roman" w:hAnsi="Times New Roman"/>
                <w:szCs w:val="21"/>
              </w:rPr>
              <w:t>5.履约保证金：履约质保金根据采购文件的约定，在签订合同前乙方应向采购人提交合同金额5%的履约金，项目完成，经甲方验收合格，履约质保金无息退还给乙方。非甲方原因乙方未在合同约定时间内完成本项目所有内容的合格验收，拖延一天扣履约保证金10%，直至扣完，甲方终止合同，由此产生的损失概不负责。</w:t>
            </w:r>
          </w:p>
          <w:p w14:paraId="59AD4672">
            <w:pPr>
              <w:pStyle w:val="17"/>
              <w:widowControl/>
              <w:spacing w:line="360" w:lineRule="auto"/>
              <w:jc w:val="left"/>
              <w:rPr>
                <w:rStyle w:val="4"/>
                <w:rFonts w:ascii="Times New Roman" w:hAnsi="Times New Roman"/>
                <w:szCs w:val="21"/>
              </w:rPr>
            </w:pPr>
            <w:r>
              <w:rPr>
                <w:rStyle w:val="4"/>
                <w:rFonts w:ascii="Times New Roman" w:hAnsi="Times New Roman"/>
                <w:szCs w:val="21"/>
              </w:rPr>
              <w:t>三、技术培训</w:t>
            </w:r>
          </w:p>
          <w:p w14:paraId="725E7669">
            <w:pPr>
              <w:pStyle w:val="17"/>
              <w:widowControl/>
              <w:spacing w:line="360" w:lineRule="auto"/>
              <w:jc w:val="left"/>
              <w:rPr>
                <w:rStyle w:val="4"/>
                <w:rFonts w:ascii="Times New Roman" w:hAnsi="Times New Roman"/>
                <w:szCs w:val="21"/>
              </w:rPr>
            </w:pPr>
            <w:r>
              <w:rPr>
                <w:rStyle w:val="4"/>
                <w:rFonts w:ascii="Times New Roman" w:hAnsi="Times New Roman"/>
                <w:szCs w:val="21"/>
              </w:rPr>
              <w:t>1.卖方应科学制定相配套的培训计划，对买方的使用操作人员进行切实有效的培训，确保产品能良好地运作。</w:t>
            </w:r>
          </w:p>
        </w:tc>
      </w:tr>
      <w:tr w14:paraId="2BE256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noWrap/>
            <w:vAlign w:val="center"/>
          </w:tcPr>
          <w:p w14:paraId="1F79D3DD">
            <w:pPr>
              <w:pStyle w:val="17"/>
              <w:widowControl/>
              <w:spacing w:line="360" w:lineRule="auto"/>
              <w:jc w:val="left"/>
              <w:rPr>
                <w:rStyle w:val="4"/>
                <w:rFonts w:ascii="Times New Roman" w:hAnsi="Times New Roman"/>
                <w:szCs w:val="21"/>
              </w:rPr>
            </w:pPr>
            <w:r>
              <w:rPr>
                <w:rStyle w:val="4"/>
                <w:rFonts w:ascii="Times New Roman" w:hAnsi="Times New Roman"/>
                <w:szCs w:val="21"/>
              </w:rPr>
              <w:t>解决争议的方式</w:t>
            </w:r>
          </w:p>
        </w:tc>
        <w:tc>
          <w:tcPr>
            <w:tcW w:w="7796" w:type="dxa"/>
            <w:noWrap/>
            <w:vAlign w:val="center"/>
          </w:tcPr>
          <w:p w14:paraId="7FAFB4FE">
            <w:pPr>
              <w:pStyle w:val="17"/>
              <w:widowControl/>
              <w:spacing w:line="360" w:lineRule="auto"/>
              <w:jc w:val="left"/>
              <w:rPr>
                <w:rStyle w:val="4"/>
                <w:rFonts w:ascii="Times New Roman" w:hAnsi="Times New Roman"/>
                <w:szCs w:val="21"/>
              </w:rPr>
            </w:pPr>
            <w:r>
              <w:rPr>
                <w:rStyle w:val="4"/>
                <w:rFonts w:ascii="Times New Roman" w:hAnsi="Times New Roman"/>
                <w:szCs w:val="21"/>
              </w:rPr>
              <w:t>☑ 诉讼</w:t>
            </w:r>
          </w:p>
          <w:p w14:paraId="3AFFE238">
            <w:pPr>
              <w:pStyle w:val="17"/>
              <w:widowControl/>
              <w:spacing w:line="360" w:lineRule="auto"/>
              <w:jc w:val="left"/>
              <w:rPr>
                <w:rStyle w:val="4"/>
                <w:rFonts w:ascii="Times New Roman" w:hAnsi="Times New Roman"/>
                <w:spacing w:val="30"/>
                <w:kern w:val="0"/>
                <w:szCs w:val="21"/>
              </w:rPr>
            </w:pPr>
            <w:r>
              <w:rPr>
                <w:rStyle w:val="4"/>
                <w:rFonts w:ascii="Times New Roman" w:hAnsi="Times New Roman"/>
                <w:szCs w:val="21"/>
              </w:rPr>
              <w:t>□ 仲裁</w:t>
            </w:r>
          </w:p>
        </w:tc>
      </w:tr>
      <w:tr w14:paraId="3248AE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noWrap/>
            <w:vAlign w:val="center"/>
          </w:tcPr>
          <w:p w14:paraId="70F42CBA">
            <w:pPr>
              <w:pStyle w:val="17"/>
              <w:widowControl/>
              <w:spacing w:line="360" w:lineRule="auto"/>
              <w:jc w:val="left"/>
              <w:rPr>
                <w:rStyle w:val="4"/>
                <w:rFonts w:ascii="Times New Roman" w:hAnsi="Times New Roman"/>
                <w:szCs w:val="21"/>
              </w:rPr>
            </w:pPr>
            <w:r>
              <w:rPr>
                <w:rStyle w:val="4"/>
                <w:rFonts w:ascii="Times New Roman" w:hAnsi="Times New Roman"/>
                <w:szCs w:val="21"/>
              </w:rPr>
              <w:t>合同未尽事项</w:t>
            </w:r>
          </w:p>
        </w:tc>
        <w:tc>
          <w:tcPr>
            <w:tcW w:w="7796" w:type="dxa"/>
            <w:noWrap/>
            <w:vAlign w:val="center"/>
          </w:tcPr>
          <w:p w14:paraId="7E75E572">
            <w:pPr>
              <w:pStyle w:val="17"/>
              <w:widowControl/>
              <w:spacing w:line="360" w:lineRule="auto"/>
              <w:jc w:val="left"/>
              <w:rPr>
                <w:rStyle w:val="4"/>
                <w:rFonts w:ascii="Times New Roman" w:hAnsi="Times New Roman"/>
                <w:spacing w:val="30"/>
                <w:kern w:val="0"/>
                <w:szCs w:val="21"/>
              </w:rPr>
            </w:pPr>
            <w:r>
              <w:rPr>
                <w:rStyle w:val="4"/>
                <w:rFonts w:ascii="Times New Roman" w:hAnsi="Times New Roman"/>
                <w:szCs w:val="21"/>
              </w:rPr>
              <w:t>另行约定</w:t>
            </w:r>
          </w:p>
        </w:tc>
      </w:tr>
    </w:tbl>
    <w:p w14:paraId="52DE3702">
      <w:pPr>
        <w:pStyle w:val="7"/>
        <w:widowControl/>
        <w:spacing w:line="360" w:lineRule="auto"/>
        <w:jc w:val="left"/>
        <w:rPr>
          <w:rStyle w:val="4"/>
          <w:rFonts w:ascii="Times New Roman" w:hAnsi="Times New Roman"/>
          <w:b/>
          <w:bCs/>
          <w:szCs w:val="21"/>
        </w:rPr>
      </w:pPr>
    </w:p>
    <w:p w14:paraId="3FD24D44">
      <w:pPr>
        <w:pStyle w:val="7"/>
        <w:widowControl/>
        <w:spacing w:line="360" w:lineRule="auto"/>
        <w:jc w:val="left"/>
        <w:rPr>
          <w:rStyle w:val="4"/>
          <w:rFonts w:ascii="Times New Roman" w:hAnsi="Times New Roman"/>
          <w:b/>
          <w:bCs/>
          <w:szCs w:val="21"/>
        </w:rPr>
      </w:pPr>
      <w:r>
        <w:rPr>
          <w:rStyle w:val="4"/>
          <w:rFonts w:ascii="Times New Roman" w:hAnsi="Times New Roman"/>
          <w:b/>
          <w:bCs/>
          <w:szCs w:val="21"/>
        </w:rPr>
        <w:t>二、售后服务要求</w:t>
      </w:r>
    </w:p>
    <w:p w14:paraId="42B3AF1D">
      <w:pPr>
        <w:pStyle w:val="7"/>
        <w:widowControl/>
        <w:spacing w:line="360" w:lineRule="auto"/>
        <w:ind w:firstLine="420" w:firstLineChars="200"/>
        <w:jc w:val="left"/>
        <w:rPr>
          <w:rStyle w:val="4"/>
          <w:rFonts w:ascii="Times New Roman" w:hAnsi="Times New Roman"/>
          <w:szCs w:val="21"/>
        </w:rPr>
      </w:pPr>
      <w:r>
        <w:rPr>
          <w:rStyle w:val="4"/>
          <w:rFonts w:ascii="Times New Roman" w:hAnsi="Times New Roman"/>
          <w:szCs w:val="21"/>
        </w:rPr>
        <w:t>1、在质保期内中标人对产品质量实行三包，中标人保证所投产品正常使用、正常运转和保养在其使用寿命内应具有满意的性能。因货物制造质量、技术施工等问题而引起的故障，中标人及时更换并保证能及时正常使用，由此引起的一切费用由中标人承担。</w:t>
      </w:r>
    </w:p>
    <w:p w14:paraId="37747E59">
      <w:pPr>
        <w:pStyle w:val="7"/>
        <w:widowControl/>
        <w:spacing w:line="360" w:lineRule="auto"/>
        <w:ind w:firstLine="420" w:firstLineChars="200"/>
        <w:jc w:val="left"/>
        <w:rPr>
          <w:rStyle w:val="4"/>
          <w:rFonts w:ascii="Times New Roman" w:hAnsi="Times New Roman"/>
          <w:szCs w:val="21"/>
        </w:rPr>
      </w:pPr>
      <w:r>
        <w:rPr>
          <w:rStyle w:val="4"/>
          <w:rFonts w:ascii="Times New Roman" w:hAnsi="Times New Roman"/>
          <w:szCs w:val="21"/>
        </w:rPr>
        <w:t>2、投标人须保证所投产品正常使用所具备相关技术保障机制，并填写好售后服务机构的具体服务地址、负责人或联系方式，以及保障方案。应配备专业技术人员，提供免费培训至少2名操作人员，其培训内容指的是货物的操作使用和日常保养维修等，培训期间发放各类货物使用说明书、培训资料等。提供7*24小时服务，遇到一般故障时，提供4小时内上门解决服务，遇到重大故障提供2小时内上门解决服务，如遇设备故障短时间内无法解决提供备件服务。</w:t>
      </w:r>
    </w:p>
    <w:p w14:paraId="0E6D9B6A">
      <w:pPr>
        <w:pStyle w:val="7"/>
        <w:widowControl/>
        <w:spacing w:line="360" w:lineRule="auto"/>
        <w:ind w:firstLine="420" w:firstLineChars="200"/>
        <w:jc w:val="left"/>
        <w:rPr>
          <w:rStyle w:val="4"/>
          <w:rFonts w:ascii="Times New Roman" w:hAnsi="Times New Roman"/>
          <w:szCs w:val="21"/>
        </w:rPr>
      </w:pPr>
      <w:r>
        <w:rPr>
          <w:rStyle w:val="4"/>
          <w:rFonts w:hint="eastAsia" w:ascii="Times New Roman" w:hAnsi="Times New Roman"/>
          <w:szCs w:val="21"/>
        </w:rPr>
        <w:t>3</w:t>
      </w:r>
      <w:r>
        <w:rPr>
          <w:rStyle w:val="4"/>
          <w:rFonts w:ascii="Times New Roman" w:hAnsi="Times New Roman"/>
          <w:szCs w:val="21"/>
        </w:rPr>
        <w:t>、投标人在售后服务方案中应体现易损件维修报价清单，质保期满后的售后服务要求以采购人与中标人签订合同中约定条款为准。</w:t>
      </w:r>
    </w:p>
    <w:p w14:paraId="46423BC2">
      <w:pPr>
        <w:pStyle w:val="7"/>
        <w:widowControl/>
        <w:spacing w:line="360" w:lineRule="auto"/>
        <w:ind w:firstLine="420" w:firstLineChars="200"/>
        <w:jc w:val="left"/>
        <w:rPr>
          <w:rStyle w:val="4"/>
          <w:rFonts w:ascii="Times New Roman" w:hAnsi="Times New Roman"/>
          <w:szCs w:val="21"/>
        </w:rPr>
      </w:pPr>
      <w:r>
        <w:rPr>
          <w:rStyle w:val="4"/>
          <w:rFonts w:hint="eastAsia" w:ascii="Times New Roman" w:hAnsi="Times New Roman"/>
          <w:szCs w:val="21"/>
        </w:rPr>
        <w:t>4</w:t>
      </w:r>
      <w:r>
        <w:rPr>
          <w:rStyle w:val="4"/>
          <w:rFonts w:ascii="Times New Roman" w:hAnsi="Times New Roman"/>
          <w:szCs w:val="21"/>
        </w:rPr>
        <w:t>、履约保证金：履约保证金根据采购文件的约定，在签订合同前乙方应向采购人提交合同金额5%的履约保证金，项目完成，经甲方验收合格，履约保证金无息退还给乙方。非甲方原因乙方未在合同约定时间内完成本项目所有内容的合格验收，拖延一天扣履约保证金10%，直至扣完，甲方终止合同，由此产生的损失概不负责。</w:t>
      </w:r>
    </w:p>
    <w:p w14:paraId="0E0C9175">
      <w:pPr>
        <w:pStyle w:val="7"/>
        <w:widowControl/>
        <w:spacing w:line="360" w:lineRule="auto"/>
        <w:jc w:val="left"/>
        <w:rPr>
          <w:rStyle w:val="4"/>
          <w:rFonts w:ascii="Times New Roman" w:hAnsi="Times New Roman"/>
          <w:b/>
          <w:bCs/>
          <w:szCs w:val="21"/>
        </w:rPr>
      </w:pPr>
      <w:r>
        <w:rPr>
          <w:rStyle w:val="4"/>
          <w:rFonts w:ascii="Times New Roman" w:hAnsi="Times New Roman"/>
          <w:b/>
          <w:bCs/>
          <w:szCs w:val="21"/>
        </w:rPr>
        <w:t>三、其他要求</w:t>
      </w:r>
    </w:p>
    <w:p w14:paraId="2B4FC8C3">
      <w:pPr>
        <w:pStyle w:val="7"/>
        <w:widowControl/>
        <w:spacing w:line="360" w:lineRule="auto"/>
        <w:ind w:firstLine="420" w:firstLineChars="200"/>
        <w:jc w:val="left"/>
        <w:rPr>
          <w:rStyle w:val="4"/>
          <w:rFonts w:ascii="Times New Roman" w:hAnsi="Times New Roman"/>
          <w:szCs w:val="21"/>
        </w:rPr>
      </w:pPr>
      <w:r>
        <w:rPr>
          <w:rStyle w:val="4"/>
          <w:rFonts w:ascii="Times New Roman" w:hAnsi="Times New Roman"/>
          <w:szCs w:val="21"/>
        </w:rPr>
        <w:t>本项目采用费用包干方式（交钥匙项目），投标人应根据项目要求和现场情况，详细列明项目所需的开发、安装调试、试运行测试通过验收、培训、质保期免费保修维护等所有人工、管理、财务等所有费用，如一旦中标，在项目实施中出现任何遗漏，均由中标人免费提供，采购人不再支付任何费用。</w:t>
      </w:r>
    </w:p>
    <w:p w14:paraId="1BA1DD1C">
      <w:pPr>
        <w:pStyle w:val="7"/>
        <w:widowControl/>
        <w:spacing w:line="360" w:lineRule="auto"/>
        <w:ind w:firstLine="420" w:firstLineChars="200"/>
        <w:jc w:val="left"/>
        <w:rPr>
          <w:rStyle w:val="4"/>
          <w:rFonts w:ascii="Times New Roman" w:hAnsi="Times New Roman"/>
          <w:szCs w:val="21"/>
        </w:rPr>
      </w:pPr>
      <w:bookmarkStart w:id="16" w:name="_GoBack"/>
      <w:bookmarkEnd w:id="16"/>
    </w:p>
    <w:p w14:paraId="40B2B99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uawei Sans">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9958A4"/>
    <w:multiLevelType w:val="multilevel"/>
    <w:tmpl w:val="7C9958A4"/>
    <w:lvl w:ilvl="0" w:tentative="0">
      <w:start w:val="4"/>
      <w:numFmt w:val="chineseCounting"/>
      <w:suff w:val="nothing"/>
      <w:lvlText w:val="%1、"/>
      <w:lvlJc w:val="left"/>
      <w:rPr>
        <w:rFonts w:hint="eastAsia"/>
      </w:rPr>
    </w:lvl>
    <w:lvl w:ilvl="1" w:tentative="0">
      <w:start w:val="1"/>
      <w:numFmt w:val="decimal"/>
      <w:lvlText w:val="%1.%2."/>
      <w:lvlJc w:val="left"/>
      <w:pPr>
        <w:tabs>
          <w:tab w:val="left" w:pos="-273"/>
        </w:tabs>
        <w:ind w:left="567" w:hanging="567"/>
      </w:pPr>
    </w:lvl>
    <w:lvl w:ilvl="2" w:tentative="0">
      <w:start w:val="1"/>
      <w:numFmt w:val="decimal"/>
      <w:lvlText w:val="%1.%2.%3."/>
      <w:lvlJc w:val="left"/>
      <w:pPr>
        <w:tabs>
          <w:tab w:val="left" w:pos="709"/>
        </w:tabs>
        <w:ind w:left="709" w:hanging="709"/>
      </w:pPr>
    </w:lvl>
    <w:lvl w:ilvl="3" w:tentative="0">
      <w:start w:val="1"/>
      <w:numFmt w:val="decimal"/>
      <w:pStyle w:val="8"/>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9410FA"/>
    <w:rsid w:val="5F2F262F"/>
    <w:rsid w:val="78F43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jc w:val="center"/>
      <w:outlineLvl w:val="0"/>
    </w:pPr>
    <w:rPr>
      <w:b/>
      <w:bCs/>
      <w:sz w:val="24"/>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正文_0_0"/>
    <w:basedOn w:val="7"/>
    <w:next w:val="8"/>
    <w:qFormat/>
    <w:uiPriority w:val="0"/>
  </w:style>
  <w:style w:type="paragraph" w:customStyle="1" w:styleId="7">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
    <w:name w:val="标题 4_0_0"/>
    <w:basedOn w:val="6"/>
    <w:next w:val="6"/>
    <w:qFormat/>
    <w:uiPriority w:val="9"/>
    <w:pPr>
      <w:keepNext/>
      <w:keepLines/>
      <w:numPr>
        <w:ilvl w:val="3"/>
        <w:numId w:val="1"/>
      </w:numPr>
      <w:spacing w:before="280" w:after="290" w:line="376" w:lineRule="auto"/>
      <w:outlineLvl w:val="3"/>
    </w:pPr>
    <w:rPr>
      <w:b/>
      <w:bCs/>
      <w:sz w:val="30"/>
      <w:szCs w:val="28"/>
    </w:rPr>
  </w:style>
  <w:style w:type="paragraph" w:customStyle="1" w:styleId="9">
    <w:name w:val="标题 2_0"/>
    <w:basedOn w:val="5"/>
    <w:next w:val="5"/>
    <w:qFormat/>
    <w:uiPriority w:val="0"/>
    <w:pPr>
      <w:keepNext/>
      <w:keepLines/>
      <w:spacing w:line="360" w:lineRule="auto"/>
      <w:outlineLvl w:val="1"/>
    </w:pPr>
    <w:rPr>
      <w:rFonts w:ascii="Arial" w:hAnsi="Arial"/>
      <w:b/>
      <w:bCs/>
      <w:sz w:val="24"/>
      <w:szCs w:val="32"/>
    </w:rPr>
  </w:style>
  <w:style w:type="paragraph" w:customStyle="1" w:styleId="10">
    <w:name w:val="标题 3_0"/>
    <w:basedOn w:val="5"/>
    <w:next w:val="5"/>
    <w:qFormat/>
    <w:uiPriority w:val="0"/>
    <w:pPr>
      <w:keepNext/>
      <w:keepLines/>
      <w:spacing w:before="260" w:after="260" w:line="416" w:lineRule="auto"/>
      <w:outlineLvl w:val="2"/>
    </w:pPr>
    <w:rPr>
      <w:b/>
      <w:bCs/>
      <w:sz w:val="32"/>
      <w:szCs w:val="32"/>
    </w:rPr>
  </w:style>
  <w:style w:type="character" w:customStyle="1" w:styleId="11">
    <w:name w:val="font_title_four_num1"/>
    <w:qFormat/>
    <w:uiPriority w:val="0"/>
    <w:rPr>
      <w:rFonts w:hint="default" w:ascii="Book Antiqua" w:hAnsi="Book Antiqua"/>
      <w:b/>
      <w:bCs/>
      <w:color w:val="000000"/>
      <w:sz w:val="24"/>
      <w:szCs w:val="24"/>
    </w:rPr>
  </w:style>
  <w:style w:type="character" w:customStyle="1" w:styleId="12">
    <w:name w:val="font_title_four_name1"/>
    <w:qFormat/>
    <w:uiPriority w:val="0"/>
    <w:rPr>
      <w:rFonts w:hint="eastAsia" w:ascii="宋体" w:hAnsi="宋体" w:eastAsia="宋体"/>
      <w:b/>
      <w:bCs/>
      <w:color w:val="000000"/>
      <w:sz w:val="24"/>
      <w:szCs w:val="24"/>
    </w:rPr>
  </w:style>
  <w:style w:type="paragraph" w:customStyle="1" w:styleId="13">
    <w:name w:val="List Paragraph"/>
    <w:basedOn w:val="5"/>
    <w:qFormat/>
    <w:uiPriority w:val="0"/>
    <w:pPr>
      <w:ind w:firstLine="420" w:firstLineChars="200"/>
    </w:pPr>
  </w:style>
  <w:style w:type="character" w:customStyle="1" w:styleId="14">
    <w:name w:val="font71"/>
    <w:basedOn w:val="4"/>
    <w:qFormat/>
    <w:uiPriority w:val="0"/>
    <w:rPr>
      <w:rFonts w:hint="eastAsia" w:ascii="宋体" w:hAnsi="宋体" w:eastAsia="宋体" w:cs="宋体"/>
      <w:b/>
      <w:bCs/>
      <w:color w:val="000000"/>
      <w:sz w:val="20"/>
      <w:szCs w:val="20"/>
      <w:u w:val="none"/>
    </w:rPr>
  </w:style>
  <w:style w:type="character" w:customStyle="1" w:styleId="15">
    <w:name w:val="font81"/>
    <w:basedOn w:val="4"/>
    <w:qFormat/>
    <w:uiPriority w:val="0"/>
    <w:rPr>
      <w:rFonts w:hint="eastAsia" w:ascii="宋体" w:hAnsi="宋体" w:eastAsia="宋体" w:cs="宋体"/>
      <w:color w:val="000000"/>
      <w:sz w:val="18"/>
      <w:szCs w:val="18"/>
      <w:u w:val="none"/>
    </w:rPr>
  </w:style>
  <w:style w:type="character" w:customStyle="1" w:styleId="16">
    <w:name w:val="font31"/>
    <w:basedOn w:val="4"/>
    <w:qFormat/>
    <w:uiPriority w:val="0"/>
    <w:rPr>
      <w:rFonts w:hint="eastAsia" w:ascii="宋体" w:hAnsi="宋体" w:eastAsia="宋体" w:cs="宋体"/>
      <w:color w:val="000000"/>
      <w:sz w:val="18"/>
      <w:szCs w:val="18"/>
      <w:u w:val="none"/>
    </w:rPr>
  </w:style>
  <w:style w:type="paragraph" w:customStyle="1" w:styleId="17">
    <w:name w:val="正文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
    <w:name w:val="正文_0_1_0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1686</Words>
  <Characters>1929</Characters>
  <Lines>0</Lines>
  <Paragraphs>0</Paragraphs>
  <TotalTime>0</TotalTime>
  <ScaleCrop>false</ScaleCrop>
  <LinksUpToDate>false</LinksUpToDate>
  <CharactersWithSpaces>1939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2025-05-08T07:58:00Z</dcterms:created>
  <dc:creator>abc</dc:creator>
  <cp:lastModifiedBy>daisyliu</cp:lastModifiedBy>
  <dcterms:modified xsi:type="dcterms:W3CDTF">2025-05-09T03:25:27Z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eyJoZGlkIjoiYTM5NmRiYjk2OTVmMGI4YTE2MjMxY2JkMzgzOWUwZDYiLCJ1c2VySWQiOiIzODYxMTc0NTgifQ==</vt:lpwstr>
  </property>
  <property fmtid="{D5CDD505-2E9C-101B-9397-08002B2CF9AE}" pid="4" name="ICV">
    <vt:lpwstr>E188D91901ED4424B3255A1EC5E0D8CC_12</vt:lpwstr>
  </property>
</Properties>
</file>