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版本号：N510683202500000820250120001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绵竹市城区停车场建设项目二期全过程造价控制管理服务采购项目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N5106832025000008</w:t>
      </w:r>
    </w:p>
    <w:p>
      <w:pPr>
        <w:pStyle w:val="null3"/>
        <w:jc w:val="left"/>
        <w:outlineLvl w:val="2"/>
      </w:pPr>
      <w:r>
        <w:rPr>
          <w:rFonts w:ascii="仿宋_GB2312" w:hAnsi="仿宋_GB2312" w:cs="仿宋_GB2312" w:eastAsia="仿宋_GB2312"/>
          <w:sz w:val="28"/>
          <w:b/>
        </w:rPr>
        <w:t>绵竹市综合行政执法局</w:t>
      </w:r>
    </w:p>
    <w:p>
      <w:pPr>
        <w:pStyle w:val="null3"/>
        <w:jc w:val="center"/>
        <w:outlineLvl w:val="2"/>
      </w:pPr>
      <w:r>
        <w:rPr>
          <w:rFonts w:ascii="仿宋_GB2312" w:hAnsi="仿宋_GB2312" w:cs="仿宋_GB2312" w:eastAsia="仿宋_GB2312"/>
          <w:sz w:val="28"/>
          <w:b/>
        </w:rPr>
        <w:t>四川中宸项目管理有限公司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2025年01月20日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四川中宸项目管理有限公司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绵竹市综合行政执法局</w:t>
      </w:r>
      <w:r>
        <w:rPr>
          <w:rFonts w:ascii="仿宋_GB2312" w:hAnsi="仿宋_GB2312" w:cs="仿宋_GB2312" w:eastAsia="仿宋_GB2312"/>
        </w:rPr>
        <w:t xml:space="preserve"> 委托，拟对 </w:t>
      </w:r>
      <w:r>
        <w:rPr>
          <w:rFonts w:ascii="仿宋_GB2312" w:hAnsi="仿宋_GB2312" w:cs="仿宋_GB2312" w:eastAsia="仿宋_GB2312"/>
        </w:rPr>
        <w:t>绵竹市城区停车场建设项目二期全过程造价控制管理服务采购项目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德阳市绵竹市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N5106832025000008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绵竹市城区停车场建设项目二期全过程造价控制管理服务采购项目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绵竹市城区停车场建设项目二期全过程造价控制管理服务采购。</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绵竹市综合行政执法局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绵竹市南西路中段</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0838-6202581</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四川中宸项目管理有限公司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四川省德阳市绵竹市紫岩街道南京大道三段60号1栋2层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0838-6908008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采购包1：900,000.00元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项目采购代理服务费计取参照2002年10月15日《国家计委关于印发&lt;招标代理服务费收费管理暂行办法&gt;》（计价格〔2002〕1980号）规定的《招标代理服务收费标准》以及发改价格〔2015〕299号服务费标准，按固定价壹万叁仟元计取，代理费由成交供应商在领取成交通知书时一次性支付。</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 xml:space="preserve"> 注：</w:t>
            </w:r>
          </w:p>
          <w:p>
            <w:pPr>
              <w:pStyle w:val="null3"/>
              <w:jc w:val="left"/>
            </w:pPr>
            <w:r>
              <w:rPr>
                <w:rFonts w:ascii="仿宋_GB2312" w:hAnsi="仿宋_GB2312" w:cs="仿宋_GB2312" w:eastAsia="仿宋_GB2312"/>
              </w:rPr>
              <w:t xml:space="preserve"> 1.平台系统故障认定以四川政府采购网发布的系统运维通知内容为准；</w:t>
            </w:r>
          </w:p>
          <w:p>
            <w:pPr>
              <w:pStyle w:val="null3"/>
              <w:jc w:val="left"/>
            </w:pPr>
            <w:r>
              <w:rPr>
                <w:rFonts w:ascii="仿宋_GB2312" w:hAnsi="仿宋_GB2312" w:cs="仿宋_GB2312" w:eastAsia="仿宋_GB2312"/>
              </w:rPr>
              <w:t xml:space="preserve"> 2.故障处理详见第二章规定。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绵竹市综合行政执法局</w:t>
      </w:r>
      <w:r>
        <w:rPr>
          <w:rFonts w:ascii="仿宋_GB2312" w:hAnsi="仿宋_GB2312" w:cs="仿宋_GB2312" w:eastAsia="仿宋_GB2312"/>
        </w:rPr>
        <w:t xml:space="preserve"> 和 </w:t>
      </w:r>
      <w:r>
        <w:rPr>
          <w:rFonts w:ascii="仿宋_GB2312" w:hAnsi="仿宋_GB2312" w:cs="仿宋_GB2312" w:eastAsia="仿宋_GB2312"/>
        </w:rPr>
        <w:t>四川中宸项目管理有限公司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绵竹市综合行政执法局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四川中宸项目管理有限公司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三、供应商根据更正公告、更正信息要求，下载更正后的磋商文件，进行响应文件编制。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项目具备验收条件后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按照本项目招标文件中“技术、服务要求”及中标供应商中标文件进行验收。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按照本项目招标文件中“商务要求”及中标供应商投标文件进行验收。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 号)和《政府采购需求管理办法》（财库(2021)22号）文件的要求进行验收。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验收不合格，将不予支付合同金额。并上报相关部门，实施处罚。</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绵竹市综合行政执法局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四川中宸项目管理有限公司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四川中宸项目管理有限公司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联系人：陈先生</w:t>
      </w:r>
    </w:p>
    <w:p>
      <w:pPr>
        <w:pStyle w:val="null3"/>
        <w:jc w:val="left"/>
      </w:pPr>
      <w:r>
        <w:rPr>
          <w:rFonts w:ascii="仿宋_GB2312" w:hAnsi="仿宋_GB2312" w:cs="仿宋_GB2312" w:eastAsia="仿宋_GB2312"/>
        </w:rPr>
        <w:t>联系电话：0838-6202581</w:t>
      </w:r>
    </w:p>
    <w:p>
      <w:pPr>
        <w:pStyle w:val="null3"/>
        <w:jc w:val="left"/>
      </w:pPr>
      <w:r>
        <w:rPr>
          <w:rFonts w:ascii="仿宋_GB2312" w:hAnsi="仿宋_GB2312" w:cs="仿宋_GB2312" w:eastAsia="仿宋_GB2312"/>
        </w:rPr>
        <w:t>地址： 绵竹市南西路中段</w:t>
      </w:r>
    </w:p>
    <w:p>
      <w:pPr>
        <w:pStyle w:val="null3"/>
        <w:jc w:val="left"/>
      </w:pPr>
      <w:r>
        <w:rPr>
          <w:rFonts w:ascii="仿宋_GB2312" w:hAnsi="仿宋_GB2312" w:cs="仿宋_GB2312" w:eastAsia="仿宋_GB2312"/>
        </w:rPr>
        <w:t>邮编：618200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联系人：李女士</w:t>
      </w:r>
    </w:p>
    <w:p>
      <w:pPr>
        <w:pStyle w:val="null3"/>
        <w:jc w:val="left"/>
      </w:pPr>
      <w:r>
        <w:rPr>
          <w:rFonts w:ascii="仿宋_GB2312" w:hAnsi="仿宋_GB2312" w:cs="仿宋_GB2312" w:eastAsia="仿宋_GB2312"/>
        </w:rPr>
        <w:t>联系电话：0838-6908008</w:t>
      </w:r>
    </w:p>
    <w:p>
      <w:pPr>
        <w:pStyle w:val="null3"/>
        <w:jc w:val="left"/>
      </w:pPr>
      <w:r>
        <w:rPr>
          <w:rFonts w:ascii="仿宋_GB2312" w:hAnsi="仿宋_GB2312" w:cs="仿宋_GB2312" w:eastAsia="仿宋_GB2312"/>
        </w:rPr>
        <w:t>地址：绵竹市南京大道60号</w:t>
      </w:r>
    </w:p>
    <w:p>
      <w:pPr>
        <w:pStyle w:val="null3"/>
        <w:jc w:val="left"/>
      </w:pPr>
      <w:r>
        <w:rPr>
          <w:rFonts w:ascii="仿宋_GB2312" w:hAnsi="仿宋_GB2312" w:cs="仿宋_GB2312" w:eastAsia="仿宋_GB2312"/>
        </w:rPr>
        <w:t>邮编：618200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900,000.00</w:t>
      </w:r>
    </w:p>
    <w:p>
      <w:pPr>
        <w:pStyle w:val="null3"/>
        <w:jc w:val="left"/>
      </w:pPr>
      <w:r>
        <w:rPr>
          <w:rFonts w:ascii="仿宋_GB2312" w:hAnsi="仿宋_GB2312" w:cs="仿宋_GB2312" w:eastAsia="仿宋_GB2312"/>
        </w:rPr>
        <w:t>采购包最高限价（元）: 900,000.00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C11990000 其他工程管理服务</w:t>
            </w:r>
          </w:p>
        </w:tc>
        <w:tc>
          <w:tcPr>
            <w:tcW w:type="dxa" w:w="821"/>
          </w:tcPr>
          <w:p>
            <w:pPr>
              <w:pStyle w:val="null3"/>
              <w:jc w:val="left"/>
            </w:pPr>
            <w:r>
              <w:rPr>
                <w:rFonts w:ascii="仿宋_GB2312" w:hAnsi="仿宋_GB2312" w:cs="仿宋_GB2312" w:eastAsia="仿宋_GB2312"/>
              </w:rPr>
              <w:t>绵竹市城区停车场建设项目二期全过程造价控制管理服务采购项目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900,000.00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绵竹市城区停车场建设项目二期全过程造价控制管理服务采购项目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900,000.00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供应商的报价是满足采购需求全部内容的价格体现，即为完成本项目所涉及的一切费用。</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标的名称：绵竹市城区停车场建设项目二期全过程造价控制管理服务采购项目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采购内容及相关要求</w:t>
            </w:r>
          </w:p>
        </w:tc>
        <w:tc>
          <w:tcPr>
            <w:tcW w:type="dxa" w:w="5814"/>
          </w:tcPr>
          <w:p>
            <w:pPr>
              <w:pStyle w:val="null3"/>
              <w:ind w:firstLine="480"/>
              <w:jc w:val="both"/>
            </w:pPr>
            <w:r>
              <w:rPr>
                <w:rFonts w:ascii="仿宋_GB2312" w:hAnsi="仿宋_GB2312" w:cs="仿宋_GB2312" w:eastAsia="仿宋_GB2312"/>
                <w:sz w:val="24"/>
              </w:rPr>
              <w:t>（一）服务范围</w:t>
            </w:r>
          </w:p>
          <w:p>
            <w:pPr>
              <w:pStyle w:val="null3"/>
              <w:ind w:firstLine="480"/>
              <w:jc w:val="both"/>
            </w:pPr>
            <w:r>
              <w:rPr>
                <w:rFonts w:ascii="仿宋_GB2312" w:hAnsi="仿宋_GB2312" w:cs="仿宋_GB2312" w:eastAsia="仿宋_GB2312"/>
                <w:sz w:val="24"/>
              </w:rPr>
              <w:t>1、工程概况：本项目为绵竹市城区停车场建设项目二期(一标段)，包括3个综合公园</w:t>
            </w:r>
            <w:r>
              <w:rPr>
                <w:rFonts w:ascii="仿宋_GB2312" w:hAnsi="仿宋_GB2312" w:cs="仿宋_GB2312" w:eastAsia="仿宋_GB2312"/>
                <w:sz w:val="24"/>
              </w:rPr>
              <w:t>：</w:t>
            </w:r>
            <w:r>
              <w:rPr>
                <w:rFonts w:ascii="仿宋_GB2312" w:hAnsi="仿宋_GB2312" w:cs="仿宋_GB2312" w:eastAsia="仿宋_GB2312"/>
                <w:sz w:val="24"/>
              </w:rPr>
              <w:t>人民公园、月亮泉公园、苏绵公园；</w:t>
            </w:r>
            <w:r>
              <w:rPr>
                <w:rFonts w:ascii="仿宋_GB2312" w:hAnsi="仿宋_GB2312" w:cs="仿宋_GB2312" w:eastAsia="仿宋_GB2312"/>
                <w:sz w:val="24"/>
              </w:rPr>
              <w:t>4个口袋公园：城北广场、林溪艺墅口袋公园、玉马广场、飞凫二期口袋公园；1个社区公园：谷王社区体育公园；2条市政道路景观提升改造：回澜大道、苏绵大道一期；德天铁路沿线绿地空间升级改造(月亮泉段)；总改建面积约47.79万平方米，改建停车位832个，新增充电桩 169 个及供电等辅助及配套设施。</w:t>
            </w:r>
          </w:p>
          <w:p>
            <w:pPr>
              <w:pStyle w:val="null3"/>
              <w:ind w:firstLine="480"/>
              <w:jc w:val="both"/>
            </w:pPr>
            <w:r>
              <w:rPr>
                <w:rFonts w:ascii="仿宋_GB2312" w:hAnsi="仿宋_GB2312" w:cs="仿宋_GB2312" w:eastAsia="仿宋_GB2312"/>
                <w:sz w:val="24"/>
              </w:rPr>
              <w:t>2、本项目为完成绵竹市城区停车场建设项目二期全过程造价控制管理服务。</w:t>
            </w:r>
          </w:p>
          <w:p>
            <w:pPr>
              <w:pStyle w:val="null3"/>
              <w:jc w:val="both"/>
            </w:pPr>
            <w:r>
              <w:rPr>
                <w:rFonts w:ascii="仿宋_GB2312" w:hAnsi="仿宋_GB2312" w:cs="仿宋_GB2312" w:eastAsia="仿宋_GB2312"/>
                <w:sz w:val="24"/>
              </w:rPr>
              <w:t>（二）服务内容及要求</w:t>
            </w:r>
          </w:p>
          <w:p>
            <w:pPr>
              <w:pStyle w:val="null3"/>
              <w:ind w:firstLine="480"/>
              <w:jc w:val="both"/>
            </w:pPr>
            <w:r>
              <w:rPr>
                <w:rFonts w:ascii="仿宋_GB2312" w:hAnsi="仿宋_GB2312" w:cs="仿宋_GB2312" w:eastAsia="仿宋_GB2312"/>
                <w:sz w:val="24"/>
              </w:rPr>
              <w:t>1、参与项目施工阶段所有合同、协议文本有关价款、结算等经济条款的审核。协助建设单位签订合同，根据委托人的需要及时提供审计意见。</w:t>
            </w:r>
          </w:p>
          <w:p>
            <w:pPr>
              <w:pStyle w:val="null3"/>
              <w:ind w:firstLine="480"/>
              <w:jc w:val="both"/>
            </w:pPr>
            <w:r>
              <w:rPr>
                <w:rFonts w:ascii="仿宋_GB2312" w:hAnsi="仿宋_GB2312" w:cs="仿宋_GB2312" w:eastAsia="仿宋_GB2312"/>
                <w:sz w:val="24"/>
              </w:rPr>
              <w:t>2、管理各合同的履行情况。检查合同各方是否认真履行合同条款，有无转包、违法分包工程等情况。如有变更、增补、转让或终止等情况，审查其真实性、合法性。</w:t>
            </w:r>
          </w:p>
          <w:p>
            <w:pPr>
              <w:pStyle w:val="null3"/>
              <w:ind w:firstLine="480"/>
              <w:jc w:val="both"/>
            </w:pPr>
            <w:r>
              <w:rPr>
                <w:rFonts w:ascii="仿宋_GB2312" w:hAnsi="仿宋_GB2312" w:cs="仿宋_GB2312" w:eastAsia="仿宋_GB2312"/>
                <w:sz w:val="24"/>
              </w:rPr>
              <w:t>3、管理影响工程造价调整的重点环节。审核设计变更、现场签证的调整，分析调整原因，比较调整方案，提出调整初步建议，报委托人和相关部门批准；检查涉及造价变更的资料是否及时报送，监理及建设单位是否及时把关，手续是否符合合同约定、是否及时、完整和真实。</w:t>
            </w:r>
          </w:p>
          <w:p>
            <w:pPr>
              <w:pStyle w:val="null3"/>
              <w:ind w:firstLine="480"/>
              <w:jc w:val="both"/>
            </w:pPr>
            <w:r>
              <w:rPr>
                <w:rFonts w:ascii="仿宋_GB2312" w:hAnsi="仿宋_GB2312" w:cs="仿宋_GB2312" w:eastAsia="仿宋_GB2312"/>
                <w:sz w:val="24"/>
              </w:rPr>
              <w:t>4、全程跟踪造价较大的工序和隐蔽工程。对照合同、预算和图纸，对影响造价较大的工序和隐蔽工程，确定控制点，提出跟踪要求和跟踪方法，检查是否按照图纸、合同和规范的要求完成，并及时上报给委托人和其他相关部门。</w:t>
            </w:r>
          </w:p>
          <w:p>
            <w:pPr>
              <w:pStyle w:val="null3"/>
              <w:ind w:firstLine="480"/>
              <w:jc w:val="both"/>
            </w:pPr>
            <w:r>
              <w:rPr>
                <w:rFonts w:ascii="仿宋_GB2312" w:hAnsi="仿宋_GB2312" w:cs="仿宋_GB2312" w:eastAsia="仿宋_GB2312"/>
                <w:sz w:val="24"/>
              </w:rPr>
              <w:t>5、跟踪管理重要材料、设备的采购。协助委托人进行材料设备采购，根据委托人的要求及时提交定价、采购、入库、领用等过程控制事项；检查实施的采购方式是否合法，程 序是否规范；所采购的材料、设备的质量是否达标，采购价格是否合理。</w:t>
            </w:r>
          </w:p>
          <w:p>
            <w:pPr>
              <w:pStyle w:val="null3"/>
              <w:ind w:firstLine="480"/>
              <w:jc w:val="both"/>
            </w:pPr>
            <w:r>
              <w:rPr>
                <w:rFonts w:ascii="仿宋_GB2312" w:hAnsi="仿宋_GB2312" w:cs="仿宋_GB2312" w:eastAsia="仿宋_GB2312"/>
                <w:sz w:val="24"/>
              </w:rPr>
              <w:t>6、参加建设项目有关会议，直至建设项目竣工验收交付使用，按月向委托人提交施工阶段造价咨询工作报告和年度总结报告。</w:t>
            </w:r>
          </w:p>
          <w:p>
            <w:pPr>
              <w:pStyle w:val="null3"/>
              <w:ind w:firstLine="480"/>
              <w:jc w:val="both"/>
            </w:pPr>
            <w:r>
              <w:rPr>
                <w:rFonts w:ascii="仿宋_GB2312" w:hAnsi="仿宋_GB2312" w:cs="仿宋_GB2312" w:eastAsia="仿宋_GB2312"/>
                <w:sz w:val="24"/>
              </w:rPr>
              <w:t>7、管理各合同中关于工期、安全、质量等奖惩条款的实际执行情况。</w:t>
            </w:r>
          </w:p>
          <w:p>
            <w:pPr>
              <w:pStyle w:val="null3"/>
              <w:ind w:firstLine="480"/>
              <w:jc w:val="both"/>
            </w:pPr>
            <w:r>
              <w:rPr>
                <w:rFonts w:ascii="仿宋_GB2312" w:hAnsi="仿宋_GB2312" w:cs="仿宋_GB2312" w:eastAsia="仿宋_GB2312"/>
                <w:sz w:val="24"/>
              </w:rPr>
              <w:t>8、根据施工合同及施工进度计划，参与编制工程投资资金计划，落实工程造价控制目标；对已完工程量，根据委托人的需要及时提供审计意见以及进度款支付意见；重大方案或设计变更，根据委托人的要求及时提交经济比较分析结论，供委托人决策参考；对无确定价格的工程材料，根据委托人的要求及时提交市场调查分析资料；对无相应定额可套用的项目进行分析和测定，编制补充子目，以便结算时使用；参与施工图纸会审及技术交底，及时审核施工过程中的设计变更，提交设计变更对项目造价的增加或减少等影响金额分析说明。</w:t>
            </w:r>
          </w:p>
          <w:p>
            <w:pPr>
              <w:pStyle w:val="null3"/>
              <w:ind w:firstLine="480"/>
              <w:jc w:val="both"/>
            </w:pPr>
            <w:r>
              <w:rPr>
                <w:rFonts w:ascii="仿宋_GB2312" w:hAnsi="仿宋_GB2312" w:cs="仿宋_GB2312" w:eastAsia="仿宋_GB2312"/>
                <w:sz w:val="24"/>
              </w:rPr>
              <w:t>9、跟踪检查建安工程资料的真实性、合法性、完整性。审查竣工图纸及相关资料的真实性，审查竣工资料与实物是否一致，审查对遗留问题的处理是否合法、合理，手续是否完善。</w:t>
            </w:r>
          </w:p>
          <w:p>
            <w:pPr>
              <w:pStyle w:val="null3"/>
              <w:ind w:firstLine="480"/>
              <w:jc w:val="both"/>
            </w:pPr>
            <w:r>
              <w:rPr>
                <w:rFonts w:ascii="仿宋_GB2312" w:hAnsi="仿宋_GB2312" w:cs="仿宋_GB2312" w:eastAsia="仿宋_GB2312"/>
                <w:sz w:val="24"/>
              </w:rPr>
              <w:t>10、完成委托人交办的其他与本项目造价咨询有关事项。</w:t>
            </w:r>
          </w:p>
          <w:p>
            <w:pPr>
              <w:pStyle w:val="null3"/>
              <w:jc w:val="both"/>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both"/>
            </w:pPr>
            <w:r>
              <w:rPr>
                <w:rFonts w:ascii="仿宋_GB2312" w:hAnsi="仿宋_GB2312" w:cs="仿宋_GB2312" w:eastAsia="仿宋_GB2312"/>
                <w:sz w:val="24"/>
              </w:rPr>
              <w:t>（一）服务方案要求</w:t>
            </w:r>
          </w:p>
          <w:p>
            <w:pPr>
              <w:pStyle w:val="null3"/>
              <w:ind w:firstLine="480"/>
              <w:jc w:val="both"/>
            </w:pPr>
            <w:r>
              <w:rPr>
                <w:rFonts w:ascii="仿宋_GB2312" w:hAnsi="仿宋_GB2312" w:cs="仿宋_GB2312" w:eastAsia="仿宋_GB2312"/>
                <w:sz w:val="24"/>
              </w:rPr>
              <w:t>1、供应商须提供项目服务方案，包括：①工程造价管控的管理理念和管理模式；②施工阶段全过程重难点分析；③全过程造价咨询工作主要方法和操作流程；④施工各阶段的前期控制重点；⑤全过程造价咨询人员配置；⑥质量控制；⑦进度控制；⑧服务承诺和质量保证措施等。</w:t>
            </w:r>
          </w:p>
          <w:p>
            <w:pPr>
              <w:pStyle w:val="null3"/>
              <w:ind w:firstLine="480"/>
              <w:jc w:val="both"/>
            </w:pPr>
            <w:r>
              <w:rPr>
                <w:rFonts w:ascii="仿宋_GB2312" w:hAnsi="仿宋_GB2312" w:cs="仿宋_GB2312" w:eastAsia="仿宋_GB2312"/>
                <w:sz w:val="24"/>
              </w:rPr>
              <w:t>2、供应商须提供的内控制度包括：①工作流程与控制；②技术档案管理制度；③质量控制管理制度；④内部财务管理制度；⑤廉政管理制度；⑥风险防范管理制度；⑦多级复核审查制度；⑧考核管理及保密制度；⑨人员分工及责任制度等。</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供应商须提供项目后续服务方案，包括：</w:t>
            </w:r>
            <w:r>
              <w:rPr>
                <w:rFonts w:ascii="仿宋_GB2312" w:hAnsi="仿宋_GB2312" w:cs="仿宋_GB2312" w:eastAsia="仿宋_GB2312"/>
                <w:sz w:val="24"/>
              </w:rPr>
              <w:t>①后续服务主要内容； ②后续服务响应时间； ③后续服务联系人员、联系方式等。</w:t>
            </w:r>
          </w:p>
          <w:p>
            <w:pPr>
              <w:pStyle w:val="null3"/>
              <w:ind w:firstLine="240"/>
              <w:jc w:val="both"/>
            </w:pPr>
            <w:r>
              <w:rPr>
                <w:rFonts w:ascii="仿宋_GB2312" w:hAnsi="仿宋_GB2312" w:cs="仿宋_GB2312" w:eastAsia="仿宋_GB2312"/>
                <w:sz w:val="24"/>
              </w:rPr>
              <w:t>（二）其他要求</w:t>
            </w:r>
          </w:p>
          <w:p>
            <w:pPr>
              <w:pStyle w:val="null3"/>
              <w:ind w:firstLine="480"/>
              <w:jc w:val="both"/>
            </w:pPr>
            <w:r>
              <w:rPr>
                <w:rFonts w:ascii="仿宋_GB2312" w:hAnsi="仿宋_GB2312" w:cs="仿宋_GB2312" w:eastAsia="仿宋_GB2312"/>
                <w:sz w:val="24"/>
              </w:rPr>
              <w:t>1、供应商需在规定时限内完成服务工作，并对所出具的相关文件承担相应的法律责任。</w:t>
            </w:r>
          </w:p>
          <w:p>
            <w:pPr>
              <w:pStyle w:val="null3"/>
              <w:ind w:firstLine="480"/>
              <w:jc w:val="both"/>
            </w:pPr>
            <w:r>
              <w:rPr>
                <w:rFonts w:ascii="仿宋_GB2312" w:hAnsi="仿宋_GB2312" w:cs="仿宋_GB2312" w:eastAsia="仿宋_GB2312"/>
                <w:sz w:val="24"/>
              </w:rPr>
              <w:t>2、本项目实施地现场情况由供应商自行踏勘，采购人不组织现场踏勘，供应商如未踏勘，视为已了解现场情况。踏勘现场所发生的费用由供应商自己承担，供应商进入现场后，由于自身的行为所造成的人身伤害（不管是否致命）、财产损失或损坏由供应商自行承担责任，采购人不承担任何责任。</w:t>
            </w:r>
          </w:p>
          <w:p>
            <w:pPr>
              <w:pStyle w:val="null3"/>
              <w:ind w:firstLine="480"/>
              <w:jc w:val="both"/>
            </w:pPr>
            <w:r>
              <w:rPr>
                <w:rFonts w:ascii="仿宋_GB2312" w:hAnsi="仿宋_GB2312" w:cs="仿宋_GB2312" w:eastAsia="仿宋_GB2312"/>
                <w:sz w:val="24"/>
              </w:rPr>
              <w:t>★3、成交供应商在项目实施过程中，应无条件配合采购人完成本项目范围内的相关事宜，接受采购人的指示，随时听从并接受采购人的安排，及时响应。（提供承诺函并加盖供应商公章，格式自拟）</w:t>
            </w:r>
          </w:p>
          <w:p>
            <w:pPr>
              <w:pStyle w:val="null3"/>
              <w:ind w:firstLine="480"/>
              <w:jc w:val="both"/>
            </w:pPr>
            <w:r>
              <w:rPr>
                <w:rFonts w:ascii="仿宋_GB2312" w:hAnsi="仿宋_GB2312" w:cs="仿宋_GB2312" w:eastAsia="仿宋_GB2312"/>
                <w:sz w:val="24"/>
              </w:rPr>
              <w:t>4、供应商提供自2021年1月1日至投标截止时间止工程造价咨询类似项目业绩。</w:t>
            </w:r>
          </w:p>
          <w:p>
            <w:pPr>
              <w:pStyle w:val="null3"/>
              <w:ind w:firstLine="240"/>
              <w:jc w:val="both"/>
            </w:pPr>
            <w:r>
              <w:rPr>
                <w:rFonts w:ascii="仿宋_GB2312" w:hAnsi="仿宋_GB2312" w:cs="仿宋_GB2312" w:eastAsia="仿宋_GB2312"/>
                <w:sz w:val="24"/>
              </w:rPr>
              <w:t>（五）服务标准</w:t>
            </w:r>
          </w:p>
          <w:p>
            <w:pPr>
              <w:pStyle w:val="null3"/>
              <w:ind w:firstLine="480"/>
              <w:jc w:val="both"/>
            </w:pPr>
            <w:r>
              <w:rPr>
                <w:rFonts w:ascii="仿宋_GB2312" w:hAnsi="仿宋_GB2312" w:cs="仿宋_GB2312" w:eastAsia="仿宋_GB2312"/>
                <w:sz w:val="24"/>
              </w:rPr>
              <w:t>供应商在项目实施过程当中须合理配置人员</w:t>
            </w:r>
            <w:r>
              <w:rPr>
                <w:rFonts w:ascii="仿宋_GB2312" w:hAnsi="仿宋_GB2312" w:cs="仿宋_GB2312" w:eastAsia="仿宋_GB2312"/>
                <w:sz w:val="24"/>
              </w:rPr>
              <w:t>（</w:t>
            </w:r>
            <w:r>
              <w:rPr>
                <w:rFonts w:ascii="仿宋_GB2312" w:hAnsi="仿宋_GB2312" w:cs="仿宋_GB2312" w:eastAsia="仿宋_GB2312"/>
                <w:sz w:val="24"/>
              </w:rPr>
              <w:t>至少配备</w:t>
            </w:r>
            <w:r>
              <w:rPr>
                <w:rFonts w:ascii="仿宋_GB2312" w:hAnsi="仿宋_GB2312" w:cs="仿宋_GB2312" w:eastAsia="仿宋_GB2312"/>
                <w:sz w:val="24"/>
              </w:rPr>
              <w:t>1名项目负责人、5名技术成员</w:t>
            </w:r>
            <w:r>
              <w:rPr>
                <w:rFonts w:ascii="仿宋_GB2312" w:hAnsi="仿宋_GB2312" w:cs="仿宋_GB2312" w:eastAsia="仿宋_GB2312"/>
                <w:sz w:val="24"/>
              </w:rPr>
              <w:t>）</w:t>
            </w:r>
            <w:r>
              <w:rPr>
                <w:rFonts w:ascii="仿宋_GB2312" w:hAnsi="仿宋_GB2312" w:cs="仿宋_GB2312" w:eastAsia="仿宋_GB2312"/>
                <w:sz w:val="24"/>
              </w:rPr>
              <w:t>，提供好各项服务。供应商提供的各种服务均须满足国家现行相关规范（或标准）</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注：</w:t>
            </w:r>
            <w:r>
              <w:rPr>
                <w:rFonts w:ascii="仿宋_GB2312" w:hAnsi="仿宋_GB2312" w:cs="仿宋_GB2312" w:eastAsia="仿宋_GB2312"/>
                <w:sz w:val="24"/>
              </w:rPr>
              <w:t>★为实质性要求不允许负偏离。</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自合同签订之日起1140日，工期总日历天数与根据前述计划日期计算的工期天数不一致的，以工期总日历天数为准。</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采购人指定地方</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本项目履约验收由采购人组织。验收时间：项目具备验收条件后10个工作日内；验收内容：本项目需要供应商提供的所有货物、服务；验收程序：成立1个验收小组。验收小组应当由熟悉掌握政府采购项目采购需求、服务需要的人员单数和监督人员组成。验收小组代表验收方履行验收工作职责，掌握采购需求、验收清单和标准、合同约定的权利义务，做好验收记录，提出验收意见，对验收报告内容负责，并签字确认。</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1、签订采购合同且采购人自收到供应商发票后，达到付款条件起30日内，据实情况说明为支付至合同总金额的40.00%</w:t>
            </w:r>
          </w:p>
          <w:p>
            <w:pPr>
              <w:pStyle w:val="null3"/>
              <w:jc w:val="left"/>
            </w:pPr>
            <w:r>
              <w:rPr>
                <w:rFonts w:ascii="仿宋_GB2312" w:hAnsi="仿宋_GB2312" w:cs="仿宋_GB2312" w:eastAsia="仿宋_GB2312"/>
              </w:rPr>
              <w:t>2、工程竣工验收合格后，达到付款条件起30日内，据实情况说明为支付至合同总金额的80.00%</w:t>
            </w:r>
          </w:p>
          <w:p>
            <w:pPr>
              <w:pStyle w:val="null3"/>
              <w:jc w:val="left"/>
            </w:pPr>
            <w:r>
              <w:rPr>
                <w:rFonts w:ascii="仿宋_GB2312" w:hAnsi="仿宋_GB2312" w:cs="仿宋_GB2312" w:eastAsia="仿宋_GB2312"/>
              </w:rPr>
              <w:t>3、竣工结算审核完成后，达到付款条件起30日内，据实情况说明为支付至合同总金额的100.00%</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1.采购人违约责任：（1）采购人应遵守合同并执行合同中的各项 规定，保证合同的正常履行。（2）采购人应按时支付合同金额，逾期支付服务合同款项的，除应及时付足合同款项外，应向供应商偿付欠款总额万分之一/天的违约金。 2.供应商违约责任：（1）供应商必需遵守采购合同并执行合同中的各项规定，保证采购合同的正常履行。（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3）供应商不能按时提供服务或逾期提供而违约的，除应及时提供服务外，应向采购人偿付逾期提供部分服务总额的万分之五/天的违约金；逾期超过30天，采购人有权终止合同，供应商则应按合同总价的百分之五的款额向采购人偿付违约金，并需全额退还采购人已经付给供应商的服务费。（4）供应商在履约过程中，所提供的服务经采购人考核不合格的，采购人有权要求供应商整改，供应商三次整改仍不符合要求的，采购人有权终止合同。（5）供应商应当遵守采购人的相关项目需求及相关技术要求及实质性条款，实施完成采购合同应当完全满足相关项目需求及相关技术要求及实质性条款，若供应商瑕疵履行采购合同，采购人有权向供应商要求赔偿合同总价款5%的违约金，若造成相关损失的，采购人有权要求供应商承担所有赔偿责任。 3.解决争议的方法：（1）在执行本合同中发生的或与本合同有关的争端，双方应通过友好协商解决，经协商在60天内不能达成协议时，双方均有权向采购人所在地人民法院提起诉讼 。（2）合同落款处双方通讯地址视为双方确认送达地址，适用于双方文件、函件往来、法院文书送达等。供应商地址变更应当书面告知采购人，否则采购人按照该地址送达视为有效送达。</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第三章“技术、服务及其他要求”中“3.2.技术要求”，“3.3.服务要求”所有内容。</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合同文本所有内容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须提供由行政主管部门核发的已加载法人和其他组织统一社会信用代码的营业执照；事业单位提供法人证书、组织机构代码证；自然人提供身份证（复印件）。</w:t>
            </w:r>
          </w:p>
        </w:tc>
        <w:tc>
          <w:tcPr>
            <w:tcW w:type="dxa" w:w="1910"/>
          </w:tcPr>
          <w:p>
            <w:pPr>
              <w:pStyle w:val="null3"/>
              <w:jc w:val="left"/>
            </w:pPr>
            <w:r>
              <w:rPr>
                <w:rFonts w:ascii="仿宋_GB2312" w:hAnsi="仿宋_GB2312" w:cs="仿宋_GB2312" w:eastAsia="仿宋_GB2312"/>
              </w:rPr>
              <w:t>响应文件封面,供应商应提交的相关证明材料,投标（响应）函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2023年度或2024年度，经审计的财务报告（包含审计报告和审计报告中所涉及的财务报表和报表附注）或者银行出具的资信证明。未经审计的提供财务报告（包括资产负债表、利润表、现金流量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磋商文件第三章 技术、服务及其他要求中带“★”的条款</w:t>
            </w:r>
          </w:p>
        </w:tc>
        <w:tc>
          <w:tcPr>
            <w:tcW w:type="dxa" w:w="3322"/>
          </w:tcPr>
          <w:p>
            <w:pPr>
              <w:pStyle w:val="null3"/>
              <w:jc w:val="left"/>
            </w:pPr>
            <w:r>
              <w:rPr>
                <w:rFonts w:ascii="仿宋_GB2312" w:hAnsi="仿宋_GB2312" w:cs="仿宋_GB2312" w:eastAsia="仿宋_GB2312"/>
              </w:rPr>
              <w:t>磋商文件第三章 技术、服务及其他要求中需响应的条款，供应商按照要求作出响应，否则视为不满足文件要求。</w:t>
            </w:r>
          </w:p>
        </w:tc>
        <w:tc>
          <w:tcPr>
            <w:tcW w:type="dxa" w:w="1910"/>
          </w:tcPr>
          <w:p>
            <w:pPr>
              <w:pStyle w:val="null3"/>
              <w:jc w:val="left"/>
            </w:pPr>
            <w:r>
              <w:rPr>
                <w:rFonts w:ascii="仿宋_GB2312" w:hAnsi="仿宋_GB2312" w:cs="仿宋_GB2312" w:eastAsia="仿宋_GB2312"/>
              </w:rPr>
              <w:t>供应商应提交的相关证明材料,商务应答表.docx,服务应答表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二、磋商小组所有成员集中与单一供应商对技术、服务、合同条款等内容分别进行一轮或多轮的磋商。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评审结束后，磋商小组应当进行复核，特别要对拟推荐为成交候选供应商的、报价最低的、响应文件被认定为无效的进行重点复核。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项目方案</w:t>
            </w:r>
          </w:p>
        </w:tc>
        <w:tc>
          <w:tcPr>
            <w:tcW w:type="dxa" w:w="2575"/>
          </w:tcPr>
          <w:p>
            <w:pPr>
              <w:pStyle w:val="null3"/>
              <w:jc w:val="left"/>
            </w:pPr>
            <w:r>
              <w:rPr>
                <w:rFonts w:ascii="仿宋_GB2312" w:hAnsi="仿宋_GB2312" w:cs="仿宋_GB2312" w:eastAsia="仿宋_GB2312"/>
              </w:rPr>
              <w:t>1、供应商须提供项目服务方案，包括：①工程造价管控的管理理念和管理模式；②施工阶段全过程重难点分析；③全过程造价咨询工作主要方法和操作流程；④施工各阶段的前期控制重点；⑤全过程造价咨询人员配置；⑥质量控制；⑦进度控制；⑧服务承诺和质量保证措施等。内容完全满足以上要求得24分，每缺少一项内容的扣3分；每有一处内容有缺陷的扣1.5分。扣完为止。 2、供应商须提供项目内控制度，包括：①工作流程与控制；②技术档案管理制度；③质量控制管理制度；④内部财务管理制度；⑤廉政管理制度；⑥风险防范管理制度；⑦多级复核审查制度；⑧考核管理及保密制度；⑨人员分工及责任制度等。内容完全满足以上要求得27分，每缺少一项内容的扣3分；每有一处内容有缺陷的扣1.5分。扣完为止。 3、供应商须提供项目后续服务方案，包括： ①后续服务主要内容； ②后续服务响应时间； ③后续服务联系人员、联系方式等。内容完全满足以上要求得9分，每缺少一项内容的扣3分；每有一处内容有缺陷的扣1.5分。扣完为止。 注：缺陷是指方案项目名称、项目编号、项目履约地点与本项目要求不一致；对同一问题前后表述矛盾；涉及的规范及标准错误；编写的内容和标准与本项目采购需求不相关或与要求不一致等。</w:t>
            </w:r>
          </w:p>
        </w:tc>
        <w:tc>
          <w:tcPr>
            <w:tcW w:type="dxa" w:w="831"/>
          </w:tcPr>
          <w:p>
            <w:pPr>
              <w:pStyle w:val="null3"/>
              <w:jc w:val="center"/>
            </w:pPr>
            <w:r>
              <w:rPr>
                <w:rFonts w:ascii="仿宋_GB2312" w:hAnsi="仿宋_GB2312" w:cs="仿宋_GB2312" w:eastAsia="仿宋_GB2312"/>
              </w:rPr>
              <w:t>60.0000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服务方案.docx</w:t>
            </w:r>
          </w:p>
          <w:p>
            <w:pPr>
              <w:pStyle w:val="null3"/>
              <w:jc w:val="left"/>
            </w:pPr>
            <w:r>
              <w:rPr>
                <w:rFonts w:ascii="仿宋_GB2312" w:hAnsi="仿宋_GB2312" w:cs="仿宋_GB2312" w:eastAsia="仿宋_GB2312"/>
              </w:rPr>
              <w:t>商务应答表.docx</w:t>
            </w:r>
          </w:p>
        </w:tc>
      </w:tr>
      <w:tr>
        <w:tc>
          <w:tcPr>
            <w:tcW w:type="dxa" w:w="831"/>
            <w:vMerge/>
          </w:tcPr>
          <w:p/>
        </w:tc>
        <w:tc>
          <w:tcPr>
            <w:tcW w:type="dxa" w:w="1661"/>
          </w:tcPr>
          <w:p>
            <w:pPr>
              <w:pStyle w:val="null3"/>
              <w:jc w:val="left"/>
            </w:pPr>
            <w:r>
              <w:rPr>
                <w:rFonts w:ascii="仿宋_GB2312" w:hAnsi="仿宋_GB2312" w:cs="仿宋_GB2312" w:eastAsia="仿宋_GB2312"/>
              </w:rPr>
              <w:t>人员配备</w:t>
            </w:r>
          </w:p>
        </w:tc>
        <w:tc>
          <w:tcPr>
            <w:tcW w:type="dxa" w:w="2575"/>
          </w:tcPr>
          <w:p>
            <w:pPr>
              <w:pStyle w:val="null3"/>
              <w:jc w:val="left"/>
            </w:pPr>
            <w:r>
              <w:rPr>
                <w:rFonts w:ascii="仿宋_GB2312" w:hAnsi="仿宋_GB2312" w:cs="仿宋_GB2312" w:eastAsia="仿宋_GB2312"/>
              </w:rPr>
              <w:t>一、项目负责人1人（6分） 1、具备高级及以上技术职称（工程造价专业），得3分；此项最高得3分。 2、具备一级造价工程师（土建专业或安装专业）或全国注册造价工程师（土建专业或安装专业），得3分；此项最高得3分。 二、项目组成员（15分） 项目组成员（不含项目负责人）按5人配置： 1、项目组成员中土建专业共4人：具有全国注册造价工程师（土建）或一级造价工程师（土木建筑工程专业）的，提供1人得2分；同时具有工程造价相关专业中级及以上职称加1分；此项最高得12分。 2、项目组成员中安装专业共1人，具有全国注册造价工程师（安装）或一级造价工程师（安装工程专业）的，提供1人得2分；同时具有工程造价相关专业中级及以上职称加1分；此项最高得3分。 注：1.以上岗位不得兼任，同一人员具备多个岗位资格的，不重复计分。2.以上人员均应是本单位注册人员，并提供有效注册证书和住房城乡建设部执业资格注册中心网络截图、职称证书、身份证复印件或扫描件均加盖供应商鲜章。3.未实行注册制度的提供在职人员相关证明材料复印件并加盖供应商鲜章。</w:t>
            </w:r>
          </w:p>
        </w:tc>
        <w:tc>
          <w:tcPr>
            <w:tcW w:type="dxa" w:w="831"/>
          </w:tcPr>
          <w:p>
            <w:pPr>
              <w:pStyle w:val="null3"/>
              <w:jc w:val="center"/>
            </w:pPr>
            <w:r>
              <w:rPr>
                <w:rFonts w:ascii="仿宋_GB2312" w:hAnsi="仿宋_GB2312" w:cs="仿宋_GB2312" w:eastAsia="仿宋_GB2312"/>
              </w:rPr>
              <w:t>21.0000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供应商自2021年1月1日至投标截止时间止每具备1个工程造价咨询类似项目业绩（以合同签订日期为准）得3分，本项最高得9分。 注：须提供中标（成交）通知书或合同复印件等相关证明材料并加盖供应商鲜章，不提供不得分。</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业绩证明材料.docx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详见附件：业绩证明材料.docx</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