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440101-2026-02151</w:t>
      </w:r>
    </w:p>
    <w:p>
      <w:pPr>
        <w:pStyle w:val="null3"/>
        <w:jc w:val="center"/>
        <w:outlineLvl w:val="3"/>
      </w:pPr>
      <w:r>
        <w:rPr>
          <w:sz w:val="24"/>
          <w:b/>
        </w:rPr>
        <w:t>采购项目编号：</w:t>
      </w:r>
      <w:r>
        <w:rPr>
          <w:sz w:val="24"/>
          <w:b/>
        </w:rPr>
        <w:t>GZGK26D020A0020Z</w:t>
      </w:r>
    </w:p>
    <w:p>
      <w:pPr>
        <w:pStyle w:val="null3"/>
        <w:jc w:val="center"/>
        <w:outlineLvl w:val="3"/>
      </w:pPr>
      <w:r>
        <w:rPr>
          <w:sz w:val="24"/>
          <w:b/>
        </w:rPr>
        <w:t>项目名称：</w:t>
      </w:r>
      <w:r>
        <w:rPr>
          <w:sz w:val="24"/>
          <w:b/>
        </w:rPr>
        <w:t>广州市机电技师学院智能实训教学设备购置项目（2026年）子项目3：VR技术研发实验室项目</w:t>
      </w:r>
    </w:p>
    <w:p>
      <w:pPr>
        <w:pStyle w:val="null3"/>
        <w:jc w:val="center"/>
        <w:outlineLvl w:val="3"/>
      </w:pPr>
      <w:r>
        <w:rPr>
          <w:sz w:val="24"/>
          <w:b/>
        </w:rPr>
        <w:t>采购人：</w:t>
      </w:r>
      <w:r>
        <w:rPr>
          <w:sz w:val="24"/>
          <w:b/>
        </w:rPr>
        <w:t>广州市机电技师学院</w:t>
      </w:r>
    </w:p>
    <w:p>
      <w:pPr>
        <w:pStyle w:val="null3"/>
        <w:jc w:val="center"/>
        <w:outlineLvl w:val="3"/>
      </w:pPr>
      <w:r>
        <w:rPr>
          <w:sz w:val="24"/>
          <w:b/>
        </w:rPr>
        <w:t>采购代理机构：</w:t>
      </w:r>
      <w:r>
        <w:rPr>
          <w:sz w:val="24"/>
          <w:b/>
        </w:rPr>
        <w:t>广东国科招标有限公司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广东国科招标有限公司</w:t>
      </w:r>
      <w:r>
        <w:rPr/>
        <w:t>受</w:t>
      </w:r>
      <w:r>
        <w:rPr/>
        <w:t>广州市机电技师学院</w:t>
      </w:r>
      <w:r>
        <w:rPr/>
        <w:t>的委托，采用</w:t>
      </w:r>
      <w:r>
        <w:rPr/>
        <w:t>公开招标</w:t>
      </w:r>
      <w:r>
        <w:rPr/>
        <w:t>方式组织采购</w:t>
      </w:r>
      <w:r>
        <w:rPr/>
        <w:t>广州市机电技师学院智能实训教学设备购置项目（2026年）子项目3：VR技术研发实验室项目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广州市机电技师学院智能实训教学设备购置项目（2026年）子项目3：VR技术研发实验室项目</w:t>
      </w:r>
    </w:p>
    <w:p>
      <w:pPr>
        <w:pStyle w:val="null3"/>
        <w:ind w:firstLine="480"/>
      </w:pPr>
      <w:r>
        <w:rPr/>
        <w:t>采购计划编号：</w:t>
      </w:r>
      <w:r>
        <w:rPr/>
        <w:t>440101-2026-02151</w:t>
      </w:r>
    </w:p>
    <w:p>
      <w:pPr>
        <w:pStyle w:val="null3"/>
        <w:ind w:firstLine="480"/>
      </w:pPr>
      <w:r>
        <w:rPr/>
        <w:t>采购项目编号：</w:t>
      </w:r>
      <w:r>
        <w:rPr/>
        <w:t>GZGK26D020A0020Z</w:t>
      </w:r>
    </w:p>
    <w:p>
      <w:pPr>
        <w:pStyle w:val="null3"/>
        <w:ind w:firstLine="480"/>
      </w:pPr>
      <w:r>
        <w:rPr/>
        <w:t>采购方式：</w:t>
      </w:r>
      <w:r>
        <w:rPr/>
        <w:t>公开招标</w:t>
      </w:r>
    </w:p>
    <w:p>
      <w:pPr>
        <w:pStyle w:val="null3"/>
        <w:ind w:firstLine="480"/>
      </w:pPr>
      <w:r>
        <w:rPr/>
        <w:t>预算金额：</w:t>
      </w:r>
      <w:r>
        <w:rPr/>
        <w:t>1,088,000.00</w:t>
      </w:r>
      <w:r>
        <w:rPr/>
        <w:t>元</w:t>
      </w:r>
    </w:p>
    <w:p>
      <w:pPr>
        <w:pStyle w:val="null3"/>
        <w:outlineLvl w:val="3"/>
      </w:pPr>
      <w:r>
        <w:rPr>
          <w:sz w:val="24"/>
          <w:b/>
        </w:rPr>
        <w:t>2.项目内容及需求情况（采购项目技术规格、参数及要求）</w:t>
      </w:r>
    </w:p>
    <w:p>
      <w:pPr>
        <w:pStyle w:val="null3"/>
      </w:pPr>
      <w:r>
        <w:rPr/>
        <w:t>采购包1(子项目3：VR技术研发实验室项目):</w:t>
      </w:r>
    </w:p>
    <w:p>
      <w:pPr>
        <w:pStyle w:val="null3"/>
      </w:pPr>
      <w:r>
        <w:rPr/>
        <w:t>采购包预算金额：1,088,000.00元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其他计算机</w:t>
            </w:r>
          </w:p>
        </w:tc>
        <w:tc>
          <w:tcPr>
            <w:tcW w:type="dxa" w:w="2052"/>
          </w:tcPr>
          <w:p>
            <w:pPr>
              <w:pStyle w:val="null3"/>
            </w:pPr>
            <w:r>
              <w:rPr/>
              <w:t>VR设计岗位配套硬件设备</w:t>
            </w:r>
          </w:p>
        </w:tc>
        <w:tc>
          <w:tcPr>
            <w:tcW w:type="dxa" w:w="977"/>
          </w:tcPr>
          <w:p>
            <w:pPr>
              <w:pStyle w:val="null3"/>
            </w:pPr>
            <w:r>
              <w:rPr/>
              <w:t>41(套)</w:t>
            </w:r>
          </w:p>
        </w:tc>
        <w:tc>
          <w:tcPr>
            <w:tcW w:type="dxa" w:w="977"/>
          </w:tcPr>
          <w:p>
            <w:pPr>
              <w:pStyle w:val="null3"/>
            </w:pPr>
            <w:r>
              <w:rPr/>
              <w:t>详见第二章</w:t>
            </w:r>
          </w:p>
        </w:tc>
        <w:tc>
          <w:tcPr>
            <w:tcW w:type="dxa" w:w="977"/>
          </w:tcPr>
          <w:p>
            <w:pPr>
              <w:pStyle w:val="null3"/>
            </w:pPr>
            <w:r>
              <w:rPr/>
              <w:t>688,800.00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教学仪器</w:t>
            </w:r>
          </w:p>
        </w:tc>
        <w:tc>
          <w:tcPr>
            <w:tcW w:type="dxa" w:w="2052"/>
          </w:tcPr>
          <w:p>
            <w:pPr>
              <w:pStyle w:val="null3"/>
            </w:pPr>
            <w:r>
              <w:rPr/>
              <w:t>VR模型外接雕刻设备（学生用）</w:t>
            </w:r>
          </w:p>
        </w:tc>
        <w:tc>
          <w:tcPr>
            <w:tcW w:type="dxa" w:w="977"/>
          </w:tcPr>
          <w:p>
            <w:pPr>
              <w:pStyle w:val="null3"/>
            </w:pPr>
            <w:r>
              <w:rPr/>
              <w:t>40(套)</w:t>
            </w:r>
          </w:p>
        </w:tc>
        <w:tc>
          <w:tcPr>
            <w:tcW w:type="dxa" w:w="977"/>
          </w:tcPr>
          <w:p>
            <w:pPr>
              <w:pStyle w:val="null3"/>
            </w:pPr>
            <w:r>
              <w:rPr/>
              <w:t>详见第二章</w:t>
            </w:r>
          </w:p>
        </w:tc>
        <w:tc>
          <w:tcPr>
            <w:tcW w:type="dxa" w:w="977"/>
          </w:tcPr>
          <w:p>
            <w:pPr>
              <w:pStyle w:val="null3"/>
            </w:pPr>
            <w:r>
              <w:rPr/>
              <w:t>41,000.00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教学仪器</w:t>
            </w:r>
          </w:p>
        </w:tc>
        <w:tc>
          <w:tcPr>
            <w:tcW w:type="dxa" w:w="2052"/>
          </w:tcPr>
          <w:p>
            <w:pPr>
              <w:pStyle w:val="null3"/>
            </w:pPr>
            <w:r>
              <w:rPr/>
              <w:t>VR模型外接雕刻设备（教师用）</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9,000.00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教学仪器</w:t>
            </w:r>
          </w:p>
        </w:tc>
        <w:tc>
          <w:tcPr>
            <w:tcW w:type="dxa" w:w="2052"/>
          </w:tcPr>
          <w:p>
            <w:pPr>
              <w:pStyle w:val="null3"/>
            </w:pPr>
            <w:r>
              <w:rPr/>
              <w:t>VR设计设备移动收纳箱</w:t>
            </w:r>
          </w:p>
        </w:tc>
        <w:tc>
          <w:tcPr>
            <w:tcW w:type="dxa" w:w="977"/>
          </w:tcPr>
          <w:p>
            <w:pPr>
              <w:pStyle w:val="null3"/>
            </w:pPr>
            <w:r>
              <w:rPr/>
              <w:t>1(个)</w:t>
            </w:r>
          </w:p>
        </w:tc>
        <w:tc>
          <w:tcPr>
            <w:tcW w:type="dxa" w:w="977"/>
          </w:tcPr>
          <w:p>
            <w:pPr>
              <w:pStyle w:val="null3"/>
            </w:pPr>
            <w:r>
              <w:rPr/>
              <w:t>详见第二章</w:t>
            </w:r>
          </w:p>
        </w:tc>
        <w:tc>
          <w:tcPr>
            <w:tcW w:type="dxa" w:w="977"/>
          </w:tcPr>
          <w:p>
            <w:pPr>
              <w:pStyle w:val="null3"/>
            </w:pPr>
            <w:r>
              <w:rPr/>
              <w:t>1,600.00</w:t>
            </w:r>
          </w:p>
        </w:tc>
        <w:tc>
          <w:tcPr>
            <w:tcW w:type="dxa" w:w="977"/>
          </w:tcPr>
          <w:p>
            <w:pPr>
              <w:pStyle w:val="null3"/>
            </w:pPr>
            <w:r>
              <w:rPr/>
              <w:t>否</w:t>
            </w:r>
          </w:p>
        </w:tc>
      </w:tr>
      <w:tr>
        <w:tc>
          <w:tcPr>
            <w:tcW w:type="dxa" w:w="977"/>
          </w:tcPr>
          <w:p>
            <w:pPr>
              <w:pStyle w:val="null3"/>
            </w:pPr>
            <w:r>
              <w:rPr/>
              <w:t>1-5</w:t>
            </w:r>
          </w:p>
        </w:tc>
        <w:tc>
          <w:tcPr>
            <w:tcW w:type="dxa" w:w="1368"/>
          </w:tcPr>
          <w:p>
            <w:pPr>
              <w:pStyle w:val="null3"/>
            </w:pPr>
            <w:r>
              <w:rPr/>
              <w:t>教学仪器</w:t>
            </w:r>
          </w:p>
        </w:tc>
        <w:tc>
          <w:tcPr>
            <w:tcW w:type="dxa" w:w="2052"/>
          </w:tcPr>
          <w:p>
            <w:pPr>
              <w:pStyle w:val="null3"/>
            </w:pPr>
            <w:r>
              <w:rPr/>
              <w:t>VR本地资源库存储介质</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42,000.00</w:t>
            </w:r>
          </w:p>
        </w:tc>
        <w:tc>
          <w:tcPr>
            <w:tcW w:type="dxa" w:w="977"/>
          </w:tcPr>
          <w:p>
            <w:pPr>
              <w:pStyle w:val="null3"/>
            </w:pPr>
            <w:r>
              <w:rPr/>
              <w:t>否</w:t>
            </w:r>
          </w:p>
        </w:tc>
      </w:tr>
      <w:tr>
        <w:tc>
          <w:tcPr>
            <w:tcW w:type="dxa" w:w="977"/>
          </w:tcPr>
          <w:p>
            <w:pPr>
              <w:pStyle w:val="null3"/>
            </w:pPr>
            <w:r>
              <w:rPr/>
              <w:t>1-6</w:t>
            </w:r>
          </w:p>
        </w:tc>
        <w:tc>
          <w:tcPr>
            <w:tcW w:type="dxa" w:w="1368"/>
          </w:tcPr>
          <w:p>
            <w:pPr>
              <w:pStyle w:val="null3"/>
            </w:pPr>
            <w:r>
              <w:rPr/>
              <w:t>教学仪器</w:t>
            </w:r>
          </w:p>
        </w:tc>
        <w:tc>
          <w:tcPr>
            <w:tcW w:type="dxa" w:w="2052"/>
          </w:tcPr>
          <w:p>
            <w:pPr>
              <w:pStyle w:val="null3"/>
            </w:pPr>
            <w:r>
              <w:rPr/>
              <w:t>VR眼镜</w:t>
            </w:r>
          </w:p>
        </w:tc>
        <w:tc>
          <w:tcPr>
            <w:tcW w:type="dxa" w:w="977"/>
          </w:tcPr>
          <w:p>
            <w:pPr>
              <w:pStyle w:val="null3"/>
            </w:pPr>
            <w:r>
              <w:rPr/>
              <w:t>20(个)</w:t>
            </w:r>
          </w:p>
        </w:tc>
        <w:tc>
          <w:tcPr>
            <w:tcW w:type="dxa" w:w="977"/>
          </w:tcPr>
          <w:p>
            <w:pPr>
              <w:pStyle w:val="null3"/>
            </w:pPr>
            <w:r>
              <w:rPr/>
              <w:t>详见第二章</w:t>
            </w:r>
          </w:p>
        </w:tc>
        <w:tc>
          <w:tcPr>
            <w:tcW w:type="dxa" w:w="977"/>
          </w:tcPr>
          <w:p>
            <w:pPr>
              <w:pStyle w:val="null3"/>
            </w:pPr>
            <w:r>
              <w:rPr/>
              <w:t>110,000.00</w:t>
            </w:r>
          </w:p>
        </w:tc>
        <w:tc>
          <w:tcPr>
            <w:tcW w:type="dxa" w:w="977"/>
          </w:tcPr>
          <w:p>
            <w:pPr>
              <w:pStyle w:val="null3"/>
            </w:pPr>
            <w:r>
              <w:rPr/>
              <w:t>否</w:t>
            </w:r>
          </w:p>
        </w:tc>
      </w:tr>
      <w:tr>
        <w:tc>
          <w:tcPr>
            <w:tcW w:type="dxa" w:w="977"/>
          </w:tcPr>
          <w:p>
            <w:pPr>
              <w:pStyle w:val="null3"/>
            </w:pPr>
            <w:r>
              <w:rPr/>
              <w:t>1-7</w:t>
            </w:r>
          </w:p>
        </w:tc>
        <w:tc>
          <w:tcPr>
            <w:tcW w:type="dxa" w:w="1368"/>
          </w:tcPr>
          <w:p>
            <w:pPr>
              <w:pStyle w:val="null3"/>
            </w:pPr>
            <w:r>
              <w:rPr/>
              <w:t>教学、实验用桌</w:t>
            </w:r>
          </w:p>
        </w:tc>
        <w:tc>
          <w:tcPr>
            <w:tcW w:type="dxa" w:w="2052"/>
          </w:tcPr>
          <w:p>
            <w:pPr>
              <w:pStyle w:val="null3"/>
            </w:pPr>
            <w:r>
              <w:rPr/>
              <w:t>教学工作台</w:t>
            </w:r>
          </w:p>
        </w:tc>
        <w:tc>
          <w:tcPr>
            <w:tcW w:type="dxa" w:w="977"/>
          </w:tcPr>
          <w:p>
            <w:pPr>
              <w:pStyle w:val="null3"/>
            </w:pPr>
            <w:r>
              <w:rPr/>
              <w:t>31(个)</w:t>
            </w:r>
          </w:p>
        </w:tc>
        <w:tc>
          <w:tcPr>
            <w:tcW w:type="dxa" w:w="977"/>
          </w:tcPr>
          <w:p>
            <w:pPr>
              <w:pStyle w:val="null3"/>
            </w:pPr>
            <w:r>
              <w:rPr/>
              <w:t>详见第二章</w:t>
            </w:r>
          </w:p>
        </w:tc>
        <w:tc>
          <w:tcPr>
            <w:tcW w:type="dxa" w:w="977"/>
          </w:tcPr>
          <w:p>
            <w:pPr>
              <w:pStyle w:val="null3"/>
            </w:pPr>
            <w:r>
              <w:rPr/>
              <w:t>21,700.00</w:t>
            </w:r>
          </w:p>
        </w:tc>
        <w:tc>
          <w:tcPr>
            <w:tcW w:type="dxa" w:w="977"/>
          </w:tcPr>
          <w:p>
            <w:pPr>
              <w:pStyle w:val="null3"/>
            </w:pPr>
            <w:r>
              <w:rPr/>
              <w:t>否</w:t>
            </w:r>
          </w:p>
        </w:tc>
      </w:tr>
      <w:tr>
        <w:tc>
          <w:tcPr>
            <w:tcW w:type="dxa" w:w="977"/>
          </w:tcPr>
          <w:p>
            <w:pPr>
              <w:pStyle w:val="null3"/>
            </w:pPr>
            <w:r>
              <w:rPr/>
              <w:t>1-8</w:t>
            </w:r>
          </w:p>
        </w:tc>
        <w:tc>
          <w:tcPr>
            <w:tcW w:type="dxa" w:w="1368"/>
          </w:tcPr>
          <w:p>
            <w:pPr>
              <w:pStyle w:val="null3"/>
            </w:pPr>
            <w:r>
              <w:rPr/>
              <w:t>教学、实验椅凳</w:t>
            </w:r>
          </w:p>
        </w:tc>
        <w:tc>
          <w:tcPr>
            <w:tcW w:type="dxa" w:w="2052"/>
          </w:tcPr>
          <w:p>
            <w:pPr>
              <w:pStyle w:val="null3"/>
            </w:pPr>
            <w:r>
              <w:rPr/>
              <w:t>教学工作椅</w:t>
            </w:r>
          </w:p>
        </w:tc>
        <w:tc>
          <w:tcPr>
            <w:tcW w:type="dxa" w:w="977"/>
          </w:tcPr>
          <w:p>
            <w:pPr>
              <w:pStyle w:val="null3"/>
            </w:pPr>
            <w:r>
              <w:rPr/>
              <w:t>61(个)</w:t>
            </w:r>
          </w:p>
        </w:tc>
        <w:tc>
          <w:tcPr>
            <w:tcW w:type="dxa" w:w="977"/>
          </w:tcPr>
          <w:p>
            <w:pPr>
              <w:pStyle w:val="null3"/>
            </w:pPr>
            <w:r>
              <w:rPr/>
              <w:t>详见第二章</w:t>
            </w:r>
          </w:p>
        </w:tc>
        <w:tc>
          <w:tcPr>
            <w:tcW w:type="dxa" w:w="977"/>
          </w:tcPr>
          <w:p>
            <w:pPr>
              <w:pStyle w:val="null3"/>
            </w:pPr>
            <w:r>
              <w:rPr/>
              <w:t>6,100.00</w:t>
            </w:r>
          </w:p>
        </w:tc>
        <w:tc>
          <w:tcPr>
            <w:tcW w:type="dxa" w:w="977"/>
          </w:tcPr>
          <w:p>
            <w:pPr>
              <w:pStyle w:val="null3"/>
            </w:pPr>
            <w:r>
              <w:rPr/>
              <w:t>否</w:t>
            </w:r>
          </w:p>
        </w:tc>
      </w:tr>
      <w:tr>
        <w:tc>
          <w:tcPr>
            <w:tcW w:type="dxa" w:w="977"/>
          </w:tcPr>
          <w:p>
            <w:pPr>
              <w:pStyle w:val="null3"/>
            </w:pPr>
            <w:r>
              <w:rPr/>
              <w:t>1-9</w:t>
            </w:r>
          </w:p>
        </w:tc>
        <w:tc>
          <w:tcPr>
            <w:tcW w:type="dxa" w:w="1368"/>
          </w:tcPr>
          <w:p>
            <w:pPr>
              <w:pStyle w:val="null3"/>
            </w:pPr>
            <w:r>
              <w:rPr/>
              <w:t>其他计算机软件</w:t>
            </w:r>
          </w:p>
        </w:tc>
        <w:tc>
          <w:tcPr>
            <w:tcW w:type="dxa" w:w="2052"/>
          </w:tcPr>
          <w:p>
            <w:pPr>
              <w:pStyle w:val="null3"/>
            </w:pPr>
            <w:r>
              <w:rPr/>
              <w:t>AIGC数字艺术实践平台</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68,000.00</w:t>
            </w:r>
          </w:p>
        </w:tc>
        <w:tc>
          <w:tcPr>
            <w:tcW w:type="dxa" w:w="977"/>
          </w:tcPr>
          <w:p>
            <w:pPr>
              <w:pStyle w:val="null3"/>
            </w:pPr>
            <w:r>
              <w:rPr/>
              <w:t>否</w:t>
            </w:r>
          </w:p>
        </w:tc>
      </w:tr>
      <w:tr>
        <w:tc>
          <w:tcPr>
            <w:tcW w:type="dxa" w:w="977"/>
          </w:tcPr>
          <w:p>
            <w:pPr>
              <w:pStyle w:val="null3"/>
            </w:pPr>
            <w:r>
              <w:rPr/>
              <w:t>1-10</w:t>
            </w:r>
          </w:p>
        </w:tc>
        <w:tc>
          <w:tcPr>
            <w:tcW w:type="dxa" w:w="1368"/>
          </w:tcPr>
          <w:p>
            <w:pPr>
              <w:pStyle w:val="null3"/>
            </w:pPr>
            <w:r>
              <w:rPr/>
              <w:t>其他计算机</w:t>
            </w:r>
          </w:p>
        </w:tc>
        <w:tc>
          <w:tcPr>
            <w:tcW w:type="dxa" w:w="2052"/>
          </w:tcPr>
          <w:p>
            <w:pPr>
              <w:pStyle w:val="null3"/>
            </w:pPr>
            <w:r>
              <w:rPr/>
              <w:t>AIGC数字平台搭载设备</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85,800.00</w:t>
            </w:r>
          </w:p>
        </w:tc>
        <w:tc>
          <w:tcPr>
            <w:tcW w:type="dxa" w:w="977"/>
          </w:tcPr>
          <w:p>
            <w:pPr>
              <w:pStyle w:val="null3"/>
            </w:pPr>
            <w:r>
              <w:rPr/>
              <w:t>否</w:t>
            </w:r>
          </w:p>
        </w:tc>
      </w:tr>
      <w:tr>
        <w:tc>
          <w:tcPr>
            <w:tcW w:type="dxa" w:w="977"/>
          </w:tcPr>
          <w:p>
            <w:pPr>
              <w:pStyle w:val="null3"/>
            </w:pPr>
            <w:r>
              <w:rPr/>
              <w:t>1-11</w:t>
            </w:r>
          </w:p>
        </w:tc>
        <w:tc>
          <w:tcPr>
            <w:tcW w:type="dxa" w:w="1368"/>
          </w:tcPr>
          <w:p>
            <w:pPr>
              <w:pStyle w:val="null3"/>
            </w:pPr>
            <w:r>
              <w:rPr/>
              <w:t>其他计算机软件</w:t>
            </w:r>
          </w:p>
        </w:tc>
        <w:tc>
          <w:tcPr>
            <w:tcW w:type="dxa" w:w="2052"/>
          </w:tcPr>
          <w:p>
            <w:pPr>
              <w:pStyle w:val="null3"/>
            </w:pPr>
            <w:r>
              <w:rPr/>
              <w:t>教学云终端管理平台</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1,000.00</w:t>
            </w:r>
          </w:p>
        </w:tc>
        <w:tc>
          <w:tcPr>
            <w:tcW w:type="dxa" w:w="977"/>
          </w:tcPr>
          <w:p>
            <w:pPr>
              <w:pStyle w:val="null3"/>
            </w:pPr>
            <w:r>
              <w:rPr/>
              <w:t>否</w:t>
            </w:r>
          </w:p>
        </w:tc>
      </w:tr>
      <w:tr>
        <w:tc>
          <w:tcPr>
            <w:tcW w:type="dxa" w:w="977"/>
          </w:tcPr>
          <w:p>
            <w:pPr>
              <w:pStyle w:val="null3"/>
            </w:pPr>
            <w:r>
              <w:rPr/>
              <w:t>1-12</w:t>
            </w:r>
          </w:p>
        </w:tc>
        <w:tc>
          <w:tcPr>
            <w:tcW w:type="dxa" w:w="1368"/>
          </w:tcPr>
          <w:p>
            <w:pPr>
              <w:pStyle w:val="null3"/>
            </w:pPr>
            <w:r>
              <w:rPr/>
              <w:t>交换设备</w:t>
            </w:r>
          </w:p>
        </w:tc>
        <w:tc>
          <w:tcPr>
            <w:tcW w:type="dxa" w:w="2052"/>
          </w:tcPr>
          <w:p>
            <w:pPr>
              <w:pStyle w:val="null3"/>
            </w:pPr>
            <w:r>
              <w:rPr/>
              <w:t>24口千兆交换机</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6,400.00</w:t>
            </w:r>
          </w:p>
        </w:tc>
        <w:tc>
          <w:tcPr>
            <w:tcW w:type="dxa" w:w="977"/>
          </w:tcPr>
          <w:p>
            <w:pPr>
              <w:pStyle w:val="null3"/>
            </w:pPr>
            <w:r>
              <w:rPr/>
              <w:t>否</w:t>
            </w:r>
          </w:p>
        </w:tc>
      </w:tr>
      <w:tr>
        <w:tc>
          <w:tcPr>
            <w:tcW w:type="dxa" w:w="977"/>
          </w:tcPr>
          <w:p>
            <w:pPr>
              <w:pStyle w:val="null3"/>
            </w:pPr>
            <w:r>
              <w:rPr/>
              <w:t>1-13</w:t>
            </w:r>
          </w:p>
        </w:tc>
        <w:tc>
          <w:tcPr>
            <w:tcW w:type="dxa" w:w="1368"/>
          </w:tcPr>
          <w:p>
            <w:pPr>
              <w:pStyle w:val="null3"/>
            </w:pPr>
            <w:r>
              <w:rPr/>
              <w:t>机柜</w:t>
            </w:r>
          </w:p>
        </w:tc>
        <w:tc>
          <w:tcPr>
            <w:tcW w:type="dxa" w:w="2052"/>
          </w:tcPr>
          <w:p>
            <w:pPr>
              <w:pStyle w:val="null3"/>
            </w:pPr>
            <w:r>
              <w:rPr/>
              <w:t>网络机柜</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800.00</w:t>
            </w:r>
          </w:p>
        </w:tc>
        <w:tc>
          <w:tcPr>
            <w:tcW w:type="dxa" w:w="977"/>
          </w:tcPr>
          <w:p>
            <w:pPr>
              <w:pStyle w:val="null3"/>
            </w:pPr>
            <w:r>
              <w:rPr/>
              <w:t>否</w:t>
            </w:r>
          </w:p>
        </w:tc>
      </w:tr>
      <w:tr>
        <w:tc>
          <w:tcPr>
            <w:tcW w:type="dxa" w:w="977"/>
          </w:tcPr>
          <w:p>
            <w:pPr>
              <w:pStyle w:val="null3"/>
            </w:pPr>
            <w:r>
              <w:rPr/>
              <w:t>1-14</w:t>
            </w:r>
          </w:p>
        </w:tc>
        <w:tc>
          <w:tcPr>
            <w:tcW w:type="dxa" w:w="1368"/>
          </w:tcPr>
          <w:p>
            <w:pPr>
              <w:pStyle w:val="null3"/>
            </w:pPr>
            <w:r>
              <w:rPr/>
              <w:t>音箱</w:t>
            </w:r>
          </w:p>
        </w:tc>
        <w:tc>
          <w:tcPr>
            <w:tcW w:type="dxa" w:w="2052"/>
          </w:tcPr>
          <w:p>
            <w:pPr>
              <w:pStyle w:val="null3"/>
            </w:pPr>
            <w:r>
              <w:rPr/>
              <w:t>音箱</w:t>
            </w:r>
          </w:p>
        </w:tc>
        <w:tc>
          <w:tcPr>
            <w:tcW w:type="dxa" w:w="977"/>
          </w:tcPr>
          <w:p>
            <w:pPr>
              <w:pStyle w:val="null3"/>
            </w:pPr>
            <w:r>
              <w:rPr/>
              <w:t>2(对)</w:t>
            </w:r>
          </w:p>
        </w:tc>
        <w:tc>
          <w:tcPr>
            <w:tcW w:type="dxa" w:w="977"/>
          </w:tcPr>
          <w:p>
            <w:pPr>
              <w:pStyle w:val="null3"/>
            </w:pPr>
            <w:r>
              <w:rPr/>
              <w:t>详见第二章</w:t>
            </w:r>
          </w:p>
        </w:tc>
        <w:tc>
          <w:tcPr>
            <w:tcW w:type="dxa" w:w="977"/>
          </w:tcPr>
          <w:p>
            <w:pPr>
              <w:pStyle w:val="null3"/>
            </w:pPr>
            <w:r>
              <w:rPr/>
              <w:t>3,200.00</w:t>
            </w:r>
          </w:p>
        </w:tc>
        <w:tc>
          <w:tcPr>
            <w:tcW w:type="dxa" w:w="977"/>
          </w:tcPr>
          <w:p>
            <w:pPr>
              <w:pStyle w:val="null3"/>
            </w:pPr>
            <w:r>
              <w:rPr/>
              <w:t>否</w:t>
            </w:r>
          </w:p>
        </w:tc>
      </w:tr>
      <w:tr>
        <w:tc>
          <w:tcPr>
            <w:tcW w:type="dxa" w:w="977"/>
          </w:tcPr>
          <w:p>
            <w:pPr>
              <w:pStyle w:val="null3"/>
            </w:pPr>
            <w:r>
              <w:rPr/>
              <w:t>1-15</w:t>
            </w:r>
          </w:p>
        </w:tc>
        <w:tc>
          <w:tcPr>
            <w:tcW w:type="dxa" w:w="1368"/>
          </w:tcPr>
          <w:p>
            <w:pPr>
              <w:pStyle w:val="null3"/>
            </w:pPr>
            <w:r>
              <w:rPr/>
              <w:t>其他输入输出设备</w:t>
            </w:r>
          </w:p>
        </w:tc>
        <w:tc>
          <w:tcPr>
            <w:tcW w:type="dxa" w:w="2052"/>
          </w:tcPr>
          <w:p>
            <w:pPr>
              <w:pStyle w:val="null3"/>
            </w:pPr>
            <w:r>
              <w:rPr/>
              <w:t>大功率功放</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1,800.00</w:t>
            </w:r>
          </w:p>
        </w:tc>
        <w:tc>
          <w:tcPr>
            <w:tcW w:type="dxa" w:w="977"/>
          </w:tcPr>
          <w:p>
            <w:pPr>
              <w:pStyle w:val="null3"/>
            </w:pPr>
            <w:r>
              <w:rPr/>
              <w:t>否</w:t>
            </w:r>
          </w:p>
        </w:tc>
      </w:tr>
      <w:tr>
        <w:tc>
          <w:tcPr>
            <w:tcW w:type="dxa" w:w="977"/>
          </w:tcPr>
          <w:p>
            <w:pPr>
              <w:pStyle w:val="null3"/>
            </w:pPr>
            <w:r>
              <w:rPr/>
              <w:t>1-16</w:t>
            </w:r>
          </w:p>
        </w:tc>
        <w:tc>
          <w:tcPr>
            <w:tcW w:type="dxa" w:w="1368"/>
          </w:tcPr>
          <w:p>
            <w:pPr>
              <w:pStyle w:val="null3"/>
            </w:pPr>
            <w:r>
              <w:rPr/>
              <w:t>话筒设备</w:t>
            </w:r>
          </w:p>
        </w:tc>
        <w:tc>
          <w:tcPr>
            <w:tcW w:type="dxa" w:w="2052"/>
          </w:tcPr>
          <w:p>
            <w:pPr>
              <w:pStyle w:val="null3"/>
            </w:pPr>
            <w:r>
              <w:rPr/>
              <w:t>无线U段麦克风</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800.00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合同履行期限：见“标的提供时间”要求。</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2）有依法缴纳税收和社会保障资金的良好记录：依据投标函相关承诺格式内容</w:t>
      </w:r>
    </w:p>
    <w:p>
      <w:pPr>
        <w:pStyle w:val="null3"/>
      </w:pPr>
      <w:r>
        <w:rPr/>
        <w:t>3）具有良好的商业信誉和健全的财务会计制度：依据投标函相关承诺格式内容</w:t>
      </w:r>
    </w:p>
    <w:p>
      <w:pPr>
        <w:pStyle w:val="null3"/>
      </w:pPr>
      <w:r>
        <w:rPr/>
        <w:t>4）履行合同所必需的设备和专业技术能力：依据投标函相关承诺格式内容或提供具有履行合同所必需的设备和专业技术能力的其他证明材料。</w:t>
      </w:r>
    </w:p>
    <w:p>
      <w:pPr>
        <w:pStyle w:val="null3"/>
      </w:pPr>
      <w:r>
        <w:rPr/>
        <w:t>5）参加采购活动前3年内，在经营活动中没有重大违法记录：依据投标函相关承诺格式内容。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采购包1（子项目3：VR技术研发实验室项目）：</w:t>
      </w:r>
      <w:r>
        <w:rPr/>
        <w:t>本采购包不属于专门面向中小企业采购的项目。</w:t>
      </w:r>
    </w:p>
    <w:p>
      <w:pPr>
        <w:pStyle w:val="null3"/>
        <w:outlineLvl w:val="3"/>
      </w:pPr>
      <w:r>
        <w:rPr>
          <w:sz w:val="24"/>
          <w:b/>
        </w:rPr>
        <w:t>3.本项目特定的资格要求：</w:t>
      </w:r>
    </w:p>
    <w:p>
      <w:pPr>
        <w:pStyle w:val="null3"/>
      </w:pPr>
      <w:r>
        <w:rPr/>
        <w:t>采购包1（子项目3：VR技术研发实验室项目）：</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2)单位负责人为同一人或者存在直接控股、管理关系的不同供应商，不得同时参加本采购项目投标。 为本项目提供整体设计、规范编制或者项目管理、监理、检测等服务的供应商，不得再参与本项目投标。 依据投标函承诺相关要求内容。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广东国科招标有限公司网（www.gzgkbidding.com）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广州市机电技师学院</w:t>
      </w:r>
    </w:p>
    <w:p>
      <w:pPr>
        <w:pStyle w:val="null3"/>
        <w:ind w:firstLine="480"/>
      </w:pPr>
      <w:r>
        <w:rPr/>
        <w:t xml:space="preserve"> 地址：</w:t>
      </w:r>
      <w:r>
        <w:rPr/>
        <w:t>广州市白云区西洲北路148号</w:t>
      </w:r>
    </w:p>
    <w:p>
      <w:pPr>
        <w:pStyle w:val="null3"/>
        <w:ind w:firstLine="480"/>
      </w:pPr>
      <w:r>
        <w:rPr/>
        <w:t xml:space="preserve"> 联系方式：</w:t>
      </w:r>
      <w:r>
        <w:rPr/>
        <w:t>020-81972092</w:t>
      </w:r>
    </w:p>
    <w:p>
      <w:pPr>
        <w:pStyle w:val="null3"/>
        <w:outlineLvl w:val="3"/>
      </w:pPr>
      <w:r>
        <w:rPr>
          <w:sz w:val="24"/>
          <w:b/>
        </w:rPr>
        <w:t xml:space="preserve"> 2.采购代理机构信息</w:t>
      </w:r>
    </w:p>
    <w:p>
      <w:pPr>
        <w:pStyle w:val="null3"/>
        <w:ind w:firstLine="480"/>
      </w:pPr>
      <w:r>
        <w:rPr/>
        <w:t xml:space="preserve"> 名称：</w:t>
      </w:r>
      <w:r>
        <w:rPr/>
        <w:t>广东国科招标有限公司</w:t>
      </w:r>
    </w:p>
    <w:p>
      <w:pPr>
        <w:pStyle w:val="null3"/>
        <w:ind w:firstLine="480"/>
      </w:pPr>
      <w:r>
        <w:rPr/>
        <w:t xml:space="preserve"> 地址：</w:t>
      </w:r>
      <w:r>
        <w:rPr/>
        <w:t>广州市先烈中路100号科学院大院9号楼东座2楼（中国广州分析测试中心对面）</w:t>
      </w:r>
    </w:p>
    <w:p>
      <w:pPr>
        <w:pStyle w:val="null3"/>
        <w:ind w:firstLine="480"/>
      </w:pPr>
      <w:r>
        <w:rPr/>
        <w:t xml:space="preserve"> 联系方式：</w:t>
      </w:r>
      <w:r>
        <w:rPr/>
        <w:t>020-87688273、020-37635007</w:t>
      </w:r>
    </w:p>
    <w:p>
      <w:pPr>
        <w:pStyle w:val="null3"/>
        <w:outlineLvl w:val="3"/>
      </w:pPr>
      <w:r>
        <w:rPr>
          <w:sz w:val="24"/>
          <w:b/>
        </w:rPr>
        <w:t xml:space="preserve"> 3.项目联系方式</w:t>
      </w:r>
    </w:p>
    <w:p>
      <w:pPr>
        <w:pStyle w:val="null3"/>
        <w:ind w:firstLine="480"/>
      </w:pPr>
      <w:r>
        <w:rPr/>
        <w:t xml:space="preserve"> 项目联系人：</w:t>
      </w:r>
      <w:r>
        <w:rPr/>
        <w:t>陈小盼、张锡宇</w:t>
      </w:r>
    </w:p>
    <w:p>
      <w:pPr>
        <w:pStyle w:val="null3"/>
        <w:ind w:firstLine="480"/>
      </w:pPr>
      <w:r>
        <w:rPr/>
        <w:t xml:space="preserve"> 电话：</w:t>
      </w:r>
      <w:r>
        <w:rPr/>
        <w:t>020-87688273、020-37635007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广东国科招标有限公司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w:t>
      </w:r>
      <w:r>
        <w:rPr>
          <w:sz w:val="21"/>
          <w:b/>
        </w:rPr>
        <w:t>项目编号：</w:t>
      </w:r>
      <w:r>
        <w:rPr>
          <w:sz w:val="21"/>
        </w:rPr>
        <w:t>GZGK26D020A0020Z</w:t>
      </w:r>
    </w:p>
    <w:p>
      <w:pPr>
        <w:pStyle w:val="null3"/>
        <w:ind w:left="420"/>
        <w:jc w:val="both"/>
      </w:pPr>
      <w:r>
        <w:rPr>
          <w:sz w:val="21"/>
          <w:b/>
        </w:rPr>
        <w:t>（二）</w:t>
      </w:r>
      <w:r>
        <w:rPr>
          <w:sz w:val="21"/>
          <w:b/>
        </w:rPr>
        <w:t>项目名称：</w:t>
      </w:r>
      <w:r>
        <w:rPr>
          <w:sz w:val="21"/>
        </w:rPr>
        <w:t>广州市机电技师学院智能实训教学设备购置项目（</w:t>
      </w:r>
      <w:r>
        <w:rPr>
          <w:sz w:val="21"/>
        </w:rPr>
        <w:t>2026年）子项目3：VR技术研发实验室项目</w:t>
      </w:r>
    </w:p>
    <w:p>
      <w:pPr>
        <w:pStyle w:val="null3"/>
        <w:ind w:left="420"/>
        <w:jc w:val="both"/>
      </w:pPr>
      <w:r>
        <w:rPr>
          <w:sz w:val="21"/>
          <w:b/>
        </w:rPr>
        <w:t>（三）</w:t>
      </w:r>
      <w:r>
        <w:rPr>
          <w:sz w:val="21"/>
          <w:b/>
        </w:rPr>
        <w:t>总体要求说明：</w:t>
      </w:r>
    </w:p>
    <w:p>
      <w:pPr>
        <w:pStyle w:val="null3"/>
        <w:jc w:val="both"/>
      </w:pPr>
      <w:r>
        <w:rPr>
          <w:sz w:val="21"/>
        </w:rPr>
        <w:t>1、</w:t>
      </w:r>
      <w:r>
        <w:rPr>
          <w:sz w:val="21"/>
        </w:rPr>
        <w:t>标有</w:t>
      </w:r>
      <w:r>
        <w:rPr>
          <w:sz w:val="21"/>
        </w:rPr>
        <w:t>“★”的条款</w:t>
      </w:r>
      <w:r>
        <w:rPr>
          <w:sz w:val="21"/>
        </w:rPr>
        <w:t>为必须完全满足的实质性要求</w:t>
      </w:r>
      <w:r>
        <w:rPr>
          <w:sz w:val="21"/>
        </w:rPr>
        <w:t>，投标人如有一项带</w:t>
      </w:r>
      <w:r>
        <w:rPr>
          <w:sz w:val="21"/>
        </w:rPr>
        <w:t>“★”的条款未响应或</w:t>
      </w:r>
      <w:r>
        <w:rPr>
          <w:sz w:val="21"/>
        </w:rPr>
        <w:t>不满足</w:t>
      </w:r>
      <w:r>
        <w:rPr>
          <w:sz w:val="21"/>
        </w:rPr>
        <w:t>，将按无效投标处理。</w:t>
      </w:r>
    </w:p>
    <w:p>
      <w:pPr>
        <w:pStyle w:val="null3"/>
        <w:ind w:left="420"/>
        <w:jc w:val="both"/>
      </w:pPr>
      <w:r>
        <w:rPr>
          <w:sz w:val="21"/>
        </w:rPr>
        <w:t>2、</w:t>
      </w:r>
      <w:r>
        <w:rPr>
          <w:sz w:val="21"/>
        </w:rPr>
        <w:t>标有</w:t>
      </w:r>
      <w:r>
        <w:rPr>
          <w:sz w:val="21"/>
        </w:rPr>
        <w:t>“▲”的条款为重要性要求，投标人如有“▲”的条款未响应或负偏离的将被严重扣分。</w:t>
      </w:r>
    </w:p>
    <w:p>
      <w:pPr>
        <w:pStyle w:val="null3"/>
        <w:ind w:left="420"/>
        <w:jc w:val="both"/>
      </w:pPr>
      <w:r>
        <w:rPr>
          <w:sz w:val="21"/>
        </w:rPr>
        <w:t>3、</w:t>
      </w:r>
      <w:r>
        <w:rPr>
          <w:sz w:val="21"/>
        </w:rPr>
        <w:t>投标人</w:t>
      </w:r>
      <w:r>
        <w:rPr>
          <w:sz w:val="21"/>
        </w:rPr>
        <w:t>需</w:t>
      </w:r>
      <w:r>
        <w:rPr>
          <w:sz w:val="21"/>
        </w:rPr>
        <w:t>提供厂商原装、全新的、符合国家及用户提出的有关质量标准的设备。</w:t>
      </w:r>
    </w:p>
    <w:p>
      <w:pPr>
        <w:pStyle w:val="null3"/>
        <w:ind w:left="420"/>
        <w:jc w:val="both"/>
      </w:pPr>
      <w:r>
        <w:rPr>
          <w:sz w:val="21"/>
        </w:rPr>
        <w:t>4、</w:t>
      </w:r>
      <w:r>
        <w:rPr>
          <w:sz w:val="21"/>
        </w:rPr>
        <w:t>投标人应对采购</w:t>
      </w:r>
      <w:r>
        <w:rPr>
          <w:sz w:val="21"/>
        </w:rPr>
        <w:t>需求中的设备性能和技术（服务）指标在响应详细内容中列出具体数值或明确承诺。如果投标人只注明</w:t>
      </w:r>
      <w:r>
        <w:rPr>
          <w:sz w:val="21"/>
        </w:rPr>
        <w:t>“正偏离”或“无偏离”，将</w:t>
      </w:r>
      <w:r>
        <w:rPr>
          <w:sz w:val="21"/>
        </w:rPr>
        <w:t>可能</w:t>
      </w:r>
      <w:r>
        <w:rPr>
          <w:sz w:val="21"/>
        </w:rPr>
        <w:t>被视为</w:t>
      </w:r>
      <w:r>
        <w:rPr>
          <w:sz w:val="21"/>
        </w:rPr>
        <w:t>“负偏离”，从而可能导致严重</w:t>
      </w:r>
      <w:r>
        <w:rPr>
          <w:sz w:val="21"/>
        </w:rPr>
        <w:t>影响评标结果。</w:t>
      </w:r>
    </w:p>
    <w:p>
      <w:pPr>
        <w:pStyle w:val="null3"/>
        <w:ind w:left="420"/>
        <w:jc w:val="both"/>
      </w:pPr>
      <w:r>
        <w:rPr>
          <w:sz w:val="21"/>
        </w:rPr>
        <w:t>5、</w:t>
      </w:r>
      <w:r>
        <w:rPr>
          <w:sz w:val="21"/>
        </w:rPr>
        <w:t>投标人所投产品除项目采购文件中明确规定要求提供彩页或相应检测报告等证明材料以外，所有技术参数描述均以投标文件为准（投标文件内厂家提供的技术参数描述与投标人投标技术参数描述不一致时，以厂家提供的技术参数描述为准）。投标人须对所投产品技术参数的真实性承担法律责任。</w:t>
      </w:r>
    </w:p>
    <w:p>
      <w:pPr>
        <w:pStyle w:val="null3"/>
        <w:ind w:left="420"/>
        <w:jc w:val="both"/>
      </w:pPr>
      <w:r>
        <w:rPr>
          <w:sz w:val="21"/>
        </w:rPr>
        <w:t>6、</w:t>
      </w:r>
      <w:r>
        <w:rPr>
          <w:sz w:val="21"/>
        </w:rPr>
        <w:t>节能产品的优先采购和强制采购以财政部、发展改革委、生态环境部等部门公布的最新《节能产品政府采购品目清单》中所列产品及相关规定为准。如果</w:t>
      </w:r>
      <w:r>
        <w:rPr>
          <w:sz w:val="21"/>
        </w:rPr>
        <w:t>涉及</w:t>
      </w:r>
      <w:r>
        <w:rPr>
          <w:sz w:val="21"/>
        </w:rPr>
        <w:t>政府强制采购节能，供应商必须在投标文件中明确列明具体产品的名称并提供国家确定的认证机构出具的处于有效期之内的节能产品认证证书。</w:t>
      </w:r>
    </w:p>
    <w:p>
      <w:pPr>
        <w:pStyle w:val="null3"/>
        <w:ind w:left="420"/>
        <w:jc w:val="both"/>
      </w:pPr>
      <w:r>
        <w:rPr>
          <w:sz w:val="21"/>
        </w:rPr>
        <w:t>7、</w:t>
      </w:r>
      <w:r>
        <w:rPr>
          <w:sz w:val="21"/>
        </w:rPr>
        <w:t>环境标志产品的优先采购以财政部、发展改革委、生态环境部等部门公布的最新《环境标志产品政府采购品目清单》所列产品为准。投标产品</w:t>
      </w:r>
      <w:r>
        <w:rPr>
          <w:sz w:val="21"/>
        </w:rPr>
        <w:t>涉及</w:t>
      </w:r>
      <w:r>
        <w:rPr>
          <w:sz w:val="21"/>
        </w:rPr>
        <w:t>环境标志产品的，供应商需在投标文件中明确列明具体产品的名称并提供国家确定的认证机构出具的处于有效期之内的环境标志产品认证证书。</w:t>
      </w:r>
    </w:p>
    <w:p>
      <w:pPr>
        <w:pStyle w:val="null3"/>
        <w:ind w:left="420"/>
        <w:jc w:val="both"/>
      </w:pPr>
      <w:r>
        <w:rPr>
          <w:sz w:val="21"/>
        </w:rPr>
        <w:t>8、</w:t>
      </w:r>
      <w:r>
        <w:rPr>
          <w:sz w:val="21"/>
        </w:rPr>
        <w:t>涉及</w:t>
      </w:r>
      <w:r>
        <w:rPr>
          <w:sz w:val="21"/>
        </w:rPr>
        <w:t>软件产品的，必须采购和使用正版软件，项目中涉及计算机办公产品的，必须预装正版操作系统软件。</w:t>
      </w:r>
    </w:p>
    <w:p>
      <w:pPr>
        <w:pStyle w:val="null3"/>
        <w:ind w:left="420"/>
        <w:jc w:val="both"/>
      </w:pPr>
      <w:r>
        <w:rPr>
          <w:sz w:val="21"/>
        </w:rPr>
        <w:t>9、</w:t>
      </w:r>
      <w:r>
        <w:rPr>
          <w:sz w:val="21"/>
        </w:rPr>
        <w:t>投标人应保证，采购人在中华人民共和国使用该货物或货物的任何一部分时，免受第三方提出的侵犯其专利权、商标权、著作权或其它知识产权的起诉。</w:t>
      </w:r>
    </w:p>
    <w:p>
      <w:pPr>
        <w:pStyle w:val="null3"/>
        <w:ind w:left="420"/>
        <w:jc w:val="both"/>
      </w:pPr>
      <w:r>
        <w:rPr>
          <w:sz w:val="21"/>
        </w:rPr>
        <w:t>10、</w:t>
      </w:r>
      <w:r>
        <w:rPr>
          <w:sz w:val="21"/>
        </w:rPr>
        <w:t>如果投标产品是进口产品的，中标供应商</w:t>
      </w:r>
      <w:r>
        <w:rPr>
          <w:sz w:val="21"/>
        </w:rPr>
        <w:t>负责</w:t>
      </w:r>
      <w:r>
        <w:rPr>
          <w:sz w:val="21"/>
        </w:rPr>
        <w:t>办理所有的进口手续。</w:t>
      </w:r>
    </w:p>
    <w:p>
      <w:pPr>
        <w:pStyle w:val="null3"/>
        <w:ind w:left="420"/>
        <w:jc w:val="both"/>
      </w:pPr>
      <w:r>
        <w:rPr>
          <w:sz w:val="21"/>
        </w:rPr>
        <w:t>11、</w:t>
      </w:r>
      <w:r>
        <w:rPr>
          <w:sz w:val="21"/>
        </w:rPr>
        <w:t>不允许中标供应商</w:t>
      </w:r>
      <w:r>
        <w:rPr>
          <w:sz w:val="21"/>
        </w:rPr>
        <w:t>转包、分包项目内容</w:t>
      </w:r>
      <w:r>
        <w:rPr>
          <w:sz w:val="21"/>
        </w:rPr>
        <w:t>。</w:t>
      </w:r>
    </w:p>
    <w:p>
      <w:pPr>
        <w:pStyle w:val="null3"/>
        <w:ind w:left="420"/>
        <w:jc w:val="both"/>
      </w:pPr>
      <w:r>
        <w:rPr>
          <w:sz w:val="21"/>
        </w:rPr>
        <w:t>12、</w:t>
      </w:r>
      <w:r>
        <w:rPr>
          <w:sz w:val="21"/>
        </w:rPr>
        <w:t>符合中小企业政策扶持的</w:t>
      </w:r>
      <w:r>
        <w:rPr>
          <w:sz w:val="21"/>
        </w:rPr>
        <w:t>企业、监狱企业和残疾人福利性</w:t>
      </w:r>
      <w:r>
        <w:rPr>
          <w:sz w:val="21"/>
        </w:rPr>
        <w:t>单位必须按照招标（采购）文件第三章</w:t>
      </w:r>
      <w:r>
        <w:rPr>
          <w:sz w:val="21"/>
        </w:rPr>
        <w:t>内容提供相应的资料。</w:t>
      </w:r>
    </w:p>
    <w:p>
      <w:pPr>
        <w:pStyle w:val="null3"/>
        <w:ind w:left="420"/>
        <w:jc w:val="both"/>
      </w:pPr>
      <w:r>
        <w:rPr>
          <w:sz w:val="21"/>
        </w:rPr>
        <w:t>13、</w:t>
      </w:r>
      <w:r>
        <w:rPr>
          <w:sz w:val="21"/>
        </w:rPr>
        <w:t>需落实政府采购政策为：</w:t>
      </w:r>
      <w:r>
        <w:rPr>
          <w:sz w:val="21"/>
        </w:rPr>
        <w:t>《政府采购促进中小企业发展管理办法》（财库〔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w:t>
      </w:r>
      <w:r>
        <w:rPr>
          <w:sz w:val="21"/>
        </w:rPr>
        <w:t>、</w:t>
      </w:r>
      <w:r>
        <w:rPr>
          <w:sz w:val="21"/>
        </w:rPr>
        <w:t>《国务院办公厅关于在政府采购中实施本国产品标准及相关政策的通知》（国办发〔</w:t>
      </w:r>
      <w:r>
        <w:rPr>
          <w:sz w:val="21"/>
        </w:rPr>
        <w:t>2025</w:t>
      </w:r>
      <w:r>
        <w:rPr>
          <w:sz w:val="21"/>
        </w:rPr>
        <w:t>〕</w:t>
      </w:r>
      <w:r>
        <w:rPr>
          <w:sz w:val="21"/>
        </w:rPr>
        <w:t>34</w:t>
      </w:r>
      <w:r>
        <w:rPr>
          <w:sz w:val="21"/>
        </w:rPr>
        <w:t>号）</w:t>
      </w:r>
      <w:r>
        <w:rPr>
          <w:sz w:val="21"/>
          <w:shd w:fill="FFFFFF" w:val="clear"/>
        </w:rPr>
        <w:t>、《关于贯彻落实《国务院办公厅关于在政府采购中实施本</w:t>
      </w:r>
      <w:r>
        <w:rPr>
          <w:sz w:val="21"/>
          <w:shd w:fill="FFFFFF" w:val="clear"/>
        </w:rPr>
        <w:t>国产</w:t>
      </w:r>
      <w:r>
        <w:rPr>
          <w:sz w:val="21"/>
          <w:shd w:fill="FFFFFF" w:val="clear"/>
        </w:rPr>
        <w:t>品标准及相关政策的通知》的意见》（</w:t>
      </w:r>
      <w:r>
        <w:rPr>
          <w:sz w:val="21"/>
          <w:shd w:fill="FFFFFF" w:val="clear"/>
        </w:rPr>
        <w:t>财库〔</w:t>
      </w:r>
      <w:r>
        <w:rPr>
          <w:sz w:val="21"/>
          <w:shd w:fill="FFFFFF" w:val="clear"/>
        </w:rPr>
        <w:t>2025</w:t>
      </w:r>
      <w:r>
        <w:rPr>
          <w:sz w:val="21"/>
          <w:shd w:fill="FFFFFF" w:val="clear"/>
        </w:rPr>
        <w:t>〕</w:t>
      </w:r>
      <w:r>
        <w:rPr>
          <w:sz w:val="21"/>
          <w:shd w:fill="FFFFFF" w:val="clear"/>
        </w:rPr>
        <w:t>30</w:t>
      </w:r>
      <w:r>
        <w:rPr>
          <w:sz w:val="21"/>
          <w:shd w:fill="FFFFFF" w:val="clear"/>
        </w:rPr>
        <w:t>号）</w:t>
      </w:r>
      <w:r>
        <w:rPr>
          <w:sz w:val="21"/>
        </w:rPr>
        <w:t>等。</w:t>
      </w:r>
    </w:p>
    <w:p>
      <w:pPr>
        <w:pStyle w:val="null3"/>
        <w:ind w:left="420"/>
        <w:jc w:val="both"/>
      </w:pPr>
      <w:r>
        <w:rPr>
          <w:sz w:val="21"/>
        </w:rPr>
        <w:t>14、</w:t>
      </w:r>
      <w:r>
        <w:rPr>
          <w:sz w:val="21"/>
        </w:rPr>
        <w:t>单一产品采购项目，</w:t>
      </w:r>
      <w:r>
        <w:rPr>
          <w:sz w:val="21"/>
        </w:rPr>
        <w:t>提供相同品牌产品且通过资格审查、符合性审查的不同投标人参加同一合同项下投标的，按一家投标人计算；非</w:t>
      </w:r>
      <w:r>
        <w:rPr>
          <w:sz w:val="21"/>
        </w:rPr>
        <w:t>单一产品采购项目，</w:t>
      </w:r>
      <w:r>
        <w:rPr>
          <w:sz w:val="21"/>
        </w:rPr>
        <w:t>提供相同品牌核心产品且通过资格审查、符合性审查的不同投标人参加同一合同项下投标的，按一家投标人计算</w:t>
      </w:r>
      <w:r>
        <w:rPr>
          <w:sz w:val="21"/>
          <w:color w:val="0F243E"/>
        </w:rPr>
        <w:t>。</w:t>
      </w:r>
    </w:p>
    <w:p>
      <w:pPr>
        <w:pStyle w:val="null3"/>
        <w:jc w:val="both"/>
      </w:pPr>
      <w:r>
        <w:rPr>
          <w:sz w:val="21"/>
          <w:b/>
          <w:shd w:fill="FFFFFF" w:val="clear"/>
        </w:rPr>
        <w:t>15</w:t>
      </w:r>
      <w:r>
        <w:rPr>
          <w:sz w:val="21"/>
          <w:b/>
          <w:shd w:fill="FFFFFF" w:val="clear"/>
        </w:rPr>
        <w:t>、</w:t>
      </w:r>
      <w:r>
        <w:rPr>
          <w:sz w:val="21"/>
        </w:rPr>
        <w:t>本项目符合《政府采购促进中小企业发展管理办法》第六条第（三）项的情形，故不专门面向中小企业</w:t>
      </w:r>
      <w:r>
        <w:rPr>
          <w:sz w:val="21"/>
          <w:shd w:fill="FFFFFF" w:val="clear"/>
        </w:rPr>
        <w:t>。</w:t>
      </w:r>
    </w:p>
    <w:p>
      <w:pPr>
        <w:pStyle w:val="null3"/>
        <w:spacing w:after="120"/>
        <w:jc w:val="both"/>
      </w:pPr>
      <w:r>
        <w:rPr>
          <w:sz w:val="21"/>
          <w:b/>
        </w:rPr>
        <w:t>16</w:t>
      </w:r>
      <w:r>
        <w:rPr>
          <w:sz w:val="21"/>
          <w:b/>
        </w:rPr>
        <w:t>、关于落实中小</w:t>
      </w:r>
      <w:r>
        <w:rPr>
          <w:sz w:val="21"/>
          <w:b/>
        </w:rPr>
        <w:t>企业政策的说明：如投标供应商符合中小企业政</w:t>
      </w:r>
      <w:r>
        <w:rPr>
          <w:sz w:val="21"/>
          <w:b/>
        </w:rPr>
        <w:t>策</w:t>
      </w:r>
      <w:r>
        <w:rPr>
          <w:sz w:val="21"/>
          <w:b/>
        </w:rPr>
        <w:t>扶持的</w:t>
      </w:r>
      <w:r>
        <w:rPr>
          <w:sz w:val="21"/>
          <w:b/>
        </w:rPr>
        <w:t>，</w:t>
      </w:r>
      <w:r>
        <w:rPr>
          <w:sz w:val="21"/>
          <w:b/>
        </w:rPr>
        <w:t>应填写《中小企业声明函》（货物）（见投标文件格式）作为判定标准，《中小企业声明函》中</w:t>
      </w:r>
      <w:r>
        <w:rPr>
          <w:sz w:val="21"/>
          <w:b/>
        </w:rPr>
        <w:t>“</w:t>
      </w:r>
      <w:r>
        <w:rPr>
          <w:sz w:val="21"/>
          <w:b/>
        </w:rPr>
        <w:t>采购文件中明确的所属行业</w:t>
      </w:r>
      <w:r>
        <w:rPr>
          <w:sz w:val="21"/>
          <w:b/>
        </w:rPr>
        <w:t>”</w:t>
      </w:r>
      <w:r>
        <w:rPr>
          <w:sz w:val="21"/>
          <w:b/>
        </w:rPr>
        <w:t>，采购包</w:t>
      </w:r>
      <w:r>
        <w:rPr>
          <w:sz w:val="21"/>
          <w:b/>
        </w:rPr>
        <w:t>1</w:t>
      </w:r>
      <w:r>
        <w:rPr>
          <w:sz w:val="21"/>
          <w:b/>
        </w:rPr>
        <w:t>的编号</w:t>
      </w:r>
      <w:r>
        <w:rPr>
          <w:sz w:val="21"/>
          <w:b/>
        </w:rPr>
        <w:t>“1-1”</w:t>
      </w:r>
      <w:r>
        <w:rPr>
          <w:sz w:val="21"/>
          <w:b/>
        </w:rPr>
        <w:t>至</w:t>
      </w:r>
      <w:r>
        <w:rPr>
          <w:sz w:val="21"/>
          <w:b/>
        </w:rPr>
        <w:t>“1-</w:t>
      </w:r>
      <w:r>
        <w:rPr>
          <w:sz w:val="21"/>
          <w:b/>
        </w:rPr>
        <w:t>8</w:t>
      </w:r>
      <w:r>
        <w:rPr>
          <w:sz w:val="21"/>
          <w:b/>
        </w:rPr>
        <w:t>”</w:t>
      </w:r>
      <w:r>
        <w:rPr>
          <w:sz w:val="21"/>
          <w:b/>
        </w:rPr>
        <w:t>、</w:t>
      </w:r>
      <w:r>
        <w:rPr>
          <w:sz w:val="21"/>
          <w:b/>
        </w:rPr>
        <w:t>“1-</w:t>
      </w:r>
      <w:r>
        <w:rPr>
          <w:sz w:val="21"/>
          <w:b/>
        </w:rPr>
        <w:t>10</w:t>
      </w:r>
      <w:r>
        <w:rPr>
          <w:sz w:val="21"/>
          <w:b/>
        </w:rPr>
        <w:t>”</w:t>
      </w:r>
      <w:r>
        <w:rPr>
          <w:sz w:val="21"/>
          <w:b/>
        </w:rPr>
        <w:t>、</w:t>
      </w:r>
      <w:r>
        <w:rPr>
          <w:sz w:val="21"/>
          <w:b/>
        </w:rPr>
        <w:t>“1-1</w:t>
      </w:r>
      <w:r>
        <w:rPr>
          <w:sz w:val="21"/>
          <w:b/>
        </w:rPr>
        <w:t>2</w:t>
      </w:r>
      <w:r>
        <w:rPr>
          <w:sz w:val="21"/>
          <w:b/>
        </w:rPr>
        <w:t>”</w:t>
      </w:r>
      <w:r>
        <w:rPr>
          <w:sz w:val="21"/>
          <w:b/>
        </w:rPr>
        <w:t>至</w:t>
      </w:r>
      <w:r>
        <w:rPr>
          <w:sz w:val="21"/>
          <w:b/>
        </w:rPr>
        <w:t>“1-</w:t>
      </w:r>
      <w:r>
        <w:rPr>
          <w:sz w:val="21"/>
          <w:b/>
        </w:rPr>
        <w:t>16</w:t>
      </w:r>
      <w:r>
        <w:rPr>
          <w:sz w:val="21"/>
          <w:b/>
        </w:rPr>
        <w:t>”</w:t>
      </w:r>
      <w:r>
        <w:rPr>
          <w:sz w:val="21"/>
          <w:b/>
        </w:rPr>
        <w:t>是指</w:t>
      </w:r>
      <w:r>
        <w:rPr>
          <w:sz w:val="21"/>
          <w:b/>
        </w:rPr>
        <w:t>“</w:t>
      </w:r>
      <w:r>
        <w:rPr>
          <w:sz w:val="21"/>
          <w:b/>
        </w:rPr>
        <w:t>工业</w:t>
      </w:r>
      <w:r>
        <w:rPr>
          <w:sz w:val="21"/>
          <w:b/>
        </w:rPr>
        <w:t>”</w:t>
      </w:r>
      <w:r>
        <w:rPr>
          <w:sz w:val="21"/>
          <w:b/>
        </w:rPr>
        <w:t>，编号</w:t>
      </w:r>
      <w:r>
        <w:rPr>
          <w:sz w:val="21"/>
          <w:b/>
        </w:rPr>
        <w:t>“1-</w:t>
      </w:r>
      <w:r>
        <w:rPr>
          <w:sz w:val="21"/>
          <w:b/>
        </w:rPr>
        <w:t>9</w:t>
      </w:r>
      <w:r>
        <w:rPr>
          <w:sz w:val="21"/>
          <w:b/>
        </w:rPr>
        <w:t>”</w:t>
      </w:r>
      <w:r>
        <w:rPr>
          <w:sz w:val="21"/>
          <w:b/>
        </w:rPr>
        <w:t>、</w:t>
      </w:r>
      <w:r>
        <w:rPr>
          <w:sz w:val="21"/>
          <w:b/>
        </w:rPr>
        <w:t>“1-</w:t>
      </w:r>
      <w:r>
        <w:rPr>
          <w:sz w:val="21"/>
          <w:b/>
        </w:rPr>
        <w:t>11</w:t>
      </w:r>
      <w:r>
        <w:rPr>
          <w:sz w:val="21"/>
          <w:b/>
        </w:rPr>
        <w:t>”</w:t>
      </w:r>
      <w:r>
        <w:rPr>
          <w:sz w:val="21"/>
          <w:b/>
        </w:rPr>
        <w:t>是指</w:t>
      </w:r>
      <w:r>
        <w:rPr>
          <w:sz w:val="21"/>
          <w:b/>
        </w:rPr>
        <w:t>“软件和信息技术服务业”</w:t>
      </w:r>
      <w:r>
        <w:rPr>
          <w:sz w:val="21"/>
          <w:b/>
        </w:rPr>
        <w:t>。残疾人福利性单位填写《残疾人福利性单位声明函》（见投标文件格式）作为判定标准，监狱企业须供应</w:t>
      </w:r>
      <w:r>
        <w:rPr>
          <w:sz w:val="21"/>
          <w:b/>
        </w:rPr>
        <w:t>商提供由省级以上监狱管理局、戒毒管理局（含新疆生产建设兵团）出具的属于监狱企业的证明文件，否则不予认定。监狱企业、残疾人福利单位视同小型、微型企业。（填写《中小企业声明函》时，关于中小企业划型标准请见《工信部联企业〔</w:t>
      </w:r>
      <w:r>
        <w:rPr>
          <w:sz w:val="21"/>
          <w:b/>
        </w:rPr>
        <w:t>2011</w:t>
      </w:r>
      <w:r>
        <w:rPr>
          <w:sz w:val="21"/>
          <w:b/>
        </w:rPr>
        <w:t>〕</w:t>
      </w:r>
      <w:r>
        <w:rPr>
          <w:sz w:val="21"/>
          <w:b/>
        </w:rPr>
        <w:t>300</w:t>
      </w:r>
      <w:r>
        <w:rPr>
          <w:sz w:val="21"/>
          <w:b/>
        </w:rPr>
        <w:t>号》：</w:t>
      </w:r>
      <w:r>
        <w:rPr>
          <w:sz w:val="21"/>
          <w:b/>
          <w:color w:val="0000FF"/>
          <w:u w:val="single"/>
        </w:rPr>
        <w:t>http://www.ccgp.gov.cn/zcfg/mof/201310/t20131029_3587674.htm</w:t>
      </w:r>
      <w:r>
        <w:rPr>
          <w:sz w:val="21"/>
          <w:b/>
          <w:color w:val="0000FF"/>
          <w:u w:val="single"/>
        </w:rPr>
        <w:t>）</w:t>
      </w:r>
    </w:p>
    <w:p>
      <w:pPr>
        <w:pStyle w:val="null3"/>
        <w:jc w:val="both"/>
      </w:pPr>
      <w:r>
        <w:rPr>
          <w:sz w:val="24"/>
          <w:b/>
          <w:shd w:fill="FFFFFF" w:val="clear"/>
        </w:rPr>
        <w:t>17、</w:t>
      </w:r>
      <w:r>
        <w:rPr>
          <w:sz w:val="21"/>
          <w:b/>
          <w:shd w:fill="FFFFFF" w:val="clear"/>
        </w:rPr>
        <w:t>如投标供应商符合中小企业政策扶持的</w:t>
      </w:r>
      <w:r>
        <w:rPr>
          <w:sz w:val="21"/>
          <w:b/>
          <w:shd w:fill="FFFFFF" w:val="clear"/>
        </w:rPr>
        <w:t>，</w:t>
      </w:r>
      <w:r>
        <w:rPr>
          <w:sz w:val="21"/>
          <w:b/>
          <w:shd w:fill="FFFFFF" w:val="clear"/>
        </w:rPr>
        <w:t>《中小企业声明函》应当按照《政府采购促进中小企业发展管理办法》（财库〔</w:t>
      </w:r>
      <w:r>
        <w:rPr>
          <w:sz w:val="21"/>
          <w:b/>
          <w:shd w:fill="FFFFFF" w:val="clear"/>
        </w:rPr>
        <w:t>2020〕46号）规定的模板提供，具体填写要求如下：</w:t>
      </w:r>
    </w:p>
    <w:p>
      <w:pPr>
        <w:pStyle w:val="null3"/>
        <w:ind w:left="420"/>
        <w:jc w:val="both"/>
      </w:pPr>
      <w:r>
        <w:rPr>
          <w:sz w:val="21"/>
          <w:color w:val="000000"/>
          <w:shd w:fill="FFFFFF" w:val="clear"/>
        </w:rPr>
        <w:t>(1)</w:t>
      </w:r>
      <w:r>
        <w:rPr>
          <w:sz w:val="21"/>
          <w:color w:val="000000"/>
          <w:shd w:fill="FFFFFF" w:val="clear"/>
        </w:rPr>
        <w:t>“单位名称”应填写采购人名称。</w:t>
      </w:r>
    </w:p>
    <w:p>
      <w:pPr>
        <w:pStyle w:val="null3"/>
        <w:ind w:left="420"/>
        <w:jc w:val="both"/>
      </w:pPr>
      <w:r>
        <w:rPr>
          <w:sz w:val="21"/>
          <w:color w:val="000000"/>
          <w:shd w:fill="FFFFFF" w:val="clear"/>
        </w:rPr>
        <w:t>(2)</w:t>
      </w:r>
      <w:r>
        <w:rPr>
          <w:sz w:val="21"/>
          <w:color w:val="000000"/>
          <w:shd w:fill="FFFFFF" w:val="clear"/>
        </w:rPr>
        <w:t>“项目名称”应按照采购文件中确定的项目名称填写。对</w:t>
      </w:r>
      <w:r>
        <w:rPr>
          <w:sz w:val="21"/>
          <w:color w:val="000000"/>
          <w:shd w:fill="FFFFFF" w:val="clear"/>
        </w:rPr>
        <w:t>于以</w:t>
      </w:r>
      <w:r>
        <w:rPr>
          <w:sz w:val="21"/>
          <w:color w:val="000000"/>
          <w:shd w:fill="FFFFFF" w:val="clear"/>
        </w:rPr>
        <w:t>分包方式面向中小企业采购的项目，应标明中小企业的具体分包内容；对于以联合体方式面向中小企业采购的项目，应标明联合体中中小企业所承担的具体内容。</w:t>
      </w:r>
    </w:p>
    <w:p>
      <w:pPr>
        <w:pStyle w:val="null3"/>
        <w:ind w:left="420"/>
        <w:jc w:val="both"/>
      </w:pPr>
      <w:r>
        <w:rPr>
          <w:sz w:val="21"/>
          <w:color w:val="000000"/>
          <w:shd w:fill="FFFFFF" w:val="clear"/>
        </w:rPr>
        <w:t>(3)</w:t>
      </w:r>
      <w:r>
        <w:rPr>
          <w:sz w:val="21"/>
          <w:color w:val="000000"/>
          <w:shd w:fill="FFFFFF" w:val="clear"/>
        </w:rPr>
        <w:t>“标的名称”应填写采购文件中细化载明的采购标的名称。对</w:t>
      </w:r>
      <w:r>
        <w:rPr>
          <w:sz w:val="21"/>
          <w:color w:val="000000"/>
          <w:shd w:fill="FFFFFF" w:val="clear"/>
        </w:rPr>
        <w:t>于以</w:t>
      </w:r>
      <w:r>
        <w:rPr>
          <w:sz w:val="21"/>
          <w:color w:val="000000"/>
          <w:shd w:fill="FFFFFF" w:val="clear"/>
        </w:rPr>
        <w:t>分包方式面向中小企业采购的项目，</w:t>
      </w:r>
      <w:r>
        <w:rPr>
          <w:sz w:val="21"/>
          <w:color w:val="000000"/>
          <w:shd w:fill="FFFFFF" w:val="clear"/>
        </w:rPr>
        <w:t>“标的名称”应填写采购文件中注明的分包给中小企业的采购标的名称；对于以联合体方式面向中小企业采购的项目，“标的名称”应填写采购文件中注明的联合体中中小企业承担的采购标的名称。</w:t>
      </w:r>
    </w:p>
    <w:p>
      <w:pPr>
        <w:pStyle w:val="null3"/>
        <w:ind w:left="420"/>
        <w:jc w:val="both"/>
      </w:pPr>
      <w:r>
        <w:rPr>
          <w:sz w:val="21"/>
          <w:color w:val="000000"/>
          <w:shd w:fill="FFFFFF" w:val="clear"/>
        </w:rPr>
        <w:t>(4)</w:t>
      </w:r>
      <w:r>
        <w:rPr>
          <w:sz w:val="21"/>
          <w:color w:val="000000"/>
          <w:shd w:fill="FFFFFF" w:val="clear"/>
        </w:rPr>
        <w:t>“采购文件中明确的所属行业”应填写采购文件中明确的采购标的所属行业，并应确保与采购标的涉及的货物制造商/服务承接商/工程承建商（根据项目属性确定）本身的所属行业保持一致。</w:t>
      </w:r>
    </w:p>
    <w:p>
      <w:pPr>
        <w:pStyle w:val="null3"/>
        <w:ind w:left="420"/>
        <w:jc w:val="both"/>
      </w:pPr>
      <w:r>
        <w:rPr>
          <w:sz w:val="21"/>
          <w:color w:val="000000"/>
          <w:shd w:fill="FFFFFF" w:val="clear"/>
        </w:rPr>
        <w:t>(5)</w:t>
      </w:r>
      <w:r>
        <w:rPr>
          <w:sz w:val="21"/>
          <w:color w:val="000000"/>
          <w:shd w:fill="FFFFFF" w:val="clear"/>
        </w:rPr>
        <w:t>对于分包方式面向中小企业采购的项目，</w:t>
      </w:r>
      <w:r>
        <w:rPr>
          <w:sz w:val="21"/>
          <w:color w:val="000000"/>
          <w:shd w:fill="FFFFFF" w:val="clear"/>
        </w:rPr>
        <w:t>“采购文件中明确的所属行业”应按照采购文件中注明的分包给中小企业的采购标的所属行业填写，并应确保与该分包部分采购标的涉及的货物制造商/服务承接商/工程承建商（根据项目属性确定）本身的所属行业保持一致。</w:t>
      </w:r>
    </w:p>
    <w:p>
      <w:pPr>
        <w:pStyle w:val="null3"/>
        <w:ind w:left="420"/>
        <w:jc w:val="both"/>
      </w:pPr>
      <w:r>
        <w:rPr>
          <w:sz w:val="21"/>
          <w:color w:val="000000"/>
          <w:shd w:fill="FFFFFF" w:val="clear"/>
        </w:rPr>
        <w:t>(6)</w:t>
      </w:r>
      <w:r>
        <w:rPr>
          <w:sz w:val="21"/>
          <w:color w:val="000000"/>
          <w:shd w:fill="FFFFFF" w:val="clear"/>
        </w:rPr>
        <w:t>对于以联合体方式面向中小企业采购的项目，</w:t>
      </w:r>
      <w:r>
        <w:rPr>
          <w:sz w:val="21"/>
          <w:color w:val="000000"/>
          <w:shd w:fill="FFFFFF" w:val="clear"/>
        </w:rPr>
        <w:t>“采购文件中明确的所属行业”应按照采购文件中注明的联合体中中小企业承担的采购标的所属行业填写，并应确保与该承担部分采购标的涉及的货物制造商/服务承接商/工程承建商（根据项目属性确定）本身的所属行业保持一致。</w:t>
      </w:r>
    </w:p>
    <w:p>
      <w:pPr>
        <w:pStyle w:val="null3"/>
        <w:ind w:left="420"/>
        <w:jc w:val="both"/>
      </w:pPr>
      <w:r>
        <w:rPr>
          <w:sz w:val="21"/>
          <w:color w:val="000000"/>
          <w:shd w:fill="FFFFFF" w:val="clear"/>
        </w:rPr>
        <w:t>(7)</w:t>
      </w:r>
      <w:r>
        <w:rPr>
          <w:sz w:val="21"/>
          <w:color w:val="000000"/>
          <w:shd w:fill="FFFFFF" w:val="clear"/>
        </w:rPr>
        <w:t>“企业名称”应填写投标（响应）的货物制造商/服务承接商/工程承建商（根据项目属性确定）。</w:t>
      </w:r>
    </w:p>
    <w:p>
      <w:pPr>
        <w:pStyle w:val="null3"/>
        <w:ind w:left="420"/>
        <w:jc w:val="both"/>
      </w:pPr>
      <w:r>
        <w:rPr>
          <w:sz w:val="21"/>
          <w:color w:val="000000"/>
          <w:shd w:fill="FFFFFF" w:val="clear"/>
        </w:rPr>
        <w:t>(8)</w:t>
      </w:r>
      <w:r>
        <w:rPr>
          <w:sz w:val="21"/>
          <w:color w:val="000000"/>
          <w:shd w:fill="FFFFFF" w:val="clear"/>
        </w:rPr>
        <w:t>对于分包方式面向中小企业采购的项目，</w:t>
      </w:r>
      <w:r>
        <w:rPr>
          <w:sz w:val="21"/>
          <w:color w:val="000000"/>
          <w:shd w:fill="FFFFFF" w:val="clear"/>
        </w:rPr>
        <w:t>“企业名称”应填写分包部分采购标的对应的货物制造商/服务承接商/工程承建商（根据项目属性确定）。</w:t>
      </w:r>
    </w:p>
    <w:p>
      <w:pPr>
        <w:pStyle w:val="null3"/>
        <w:ind w:left="420"/>
        <w:jc w:val="both"/>
      </w:pPr>
      <w:r>
        <w:rPr>
          <w:sz w:val="21"/>
          <w:color w:val="000000"/>
          <w:shd w:fill="FFFFFF" w:val="clear"/>
        </w:rPr>
        <w:t>(9)</w:t>
      </w:r>
      <w:r>
        <w:rPr>
          <w:sz w:val="21"/>
          <w:color w:val="000000"/>
          <w:shd w:fill="FFFFFF" w:val="clear"/>
        </w:rPr>
        <w:t>对于以联合体方式面向中小企业采购的项目，</w:t>
      </w:r>
      <w:r>
        <w:rPr>
          <w:sz w:val="21"/>
          <w:color w:val="000000"/>
          <w:shd w:fill="FFFFFF" w:val="clear"/>
        </w:rPr>
        <w:t>“企业名称”应填写联合体中中小企业承担采购标的对应的货物制造商/服务承接商/工程承建商（根据项目属性确定）。</w:t>
      </w:r>
    </w:p>
    <w:p>
      <w:pPr>
        <w:pStyle w:val="null3"/>
        <w:ind w:left="420"/>
        <w:jc w:val="both"/>
      </w:pPr>
      <w:r>
        <w:rPr>
          <w:sz w:val="21"/>
          <w:color w:val="000000"/>
          <w:shd w:fill="FFFFFF" w:val="clear"/>
        </w:rPr>
        <w:t>(10)</w:t>
      </w:r>
      <w:r>
        <w:rPr>
          <w:sz w:val="21"/>
          <w:color w:val="000000"/>
          <w:shd w:fill="FFFFFF" w:val="clear"/>
        </w:rPr>
        <w:t>从业人员</w:t>
      </w:r>
      <w:r>
        <w:rPr>
          <w:sz w:val="21"/>
          <w:color w:val="000000"/>
          <w:shd w:fill="FFFFFF" w:val="clear"/>
        </w:rPr>
        <w:t>等相关数据</w:t>
      </w:r>
      <w:r>
        <w:rPr>
          <w:sz w:val="21"/>
          <w:color w:val="000000"/>
          <w:shd w:fill="FFFFFF" w:val="clear"/>
        </w:rPr>
        <w:t>指标以上年度末数据为依据。无上年度数据的新成立企业可不填报。</w:t>
      </w:r>
    </w:p>
    <w:p>
      <w:pPr>
        <w:pStyle w:val="null3"/>
        <w:ind w:left="420"/>
        <w:jc w:val="both"/>
      </w:pPr>
      <w:r>
        <w:rPr>
          <w:sz w:val="21"/>
          <w:color w:val="000000"/>
          <w:shd w:fill="FFFFFF" w:val="clear"/>
        </w:rPr>
        <w:t>(11)</w:t>
      </w:r>
      <w:r>
        <w:rPr>
          <w:sz w:val="21"/>
          <w:color w:val="000000"/>
          <w:shd w:fill="FFFFFF" w:val="clear"/>
        </w:rPr>
        <w:t>“中型企业/小型企业/微型企业”部分，供应商应依据企业上年度从业人员</w:t>
      </w:r>
      <w:r>
        <w:rPr>
          <w:sz w:val="21"/>
          <w:color w:val="000000"/>
          <w:shd w:fill="FFFFFF" w:val="clear"/>
        </w:rPr>
        <w:t>等相关数据</w:t>
      </w:r>
      <w:r>
        <w:rPr>
          <w:sz w:val="21"/>
          <w:color w:val="000000"/>
          <w:shd w:fill="FFFFFF" w:val="clear"/>
        </w:rPr>
        <w:t>指标，按照《中小企业划型标准规定》（工信部联企业〔</w:t>
      </w:r>
      <w:r>
        <w:rPr>
          <w:sz w:val="21"/>
          <w:color w:val="000000"/>
          <w:shd w:fill="FFFFFF" w:val="clear"/>
        </w:rPr>
        <w:t>2011〕300号）、《金融业企业划型标准规定》（银发〔2015〕309号），判断《中小企业声明函》载明的货物制造商/服务承接商/工程承建商（根据项目属性确定）是否属于采购文件所属行业的中型企业/小型企业/微型企业。</w:t>
      </w:r>
    </w:p>
    <w:p>
      <w:pPr>
        <w:pStyle w:val="null3"/>
        <w:spacing w:after="120"/>
        <w:ind w:left="420"/>
        <w:jc w:val="both"/>
      </w:pPr>
      <w:r>
        <w:rPr>
          <w:sz w:val="21"/>
          <w:color w:val="000000"/>
          <w:shd w:fill="FFFFFF" w:val="clear"/>
        </w:rPr>
        <w:t>（</w:t>
      </w:r>
      <w:r>
        <w:rPr>
          <w:sz w:val="21"/>
          <w:color w:val="000000"/>
          <w:shd w:fill="FFFFFF" w:val="clear"/>
        </w:rPr>
        <w:t>12</w:t>
      </w:r>
      <w:r>
        <w:rPr>
          <w:sz w:val="21"/>
          <w:color w:val="000000"/>
          <w:shd w:fill="FFFFFF" w:val="clear"/>
        </w:rPr>
        <w:t>）</w:t>
      </w:r>
      <w:r>
        <w:rPr>
          <w:sz w:val="21"/>
          <w:color w:val="000000"/>
          <w:shd w:fill="FFFFFF" w:val="clear"/>
        </w:rPr>
        <w:t>对于已纳入统计部门统计范围的企业，所属行业、从业人员、规模类型</w:t>
      </w:r>
      <w:r>
        <w:rPr>
          <w:sz w:val="21"/>
          <w:color w:val="000000"/>
          <w:shd w:fill="FFFFFF" w:val="clear"/>
        </w:rPr>
        <w:t>等相关数据</w:t>
      </w:r>
      <w:r>
        <w:rPr>
          <w:sz w:val="21"/>
          <w:color w:val="000000"/>
          <w:shd w:fill="FFFFFF" w:val="clear"/>
        </w:rPr>
        <w:t>应与统计部门报表保持一致。对于未纳入统计部门统计范围的企业，应对照《国民经济行业分类》确定所属行业，当企业从事两种以上的经济活动时，按照企业从事的主要活动确定所属行业；从业人员</w:t>
      </w:r>
      <w:r>
        <w:rPr>
          <w:sz w:val="21"/>
          <w:color w:val="000000"/>
          <w:shd w:fill="FFFFFF" w:val="clear"/>
        </w:rPr>
        <w:t>等相关数据指标</w:t>
      </w:r>
      <w:r>
        <w:rPr>
          <w:sz w:val="21"/>
          <w:color w:val="000000"/>
          <w:shd w:fill="FFFFFF" w:val="clear"/>
        </w:rPr>
        <w:t>应按照上年度末实际情况填报，并应确保在争议纠纷处理时，可提供相关数据的来源依据。</w:t>
      </w:r>
    </w:p>
    <w:p>
      <w:pPr>
        <w:pStyle w:val="null3"/>
        <w:spacing w:after="120"/>
        <w:jc w:val="both"/>
      </w:pPr>
      <w:r>
        <w:rPr>
          <w:sz w:val="21"/>
          <w:b/>
        </w:rPr>
        <w:t>18.</w:t>
      </w:r>
      <w:r>
        <w:rPr>
          <w:sz w:val="21"/>
          <w:b/>
        </w:rPr>
        <w:t>关于《中小企业声明函》的更多填写指引，请见《广东省财政厅关于进一步规范政府采购活动中落实促进中小企业发展政策的通知》中</w:t>
      </w:r>
      <w:r>
        <w:rPr>
          <w:sz w:val="21"/>
          <w:b/>
        </w:rPr>
        <w:t>“二、关于投标（响应）文件编制”的内容，网址：</w:t>
      </w:r>
      <w:r>
        <w:rPr>
          <w:sz w:val="21"/>
          <w:b/>
          <w:color w:val="0000FF"/>
          <w:u w:val="single"/>
        </w:rPr>
        <w:t>https://gdgpo.czt.gd.gov.cn/maincms-web/articleGd?type=article&amp;id=20b0f8b1-766f-11ef-bf98-f4b78dd1d78b&amp;channelName=%E9%80%9A%E7%9F%A5%E5%85%AC%E5%91%8A&amp;path=%2FworkDynamicsGd</w:t>
      </w:r>
      <w:r>
        <w:rPr>
          <w:sz w:val="21"/>
          <w:b/>
          <w:color w:val="0000FF"/>
          <w:u w:val="single"/>
        </w:rPr>
        <w:t>。</w:t>
      </w:r>
    </w:p>
    <w:p>
      <w:pPr>
        <w:pStyle w:val="null3"/>
        <w:jc w:val="both"/>
      </w:pPr>
      <w:r>
        <w:rPr>
          <w:sz w:val="21"/>
          <w:b/>
        </w:rPr>
        <w:t>19.</w:t>
      </w:r>
      <w:r>
        <w:rPr>
          <w:sz w:val="21"/>
        </w:rPr>
        <w:t>本国产品价格扣除：</w:t>
      </w:r>
    </w:p>
    <w:p>
      <w:pPr>
        <w:pStyle w:val="null3"/>
        <w:jc w:val="both"/>
      </w:pPr>
      <w:r>
        <w:rPr>
          <w:sz w:val="21"/>
        </w:rPr>
        <w:t>（</w:t>
      </w:r>
      <w:r>
        <w:rPr>
          <w:sz w:val="21"/>
        </w:rPr>
        <w:t>1</w:t>
      </w:r>
      <w:r>
        <w:rPr>
          <w:sz w:val="21"/>
        </w:rPr>
        <w:t>）</w:t>
      </w:r>
      <w:r>
        <w:rPr>
          <w:sz w:val="21"/>
        </w:rPr>
        <w:t>政府采购活动中既有本国产品又有非本国产品参与竞争的，依法对本国产品给予价格评审优惠，对本国产品的报价给予</w:t>
      </w:r>
      <w:r>
        <w:rPr>
          <w:sz w:val="21"/>
        </w:rPr>
        <w:t>20%</w:t>
      </w:r>
      <w:r>
        <w:rPr>
          <w:sz w:val="21"/>
        </w:rPr>
        <w:t>的价格扣除，用扣除后的价格参与评审。</w:t>
      </w:r>
    </w:p>
    <w:p>
      <w:pPr>
        <w:pStyle w:val="null3"/>
        <w:jc w:val="both"/>
      </w:pPr>
      <w:r>
        <w:rPr>
          <w:sz w:val="21"/>
        </w:rPr>
        <w:t>（</w:t>
      </w:r>
      <w:r>
        <w:rPr>
          <w:sz w:val="21"/>
        </w:rPr>
        <w:t>2</w:t>
      </w:r>
      <w:r>
        <w:rPr>
          <w:sz w:val="21"/>
        </w:rPr>
        <w:t>）供应商提供符合本国产品标准的产品参加政府采购活动的，应当提供《关于符合本国产品标准的声明函》或财政部会同有关部门规定的有关证明文件。</w:t>
      </w:r>
      <w:r>
        <w:rPr>
          <w:sz w:val="21"/>
        </w:rPr>
        <w:t>如未提供，应承担由此产生的不利后果。</w:t>
      </w:r>
      <w:r>
        <w:rPr>
          <w:sz w:val="21"/>
        </w:rPr>
        <w:t>出具符合要求的《关于符合本国产品标准的声明函》或有关证明文件的，该产品视为本国产品。</w:t>
      </w:r>
    </w:p>
    <w:p>
      <w:pPr>
        <w:pStyle w:val="null3"/>
        <w:jc w:val="both"/>
      </w:pPr>
      <w:r>
        <w:rPr>
          <w:sz w:val="21"/>
        </w:rPr>
        <w:t>（</w:t>
      </w:r>
      <w:r>
        <w:rPr>
          <w:sz w:val="21"/>
        </w:rPr>
        <w:t>3</w:t>
      </w:r>
      <w:r>
        <w:rPr>
          <w:sz w:val="21"/>
        </w:rPr>
        <w:t>）当采购项目或者采购包中含有多种产品，供应商为该采购项目或者采购包提供的符合本国产品标准的产品成本之和占该供应商提供的全部产品成本之和的比例达到</w:t>
      </w:r>
      <w:r>
        <w:rPr>
          <w:sz w:val="21"/>
        </w:rPr>
        <w:t>80%</w:t>
      </w:r>
      <w:r>
        <w:rPr>
          <w:sz w:val="21"/>
        </w:rPr>
        <w:t>以上时，</w:t>
      </w:r>
      <w:r>
        <w:rPr>
          <w:sz w:val="21"/>
        </w:rPr>
        <w:t>还应出具《关于本国产品比例的声明函》或《关于本国产品比例的承诺函》（以云平台生成的格式为准），</w:t>
      </w:r>
      <w:r>
        <w:rPr>
          <w:sz w:val="21"/>
        </w:rPr>
        <w:t>依法对该供应商提供的全部产品给予价格评审优惠，即对该供应商提供的全部产品的总报价给予</w:t>
      </w:r>
      <w:r>
        <w:rPr>
          <w:sz w:val="21"/>
        </w:rPr>
        <w:t>20%</w:t>
      </w:r>
      <w:r>
        <w:rPr>
          <w:sz w:val="21"/>
        </w:rPr>
        <w:t>的价格扣除，用扣除后的价格参与评审。</w:t>
      </w:r>
      <w:r>
        <w:rPr>
          <w:sz w:val="21"/>
        </w:rPr>
        <w:t>如中标</w:t>
      </w:r>
      <w:r>
        <w:rPr>
          <w:sz w:val="21"/>
        </w:rPr>
        <w:t>/</w:t>
      </w:r>
      <w:r>
        <w:rPr>
          <w:sz w:val="21"/>
        </w:rPr>
        <w:t>成交，《关于本国产品比例的声明函》或《关于本国产品比例的承诺函》随中标、成交结果一并公布。</w:t>
      </w:r>
    </w:p>
    <w:p>
      <w:pPr>
        <w:pStyle w:val="null3"/>
        <w:ind w:left="420"/>
        <w:jc w:val="both"/>
      </w:pPr>
      <w:r>
        <w:rPr>
          <w:sz w:val="21"/>
          <w:b/>
        </w:rPr>
        <w:t>（四）</w:t>
      </w:r>
      <w:r>
        <w:rPr>
          <w:sz w:val="21"/>
          <w:b/>
        </w:rPr>
        <w:t>其他说明：</w:t>
      </w:r>
    </w:p>
    <w:p>
      <w:pPr>
        <w:pStyle w:val="null3"/>
        <w:ind w:left="420"/>
        <w:jc w:val="both"/>
      </w:pPr>
      <w:r>
        <w:rPr>
          <w:sz w:val="21"/>
        </w:rPr>
        <w:t>1、</w:t>
      </w:r>
      <w:r>
        <w:rPr>
          <w:sz w:val="21"/>
        </w:rPr>
        <w:t>本项目开标方式为远程开标。参与全流程云平台采购项目的供应商登录云平台通过</w:t>
      </w:r>
      <w:r>
        <w:rPr>
          <w:sz w:val="21"/>
        </w:rPr>
        <w:t>“新供应商开标大厅”进行签到及投标文件的解密，签到需在开标时间前</w:t>
      </w:r>
      <w:r>
        <w:rPr>
          <w:sz w:val="21"/>
        </w:rPr>
        <w:t>30</w:t>
      </w:r>
      <w:r>
        <w:rPr>
          <w:sz w:val="21"/>
        </w:rPr>
        <w:t>分钟内完成，不需要委派代表前往开标现场。但为了保证开标程序顺利、高效地完成，投标人亦可委派代表携带</w:t>
      </w:r>
      <w:r>
        <w:rPr>
          <w:sz w:val="21"/>
        </w:rPr>
        <w:t>CA-key</w:t>
      </w:r>
      <w:r>
        <w:rPr>
          <w:sz w:val="21"/>
        </w:rPr>
        <w:t>、存储有非加密投标文件的</w:t>
      </w:r>
      <w:r>
        <w:rPr>
          <w:sz w:val="21"/>
        </w:rPr>
        <w:t>U</w:t>
      </w:r>
      <w:r>
        <w:rPr>
          <w:sz w:val="21"/>
        </w:rPr>
        <w:t>盘前往开标现场进行签到、解密。</w:t>
      </w:r>
    </w:p>
    <w:p>
      <w:pPr>
        <w:pStyle w:val="null3"/>
        <w:ind w:left="420"/>
        <w:jc w:val="both"/>
      </w:pPr>
      <w:r>
        <w:rPr>
          <w:sz w:val="21"/>
        </w:rPr>
        <w:t>2、</w:t>
      </w:r>
      <w:r>
        <w:rPr>
          <w:sz w:val="21"/>
        </w:rPr>
        <w:t>供应商电脑需提前安装</w:t>
      </w:r>
      <w:r>
        <w:rPr>
          <w:sz w:val="21"/>
        </w:rPr>
        <w:t>CA</w:t>
      </w:r>
      <w:r>
        <w:rPr>
          <w:sz w:val="21"/>
        </w:rPr>
        <w:t>签章客户端，并运行</w:t>
      </w:r>
      <w:r>
        <w:rPr>
          <w:sz w:val="21"/>
        </w:rPr>
        <w:t>CA</w:t>
      </w:r>
      <w:r>
        <w:rPr>
          <w:sz w:val="21"/>
        </w:rPr>
        <w:t>证书。</w:t>
      </w:r>
    </w:p>
    <w:p>
      <w:pPr>
        <w:pStyle w:val="null3"/>
        <w:ind w:left="420"/>
        <w:jc w:val="both"/>
      </w:pPr>
      <w:r>
        <w:rPr>
          <w:sz w:val="21"/>
        </w:rPr>
        <w:t>3、</w:t>
      </w:r>
      <w:r>
        <w:rPr>
          <w:sz w:val="21"/>
          <w:b/>
        </w:rPr>
        <w:t>请各投标人在编制投标文件时注意，</w:t>
      </w:r>
      <w:r>
        <w:rPr>
          <w:sz w:val="21"/>
          <w:b/>
        </w:rPr>
        <w:t>涉及</w:t>
      </w:r>
      <w:r>
        <w:rPr>
          <w:sz w:val="21"/>
          <w:b/>
        </w:rPr>
        <w:t>签字或签章的地方，请按要求签字或签章后再上传系统。投标文件加密前请注意所有需要签字、签章、盖章的地方是否齐全无缺漏。请保管好</w:t>
      </w:r>
      <w:r>
        <w:rPr>
          <w:sz w:val="21"/>
          <w:b/>
        </w:rPr>
        <w:t>CA</w:t>
      </w:r>
      <w:r>
        <w:rPr>
          <w:sz w:val="21"/>
          <w:b/>
        </w:rPr>
        <w:t>证书的密码，如遗忘，请及时重置，以免影响投标文件的解密。</w:t>
      </w:r>
    </w:p>
    <w:p>
      <w:pPr>
        <w:pStyle w:val="null3"/>
        <w:ind w:left="420"/>
        <w:jc w:val="both"/>
      </w:pPr>
      <w:r>
        <w:rPr>
          <w:sz w:val="21"/>
          <w:b/>
        </w:rPr>
        <w:t>（五）</w:t>
      </w:r>
      <w:r>
        <w:rPr>
          <w:sz w:val="21"/>
          <w:b/>
        </w:rPr>
        <w:t>投标报价说明：</w:t>
      </w:r>
    </w:p>
    <w:p>
      <w:pPr>
        <w:pStyle w:val="null3"/>
        <w:ind w:firstLine="420"/>
        <w:jc w:val="both"/>
      </w:pPr>
      <w:r>
        <w:rPr>
          <w:sz w:val="21"/>
        </w:rPr>
        <w:t>投标报价包括：货款、设计、安装、随机零配件、标配工具、运输保险、调试、验收、培训、质量保证期服务、各项税费</w:t>
      </w:r>
      <w:r>
        <w:rPr>
          <w:sz w:val="21"/>
        </w:rPr>
        <w:t xml:space="preserve"> </w:t>
      </w:r>
      <w:r>
        <w:rPr>
          <w:sz w:val="21"/>
        </w:rPr>
        <w:t>及合同实施过程中不可预见费用等。</w:t>
      </w:r>
    </w:p>
    <w:p>
      <w:pPr>
        <w:pStyle w:val="null3"/>
        <w:ind w:left="420"/>
        <w:jc w:val="both"/>
      </w:pPr>
      <w:r>
        <w:rPr>
          <w:sz w:val="21"/>
          <w:b/>
        </w:rPr>
        <w:t>（六）</w:t>
      </w:r>
      <w:r>
        <w:rPr>
          <w:sz w:val="21"/>
          <w:b/>
        </w:rPr>
        <w:t>实现的功能</w:t>
      </w:r>
    </w:p>
    <w:p>
      <w:pPr>
        <w:pStyle w:val="null3"/>
        <w:ind w:firstLine="420"/>
        <w:jc w:val="both"/>
      </w:pPr>
      <w:r>
        <w:rPr>
          <w:sz w:val="21"/>
        </w:rPr>
        <w:t>满足</w:t>
      </w:r>
      <w:r>
        <w:rPr>
          <w:sz w:val="21"/>
        </w:rPr>
        <w:t>2026年数字创意产业系工学一体化教学、技能等级认定和企业培训的迫切需要</w:t>
      </w:r>
      <w:r>
        <w:rPr>
          <w:sz w:val="21"/>
        </w:rPr>
        <w:t>。</w:t>
      </w:r>
    </w:p>
    <w:p>
      <w:pPr>
        <w:pStyle w:val="null3"/>
        <w:jc w:val="both"/>
      </w:pPr>
      <w:r>
        <w:rPr>
          <w:sz w:val="21"/>
          <w:b/>
        </w:rPr>
        <w:t>（七）</w:t>
      </w:r>
      <w:r>
        <w:rPr>
          <w:sz w:val="21"/>
          <w:b/>
        </w:rPr>
        <w:t>需执行国家相关标准、行业标准、地方标准或者其他标准、规范</w:t>
      </w:r>
    </w:p>
    <w:p>
      <w:pPr>
        <w:pStyle w:val="null3"/>
      </w:pPr>
      <w:r>
        <w:rPr/>
        <w:t>采购包1（子项目3：VR技术研发实验室项目）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交货期：自签订合同之日起90个日历天内完成设备的供货、安装、调试。</w:t>
            </w:r>
          </w:p>
        </w:tc>
      </w:tr>
      <w:tr>
        <w:tc>
          <w:tcPr>
            <w:tcW w:type="dxa" w:w="4153"/>
          </w:tcPr>
          <w:p>
            <w:pPr>
              <w:pStyle w:val="null3"/>
            </w:pPr>
            <w:r>
              <w:rPr/>
              <w:t>标的提供的地点</w:t>
            </w:r>
          </w:p>
        </w:tc>
        <w:tc>
          <w:tcPr>
            <w:tcW w:type="dxa" w:w="4153"/>
          </w:tcPr>
          <w:p>
            <w:pPr>
              <w:pStyle w:val="null3"/>
            </w:pPr>
            <w:r>
              <w:rPr/>
              <w:t>广州市机电技师学院凰岗校区，具体以采购人指定地点为准。</w:t>
            </w:r>
          </w:p>
        </w:tc>
      </w:tr>
      <w:tr>
        <w:tc>
          <w:tcPr>
            <w:tcW w:type="dxa" w:w="4153"/>
          </w:tcPr>
          <w:p>
            <w:pPr>
              <w:pStyle w:val="null3"/>
            </w:pPr>
            <w:r>
              <w:rPr/>
              <w:t>付款方式</w:t>
            </w:r>
          </w:p>
        </w:tc>
        <w:tc>
          <w:tcPr>
            <w:tcW w:type="dxa" w:w="4153"/>
          </w:tcPr>
          <w:p>
            <w:pPr>
              <w:pStyle w:val="null3"/>
            </w:pPr>
            <w:r>
              <w:rPr/>
              <w:t>1期：支付比例50%,1、签订合同，收到中标人按采购人要求提供的完整支付申请资料后原则上在5个工作日内办理合同支付手续，支付合同总金额的50%</w:t>
            </w:r>
          </w:p>
          <w:p>
            <w:pPr>
              <w:pStyle w:val="null3"/>
            </w:pPr>
            <w:r>
              <w:rPr/>
              <w:t>2期：支付比例30%,2、产品全部交付完毕，数量清点无误，收到中标人按采购人要求提供的完整支付申请资料后，原则上5个工作日内办理合同支付手续，支付合同总金额的30%</w:t>
            </w:r>
          </w:p>
          <w:p>
            <w:pPr>
              <w:pStyle w:val="null3"/>
            </w:pPr>
            <w:r>
              <w:rPr/>
              <w:t>3期：支付比例20%,3、完成安装、调试，并验收合格，收到中标人按采购人要求提供的完整支付申请资料后原则上在5个工作日内办理合同支付手续，支付合同总金额的20%。 注：若非采购人原因导致（包括但不限于不可抗力）到账时间延迟，采购人不承担相应责任。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1期：投标人应根据所提交的验收方案和实施办法，组织产品和人员，配合采购人在采购人监查下现场进行测试和验收。 （1）开箱检验 所有产品、器材在开箱时必须完好，无破损。配置与装箱单相符。数量、质量及性能不低于合同要求。 拆箱后，投标人应对其全部产品、零件、配件、检验合格证书、资料造册登记，并与装箱单对比，如有出入应立即书面记录，由供货商解决，如影响安装则按合同有关条款处理。登记册作为验收文档之一。 （2）测试 投标人应负责在项目测试时将系统的全部有关产品说明书、原厂家安装手册、技术文件、资料、以及安装、验收报告等文档交付采购人。 （3）产品验收要求 要求对全部产品、型号、规格、数量、外形、外观、包装及资料、文件（如装箱单、保修单等）的验收。 产品达到招标文件要求，且完成了合同规定的其他服务，才能进行验收。 中标人应负责在项目验收时将系统的全部有关产品说明书、原厂家安装手册、技术文件、资料及安装、验收报告等文档汇集成册（所有文本资料须同时提供中文版本）交付采购人或采购人指定的其他单位。 （4）验收合格 以合同内容约定的参数为依据，双方共同对产品进行验收，并共同签署验收合格证书。 对不能一次通过验收的产品，应判定为不合格产品，中标人应提出可行的整改措施（包括相关部件或整机更换），并在第一次验收结束之日起10天内重新组织验收，中标人负责所有验收所发生的费用，且不能影响交货期的最终期限。</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交货要求，1.投标人必须向采购人提供本项目采购的所有部件的安装和维护服务的全部内容。投标人一旦中标，若本项目采购的产品等方面的配置或要求中出现不合理或不完整的问题时，投标人有责任和义务提出补充修改方案并征得采购人同意后付诸实施。 2.投标人需针对本项目提供项目实施方案，内容包括但不限于项目进度安排、技术团队保障、应急处理措施等。</w:t>
            </w:r>
          </w:p>
          <w:p>
            <w:pPr>
              <w:pStyle w:val="null3"/>
            </w:pPr>
            <w:r>
              <w:rPr/>
              <w:t>产品一般要求，1.产品外观清洁，标记编号以及盘面显示等字体清晰，明确。 2.对于影响产品正常工作的必要组成部分，无论在技术规范中指出与否，投标人都应提供在投标文件中明确列出。 3.所投的产品必须是在中国范围内合法销售，原装、全新、并完全符合用户要求的产品。</w:t>
            </w:r>
          </w:p>
          <w:p>
            <w:pPr>
              <w:pStyle w:val="null3"/>
            </w:pPr>
            <w:r>
              <w:rPr/>
              <w:t>伴随服务要求，1.货物保管 货物应按品种，规格，级别分别整齐堆放在指定存放地，应有在室外堆放时防雨淋和防水淹设施。 2.培训 中标人为采购人提供不少于2天的5人以上的操作及维护培训，参训人数及名单由采购方安排，主要内容为产品的基本结构、性能、主要部件的构造及原理，日常使用操作、保养与管理，常见故障的排除，紧急情况的处理等，培训地点主要在产品安装现场或按双方协商安排。 投标人需针对本项目提供培训方案，内容包括但不限于培训人员安排、培训时间安排、培训内容、培训资料等。</w:t>
            </w:r>
          </w:p>
          <w:p>
            <w:pPr>
              <w:pStyle w:val="null3"/>
            </w:pPr>
            <w:r>
              <w:rPr/>
              <w:t>售后服务要求，1.质保期期限：自验收合格之日起计，提供至少三年的保修服务。 2.质保期内维修人员接到维修通知后，要求24小时内派工程技术人员维修，一般故障，在24小时内排除。 3.质保期内保修服务费、所有因产品质量问题而产生的费用均已包含在投标报价中，采购人不再另行支付。 4.中标人需在投标文件中注明质保期后产品的维修费用。 5.投标人需针对本项目提供售后服务方案，内容包括但不限于故障处理流程和安排、售后服务的原则、范围、时间响应情况等。</w:t>
            </w:r>
          </w:p>
          <w:p>
            <w:pPr>
              <w:pStyle w:val="null3"/>
            </w:pPr>
            <w:r>
              <w:rPr/>
              <w:t>包装、保险及运输、保管要求，1.产品材料的包装必须是制造商原厂包装，其包装均应有良好的防湿、防锈、防潮、防雨、防腐及防碰撞的措施。凡由于包装不良造成的损失和由此产生的费用均由投标人承担。 2.中标人负责将产品货到现场过程中的全部运输，包括装卸车、产品现场的搬运。 3.产品在现场的保管由中标人负责，直至项目验收完毕。 4.如果合同产品运输过程中因事故造成货物短缺、损坏，中标人应及时安排换货，以保证合同产品成功完整交付。换货的相关费用由中标人承担。 5.投标人需针对本项目提供供货方案，内容包括但不限于安装、调试、质量保障措施等。</w:t>
            </w:r>
          </w:p>
          <w:p>
            <w:pPr>
              <w:pStyle w:val="null3"/>
            </w:pPr>
            <w:r>
              <w:rPr/>
              <w:t>质量保证，1.中标人保证合同产品是全新、未曾使用过的，其质量、规格及技术特征符合合同附件的要求。所有产品要求原厂商现场验货、安装和测试。中标人应提供货物的装箱清单、用户手册、保修卡（或保修文件）、随机资料及配件、随机工具等。 2.质保期内非采购人的人为原因而出现产品质量及安装问题，由中标人负责包修、包换或包退，并承担因此而产生的一切费用。中标人应在收到采购人通知后派员到现场维修。</w:t>
            </w:r>
          </w:p>
          <w:p>
            <w:pPr>
              <w:pStyle w:val="null3"/>
            </w:pPr>
            <w:r>
              <w:rPr/>
              <w:t>演示要求，本项目要求在评标过程中进行功能演示，建议供应商在投标文件上传截止时间前到达采购代理机构指定位置进行等候或将需进行功能演示内容录播演示（刻录成光盘或U盘介质密封提交，封装上标注：项目名称、项目编号、投标人名称、包组号）。功能演示开始时间由评标委员会确定，如供应商未在评标委员会规定的时间内到达演示地点或未提交演示视频进行演示，评标委员会有权视其放弃功能演示。等候地点：代理机构指定位置。 （一）本项目由有效投标人于评标过程中进行功能演示（方案讲解），请投标人自行准备相关文件。 （二）授权委托代理人须凭身份证原件参加原型演示（方案讲解），参加人数不超过2人（含授权委托代理人在内）。供应商未到达现场参与功能演示的可将需进行功能演示内容录播（刻录成光盘或U盘介质密封提交，封装上标注：项目名称、项目编号、投标人名称、包组号）在开标前邮寄到指定位置进行功能演示。 （三）如现场功能演示（方案讲解）过程中需要用到电脑等设备（设备不能共用），请投标人自带，评标现场仅提供电源和投影设备。 （四）功能演示（方案讲解）时间不超过15分钟。 （五）功能演示（方案讲解）的内容为： 1.要求支持模型参数调节功能，支持文生图、图生图、后期处理、PNG 图片信息、模型融合、Colab Terminal、Infinite Zoom、Additional Networks、无边图像浏览、模型转换、超级模型融合、模型工具箱、标签器、通配符管理功能； 2.要求支持设置Comtrolnt控制、风格参考图与换脸图，图像依次生成，支持导入上一步图像，使用局部重绘工作流进行图像优化调整，工作流模块不少于5个，修改条件多次生成图像，可查看图像修改前后对比效果； 3.客户端缓存功能:客户端支持将服务器镜像文件缓存至本地硬盘，支持小容量固态硬盘以增量非分区的方式缓存至少五个的镜像；客户端需要支持多种模式，包含无缓存、全盘缓存、分区缓存等功能。支持硬盘故障的情况下自动以无盘方式启动系统； 4.集中化管理要求：软件需同时具有控制台及WEB页面的统一管理。管理员可通过WEB页面同时管理多台服务器下的所有客户端机器。WEB平台集成：服务器维护，资产管理，云盘管理，应用虚拟化管理，日志管理，用户管理，桌面管理，三员管理模块要求在同一界面上操作，以便高效能管理； 5.支持用户自定义缓存载入方案，管理员可设置学生机缓存从任意IP地址载入缓存，服务器内置多种预设方案选择，可配置学生机从邻近计算机载入缓存，减少系统下发及更新时服务器压力过大及网络环境的影响。 【演示要求：1、供应商须自行提供相关设备进行逐项演示，若使用PPT、图片文字、FLASH、DEMO原型等方式演示不得分。2、供应商应准备好演示所需要的所有设备及配件等器材，确保演示顺利，由于供应商自备设备造成无法演示的，供应商自行承担责任。3、演示录像播放要求：所有演示内容合并在一个演示视频中，每个包组演示视频时间最长不超过15分钟。演示视频应为mp4、mov、avi等Windows10政府版操作系统播放器默认兼容格式，因非上述通用格式造成视频无法播放或因分辨率过低导致演示效果不清晰的，后果由投标人自行承担。在光盘（U盘）的文件中，应同时提供演示各功能点在视频中的时间节点（以word文档形式提供，格式如下：“序号×，演示内容：×××……，演示日期：2025年xx月xx日”，以此类推）。录像视频中，对于正在展现的操作内容，应以不遮挡演示内容的字幕形式标出。4、各供应商演示时间不超过15分钟，每个供应商只有一次演示机会。5、视频演示顺序，按照广东政府采购智慧云平台生成的“签到表顺序”播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其他计算机</w:t>
            </w:r>
          </w:p>
        </w:tc>
        <w:tc>
          <w:tcPr>
            <w:tcW w:type="dxa" w:w="831"/>
          </w:tcPr>
          <w:p>
            <w:pPr>
              <w:pStyle w:val="null3"/>
              <w:jc w:val="left"/>
            </w:pPr>
            <w:r>
              <w:rPr/>
              <w:t>VR设计岗位配套硬件设备</w:t>
            </w:r>
          </w:p>
        </w:tc>
        <w:tc>
          <w:tcPr>
            <w:tcW w:type="dxa" w:w="831"/>
          </w:tcPr>
          <w:p>
            <w:pPr>
              <w:pStyle w:val="null3"/>
              <w:jc w:val="left"/>
            </w:pPr>
            <w:r>
              <w:rPr/>
              <w:t>套</w:t>
            </w:r>
          </w:p>
        </w:tc>
        <w:tc>
          <w:tcPr>
            <w:tcW w:type="dxa" w:w="831"/>
          </w:tcPr>
          <w:p>
            <w:pPr>
              <w:pStyle w:val="null3"/>
              <w:jc w:val="right"/>
            </w:pPr>
            <w:r>
              <w:rPr/>
              <w:t>41.00</w:t>
            </w:r>
          </w:p>
        </w:tc>
        <w:tc>
          <w:tcPr>
            <w:tcW w:type="dxa" w:w="831"/>
          </w:tcPr>
          <w:p>
            <w:pPr>
              <w:pStyle w:val="null3"/>
              <w:jc w:val="right"/>
            </w:pPr>
            <w:r>
              <w:rPr/>
              <w:t>16,800.00</w:t>
            </w:r>
          </w:p>
        </w:tc>
        <w:tc>
          <w:tcPr>
            <w:tcW w:type="dxa" w:w="831"/>
          </w:tcPr>
          <w:p>
            <w:pPr>
              <w:pStyle w:val="null3"/>
              <w:jc w:val="right"/>
            </w:pPr>
            <w:r>
              <w:rPr/>
              <w:t>688,800.00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教学仪器</w:t>
            </w:r>
          </w:p>
        </w:tc>
        <w:tc>
          <w:tcPr>
            <w:tcW w:type="dxa" w:w="831"/>
          </w:tcPr>
          <w:p>
            <w:pPr>
              <w:pStyle w:val="null3"/>
              <w:jc w:val="left"/>
            </w:pPr>
            <w:r>
              <w:rPr/>
              <w:t>VR模型外接雕刻设备（学生用）</w:t>
            </w:r>
          </w:p>
        </w:tc>
        <w:tc>
          <w:tcPr>
            <w:tcW w:type="dxa" w:w="831"/>
          </w:tcPr>
          <w:p>
            <w:pPr>
              <w:pStyle w:val="null3"/>
              <w:jc w:val="left"/>
            </w:pPr>
            <w:r>
              <w:rPr/>
              <w:t>套</w:t>
            </w:r>
          </w:p>
        </w:tc>
        <w:tc>
          <w:tcPr>
            <w:tcW w:type="dxa" w:w="831"/>
          </w:tcPr>
          <w:p>
            <w:pPr>
              <w:pStyle w:val="null3"/>
              <w:jc w:val="right"/>
            </w:pPr>
            <w:r>
              <w:rPr/>
              <w:t>40.00</w:t>
            </w:r>
          </w:p>
        </w:tc>
        <w:tc>
          <w:tcPr>
            <w:tcW w:type="dxa" w:w="831"/>
          </w:tcPr>
          <w:p>
            <w:pPr>
              <w:pStyle w:val="null3"/>
              <w:jc w:val="right"/>
            </w:pPr>
            <w:r>
              <w:rPr/>
              <w:t>1,025.00</w:t>
            </w:r>
          </w:p>
        </w:tc>
        <w:tc>
          <w:tcPr>
            <w:tcW w:type="dxa" w:w="831"/>
          </w:tcPr>
          <w:p>
            <w:pPr>
              <w:pStyle w:val="null3"/>
              <w:jc w:val="right"/>
            </w:pPr>
            <w:r>
              <w:rPr/>
              <w:t>41,000.00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教学仪器</w:t>
            </w:r>
          </w:p>
        </w:tc>
        <w:tc>
          <w:tcPr>
            <w:tcW w:type="dxa" w:w="831"/>
          </w:tcPr>
          <w:p>
            <w:pPr>
              <w:pStyle w:val="null3"/>
              <w:jc w:val="left"/>
            </w:pPr>
            <w:r>
              <w:rPr/>
              <w:t>VR模型外接雕刻设备（教师用）</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9,000.00</w:t>
            </w:r>
          </w:p>
        </w:tc>
        <w:tc>
          <w:tcPr>
            <w:tcW w:type="dxa" w:w="831"/>
          </w:tcPr>
          <w:p>
            <w:pPr>
              <w:pStyle w:val="null3"/>
              <w:jc w:val="right"/>
            </w:pPr>
            <w:r>
              <w:rPr/>
              <w:t>9,000.00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教学仪器</w:t>
            </w:r>
          </w:p>
        </w:tc>
        <w:tc>
          <w:tcPr>
            <w:tcW w:type="dxa" w:w="831"/>
          </w:tcPr>
          <w:p>
            <w:pPr>
              <w:pStyle w:val="null3"/>
              <w:jc w:val="left"/>
            </w:pPr>
            <w:r>
              <w:rPr/>
              <w:t>VR设计设备移动收纳箱</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1,600.00</w:t>
            </w:r>
          </w:p>
        </w:tc>
        <w:tc>
          <w:tcPr>
            <w:tcW w:type="dxa" w:w="831"/>
          </w:tcPr>
          <w:p>
            <w:pPr>
              <w:pStyle w:val="null3"/>
              <w:jc w:val="right"/>
            </w:pPr>
            <w:r>
              <w:rPr/>
              <w:t>1,600.00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教学仪器</w:t>
            </w:r>
          </w:p>
        </w:tc>
        <w:tc>
          <w:tcPr>
            <w:tcW w:type="dxa" w:w="831"/>
          </w:tcPr>
          <w:p>
            <w:pPr>
              <w:pStyle w:val="null3"/>
              <w:jc w:val="left"/>
            </w:pPr>
            <w:r>
              <w:rPr/>
              <w:t>VR本地资源库存储介质</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42,000.00</w:t>
            </w:r>
          </w:p>
        </w:tc>
        <w:tc>
          <w:tcPr>
            <w:tcW w:type="dxa" w:w="831"/>
          </w:tcPr>
          <w:p>
            <w:pPr>
              <w:pStyle w:val="null3"/>
              <w:jc w:val="right"/>
            </w:pPr>
            <w:r>
              <w:rPr/>
              <w:t>42,000.00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教学仪器</w:t>
            </w:r>
          </w:p>
        </w:tc>
        <w:tc>
          <w:tcPr>
            <w:tcW w:type="dxa" w:w="831"/>
          </w:tcPr>
          <w:p>
            <w:pPr>
              <w:pStyle w:val="null3"/>
              <w:jc w:val="left"/>
            </w:pPr>
            <w:r>
              <w:rPr/>
              <w:t>VR眼镜</w:t>
            </w:r>
          </w:p>
        </w:tc>
        <w:tc>
          <w:tcPr>
            <w:tcW w:type="dxa" w:w="831"/>
          </w:tcPr>
          <w:p>
            <w:pPr>
              <w:pStyle w:val="null3"/>
              <w:jc w:val="left"/>
            </w:pPr>
            <w:r>
              <w:rPr/>
              <w:t>个</w:t>
            </w:r>
          </w:p>
        </w:tc>
        <w:tc>
          <w:tcPr>
            <w:tcW w:type="dxa" w:w="831"/>
          </w:tcPr>
          <w:p>
            <w:pPr>
              <w:pStyle w:val="null3"/>
              <w:jc w:val="right"/>
            </w:pPr>
            <w:r>
              <w:rPr/>
              <w:t>20.00</w:t>
            </w:r>
          </w:p>
        </w:tc>
        <w:tc>
          <w:tcPr>
            <w:tcW w:type="dxa" w:w="831"/>
          </w:tcPr>
          <w:p>
            <w:pPr>
              <w:pStyle w:val="null3"/>
              <w:jc w:val="right"/>
            </w:pPr>
            <w:r>
              <w:rPr/>
              <w:t>5,500.00</w:t>
            </w:r>
          </w:p>
        </w:tc>
        <w:tc>
          <w:tcPr>
            <w:tcW w:type="dxa" w:w="831"/>
          </w:tcPr>
          <w:p>
            <w:pPr>
              <w:pStyle w:val="null3"/>
              <w:jc w:val="right"/>
            </w:pPr>
            <w:r>
              <w:rPr/>
              <w:t>110,000.00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教学、实验用桌</w:t>
            </w:r>
          </w:p>
        </w:tc>
        <w:tc>
          <w:tcPr>
            <w:tcW w:type="dxa" w:w="831"/>
          </w:tcPr>
          <w:p>
            <w:pPr>
              <w:pStyle w:val="null3"/>
              <w:jc w:val="left"/>
            </w:pPr>
            <w:r>
              <w:rPr/>
              <w:t>教学工作台</w:t>
            </w:r>
          </w:p>
        </w:tc>
        <w:tc>
          <w:tcPr>
            <w:tcW w:type="dxa" w:w="831"/>
          </w:tcPr>
          <w:p>
            <w:pPr>
              <w:pStyle w:val="null3"/>
              <w:jc w:val="left"/>
            </w:pPr>
            <w:r>
              <w:rPr/>
              <w:t>个</w:t>
            </w:r>
          </w:p>
        </w:tc>
        <w:tc>
          <w:tcPr>
            <w:tcW w:type="dxa" w:w="831"/>
          </w:tcPr>
          <w:p>
            <w:pPr>
              <w:pStyle w:val="null3"/>
              <w:jc w:val="right"/>
            </w:pPr>
            <w:r>
              <w:rPr/>
              <w:t>31.00</w:t>
            </w:r>
          </w:p>
        </w:tc>
        <w:tc>
          <w:tcPr>
            <w:tcW w:type="dxa" w:w="831"/>
          </w:tcPr>
          <w:p>
            <w:pPr>
              <w:pStyle w:val="null3"/>
              <w:jc w:val="right"/>
            </w:pPr>
            <w:r>
              <w:rPr/>
              <w:t>700.00</w:t>
            </w:r>
          </w:p>
        </w:tc>
        <w:tc>
          <w:tcPr>
            <w:tcW w:type="dxa" w:w="831"/>
          </w:tcPr>
          <w:p>
            <w:pPr>
              <w:pStyle w:val="null3"/>
              <w:jc w:val="right"/>
            </w:pPr>
            <w:r>
              <w:rPr/>
              <w:t>21,700.00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教学、实验椅凳</w:t>
            </w:r>
          </w:p>
        </w:tc>
        <w:tc>
          <w:tcPr>
            <w:tcW w:type="dxa" w:w="831"/>
          </w:tcPr>
          <w:p>
            <w:pPr>
              <w:pStyle w:val="null3"/>
              <w:jc w:val="left"/>
            </w:pPr>
            <w:r>
              <w:rPr/>
              <w:t>教学工作椅</w:t>
            </w:r>
          </w:p>
        </w:tc>
        <w:tc>
          <w:tcPr>
            <w:tcW w:type="dxa" w:w="831"/>
          </w:tcPr>
          <w:p>
            <w:pPr>
              <w:pStyle w:val="null3"/>
              <w:jc w:val="left"/>
            </w:pPr>
            <w:r>
              <w:rPr/>
              <w:t>个</w:t>
            </w:r>
          </w:p>
        </w:tc>
        <w:tc>
          <w:tcPr>
            <w:tcW w:type="dxa" w:w="831"/>
          </w:tcPr>
          <w:p>
            <w:pPr>
              <w:pStyle w:val="null3"/>
              <w:jc w:val="right"/>
            </w:pPr>
            <w:r>
              <w:rPr/>
              <w:t>61.00</w:t>
            </w:r>
          </w:p>
        </w:tc>
        <w:tc>
          <w:tcPr>
            <w:tcW w:type="dxa" w:w="831"/>
          </w:tcPr>
          <w:p>
            <w:pPr>
              <w:pStyle w:val="null3"/>
              <w:jc w:val="right"/>
            </w:pPr>
            <w:r>
              <w:rPr/>
              <w:t>100.00</w:t>
            </w:r>
          </w:p>
        </w:tc>
        <w:tc>
          <w:tcPr>
            <w:tcW w:type="dxa" w:w="831"/>
          </w:tcPr>
          <w:p>
            <w:pPr>
              <w:pStyle w:val="null3"/>
              <w:jc w:val="right"/>
            </w:pPr>
            <w:r>
              <w:rPr/>
              <w:t>6,100.00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pPr>
              <w:pStyle w:val="null3"/>
              <w:jc w:val="center"/>
            </w:pPr>
            <w:r>
              <w:rPr/>
              <w:t>△</w:t>
            </w:r>
          </w:p>
        </w:tc>
        <w:tc>
          <w:tcPr>
            <w:tcW w:type="dxa" w:w="831"/>
          </w:tcPr>
          <w:p>
            <w:pPr>
              <w:pStyle w:val="null3"/>
              <w:jc w:val="left"/>
            </w:pPr>
            <w:r>
              <w:rPr/>
              <w:t>其他计算机软件</w:t>
            </w:r>
          </w:p>
        </w:tc>
        <w:tc>
          <w:tcPr>
            <w:tcW w:type="dxa" w:w="831"/>
          </w:tcPr>
          <w:p>
            <w:pPr>
              <w:pStyle w:val="null3"/>
              <w:jc w:val="left"/>
            </w:pPr>
            <w:r>
              <w:rPr/>
              <w:t>AIGC数字艺术实践平台</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68,000.00</w:t>
            </w:r>
          </w:p>
        </w:tc>
        <w:tc>
          <w:tcPr>
            <w:tcW w:type="dxa" w:w="831"/>
          </w:tcPr>
          <w:p>
            <w:pPr>
              <w:pStyle w:val="null3"/>
              <w:jc w:val="right"/>
            </w:pPr>
            <w:r>
              <w:rPr/>
              <w:t>68,000.00</w:t>
            </w:r>
          </w:p>
        </w:tc>
        <w:tc>
          <w:tcPr>
            <w:tcW w:type="dxa" w:w="831"/>
          </w:tcPr>
          <w:p>
            <w:pPr>
              <w:pStyle w:val="null3"/>
            </w:pPr>
            <w:r>
              <w:rPr/>
              <w:t>软件和信息技术服务业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其他计算机</w:t>
            </w:r>
          </w:p>
        </w:tc>
        <w:tc>
          <w:tcPr>
            <w:tcW w:type="dxa" w:w="831"/>
          </w:tcPr>
          <w:p>
            <w:pPr>
              <w:pStyle w:val="null3"/>
              <w:jc w:val="left"/>
            </w:pPr>
            <w:r>
              <w:rPr/>
              <w:t>AIGC数字平台搭载设备</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85,800.00</w:t>
            </w:r>
          </w:p>
        </w:tc>
        <w:tc>
          <w:tcPr>
            <w:tcW w:type="dxa" w:w="831"/>
          </w:tcPr>
          <w:p>
            <w:pPr>
              <w:pStyle w:val="null3"/>
              <w:jc w:val="right"/>
            </w:pPr>
            <w:r>
              <w:rPr/>
              <w:t>85,800.00</w:t>
            </w:r>
          </w:p>
        </w:tc>
        <w:tc>
          <w:tcPr>
            <w:tcW w:type="dxa" w:w="831"/>
          </w:tcPr>
          <w:p>
            <w:pPr>
              <w:pStyle w:val="null3"/>
            </w:pPr>
            <w:r>
              <w:rPr/>
              <w:t>工业</w:t>
            </w:r>
          </w:p>
        </w:tc>
        <w:tc>
          <w:tcPr>
            <w:tcW w:type="dxa" w:w="831"/>
          </w:tcPr>
          <w:p>
            <w:pPr>
              <w:pStyle w:val="null3"/>
            </w:pPr>
            <w:r>
              <w:rPr/>
              <w:t>详见附表十</w:t>
            </w:r>
          </w:p>
        </w:tc>
      </w:tr>
      <w:tr>
        <w:tc>
          <w:tcPr>
            <w:tcW w:type="dxa" w:w="831"/>
          </w:tcPr>
          <w:p>
            <w:pPr>
              <w:pStyle w:val="null3"/>
              <w:jc w:val="center"/>
            </w:pPr>
            <w:r>
              <w:rPr/>
              <w:t>11</w:t>
            </w:r>
          </w:p>
        </w:tc>
        <w:tc>
          <w:tcPr>
            <w:tcW w:type="dxa" w:w="831"/>
          </w:tcPr>
          <w:p/>
        </w:tc>
        <w:tc>
          <w:tcPr>
            <w:tcW w:type="dxa" w:w="831"/>
          </w:tcPr>
          <w:p>
            <w:pPr>
              <w:pStyle w:val="null3"/>
              <w:jc w:val="left"/>
            </w:pPr>
            <w:r>
              <w:rPr/>
              <w:t>其他计算机软件</w:t>
            </w:r>
          </w:p>
        </w:tc>
        <w:tc>
          <w:tcPr>
            <w:tcW w:type="dxa" w:w="831"/>
          </w:tcPr>
          <w:p>
            <w:pPr>
              <w:pStyle w:val="null3"/>
              <w:jc w:val="left"/>
            </w:pPr>
            <w:r>
              <w:rPr/>
              <w:t>教学云终端管理平台</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1,000.00</w:t>
            </w:r>
          </w:p>
        </w:tc>
        <w:tc>
          <w:tcPr>
            <w:tcW w:type="dxa" w:w="831"/>
          </w:tcPr>
          <w:p>
            <w:pPr>
              <w:pStyle w:val="null3"/>
              <w:jc w:val="right"/>
            </w:pPr>
            <w:r>
              <w:rPr/>
              <w:t>1,000.00</w:t>
            </w:r>
          </w:p>
        </w:tc>
        <w:tc>
          <w:tcPr>
            <w:tcW w:type="dxa" w:w="831"/>
          </w:tcPr>
          <w:p>
            <w:pPr>
              <w:pStyle w:val="null3"/>
            </w:pPr>
            <w:r>
              <w:rPr/>
              <w:t>软件和信息技术服务业</w:t>
            </w:r>
          </w:p>
        </w:tc>
        <w:tc>
          <w:tcPr>
            <w:tcW w:type="dxa" w:w="831"/>
          </w:tcPr>
          <w:p>
            <w:pPr>
              <w:pStyle w:val="null3"/>
            </w:pPr>
            <w:r>
              <w:rPr/>
              <w:t>详见附表十一</w:t>
            </w:r>
          </w:p>
        </w:tc>
      </w:tr>
      <w:tr>
        <w:tc>
          <w:tcPr>
            <w:tcW w:type="dxa" w:w="831"/>
          </w:tcPr>
          <w:p>
            <w:pPr>
              <w:pStyle w:val="null3"/>
              <w:jc w:val="center"/>
            </w:pPr>
            <w:r>
              <w:rPr/>
              <w:t>12</w:t>
            </w:r>
          </w:p>
        </w:tc>
        <w:tc>
          <w:tcPr>
            <w:tcW w:type="dxa" w:w="831"/>
          </w:tcPr>
          <w:p/>
        </w:tc>
        <w:tc>
          <w:tcPr>
            <w:tcW w:type="dxa" w:w="831"/>
          </w:tcPr>
          <w:p>
            <w:pPr>
              <w:pStyle w:val="null3"/>
              <w:jc w:val="left"/>
            </w:pPr>
            <w:r>
              <w:rPr/>
              <w:t>交换设备</w:t>
            </w:r>
          </w:p>
        </w:tc>
        <w:tc>
          <w:tcPr>
            <w:tcW w:type="dxa" w:w="831"/>
          </w:tcPr>
          <w:p>
            <w:pPr>
              <w:pStyle w:val="null3"/>
              <w:jc w:val="left"/>
            </w:pPr>
            <w:r>
              <w:rPr/>
              <w:t>24口千兆交换机</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3,200.00</w:t>
            </w:r>
          </w:p>
        </w:tc>
        <w:tc>
          <w:tcPr>
            <w:tcW w:type="dxa" w:w="831"/>
          </w:tcPr>
          <w:p>
            <w:pPr>
              <w:pStyle w:val="null3"/>
              <w:jc w:val="right"/>
            </w:pPr>
            <w:r>
              <w:rPr/>
              <w:t>6,400.00</w:t>
            </w:r>
          </w:p>
        </w:tc>
        <w:tc>
          <w:tcPr>
            <w:tcW w:type="dxa" w:w="831"/>
          </w:tcPr>
          <w:p>
            <w:pPr>
              <w:pStyle w:val="null3"/>
            </w:pPr>
            <w:r>
              <w:rPr/>
              <w:t>工业</w:t>
            </w:r>
          </w:p>
        </w:tc>
        <w:tc>
          <w:tcPr>
            <w:tcW w:type="dxa" w:w="831"/>
          </w:tcPr>
          <w:p>
            <w:pPr>
              <w:pStyle w:val="null3"/>
            </w:pPr>
            <w:r>
              <w:rPr/>
              <w:t>详见附表十二</w:t>
            </w:r>
          </w:p>
        </w:tc>
      </w:tr>
      <w:tr>
        <w:tc>
          <w:tcPr>
            <w:tcW w:type="dxa" w:w="831"/>
          </w:tcPr>
          <w:p>
            <w:pPr>
              <w:pStyle w:val="null3"/>
              <w:jc w:val="center"/>
            </w:pPr>
            <w:r>
              <w:rPr/>
              <w:t>13</w:t>
            </w:r>
          </w:p>
        </w:tc>
        <w:tc>
          <w:tcPr>
            <w:tcW w:type="dxa" w:w="831"/>
          </w:tcPr>
          <w:p/>
        </w:tc>
        <w:tc>
          <w:tcPr>
            <w:tcW w:type="dxa" w:w="831"/>
          </w:tcPr>
          <w:p>
            <w:pPr>
              <w:pStyle w:val="null3"/>
              <w:jc w:val="left"/>
            </w:pPr>
            <w:r>
              <w:rPr/>
              <w:t>机柜</w:t>
            </w:r>
          </w:p>
        </w:tc>
        <w:tc>
          <w:tcPr>
            <w:tcW w:type="dxa" w:w="831"/>
          </w:tcPr>
          <w:p>
            <w:pPr>
              <w:pStyle w:val="null3"/>
              <w:jc w:val="left"/>
            </w:pPr>
            <w:r>
              <w:rPr/>
              <w:t>网络机柜</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800.00</w:t>
            </w:r>
          </w:p>
        </w:tc>
        <w:tc>
          <w:tcPr>
            <w:tcW w:type="dxa" w:w="831"/>
          </w:tcPr>
          <w:p>
            <w:pPr>
              <w:pStyle w:val="null3"/>
              <w:jc w:val="right"/>
            </w:pPr>
            <w:r>
              <w:rPr/>
              <w:t>800.00</w:t>
            </w:r>
          </w:p>
        </w:tc>
        <w:tc>
          <w:tcPr>
            <w:tcW w:type="dxa" w:w="831"/>
          </w:tcPr>
          <w:p>
            <w:pPr>
              <w:pStyle w:val="null3"/>
            </w:pPr>
            <w:r>
              <w:rPr/>
              <w:t>工业</w:t>
            </w:r>
          </w:p>
        </w:tc>
        <w:tc>
          <w:tcPr>
            <w:tcW w:type="dxa" w:w="831"/>
          </w:tcPr>
          <w:p>
            <w:pPr>
              <w:pStyle w:val="null3"/>
            </w:pPr>
            <w:r>
              <w:rPr/>
              <w:t>详见附表十三</w:t>
            </w:r>
          </w:p>
        </w:tc>
      </w:tr>
      <w:tr>
        <w:tc>
          <w:tcPr>
            <w:tcW w:type="dxa" w:w="831"/>
          </w:tcPr>
          <w:p>
            <w:pPr>
              <w:pStyle w:val="null3"/>
              <w:jc w:val="center"/>
            </w:pPr>
            <w:r>
              <w:rPr/>
              <w:t>14</w:t>
            </w:r>
          </w:p>
        </w:tc>
        <w:tc>
          <w:tcPr>
            <w:tcW w:type="dxa" w:w="831"/>
          </w:tcPr>
          <w:p/>
        </w:tc>
        <w:tc>
          <w:tcPr>
            <w:tcW w:type="dxa" w:w="831"/>
          </w:tcPr>
          <w:p>
            <w:pPr>
              <w:pStyle w:val="null3"/>
              <w:jc w:val="left"/>
            </w:pPr>
            <w:r>
              <w:rPr/>
              <w:t>音箱</w:t>
            </w:r>
          </w:p>
        </w:tc>
        <w:tc>
          <w:tcPr>
            <w:tcW w:type="dxa" w:w="831"/>
          </w:tcPr>
          <w:p>
            <w:pPr>
              <w:pStyle w:val="null3"/>
              <w:jc w:val="left"/>
            </w:pPr>
            <w:r>
              <w:rPr/>
              <w:t>音箱</w:t>
            </w:r>
          </w:p>
        </w:tc>
        <w:tc>
          <w:tcPr>
            <w:tcW w:type="dxa" w:w="831"/>
          </w:tcPr>
          <w:p>
            <w:pPr>
              <w:pStyle w:val="null3"/>
              <w:jc w:val="left"/>
            </w:pPr>
            <w:r>
              <w:rPr/>
              <w:t>对</w:t>
            </w:r>
          </w:p>
        </w:tc>
        <w:tc>
          <w:tcPr>
            <w:tcW w:type="dxa" w:w="831"/>
          </w:tcPr>
          <w:p>
            <w:pPr>
              <w:pStyle w:val="null3"/>
              <w:jc w:val="right"/>
            </w:pPr>
            <w:r>
              <w:rPr/>
              <w:t>2.00</w:t>
            </w:r>
          </w:p>
        </w:tc>
        <w:tc>
          <w:tcPr>
            <w:tcW w:type="dxa" w:w="831"/>
          </w:tcPr>
          <w:p>
            <w:pPr>
              <w:pStyle w:val="null3"/>
              <w:jc w:val="right"/>
            </w:pPr>
            <w:r>
              <w:rPr/>
              <w:t>1,600.00</w:t>
            </w:r>
          </w:p>
        </w:tc>
        <w:tc>
          <w:tcPr>
            <w:tcW w:type="dxa" w:w="831"/>
          </w:tcPr>
          <w:p>
            <w:pPr>
              <w:pStyle w:val="null3"/>
              <w:jc w:val="right"/>
            </w:pPr>
            <w:r>
              <w:rPr/>
              <w:t>3,200.00</w:t>
            </w:r>
          </w:p>
        </w:tc>
        <w:tc>
          <w:tcPr>
            <w:tcW w:type="dxa" w:w="831"/>
          </w:tcPr>
          <w:p>
            <w:pPr>
              <w:pStyle w:val="null3"/>
            </w:pPr>
            <w:r>
              <w:rPr/>
              <w:t>工业</w:t>
            </w:r>
          </w:p>
        </w:tc>
        <w:tc>
          <w:tcPr>
            <w:tcW w:type="dxa" w:w="831"/>
          </w:tcPr>
          <w:p>
            <w:pPr>
              <w:pStyle w:val="null3"/>
            </w:pPr>
            <w:r>
              <w:rPr/>
              <w:t>详见附表十四</w:t>
            </w:r>
          </w:p>
        </w:tc>
      </w:tr>
      <w:tr>
        <w:tc>
          <w:tcPr>
            <w:tcW w:type="dxa" w:w="831"/>
          </w:tcPr>
          <w:p>
            <w:pPr>
              <w:pStyle w:val="null3"/>
              <w:jc w:val="center"/>
            </w:pPr>
            <w:r>
              <w:rPr/>
              <w:t>15</w:t>
            </w:r>
          </w:p>
        </w:tc>
        <w:tc>
          <w:tcPr>
            <w:tcW w:type="dxa" w:w="831"/>
          </w:tcPr>
          <w:p/>
        </w:tc>
        <w:tc>
          <w:tcPr>
            <w:tcW w:type="dxa" w:w="831"/>
          </w:tcPr>
          <w:p>
            <w:pPr>
              <w:pStyle w:val="null3"/>
              <w:jc w:val="left"/>
            </w:pPr>
            <w:r>
              <w:rPr/>
              <w:t>其他输入输出设备</w:t>
            </w:r>
          </w:p>
        </w:tc>
        <w:tc>
          <w:tcPr>
            <w:tcW w:type="dxa" w:w="831"/>
          </w:tcPr>
          <w:p>
            <w:pPr>
              <w:pStyle w:val="null3"/>
              <w:jc w:val="left"/>
            </w:pPr>
            <w:r>
              <w:rPr/>
              <w:t>大功率功放</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1,800.00</w:t>
            </w:r>
          </w:p>
        </w:tc>
        <w:tc>
          <w:tcPr>
            <w:tcW w:type="dxa" w:w="831"/>
          </w:tcPr>
          <w:p>
            <w:pPr>
              <w:pStyle w:val="null3"/>
              <w:jc w:val="right"/>
            </w:pPr>
            <w:r>
              <w:rPr/>
              <w:t>1,800.00</w:t>
            </w:r>
          </w:p>
        </w:tc>
        <w:tc>
          <w:tcPr>
            <w:tcW w:type="dxa" w:w="831"/>
          </w:tcPr>
          <w:p>
            <w:pPr>
              <w:pStyle w:val="null3"/>
            </w:pPr>
            <w:r>
              <w:rPr/>
              <w:t>工业</w:t>
            </w:r>
          </w:p>
        </w:tc>
        <w:tc>
          <w:tcPr>
            <w:tcW w:type="dxa" w:w="831"/>
          </w:tcPr>
          <w:p>
            <w:pPr>
              <w:pStyle w:val="null3"/>
            </w:pPr>
            <w:r>
              <w:rPr/>
              <w:t>详见附表十五</w:t>
            </w:r>
          </w:p>
        </w:tc>
      </w:tr>
      <w:tr>
        <w:tc>
          <w:tcPr>
            <w:tcW w:type="dxa" w:w="831"/>
          </w:tcPr>
          <w:p>
            <w:pPr>
              <w:pStyle w:val="null3"/>
              <w:jc w:val="center"/>
            </w:pPr>
            <w:r>
              <w:rPr/>
              <w:t>16</w:t>
            </w:r>
          </w:p>
        </w:tc>
        <w:tc>
          <w:tcPr>
            <w:tcW w:type="dxa" w:w="831"/>
          </w:tcPr>
          <w:p/>
        </w:tc>
        <w:tc>
          <w:tcPr>
            <w:tcW w:type="dxa" w:w="831"/>
          </w:tcPr>
          <w:p>
            <w:pPr>
              <w:pStyle w:val="null3"/>
              <w:jc w:val="left"/>
            </w:pPr>
            <w:r>
              <w:rPr/>
              <w:t>话筒设备</w:t>
            </w:r>
          </w:p>
        </w:tc>
        <w:tc>
          <w:tcPr>
            <w:tcW w:type="dxa" w:w="831"/>
          </w:tcPr>
          <w:p>
            <w:pPr>
              <w:pStyle w:val="null3"/>
              <w:jc w:val="left"/>
            </w:pPr>
            <w:r>
              <w:rPr/>
              <w:t>无线U段麦克风</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800.00</w:t>
            </w:r>
          </w:p>
        </w:tc>
        <w:tc>
          <w:tcPr>
            <w:tcW w:type="dxa" w:w="831"/>
          </w:tcPr>
          <w:p>
            <w:pPr>
              <w:pStyle w:val="null3"/>
              <w:jc w:val="right"/>
            </w:pPr>
            <w:r>
              <w:rPr/>
              <w:t>800.00</w:t>
            </w:r>
          </w:p>
        </w:tc>
        <w:tc>
          <w:tcPr>
            <w:tcW w:type="dxa" w:w="831"/>
          </w:tcPr>
          <w:p>
            <w:pPr>
              <w:pStyle w:val="null3"/>
            </w:pPr>
            <w:r>
              <w:rPr/>
              <w:t>工业</w:t>
            </w:r>
          </w:p>
        </w:tc>
        <w:tc>
          <w:tcPr>
            <w:tcW w:type="dxa" w:w="831"/>
          </w:tcPr>
          <w:p>
            <w:pPr>
              <w:pStyle w:val="null3"/>
            </w:pPr>
            <w:r>
              <w:rPr/>
              <w:t>详见附表十六</w:t>
            </w:r>
          </w:p>
        </w:tc>
      </w:tr>
    </w:tbl>
    <w:p>
      <w:pPr>
        <w:pStyle w:val="null3"/>
      </w:pPr>
      <w:r>
        <w:rPr>
          <w:b/>
        </w:rPr>
        <w:t>附表</w:t>
      </w:r>
      <w:r>
        <w:rPr>
          <w:b/>
        </w:rPr>
        <w:t>一</w:t>
      </w:r>
      <w:r>
        <w:rPr>
          <w:b/>
        </w:rPr>
        <w:t>：</w:t>
      </w:r>
      <w:r>
        <w:rPr>
          <w:b/>
        </w:rPr>
        <w:t>VR设计岗位配套硬件设备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1.机箱：标准塔式机箱；</w:t>
            </w:r>
          </w:p>
          <w:p>
            <w:pPr>
              <w:pStyle w:val="null3"/>
              <w:jc w:val="left"/>
            </w:pPr>
            <w:r>
              <w:rPr>
                <w:sz w:val="21"/>
              </w:rPr>
              <w:t>2.高性能芯片组：支持的处理器 PCI Express 端口配置相当于或优于PCIe 5.0: 1x16+1x4；</w:t>
            </w:r>
          </w:p>
          <w:p>
            <w:pPr>
              <w:pStyle w:val="null3"/>
              <w:jc w:val="left"/>
            </w:pPr>
            <w:r>
              <w:rPr>
                <w:sz w:val="21"/>
              </w:rPr>
              <w:t>3.高性能处理器：内核数≥20，总线程数≥20,（性能核）基本频率≥3.9,二级高速缓存总容量≥36MB，内存最高速率≥ 6400MT/s；</w:t>
            </w:r>
          </w:p>
          <w:p>
            <w:pPr>
              <w:pStyle w:val="null3"/>
              <w:jc w:val="left"/>
            </w:pPr>
            <w:r>
              <w:rPr>
                <w:sz w:val="21"/>
              </w:rPr>
              <w:t>4.高性能内存：≥32GB，≥DDR5 5600MHz，可支持ECC内存，最大支持192G,≥4个DIMM 插槽；</w:t>
            </w:r>
          </w:p>
          <w:p>
            <w:pPr>
              <w:pStyle w:val="null3"/>
              <w:jc w:val="left"/>
            </w:pPr>
            <w:r>
              <w:rPr>
                <w:sz w:val="21"/>
              </w:rPr>
              <w:t>5.高性能存储：≥1TB M.2 PCIE 4x4 SSD；</w:t>
            </w:r>
          </w:p>
          <w:p>
            <w:pPr>
              <w:pStyle w:val="null3"/>
              <w:jc w:val="left"/>
            </w:pPr>
            <w:r>
              <w:rPr>
                <w:sz w:val="21"/>
              </w:rPr>
              <w:t>6.高性能显卡：独立显卡，显存≥12G；</w:t>
            </w:r>
          </w:p>
          <w:p>
            <w:pPr>
              <w:pStyle w:val="null3"/>
              <w:jc w:val="left"/>
            </w:pPr>
            <w:r>
              <w:rPr>
                <w:sz w:val="21"/>
              </w:rPr>
              <w:t>7.端口：前置：≥1 个耳机/麦克风组合插孔，≥1x雷电“4”（Type-C）；</w:t>
            </w:r>
          </w:p>
          <w:p>
            <w:pPr>
              <w:pStyle w:val="null3"/>
              <w:jc w:val="left"/>
            </w:pPr>
            <w:r>
              <w:rPr>
                <w:sz w:val="21"/>
              </w:rPr>
              <w:t>8.扩展插槽：≥2个PCIe插槽；</w:t>
            </w:r>
          </w:p>
          <w:p>
            <w:pPr>
              <w:pStyle w:val="null3"/>
              <w:jc w:val="left"/>
            </w:pPr>
            <w:r>
              <w:rPr>
                <w:sz w:val="21"/>
              </w:rPr>
              <w:t>9.USB接口：≥3个；</w:t>
            </w:r>
          </w:p>
          <w:p>
            <w:pPr>
              <w:pStyle w:val="null3"/>
              <w:jc w:val="left"/>
            </w:pPr>
            <w:r>
              <w:rPr>
                <w:sz w:val="21"/>
              </w:rPr>
              <w:t>10.网络：需配置千兆网卡；</w:t>
            </w:r>
          </w:p>
          <w:p>
            <w:pPr>
              <w:pStyle w:val="null3"/>
              <w:jc w:val="left"/>
            </w:pPr>
            <w:r>
              <w:rPr>
                <w:sz w:val="21"/>
              </w:rPr>
              <w:t>11.电源：要求所使用的电源可以与设备兼容，功率≥550W；</w:t>
            </w:r>
          </w:p>
          <w:p>
            <w:pPr>
              <w:pStyle w:val="null3"/>
              <w:jc w:val="left"/>
            </w:pPr>
            <w:r>
              <w:rPr>
                <w:sz w:val="21"/>
              </w:rPr>
              <w:t>▲12.主板BIOS集成智能同传功能，要求具备如下功能：(1)要求支持多硬盘；(2)要求支持同一台机器上安装多个硬盘；(3)要求支持最新的Windows11操作系统（</w:t>
            </w:r>
            <w:r>
              <w:rPr>
                <w:sz w:val="21"/>
              </w:rPr>
              <w:t>须</w:t>
            </w:r>
            <w:r>
              <w:rPr>
                <w:sz w:val="21"/>
              </w:rPr>
              <w:t>在投标文件中提供满足本项参数要求的证明材料并加盖投标人公章）；</w:t>
            </w:r>
          </w:p>
          <w:p>
            <w:pPr>
              <w:pStyle w:val="null3"/>
              <w:jc w:val="left"/>
            </w:pPr>
            <w:r>
              <w:rPr>
                <w:sz w:val="21"/>
              </w:rPr>
              <w:t>13.显示器：≥27 寸， HDMI+DP 接口，≥1920X1080P；</w:t>
            </w:r>
          </w:p>
          <w:p>
            <w:pPr>
              <w:pStyle w:val="null3"/>
            </w:pPr>
            <w:r>
              <w:rPr>
                <w:sz w:val="21"/>
              </w:rPr>
              <w:t>14.整机保修≥36个月，要求一年内不限次数上门服务。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VR模型外接雕刻设备（学生用）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w:t>
            </w:r>
            <w:r>
              <w:rPr>
                <w:sz w:val="21"/>
              </w:rPr>
              <w:t>活动区域：</w:t>
            </w:r>
            <w:r>
              <w:rPr>
                <w:sz w:val="21"/>
              </w:rPr>
              <w:t>≥260x170mm</w:t>
            </w:r>
            <w:r>
              <w:rPr>
                <w:sz w:val="21"/>
              </w:rPr>
              <w:t>；</w:t>
            </w:r>
          </w:p>
          <w:p>
            <w:pPr>
              <w:pStyle w:val="null3"/>
              <w:jc w:val="left"/>
            </w:pPr>
            <w:r>
              <w:rPr>
                <w:sz w:val="21"/>
              </w:rPr>
              <w:t>2.</w:t>
            </w:r>
            <w:r>
              <w:rPr>
                <w:sz w:val="21"/>
              </w:rPr>
              <w:t>快捷按键：</w:t>
            </w:r>
            <w:r>
              <w:rPr>
                <w:sz w:val="21"/>
              </w:rPr>
              <w:t>≥8个</w:t>
            </w:r>
            <w:r>
              <w:rPr>
                <w:sz w:val="21"/>
              </w:rPr>
              <w:t>；</w:t>
            </w:r>
          </w:p>
          <w:p>
            <w:pPr>
              <w:pStyle w:val="null3"/>
              <w:jc w:val="left"/>
            </w:pPr>
            <w:r>
              <w:rPr>
                <w:sz w:val="21"/>
              </w:rPr>
              <w:t>3.</w:t>
            </w:r>
            <w:r>
              <w:rPr>
                <w:sz w:val="21"/>
              </w:rPr>
              <w:t>压感级别：</w:t>
            </w:r>
            <w:r>
              <w:rPr>
                <w:sz w:val="21"/>
              </w:rPr>
              <w:t>≥8192级</w:t>
            </w:r>
            <w:r>
              <w:rPr>
                <w:sz w:val="21"/>
              </w:rPr>
              <w:t>；</w:t>
            </w:r>
          </w:p>
          <w:p>
            <w:pPr>
              <w:pStyle w:val="null3"/>
              <w:jc w:val="left"/>
            </w:pPr>
            <w:r>
              <w:rPr>
                <w:sz w:val="21"/>
              </w:rPr>
              <w:t>4.</w:t>
            </w:r>
            <w:r>
              <w:rPr>
                <w:sz w:val="21"/>
              </w:rPr>
              <w:t>手写分辨率：</w:t>
            </w:r>
            <w:r>
              <w:rPr>
                <w:sz w:val="21"/>
              </w:rPr>
              <w:t>≥508OLPI</w:t>
            </w:r>
            <w:r>
              <w:rPr>
                <w:sz w:val="21"/>
              </w:rPr>
              <w:t>；</w:t>
            </w:r>
          </w:p>
          <w:p>
            <w:pPr>
              <w:pStyle w:val="null3"/>
              <w:jc w:val="left"/>
            </w:pPr>
            <w:r>
              <w:rPr>
                <w:sz w:val="21"/>
              </w:rPr>
              <w:t>5.</w:t>
            </w:r>
            <w:r>
              <w:rPr>
                <w:sz w:val="21"/>
              </w:rPr>
              <w:t>读取高度：</w:t>
            </w:r>
            <w:r>
              <w:rPr>
                <w:sz w:val="21"/>
              </w:rPr>
              <w:t>≥10mm</w:t>
            </w:r>
            <w:r>
              <w:rPr>
                <w:sz w:val="21"/>
              </w:rPr>
              <w:t>；</w:t>
            </w:r>
          </w:p>
          <w:p>
            <w:pPr>
              <w:pStyle w:val="null3"/>
              <w:jc w:val="left"/>
            </w:pPr>
            <w:r>
              <w:rPr>
                <w:sz w:val="21"/>
              </w:rPr>
              <w:t>6.</w:t>
            </w:r>
            <w:r>
              <w:rPr>
                <w:sz w:val="21"/>
              </w:rPr>
              <w:t>报告速率：</w:t>
            </w:r>
            <w:r>
              <w:rPr>
                <w:sz w:val="21"/>
              </w:rPr>
              <w:t>≥266RPS</w:t>
            </w:r>
            <w:r>
              <w:rPr>
                <w:sz w:val="21"/>
              </w:rPr>
              <w:t>；</w:t>
            </w:r>
          </w:p>
          <w:p>
            <w:pPr>
              <w:pStyle w:val="null3"/>
              <w:jc w:val="left"/>
            </w:pPr>
            <w:r>
              <w:rPr>
                <w:sz w:val="21"/>
              </w:rPr>
              <w:t>7.</w:t>
            </w:r>
            <w:r>
              <w:rPr>
                <w:sz w:val="21"/>
              </w:rPr>
              <w:t>笔按键：</w:t>
            </w:r>
            <w:r>
              <w:rPr>
                <w:sz w:val="21"/>
              </w:rPr>
              <w:t>≥2个</w:t>
            </w:r>
            <w:r>
              <w:rPr>
                <w:sz w:val="21"/>
              </w:rPr>
              <w:t>；</w:t>
            </w:r>
          </w:p>
          <w:p>
            <w:pPr>
              <w:pStyle w:val="null3"/>
            </w:pPr>
            <w:r>
              <w:rPr>
                <w:sz w:val="21"/>
              </w:rPr>
              <w:t>8.接口：Micro USB。</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VR模型外接雕刻设备（教师用）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1.产品尺寸：≥638MM * 408MM * 44 MM；</w:t>
            </w:r>
          </w:p>
          <w:p>
            <w:pPr>
              <w:pStyle w:val="null3"/>
              <w:jc w:val="left"/>
            </w:pPr>
            <w:r>
              <w:rPr>
                <w:sz w:val="21"/>
              </w:rPr>
              <w:t>2.感应区域：≥23.8 英寸；</w:t>
            </w:r>
          </w:p>
          <w:p>
            <w:pPr>
              <w:pStyle w:val="null3"/>
              <w:jc w:val="left"/>
            </w:pPr>
            <w:r>
              <w:rPr>
                <w:sz w:val="21"/>
              </w:rPr>
              <w:t>3.配笔：≥2</w:t>
            </w:r>
            <w:r>
              <w:rPr>
                <w:sz w:val="21"/>
              </w:rPr>
              <w:t>支；</w:t>
            </w:r>
            <w:r>
              <w:rPr>
                <w:sz w:val="21"/>
              </w:rPr>
              <w:t>笔按键</w:t>
            </w:r>
            <w:r>
              <w:rPr>
                <w:sz w:val="21"/>
              </w:rPr>
              <w:t>≥2</w:t>
            </w:r>
            <w:r>
              <w:rPr>
                <w:sz w:val="21"/>
              </w:rPr>
              <w:t>个；</w:t>
            </w:r>
          </w:p>
          <w:p>
            <w:pPr>
              <w:pStyle w:val="null3"/>
              <w:jc w:val="left"/>
            </w:pPr>
            <w:r>
              <w:rPr>
                <w:sz w:val="21"/>
              </w:rPr>
              <w:t>▲4.压感等级:≥16384级；（</w:t>
            </w:r>
            <w:r>
              <w:rPr>
                <w:sz w:val="21"/>
              </w:rPr>
              <w:t>须</w:t>
            </w:r>
            <w:r>
              <w:rPr>
                <w:sz w:val="21"/>
              </w:rPr>
              <w:t>在投标文件中提供满足本项参数要求的证明材料并加盖投标人公章）</w:t>
            </w:r>
          </w:p>
          <w:p>
            <w:pPr>
              <w:pStyle w:val="null3"/>
              <w:jc w:val="left"/>
            </w:pPr>
            <w:r>
              <w:rPr>
                <w:sz w:val="21"/>
              </w:rPr>
              <w:t>5.屏幕分辨率：≥3840*2160；</w:t>
            </w:r>
          </w:p>
          <w:p>
            <w:pPr>
              <w:pStyle w:val="null3"/>
              <w:jc w:val="left"/>
            </w:pPr>
            <w:r>
              <w:rPr>
                <w:sz w:val="21"/>
              </w:rPr>
              <w:t>6.对比度：1000：01：00；</w:t>
            </w:r>
          </w:p>
          <w:p>
            <w:pPr>
              <w:pStyle w:val="null3"/>
              <w:jc w:val="left"/>
            </w:pPr>
            <w:r>
              <w:rPr>
                <w:sz w:val="21"/>
              </w:rPr>
              <w:t>▲7.刷新率：DP&amp;USB-C :≥165Hz，HDMI:≥144Hz；（</w:t>
            </w:r>
            <w:r>
              <w:rPr>
                <w:sz w:val="21"/>
              </w:rPr>
              <w:t>须</w:t>
            </w:r>
            <w:r>
              <w:rPr>
                <w:sz w:val="21"/>
              </w:rPr>
              <w:t>在投标文件中提供满足本项参数要求的证明材料并加盖投标人公章）</w:t>
            </w:r>
          </w:p>
          <w:p>
            <w:pPr>
              <w:pStyle w:val="null3"/>
              <w:jc w:val="left"/>
            </w:pPr>
            <w:r>
              <w:rPr>
                <w:sz w:val="21"/>
              </w:rPr>
              <w:t>8.表面处理：AG蚀刻玻璃+AF镀膜防指纹；</w:t>
            </w:r>
          </w:p>
          <w:p>
            <w:pPr>
              <w:pStyle w:val="null3"/>
              <w:jc w:val="left"/>
            </w:pPr>
            <w:r>
              <w:rPr>
                <w:sz w:val="21"/>
              </w:rPr>
              <w:t>9.读取分辨率：≥5080 LPI；</w:t>
            </w:r>
          </w:p>
          <w:p>
            <w:pPr>
              <w:pStyle w:val="null3"/>
              <w:jc w:val="left"/>
            </w:pPr>
            <w:r>
              <w:rPr>
                <w:sz w:val="21"/>
              </w:rPr>
              <w:t>10.读取速度：相当于或优于200RPS (max)；</w:t>
            </w:r>
          </w:p>
          <w:p>
            <w:pPr>
              <w:pStyle w:val="null3"/>
              <w:jc w:val="left"/>
            </w:pPr>
            <w:r>
              <w:rPr>
                <w:sz w:val="21"/>
              </w:rPr>
              <w:t>11.感应高度：≥10mm；</w:t>
            </w:r>
          </w:p>
          <w:p>
            <w:pPr>
              <w:pStyle w:val="null3"/>
              <w:jc w:val="left"/>
            </w:pPr>
            <w:r>
              <w:rPr>
                <w:sz w:val="21"/>
              </w:rPr>
              <w:t>▲12.快捷键：≥10个自定义快捷键、≥1个滚轮。（</w:t>
            </w:r>
            <w:r>
              <w:rPr>
                <w:sz w:val="21"/>
              </w:rPr>
              <w:t>须</w:t>
            </w:r>
            <w:r>
              <w:rPr>
                <w:sz w:val="21"/>
              </w:rPr>
              <w:t>在投标文件中提供满足本项参数要求的证明材料并加盖投标人公章）</w:t>
            </w:r>
            <w:r>
              <w:rPr>
                <w:sz w:val="21"/>
              </w:rPr>
              <w:t>；</w:t>
            </w:r>
          </w:p>
          <w:p>
            <w:pPr>
              <w:pStyle w:val="null3"/>
            </w:pPr>
            <w:r>
              <w:rPr>
                <w:sz w:val="21"/>
              </w:rPr>
              <w:t>13</w:t>
            </w:r>
            <w:r>
              <w:rPr>
                <w:sz w:val="21"/>
              </w:rPr>
              <w:t>.</w:t>
            </w:r>
            <w:r>
              <w:rPr>
                <w:sz w:val="21"/>
              </w:rPr>
              <w:t>接口：</w:t>
            </w:r>
            <w:r>
              <w:rPr>
                <w:sz w:val="21"/>
              </w:rPr>
              <w:t>Micro USB。</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VR设计设备移动收纳箱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1.要求配置拉杆与滑轮；</w:t>
            </w:r>
          </w:p>
          <w:p>
            <w:pPr>
              <w:pStyle w:val="null3"/>
              <w:jc w:val="left"/>
            </w:pPr>
            <w:r>
              <w:rPr>
                <w:sz w:val="21"/>
              </w:rPr>
              <w:t>2.外箱尺寸：≥575MM*421MM*287MM；</w:t>
            </w:r>
          </w:p>
          <w:p>
            <w:pPr>
              <w:pStyle w:val="null3"/>
              <w:jc w:val="left"/>
            </w:pPr>
            <w:r>
              <w:rPr>
                <w:sz w:val="21"/>
              </w:rPr>
              <w:t>3.材质：PP；</w:t>
            </w:r>
          </w:p>
          <w:p>
            <w:pPr>
              <w:pStyle w:val="null3"/>
              <w:jc w:val="left"/>
            </w:pPr>
            <w:r>
              <w:rPr>
                <w:sz w:val="21"/>
              </w:rPr>
              <w:t>4.要求</w:t>
            </w:r>
            <w:r>
              <w:rPr>
                <w:sz w:val="21"/>
              </w:rPr>
              <w:t>配备</w:t>
            </w:r>
            <w:r>
              <w:rPr>
                <w:sz w:val="21"/>
              </w:rPr>
              <w:t>锁孔，支持加装密码锁；</w:t>
            </w:r>
          </w:p>
          <w:p>
            <w:pPr>
              <w:pStyle w:val="null3"/>
            </w:pPr>
            <w:r>
              <w:rPr>
                <w:sz w:val="21"/>
              </w:rPr>
              <w:t>5.要求</w:t>
            </w:r>
            <w:r>
              <w:rPr>
                <w:sz w:val="21"/>
              </w:rPr>
              <w:t>配备</w:t>
            </w:r>
            <w:r>
              <w:rPr>
                <w:sz w:val="21"/>
              </w:rPr>
              <w:t>防水胶圈。</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VR本地资源库存储介质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1.CPU 数量：≥1；</w:t>
            </w:r>
          </w:p>
          <w:p>
            <w:pPr>
              <w:pStyle w:val="null3"/>
              <w:jc w:val="left"/>
            </w:pPr>
            <w:r>
              <w:rPr>
                <w:sz w:val="21"/>
              </w:rPr>
              <w:t>2.CPU 核心：≥4；</w:t>
            </w:r>
          </w:p>
          <w:p>
            <w:pPr>
              <w:pStyle w:val="null3"/>
              <w:jc w:val="left"/>
            </w:pPr>
            <w:r>
              <w:rPr>
                <w:sz w:val="21"/>
              </w:rPr>
              <w:t>3.系统内存：≥8GB；</w:t>
            </w:r>
          </w:p>
          <w:p>
            <w:pPr>
              <w:pStyle w:val="null3"/>
              <w:jc w:val="left"/>
            </w:pPr>
            <w:r>
              <w:rPr>
                <w:sz w:val="21"/>
              </w:rPr>
              <w:t>4.磁盘槽数量：≥5；</w:t>
            </w:r>
          </w:p>
          <w:p>
            <w:pPr>
              <w:pStyle w:val="null3"/>
              <w:jc w:val="left"/>
            </w:pPr>
            <w:r>
              <w:rPr>
                <w:sz w:val="21"/>
              </w:rPr>
              <w:t>5.要求支持磁盘热插拔；</w:t>
            </w:r>
          </w:p>
          <w:p>
            <w:pPr>
              <w:pStyle w:val="null3"/>
              <w:jc w:val="left"/>
            </w:pPr>
            <w:r>
              <w:rPr>
                <w:sz w:val="21"/>
              </w:rPr>
              <w:t>6.要求可调整前面板上的 LED 指示灯亮度；</w:t>
            </w:r>
          </w:p>
          <w:p>
            <w:pPr>
              <w:pStyle w:val="null3"/>
              <w:jc w:val="left"/>
            </w:pPr>
            <w:r>
              <w:rPr>
                <w:sz w:val="21"/>
              </w:rPr>
              <w:t>7.要求支持电源自动恢复；</w:t>
            </w:r>
          </w:p>
          <w:p>
            <w:pPr>
              <w:pStyle w:val="null3"/>
            </w:pPr>
            <w:r>
              <w:rPr>
                <w:sz w:val="21"/>
              </w:rPr>
              <w:t>8.要求配套不少于5块8TB硬盘：顺序读速≥500MB/s、顺序写入≥500MB/s、BW≥2500BW、接口：SATA。</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VR眼镜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1.屏幕尺寸：≥5.5 inch x 1 SFR TFT；</w:t>
            </w:r>
          </w:p>
          <w:p>
            <w:pPr>
              <w:pStyle w:val="null3"/>
              <w:jc w:val="left"/>
            </w:pPr>
            <w:r>
              <w:rPr>
                <w:sz w:val="21"/>
              </w:rPr>
              <w:t>2.双眼分辨率：≥3664x1920，≥733PPI；</w:t>
            </w:r>
          </w:p>
          <w:p>
            <w:pPr>
              <w:pStyle w:val="null3"/>
              <w:jc w:val="left"/>
            </w:pPr>
            <w:r>
              <w:rPr>
                <w:sz w:val="21"/>
              </w:rPr>
              <w:t>3.运行内存：≥6GB；</w:t>
            </w:r>
          </w:p>
          <w:p>
            <w:pPr>
              <w:pStyle w:val="null3"/>
              <w:jc w:val="left"/>
            </w:pPr>
            <w:r>
              <w:rPr>
                <w:sz w:val="21"/>
              </w:rPr>
              <w:t>4.机身存储：≥256GB；</w:t>
            </w:r>
          </w:p>
          <w:p>
            <w:pPr>
              <w:pStyle w:val="null3"/>
              <w:jc w:val="left"/>
            </w:pPr>
            <w:r>
              <w:rPr>
                <w:sz w:val="21"/>
              </w:rPr>
              <w:t>5.视场角：≥98度；</w:t>
            </w:r>
          </w:p>
          <w:p>
            <w:pPr>
              <w:pStyle w:val="null3"/>
              <w:jc w:val="left"/>
            </w:pPr>
            <w:r>
              <w:rPr>
                <w:sz w:val="21"/>
              </w:rPr>
              <w:t>6.瞳距调节：支持物理瞳距调节，三档：58/63.5/69mm；</w:t>
            </w:r>
          </w:p>
          <w:p>
            <w:pPr>
              <w:pStyle w:val="null3"/>
              <w:jc w:val="left"/>
            </w:pPr>
            <w:r>
              <w:rPr>
                <w:sz w:val="21"/>
              </w:rPr>
              <w:t>7.电池容量：≥5300mAh；</w:t>
            </w:r>
          </w:p>
          <w:p>
            <w:pPr>
              <w:pStyle w:val="null3"/>
              <w:jc w:val="left"/>
            </w:pPr>
            <w:r>
              <w:rPr>
                <w:sz w:val="21"/>
              </w:rPr>
              <w:t>8.手柄：6DoF体感手柄 x 2，支持光学定位，支持线性振动马达；</w:t>
            </w:r>
          </w:p>
          <w:p>
            <w:pPr>
              <w:pStyle w:val="null3"/>
            </w:pPr>
            <w:r>
              <w:rPr>
                <w:sz w:val="21"/>
              </w:rPr>
              <w:t>9.前置摄像头：相当于或优于鱼眼摄像头（640x480@120Hz,FOV:166°），数量≥4，支持头部6DoF定位。</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教学工作台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1.双人工位；</w:t>
            </w:r>
          </w:p>
          <w:p>
            <w:pPr>
              <w:pStyle w:val="null3"/>
              <w:jc w:val="left"/>
            </w:pPr>
            <w:r>
              <w:rPr>
                <w:sz w:val="21"/>
              </w:rPr>
              <w:t>2.材质：采用多层板台面，其他结构部件可采用木材或金属结构，需稳固，承受力强，配备台面线孔及孔套；</w:t>
            </w:r>
          </w:p>
          <w:p>
            <w:pPr>
              <w:pStyle w:val="null3"/>
              <w:jc w:val="left"/>
            </w:pPr>
            <w:r>
              <w:rPr>
                <w:sz w:val="21"/>
              </w:rPr>
              <w:t>3.需配套提供机箱安置位置；</w:t>
            </w:r>
          </w:p>
          <w:p>
            <w:pPr>
              <w:pStyle w:val="null3"/>
            </w:pPr>
            <w:r>
              <w:rPr>
                <w:sz w:val="21"/>
              </w:rPr>
              <w:t>4.尺寸：宽度≥1400MM，深度≥600MM，高度≥740MM</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教学工作椅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1.需稳固，承受力强；</w:t>
            </w:r>
          </w:p>
          <w:p>
            <w:pPr>
              <w:pStyle w:val="null3"/>
              <w:jc w:val="left"/>
            </w:pPr>
            <w:r>
              <w:rPr>
                <w:sz w:val="21"/>
              </w:rPr>
              <w:t>2.配备靠背；</w:t>
            </w:r>
          </w:p>
          <w:p>
            <w:pPr>
              <w:pStyle w:val="null3"/>
              <w:jc w:val="left"/>
            </w:pPr>
            <w:r>
              <w:rPr>
                <w:sz w:val="21"/>
              </w:rPr>
              <w:t>3.材质：网布/钢架+海绵；</w:t>
            </w:r>
          </w:p>
          <w:p>
            <w:pPr>
              <w:pStyle w:val="null3"/>
              <w:jc w:val="left"/>
            </w:pPr>
            <w:r>
              <w:rPr>
                <w:sz w:val="21"/>
              </w:rPr>
              <w:t>4.尺寸：宽度≥400MM，深度≥450MM，高度≥750MM（含靠背）</w:t>
            </w:r>
            <w:r>
              <w:rPr>
                <w:sz w:val="21"/>
              </w:rPr>
              <w:t>；</w:t>
            </w:r>
          </w:p>
          <w:p>
            <w:pPr>
              <w:pStyle w:val="null3"/>
              <w:jc w:val="left"/>
            </w:pPr>
            <w:r>
              <w:rPr>
                <w:sz w:val="21"/>
              </w:rPr>
              <w:t>5.固定扶手，弓型脚；</w:t>
            </w:r>
          </w:p>
          <w:p>
            <w:pPr>
              <w:pStyle w:val="null3"/>
            </w:pPr>
            <w:r>
              <w:rPr>
                <w:sz w:val="21"/>
              </w:rPr>
              <w:t>6.面料：靠背坐垫为透气网布。</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AIGC数字艺术实践平台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1.基础功能：本地化部署，通过简单的方式生成内容，输入提示词即可生成图像；</w:t>
            </w:r>
          </w:p>
          <w:p>
            <w:pPr>
              <w:pStyle w:val="null3"/>
              <w:jc w:val="left"/>
            </w:pPr>
            <w:r>
              <w:rPr>
                <w:sz w:val="21"/>
              </w:rPr>
              <w:t>2.供应商需承诺AIGC数字艺术实践平台可实现本地化部署，支持在采购的硬件设备上运行，以便有效地进行计算密集型的前向和反向传播操作（</w:t>
            </w:r>
            <w:r>
              <w:rPr>
                <w:sz w:val="21"/>
              </w:rPr>
              <w:t>须</w:t>
            </w:r>
            <w:r>
              <w:rPr>
                <w:sz w:val="21"/>
              </w:rPr>
              <w:t>提供承诺函，格式自拟）；</w:t>
            </w:r>
          </w:p>
          <w:p>
            <w:pPr>
              <w:pStyle w:val="null3"/>
              <w:jc w:val="left"/>
            </w:pPr>
            <w:r>
              <w:rPr>
                <w:sz w:val="21"/>
              </w:rPr>
              <w:t>3.要求支持写正向提示词：根据绘画的需求录入正向提示词，图画将会参照正向提示词的要求生成；</w:t>
            </w:r>
          </w:p>
          <w:p>
            <w:pPr>
              <w:pStyle w:val="null3"/>
              <w:jc w:val="left"/>
            </w:pPr>
            <w:r>
              <w:rPr>
                <w:sz w:val="21"/>
              </w:rPr>
              <w:t>4.要求支持写负向提示词：根据绘画的需求录入正向提示词，图画生成将会避免正向提示词的内容；</w:t>
            </w:r>
          </w:p>
          <w:p>
            <w:pPr>
              <w:pStyle w:val="null3"/>
              <w:jc w:val="left"/>
            </w:pPr>
            <w:r>
              <w:rPr>
                <w:sz w:val="21"/>
              </w:rPr>
              <w:t>5.要求支持提示词联想：录入提示词的首字母，可以联想出整个提示词的内容；</w:t>
            </w:r>
          </w:p>
          <w:p>
            <w:pPr>
              <w:pStyle w:val="null3"/>
              <w:jc w:val="left"/>
            </w:pPr>
            <w:r>
              <w:rPr>
                <w:sz w:val="21"/>
              </w:rPr>
              <w:t>6.要求支持不少于 10 种图片采样方法，包括但不限于Eulera、DPM2、LMS Karras 等；</w:t>
            </w:r>
          </w:p>
          <w:p>
            <w:pPr>
              <w:pStyle w:val="null3"/>
              <w:jc w:val="left"/>
            </w:pPr>
            <w:r>
              <w:rPr>
                <w:sz w:val="21"/>
              </w:rPr>
              <w:t>7.要求支持采样迭代步数设置：设置图片生产的采样迭代步数，迭代步数越大，生成得越慢；</w:t>
            </w:r>
          </w:p>
          <w:p>
            <w:pPr>
              <w:pStyle w:val="null3"/>
              <w:jc w:val="left"/>
            </w:pPr>
            <w:r>
              <w:rPr>
                <w:sz w:val="21"/>
              </w:rPr>
              <w:t>8.要求支持图片尺寸调整：设置图片生产的宽和高，最高可支持为1024*1024；</w:t>
            </w:r>
          </w:p>
          <w:p>
            <w:pPr>
              <w:pStyle w:val="null3"/>
              <w:jc w:val="left"/>
            </w:pPr>
            <w:r>
              <w:rPr>
                <w:sz w:val="21"/>
              </w:rPr>
              <w:t>9.要求支持提示词相关性：设置图片生成与提示词内容的相关性；</w:t>
            </w:r>
          </w:p>
          <w:p>
            <w:pPr>
              <w:pStyle w:val="null3"/>
              <w:jc w:val="left"/>
            </w:pPr>
            <w:r>
              <w:rPr>
                <w:sz w:val="21"/>
              </w:rPr>
              <w:t>10.要求支持种子 seed 设定：设置图片生成的种子，以决定生成的图片与指定种子的图片的相似度；</w:t>
            </w:r>
          </w:p>
          <w:p>
            <w:pPr>
              <w:pStyle w:val="null3"/>
              <w:jc w:val="left"/>
            </w:pPr>
            <w:r>
              <w:rPr>
                <w:sz w:val="21"/>
              </w:rPr>
              <w:t>11.要求支持骨骼控制：从预制的图片里获得骨骼信息，控制图片的生成方式；</w:t>
            </w:r>
          </w:p>
          <w:p>
            <w:pPr>
              <w:pStyle w:val="null3"/>
              <w:jc w:val="left"/>
            </w:pPr>
            <w:r>
              <w:rPr>
                <w:sz w:val="21"/>
              </w:rPr>
              <w:t>12.要求支持深度控制：从预制的图片里获得深度信息，控制图片的生成方式；</w:t>
            </w:r>
          </w:p>
          <w:p>
            <w:pPr>
              <w:pStyle w:val="null3"/>
              <w:jc w:val="left"/>
            </w:pPr>
            <w:r>
              <w:rPr>
                <w:sz w:val="21"/>
              </w:rPr>
              <w:t>13.要求支持边缘控制：从预制的图片里获得边缘信息，控制图片的生成方式；</w:t>
            </w:r>
          </w:p>
          <w:p>
            <w:pPr>
              <w:pStyle w:val="null3"/>
              <w:jc w:val="left"/>
            </w:pPr>
            <w:r>
              <w:rPr>
                <w:sz w:val="21"/>
              </w:rPr>
              <w:t>14.要求支持模型参数调节功能，支持文生图、图生图、后期处理、PNG 图片信息、模型融合、Colab Terminal、Infinite Zoom、Additional Networks、无边图像浏览、模型转换、超级模型融合、模型工具箱、标签器、通配符管理功能；（须提供功能演示，演示内容需对应相关内容）</w:t>
            </w:r>
          </w:p>
          <w:p>
            <w:pPr>
              <w:pStyle w:val="null3"/>
              <w:jc w:val="left"/>
            </w:pPr>
            <w:r>
              <w:rPr>
                <w:sz w:val="21"/>
              </w:rPr>
              <w:t>15.要求支持即时反馈：图片生成效果可实时预览；</w:t>
            </w:r>
          </w:p>
          <w:p>
            <w:pPr>
              <w:pStyle w:val="null3"/>
              <w:jc w:val="left"/>
            </w:pPr>
            <w:r>
              <w:rPr>
                <w:sz w:val="21"/>
              </w:rPr>
              <w:t>▲16.要求支持不同专业领域实训需求，内置至少10个特色工作流：IP抽卡工作流不低于五个功能模块，支持文字编辑生成IP形象多视图。设计元素图标工作流不低于五个功能模块，支持文字编辑并控制风格，生成透明背景设计元素与图标。表情编辑工作流，支持控制修改角色表情。动作编辑工作流由不低于五个功能模块，支持自定义动作生成图像。人像精修工作流不低于五个功能模块，支持对人像照片进行后期精细修图处理。抠图合成工作流不低于五个功能模块，支持提供三种各有优点的抠图工作流选择，合成透明、白色、黑色背景图片。全面文生图工作流不低于五个功能模块，包含风格迁移、ControlNet控制、面部修复与高清放大等全面WebUI文生图功能。全面图生图工作流不低于十个功能模块，包含局部重绘、风格迁移、换脸、ControlNet控制、面部修复与高清放大等全面WebUI图生图功能。局部重绘工作流不低于五个功能模块，支持对图像自定义部分进行重新绘制生成。简易换脸工作流支持上传图片即可替换模特脸部；</w:t>
            </w:r>
            <w:r>
              <w:rPr>
                <w:sz w:val="21"/>
                <w:b/>
              </w:rPr>
              <w:t>（须在投标文件中提供系统界面截图，加盖投标人公章，证明各工作流模块数量与核心功能：（</w:t>
            </w:r>
            <w:r>
              <w:rPr>
                <w:sz w:val="21"/>
                <w:b/>
              </w:rPr>
              <w:t>1）工作流总览截图：展示系统内置的至少10个工作流列表；（2）各工作流模块与功能证明截图（针对上述10个工作流，每个至少提供1张。）</w:t>
            </w:r>
          </w:p>
          <w:p>
            <w:pPr>
              <w:pStyle w:val="null3"/>
              <w:jc w:val="left"/>
            </w:pPr>
            <w:r>
              <w:rPr>
                <w:sz w:val="21"/>
              </w:rPr>
              <w:t>17.要求支持设置Comtrolnt控制、风格参考图与换脸图，图像依次生成，支持导入上一步图像，使用局部重绘工作流进行图像优化调整，工作流模块不少于5个，修改条件多次生成图像，可查看图像修改前后对比效果；（须提供功能演示，演示内容需对应相关内容）</w:t>
            </w:r>
          </w:p>
          <w:p>
            <w:pPr>
              <w:pStyle w:val="null3"/>
              <w:jc w:val="left"/>
            </w:pPr>
            <w:r>
              <w:rPr>
                <w:sz w:val="21"/>
              </w:rPr>
              <w:t>▲18.要求配置FBX动作库，要求支持小程序预览，资源支持本地与线上使用，包含1000个动作，如：下蹲，走路，跑步，打招呼等动作源文</w:t>
            </w:r>
            <w:r>
              <w:rPr>
                <w:sz w:val="21"/>
              </w:rPr>
              <w:t>件；</w:t>
            </w:r>
            <w:r>
              <w:rPr>
                <w:sz w:val="21"/>
                <w:b/>
              </w:rPr>
              <w:t>（须在投标文件中提供加盖投标人公章的以下系统后台管理界面截图：（</w:t>
            </w:r>
            <w:r>
              <w:rPr>
                <w:sz w:val="21"/>
                <w:b/>
              </w:rPr>
              <w:t>1）动作库管理界面全景截图：需清晰显示动作文件列表及系统统计的动作总数≥1000；（2）动作内容示例截图：在动作库中检索并展示 “下蹲”、“走路”、“跑步”、“打招呼”等至少四种动作的FBX文件属性或预览图；（3）功能界面截图：提供小程序预览功能操作界面及本地/线上的资源截图。）</w:t>
            </w:r>
          </w:p>
          <w:p>
            <w:pPr>
              <w:pStyle w:val="null3"/>
              <w:jc w:val="left"/>
            </w:pPr>
            <w:r>
              <w:rPr>
                <w:sz w:val="21"/>
              </w:rPr>
              <w:t>▲19.要求配套3D数媒交互功能：提供3D立体数字资产交互呈现展示工具，支持360°自由旋转、缩放展示、贴图展现、UV展现、法线展现、重置功</w:t>
            </w:r>
            <w:r>
              <w:rPr>
                <w:sz w:val="21"/>
              </w:rPr>
              <w:t>能；</w:t>
            </w:r>
            <w:r>
              <w:rPr>
                <w:sz w:val="21"/>
                <w:b/>
              </w:rPr>
              <w:t>（须在投标文件中提供加盖投标人公章的以下工具操作界面截图：（</w:t>
            </w:r>
            <w:r>
              <w:rPr>
                <w:sz w:val="21"/>
                <w:b/>
              </w:rPr>
              <w:t>1）旋转与缩放证明截图：提供上述资产旋转至不同角度的对比截图至少两张，及放大和缩小后的视图截图；（2）材质展现证明截图：在工具界面中，分别切换到贴图、法线显示模式的截图；（3）UV展现截图：展示该模型的UV展开图界面；（4）重置功能截图：展示执行“重置”功能后，模型恢复至初始位置、比例和材质的界面。）</w:t>
            </w:r>
          </w:p>
          <w:p>
            <w:pPr>
              <w:pStyle w:val="null3"/>
              <w:jc w:val="left"/>
            </w:pPr>
            <w:r>
              <w:rPr>
                <w:sz w:val="21"/>
              </w:rPr>
              <w:t>20.系统搭载丰富功能齐全的专业插件与模型lora资源，内置16个类目至少200个优质模型lora，支持大部分网络工作流与模型相关的资源；</w:t>
            </w:r>
          </w:p>
          <w:p>
            <w:pPr>
              <w:pStyle w:val="null3"/>
              <w:jc w:val="left"/>
            </w:pPr>
            <w:r>
              <w:rPr>
                <w:sz w:val="21"/>
              </w:rPr>
              <w:t>21.系统兼容性：支持Windows 10/11 64位操作系统，适配包括但不限于NVIDIA驱动；</w:t>
            </w:r>
          </w:p>
          <w:p>
            <w:pPr>
              <w:pStyle w:val="null3"/>
              <w:jc w:val="left"/>
            </w:pPr>
            <w:r>
              <w:rPr>
                <w:sz w:val="21"/>
              </w:rPr>
              <w:t>22.网络要求：离线环境下可完整运行所有功能模块；</w:t>
            </w:r>
          </w:p>
          <w:p>
            <w:pPr>
              <w:pStyle w:val="null3"/>
              <w:jc w:val="left"/>
            </w:pPr>
            <w:r>
              <w:rPr>
                <w:sz w:val="21"/>
              </w:rPr>
              <w:t>23.界面语言：支持简体中文界面与英文切换；</w:t>
            </w:r>
          </w:p>
          <w:p>
            <w:pPr>
              <w:pStyle w:val="null3"/>
              <w:jc w:val="left"/>
            </w:pPr>
            <w:r>
              <w:rPr>
                <w:sz w:val="21"/>
              </w:rPr>
              <w:t>24.图像格式支持：输出支持PNG、JPG等格式；</w:t>
            </w:r>
          </w:p>
          <w:p>
            <w:pPr>
              <w:pStyle w:val="null3"/>
              <w:jc w:val="left"/>
            </w:pPr>
            <w:r>
              <w:rPr>
                <w:sz w:val="21"/>
              </w:rPr>
              <w:t>25.工作流搭建：平台支持用户根据需求使用内置工作流与相关节点定制化搭建专属工作流，并支持工作流节点与线路整理美化，用户可以实时运行与调试工作流；</w:t>
            </w:r>
          </w:p>
          <w:p>
            <w:pPr>
              <w:pStyle w:val="null3"/>
              <w:jc w:val="left"/>
            </w:pPr>
            <w:r>
              <w:rPr>
                <w:sz w:val="21"/>
              </w:rPr>
              <w:t>26.要求平台界面支持用户高效预览与编辑管理，提供性能与运行队列预览、切换语言功能；</w:t>
            </w:r>
          </w:p>
          <w:p>
            <w:pPr>
              <w:pStyle w:val="null3"/>
              <w:jc w:val="left"/>
            </w:pPr>
            <w:r>
              <w:rPr>
                <w:sz w:val="21"/>
              </w:rPr>
              <w:t>27.要求平台支持AIGC实训IP设计，至少包括IP设计灵感获取、线稿渲染、三视图制作、表情编辑、换装配色、海报插画制作功能；</w:t>
            </w:r>
          </w:p>
          <w:p>
            <w:pPr>
              <w:pStyle w:val="null3"/>
              <w:jc w:val="left"/>
            </w:pPr>
            <w:r>
              <w:rPr>
                <w:sz w:val="21"/>
              </w:rPr>
              <w:t>28.翻译功能：系统支持中文提示词输入翻译为英文；</w:t>
            </w:r>
          </w:p>
          <w:p>
            <w:pPr>
              <w:pStyle w:val="null3"/>
              <w:jc w:val="left"/>
            </w:pPr>
            <w:r>
              <w:rPr>
                <w:sz w:val="21"/>
              </w:rPr>
              <w:t>29.要求该平台涵盖为期至少两天的培训服务，培训内容如下：</w:t>
            </w:r>
          </w:p>
          <w:p>
            <w:pPr>
              <w:pStyle w:val="null3"/>
              <w:jc w:val="left"/>
            </w:pPr>
            <w:r>
              <w:rPr>
                <w:sz w:val="21"/>
              </w:rPr>
              <w:t>（</w:t>
            </w:r>
            <w:r>
              <w:rPr>
                <w:sz w:val="21"/>
              </w:rPr>
              <w:t>1）产品的基本原理、安装、操作使用和日常保养维修。了解系统的工作原理，组成及各组件，控制系统的工作原理和使用方法；熟练掌握系统的主要参数的设定方法，熟悉整套系统的操作规程。</w:t>
            </w:r>
          </w:p>
          <w:p>
            <w:pPr>
              <w:pStyle w:val="null3"/>
              <w:jc w:val="left"/>
            </w:pPr>
            <w:r>
              <w:rPr>
                <w:sz w:val="21"/>
              </w:rPr>
              <w:t>（</w:t>
            </w:r>
            <w:r>
              <w:rPr>
                <w:sz w:val="21"/>
              </w:rPr>
              <w:t>2）AIGC 应用概论，包含概述目前 AIGC 主流应用平台与基本使用、应用领域与最新方向；AI 数字内容生产系统概述、原理简介；</w:t>
            </w:r>
          </w:p>
          <w:p>
            <w:pPr>
              <w:pStyle w:val="null3"/>
              <w:jc w:val="left"/>
            </w:pPr>
            <w:r>
              <w:rPr>
                <w:sz w:val="21"/>
              </w:rPr>
              <w:t>（</w:t>
            </w:r>
            <w:r>
              <w:rPr>
                <w:sz w:val="21"/>
              </w:rPr>
              <w:t>3）AI 数字内容生产系统基本介绍，包含服务器启动、使用、外接设备、关闭注意事项；AI 数字内容生产平台文件结构、界面、工作流使用介绍；</w:t>
            </w:r>
          </w:p>
          <w:p>
            <w:pPr>
              <w:pStyle w:val="null3"/>
            </w:pPr>
            <w:r>
              <w:rPr>
                <w:sz w:val="21"/>
              </w:rPr>
              <w:t>（</w:t>
            </w:r>
            <w:r>
              <w:rPr>
                <w:sz w:val="21"/>
              </w:rPr>
              <w:t>4）COMFY UI 实操讲解，理解 COMFY UI 在节点式工作流和界面化操作上的核心差异，解析其精准参数控制、复杂流程可视化等优势以及在专业图像生成、模型调试、多步骤任务自动化等场景的适用性。详解界面核心功能与基础节点，同时进行案例实操。</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w:t>
      </w:r>
      <w:r>
        <w:rPr>
          <w:b/>
        </w:rPr>
        <w:t>：</w:t>
      </w:r>
      <w:r>
        <w:rPr>
          <w:b/>
        </w:rPr>
        <w:t>AIGC数字平台搭载设备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1.高性能处理器：核心数≥32，线程数≥64；</w:t>
            </w:r>
          </w:p>
          <w:p>
            <w:pPr>
              <w:pStyle w:val="null3"/>
              <w:jc w:val="left"/>
            </w:pPr>
            <w:r>
              <w:rPr>
                <w:sz w:val="21"/>
              </w:rPr>
              <w:t>2.高性能内存：≥192GB；</w:t>
            </w:r>
          </w:p>
          <w:p>
            <w:pPr>
              <w:pStyle w:val="null3"/>
              <w:jc w:val="left"/>
            </w:pPr>
            <w:r>
              <w:rPr>
                <w:sz w:val="21"/>
              </w:rPr>
              <w:t>3.高性能显卡：总显存≥32GB；</w:t>
            </w:r>
          </w:p>
          <w:p>
            <w:pPr>
              <w:pStyle w:val="null3"/>
              <w:jc w:val="left"/>
            </w:pPr>
            <w:r>
              <w:rPr>
                <w:sz w:val="21"/>
              </w:rPr>
              <w:t>4.固态硬盘：存储空间≥4TB；</w:t>
            </w:r>
          </w:p>
          <w:p>
            <w:pPr>
              <w:pStyle w:val="null3"/>
              <w:jc w:val="left"/>
            </w:pPr>
            <w:r>
              <w:rPr>
                <w:sz w:val="21"/>
              </w:rPr>
              <w:t>5.电源：功率≥2000W；</w:t>
            </w:r>
          </w:p>
          <w:p>
            <w:pPr>
              <w:pStyle w:val="null3"/>
            </w:pPr>
            <w:r>
              <w:rPr>
                <w:sz w:val="21"/>
              </w:rPr>
              <w:t>6.全塔工作站机箱可依据各配件的要求进行搭载，可支持序号9：AIGC数字艺术实践平台各项功能的运作。</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十一</w:t>
      </w:r>
      <w:r>
        <w:rPr>
          <w:b/>
        </w:rPr>
        <w:t>：</w:t>
      </w:r>
      <w:r>
        <w:rPr>
          <w:b/>
        </w:rPr>
        <w:t>教学云终端管理平台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1.智慧教学云桌面虚拟化平台需提供的正式授权：应用虚拟化模块包含至少2000个用户独立授权；服务器虚拟化模块（VDI模式）包含至少2000个用户独立授权；云盘模块包含至少2000个用户独立授权；</w:t>
            </w:r>
          </w:p>
          <w:p>
            <w:pPr>
              <w:pStyle w:val="null3"/>
              <w:jc w:val="left"/>
            </w:pPr>
            <w:r>
              <w:rPr>
                <w:sz w:val="21"/>
              </w:rPr>
              <w:t>▲2.集群及负载均衡：系统支持服务器集群及高性能负载均衡功能，可配置多I/O服务器多通道同时协同工作，将客户端独立分配至服务器集群的某一I/O服务器中某一网卡通道下进行流量及压力分解，支持双机热备，当一台服务器发生宕机时，工作桌面的负荷将在瞬间自动切换到其他工作正常的服务器上，支持主机浮动授权机制，可由主机设定某一I/O服务器承载客户端的连接量；（</w:t>
            </w:r>
            <w:r>
              <w:rPr>
                <w:sz w:val="21"/>
              </w:rPr>
              <w:t>须</w:t>
            </w:r>
            <w:r>
              <w:rPr>
                <w:sz w:val="21"/>
              </w:rPr>
              <w:t>在投标文件中提供满足本项参数要求的功能截图并加盖投标人公章）</w:t>
            </w:r>
          </w:p>
          <w:p>
            <w:pPr>
              <w:pStyle w:val="null3"/>
              <w:jc w:val="left"/>
            </w:pPr>
            <w:r>
              <w:rPr>
                <w:sz w:val="21"/>
              </w:rPr>
              <w:t>▲</w:t>
            </w:r>
            <w:r>
              <w:rPr>
                <w:sz w:val="21"/>
              </w:rPr>
              <w:t>3.</w:t>
            </w:r>
            <w:r>
              <w:rPr>
                <w:sz w:val="21"/>
              </w:rPr>
              <w:t>采用</w:t>
            </w:r>
            <w:r>
              <w:rPr>
                <w:sz w:val="21"/>
              </w:rPr>
              <w:t>Linux微内核引导，可同时支持Legacy与UEFI两种方式启动系统，支持管理维护双网卡、双硬盘，支持NVME，M.2新型高速固态硬盘，同时兼容新老</w:t>
            </w:r>
            <w:r>
              <w:rPr>
                <w:sz w:val="21"/>
              </w:rPr>
              <w:t>机型部署；</w:t>
            </w:r>
            <w:r>
              <w:rPr>
                <w:sz w:val="21"/>
                <w:b/>
              </w:rPr>
              <w:t>（须在投标文件中提供加盖投标人公章的以下截图：（</w:t>
            </w:r>
            <w:r>
              <w:rPr>
                <w:sz w:val="21"/>
                <w:b/>
              </w:rPr>
              <w:t>1）启动方式兼容性证明截图：在同一台测试设备的BIOS/UEFI设置中，分别切换至Legacy和UEFI模式后成功引导进入系统桌面的界面截图；（2）硬件识别与管理证明截图：系统安装完成后，在系统信息、设备管理器或终端命令界面中，清晰显示识别到双网卡、双硬盘的截图。）</w:t>
            </w:r>
          </w:p>
          <w:p>
            <w:pPr>
              <w:pStyle w:val="null3"/>
              <w:jc w:val="left"/>
            </w:pPr>
            <w:r>
              <w:rPr>
                <w:sz w:val="21"/>
              </w:rPr>
              <w:t>4.操作系统支持： 支持Windows7/8.1/10系列的32位和64位系统及Linux系统，客户端可自主选择不同的系统环境启动或由管理端指定启动环境。同时支持本地系统启动，虚拟桌面启动、网络启动等多种模式，多个系统环境可快速切换；</w:t>
            </w:r>
          </w:p>
          <w:p>
            <w:pPr>
              <w:pStyle w:val="null3"/>
              <w:jc w:val="left"/>
            </w:pPr>
            <w:r>
              <w:rPr>
                <w:sz w:val="21"/>
              </w:rPr>
              <w:t>5.客户端缓存功能:客户端支持将服务器镜像文件缓存至本地硬盘，支持小容量固态硬盘以增量非分区的方式缓存</w:t>
            </w:r>
            <w:r>
              <w:rPr>
                <w:sz w:val="21"/>
              </w:rPr>
              <w:t>至少五个</w:t>
            </w:r>
            <w:r>
              <w:rPr>
                <w:sz w:val="21"/>
              </w:rPr>
              <w:t>的镜像；客户端需要支持多种模式，包含无缓存、全盘缓存、分区缓存等功能。支持硬盘故障的情况下自动以无盘方式启动系统；（须提供功能演示，演示内容需对应相关内容）</w:t>
            </w:r>
          </w:p>
          <w:p>
            <w:pPr>
              <w:pStyle w:val="null3"/>
              <w:jc w:val="left"/>
            </w:pPr>
            <w:r>
              <w:rPr>
                <w:sz w:val="21"/>
              </w:rPr>
              <w:t>6.集中化管理要求：软件需同时具有控制台及WEB页面的统一管理。管理员可通过WEB页面同时管理多台服务器下的所有客户端机器。WEB平台集成：服务器维护，资产管理，云盘管理，应用虚拟化管理，日志管理，用户管理，桌面管理，三员管理模块要求在同一界面上操作，以便高效能管理；（须提供功能演示，演示内容需对应相关内容）</w:t>
            </w:r>
          </w:p>
          <w:p>
            <w:pPr>
              <w:pStyle w:val="null3"/>
              <w:jc w:val="left"/>
            </w:pPr>
            <w:r>
              <w:rPr>
                <w:sz w:val="21"/>
              </w:rPr>
              <w:t>7.支持跨服务器分组管理功能，可将服务器下的终端机编成一组并执行跨服务器的计划任务，同一计算机可隶属于多个不同的分组，任务计划支持马上执行，固定时间，每天，每月等多种任务运行方式，支持以浏览器或者APP形式远程操作机房任务计划；</w:t>
            </w:r>
          </w:p>
          <w:p>
            <w:pPr>
              <w:pStyle w:val="null3"/>
              <w:jc w:val="left"/>
            </w:pPr>
            <w:r>
              <w:rPr>
                <w:sz w:val="21"/>
              </w:rPr>
              <w:t>8.镜像文件管理功能：支持同时管理超过10个镜像文件，镜像文件支持加密存储，可实现差分及增量功能，可快速将某一差分或者增量合导出并为独立镜像文件，镜像文件支持动态扩容，管理员可根据业务需求对已完成的镜像文件进行容量扩大，无需推倒重新制作镜像文件；</w:t>
            </w:r>
          </w:p>
          <w:p>
            <w:pPr>
              <w:pStyle w:val="null3"/>
              <w:jc w:val="left"/>
            </w:pPr>
            <w:r>
              <w:rPr>
                <w:sz w:val="21"/>
              </w:rPr>
              <w:t>▲9.管理分组及桌面分配：支持将客户端进行分组的方式管理，管理员可根据配置好的镜像分配给相应的用户或用户组，支持P2P边用边载的背景载入功能，可在正常上课的同时完成缓存载入，同一网络机器可互相分享数据，支持断点续传，不需要强制一次下发完成，大幅减少网络传输中的重复数据，可以</w:t>
            </w:r>
            <w:r>
              <w:rPr>
                <w:sz w:val="21"/>
              </w:rPr>
              <w:t>大幅提高传输效率；</w:t>
            </w:r>
            <w:r>
              <w:rPr>
                <w:sz w:val="21"/>
                <w:b/>
              </w:rPr>
              <w:t>（须在投标文件中提供加盖公章的以下管理界面截图以作证明：（</w:t>
            </w:r>
            <w:r>
              <w:rPr>
                <w:sz w:val="21"/>
                <w:b/>
              </w:rPr>
              <w:t>1）分组管理截图：展示已创建的客户端分组列表及将特定系统镜像分配给用户/组的操作界面；（2）P2P传输监控截图：展示任务分发时，多台客户端处于“传输中”或“边用边载”状态，并显示机器间数据分享进度的监控界面；（3）断点续传证明截图：展示单个传输任务详情，包含暂停、续传记录或进度记录的界面。）</w:t>
            </w:r>
          </w:p>
          <w:p>
            <w:pPr>
              <w:pStyle w:val="null3"/>
              <w:jc w:val="left"/>
            </w:pPr>
            <w:r>
              <w:rPr>
                <w:sz w:val="21"/>
              </w:rPr>
              <w:t>10.远程管理功能：支持从服务器端发起对客户端进行远程开机、关机、发送远程指令，在提供授权情况下，支持管理员远程桌面协助排错功能；</w:t>
            </w:r>
          </w:p>
          <w:p>
            <w:pPr>
              <w:pStyle w:val="null3"/>
              <w:jc w:val="left"/>
            </w:pPr>
            <w:r>
              <w:rPr>
                <w:sz w:val="21"/>
              </w:rPr>
              <w:t>11.桌面管理功能：支持远程对客户端资产信息进行采集，并对终端机在线数据进行统计，包含总开机时长，开机次数等上机信息；</w:t>
            </w:r>
          </w:p>
          <w:p>
            <w:pPr>
              <w:pStyle w:val="null3"/>
              <w:jc w:val="left"/>
            </w:pPr>
            <w:r>
              <w:rPr>
                <w:sz w:val="21"/>
              </w:rPr>
              <w:t>▲12.融合管理要求：服务端采用LINUX平台，支持国产化操作系统，支持创建并管理虚拟机，裸机批量快速生成并结合平台系统镜像分发功能，可同时管理实体终端及虚拟机，实现同时对虚拟机和实体机操作系统统一分</w:t>
            </w:r>
            <w:r>
              <w:rPr>
                <w:sz w:val="21"/>
              </w:rPr>
              <w:t>发管理；</w:t>
            </w:r>
            <w:r>
              <w:rPr>
                <w:sz w:val="21"/>
                <w:b/>
              </w:rPr>
              <w:t>（须在投标文件中提供加盖公章的以下截图以作证明：（</w:t>
            </w:r>
            <w:r>
              <w:rPr>
                <w:sz w:val="21"/>
                <w:b/>
              </w:rPr>
              <w:t>1）服务平台证明截图：服务端采用LINUX平台截图；（2）统一管理界面截图：展示平台管理界面中同时列有虚拟机和实体机列表，并可对两者进行批量操作的界面。）</w:t>
            </w:r>
          </w:p>
          <w:p>
            <w:pPr>
              <w:pStyle w:val="null3"/>
              <w:jc w:val="left"/>
            </w:pPr>
            <w:r>
              <w:rPr>
                <w:sz w:val="21"/>
              </w:rPr>
              <w:t>13.多环境组合：自定义多个系统环境的复原组合，独立设置某一系统盘数据盘的还原、写入模式，支持对操作系统进行复原后，计算机名、IP地址、域用户等信息保存功能；</w:t>
            </w:r>
          </w:p>
          <w:p>
            <w:pPr>
              <w:pStyle w:val="null3"/>
              <w:jc w:val="left"/>
            </w:pPr>
            <w:r>
              <w:rPr>
                <w:sz w:val="21"/>
              </w:rPr>
              <w:t>14.教师演示：教师可对单一、部分或全体学生进行屏幕演示，全屏、窗口方式均可；</w:t>
            </w:r>
          </w:p>
          <w:p>
            <w:pPr>
              <w:pStyle w:val="null3"/>
              <w:jc w:val="left"/>
            </w:pPr>
            <w:r>
              <w:rPr>
                <w:sz w:val="21"/>
              </w:rPr>
              <w:t>15.视频广播：采用流媒体技术，实现教师机播放的视频同步广播到学生机，且达到流畅无延时，支持几乎所有常见的媒体音视频格式， Windows Media文件，VCD文件，DVD文件，Real文件，AVI文</w:t>
            </w:r>
            <w:r>
              <w:rPr>
                <w:sz w:val="21"/>
              </w:rPr>
              <w:t>件，</w:t>
            </w:r>
            <w:r>
              <w:rPr>
                <w:sz w:val="21"/>
              </w:rPr>
              <w:t>MP4等主流文件格式，支持720p、1080p的高清视频；</w:t>
            </w:r>
          </w:p>
          <w:p>
            <w:pPr>
              <w:pStyle w:val="null3"/>
              <w:jc w:val="left"/>
            </w:pPr>
            <w:r>
              <w:rPr>
                <w:sz w:val="21"/>
              </w:rPr>
              <w:t>16.支持用户自定义缓存载入方案，管理员可设置学生机缓存从任意IP地址载入缓存，服务器内置多种预设方案选择，可配置学生机从邻近计算机载入缓存，减少系统下发及更新时服务器压力过大及网络环境的影响；（须提供功能演示，演示内容需对应相关内容）</w:t>
            </w:r>
          </w:p>
          <w:p>
            <w:pPr>
              <w:pStyle w:val="null3"/>
              <w:jc w:val="left"/>
            </w:pPr>
            <w:r>
              <w:rPr>
                <w:sz w:val="21"/>
              </w:rPr>
              <w:t>17.视频直播：通过USB摄像头将教师的画面实时广播到学生机，达到更形象的教学效果，具有引导客户选择视频设备的提示画面，以便客户快速完成摄像头设备的设置；</w:t>
            </w:r>
          </w:p>
          <w:p>
            <w:pPr>
              <w:pStyle w:val="null3"/>
              <w:jc w:val="left"/>
            </w:pPr>
            <w:r>
              <w:rPr>
                <w:sz w:val="21"/>
              </w:rPr>
              <w:t>18.语音广播：教师演示时可以将教师机麦克风或其他输入设备（如磁带、CD）的声音广播给学生；</w:t>
            </w:r>
          </w:p>
          <w:p>
            <w:pPr>
              <w:pStyle w:val="null3"/>
              <w:jc w:val="left"/>
            </w:pPr>
            <w:r>
              <w:rPr>
                <w:sz w:val="21"/>
              </w:rPr>
              <w:t>19.学生演示：教师可选定一台学生机作为示范，由此学生代替教师进行示范教学；</w:t>
            </w:r>
          </w:p>
          <w:p>
            <w:pPr>
              <w:pStyle w:val="null3"/>
              <w:jc w:val="left"/>
            </w:pPr>
            <w:r>
              <w:rPr>
                <w:sz w:val="21"/>
              </w:rPr>
              <w:t>20.分组教学：可以将学生分成几个组，每个分组应有一名组长以及一名或多名 组员。组长可以使用多种功能来辅导组员，例如：屏幕广播和文件分发；</w:t>
            </w:r>
          </w:p>
          <w:p>
            <w:pPr>
              <w:pStyle w:val="null3"/>
              <w:jc w:val="left"/>
            </w:pPr>
            <w:r>
              <w:rPr>
                <w:sz w:val="21"/>
              </w:rPr>
              <w:t>21.分组讨论：教师可以创建多个小组进行讨论活动，并可任意选择分组加入讨论活动。同组师生支持多种方式进行交流，包括文字，表情，图片等；</w:t>
            </w:r>
          </w:p>
          <w:p>
            <w:pPr>
              <w:pStyle w:val="null3"/>
              <w:jc w:val="left"/>
            </w:pPr>
            <w:r>
              <w:rPr>
                <w:sz w:val="21"/>
              </w:rPr>
              <w:t>22.屏幕录制：教师机可以将本地的操作和讲解过程录制为MP4录像文件，可以用 Windows 自带的 Media Player 直接播放；</w:t>
            </w:r>
          </w:p>
          <w:p>
            <w:pPr>
              <w:pStyle w:val="null3"/>
              <w:jc w:val="left"/>
            </w:pPr>
            <w:r>
              <w:rPr>
                <w:sz w:val="21"/>
              </w:rPr>
              <w:t>23.学生端屏幕录制、回放：学生端接收教师端广播的时候可以自动录制教师机广播教学的过程，课后可以重复观看学习；</w:t>
            </w:r>
          </w:p>
          <w:p>
            <w:pPr>
              <w:pStyle w:val="null3"/>
              <w:jc w:val="left"/>
            </w:pPr>
            <w:r>
              <w:rPr>
                <w:sz w:val="21"/>
              </w:rPr>
              <w:t>24.文件分发：允许教师将教师机不同盘符中的目录或文件一起发送至生机的某目录下。目录不存在自动新建此目录；盘符不存在或路径非法不允许分发；文件已存在选择自动覆盖或保留原始文件；</w:t>
            </w:r>
          </w:p>
          <w:p>
            <w:pPr>
              <w:pStyle w:val="null3"/>
              <w:jc w:val="left"/>
            </w:pPr>
            <w:r>
              <w:rPr>
                <w:sz w:val="21"/>
              </w:rPr>
              <w:t>25.作业提交：学生把做好的作业直接提交到教师机，方便教师批改作业要收取的麻烦。通过特殊设置，学生提交作业时</w:t>
            </w:r>
            <w:r>
              <w:rPr>
                <w:sz w:val="21"/>
              </w:rPr>
              <w:t>必须</w:t>
            </w:r>
            <w:r>
              <w:rPr>
                <w:sz w:val="21"/>
              </w:rPr>
              <w:t>经过教师审批通过后才可提交，教师可以选择接收和拒绝学生提交的文件。并且教师可以限制学生提交文件的大小；</w:t>
            </w:r>
          </w:p>
          <w:p>
            <w:pPr>
              <w:pStyle w:val="null3"/>
              <w:jc w:val="left"/>
            </w:pPr>
            <w:r>
              <w:rPr>
                <w:sz w:val="21"/>
              </w:rPr>
              <w:t>26.屏幕监视：教师机可以监视单一、部分、全体学生机的屏幕，教师机每屏可监视多个学生屏幕；</w:t>
            </w:r>
          </w:p>
          <w:p>
            <w:pPr>
              <w:pStyle w:val="null3"/>
              <w:jc w:val="left"/>
            </w:pPr>
            <w:r>
              <w:rPr>
                <w:sz w:val="21"/>
              </w:rPr>
              <w:t>27.频道教学：支持多达30个频道的划分，一个教师可对单个班级或多个班级同时上课；多个教师可同时对多个班级进行不同内容的教学；</w:t>
            </w:r>
          </w:p>
          <w:p>
            <w:pPr>
              <w:pStyle w:val="null3"/>
              <w:jc w:val="left"/>
            </w:pPr>
            <w:r>
              <w:rPr>
                <w:sz w:val="21"/>
              </w:rPr>
              <w:t>28.签到：提供学生名单管理工具，提供点名功能，支持保留学生多次登录记录、考勤统计、签到信息的导出与对比；</w:t>
            </w:r>
          </w:p>
          <w:p>
            <w:pPr>
              <w:pStyle w:val="null3"/>
              <w:jc w:val="left"/>
            </w:pPr>
            <w:r>
              <w:rPr>
                <w:sz w:val="21"/>
              </w:rPr>
              <w:t>29.班级模型：有单独的管理界面，实现对班级模型的统一管理，并能够导入、导出，调用不同网络教室中的班级模型；</w:t>
            </w:r>
          </w:p>
          <w:p>
            <w:pPr>
              <w:pStyle w:val="null3"/>
              <w:jc w:val="left"/>
            </w:pPr>
            <w:r>
              <w:rPr>
                <w:sz w:val="21"/>
              </w:rPr>
              <w:t>30.上网限制：设定学生访问网站的黑名单或白名单，对学生可以访问的Internet站点进行管理。支持多浏览器限制，如QQ、IE、谷歌、360等浏览器；</w:t>
            </w:r>
          </w:p>
          <w:p>
            <w:pPr>
              <w:pStyle w:val="null3"/>
              <w:jc w:val="left"/>
            </w:pPr>
            <w:r>
              <w:rPr>
                <w:sz w:val="21"/>
              </w:rPr>
              <w:t>31.程序限制：通过各种策略的应用，可防止学生在教学过程中打游戏，或使用QQ，MSN等聊天工具；</w:t>
            </w:r>
          </w:p>
          <w:p>
            <w:pPr>
              <w:pStyle w:val="null3"/>
              <w:jc w:val="left"/>
            </w:pPr>
            <w:r>
              <w:rPr>
                <w:sz w:val="21"/>
              </w:rPr>
              <w:t>32.黑屏肃静：教师可以对单一、部分、全体学生执行黑屏肃静来禁止其进行任何操作，达到专心听课目的，教师可自定义黑屏的内容；</w:t>
            </w:r>
          </w:p>
          <w:p>
            <w:pPr>
              <w:pStyle w:val="null3"/>
              <w:jc w:val="left"/>
            </w:pPr>
            <w:r>
              <w:rPr>
                <w:sz w:val="21"/>
              </w:rPr>
              <w:t>33.分组管理：教师可以新建，删除，重命名分组，添加和删除分组中的成员，设置小组长。分组信息随班级模型永久保存，下次上课可以直接使用保存的分组；</w:t>
            </w:r>
          </w:p>
          <w:p>
            <w:pPr>
              <w:pStyle w:val="null3"/>
              <w:jc w:val="left"/>
            </w:pPr>
            <w:r>
              <w:rPr>
                <w:sz w:val="21"/>
              </w:rPr>
              <w:t>34.自动锁屏：断线保护自动锁屏技术，通过</w:t>
            </w:r>
            <w:r>
              <w:rPr>
                <w:sz w:val="21"/>
              </w:rPr>
              <w:t>网卡</w:t>
            </w:r>
            <w:r>
              <w:rPr>
                <w:sz w:val="21"/>
              </w:rPr>
              <w:t>是否激活来锁定屏幕，避免学生拔掉网线违反纪律；</w:t>
            </w:r>
          </w:p>
          <w:p>
            <w:pPr>
              <w:pStyle w:val="null3"/>
              <w:jc w:val="left"/>
            </w:pPr>
            <w:r>
              <w:rPr>
                <w:sz w:val="21"/>
              </w:rPr>
              <w:t>35.防杀进程：为安全起见，学生端程序运行后，防止学生通过任务管理器结束学生端程序进程来逃脱教师控制；</w:t>
            </w:r>
          </w:p>
          <w:p>
            <w:pPr>
              <w:pStyle w:val="null3"/>
              <w:jc w:val="left"/>
            </w:pPr>
            <w:r>
              <w:rPr>
                <w:sz w:val="21"/>
              </w:rPr>
              <w:t>36.请求帮助：学生端遇到问题可举手请求帮助，教师端可远程遥控帮助学生解决问题；</w:t>
            </w:r>
          </w:p>
          <w:p>
            <w:pPr>
              <w:pStyle w:val="null3"/>
              <w:jc w:val="left"/>
            </w:pPr>
            <w:r>
              <w:rPr>
                <w:sz w:val="21"/>
              </w:rPr>
              <w:t>37.远程消息：教师与学生能够使用远程消息进行交流，并可以允许和阻止学生发送文字消息；</w:t>
            </w:r>
          </w:p>
          <w:p>
            <w:pPr>
              <w:pStyle w:val="null3"/>
            </w:pPr>
            <w:r>
              <w:rPr>
                <w:sz w:val="21"/>
              </w:rPr>
              <w:t>38.远程命令：远程控制学生打开网页、开机、关机、重启、远程登录windows，一键打开学生端记事本、画图、写字板、计算器、命令提示符等。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十二</w:t>
      </w:r>
      <w:r>
        <w:rPr>
          <w:b/>
        </w:rPr>
        <w:t>：</w:t>
      </w:r>
      <w:r>
        <w:rPr>
          <w:b/>
        </w:rPr>
        <w:t>24口千兆交换机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1.产品类型：千兆以太网交换机；</w:t>
            </w:r>
          </w:p>
          <w:p>
            <w:pPr>
              <w:pStyle w:val="null3"/>
              <w:jc w:val="left"/>
            </w:pPr>
            <w:r>
              <w:rPr>
                <w:sz w:val="21"/>
              </w:rPr>
              <w:t>2.端口：24GE（POE）+2SFP；</w:t>
            </w:r>
          </w:p>
          <w:p>
            <w:pPr>
              <w:pStyle w:val="null3"/>
              <w:jc w:val="left"/>
            </w:pPr>
            <w:r>
              <w:rPr>
                <w:sz w:val="21"/>
              </w:rPr>
              <w:t>3.要求支持基于端口、802.1P、DSCP等QoS优先级管理；</w:t>
            </w:r>
          </w:p>
          <w:p>
            <w:pPr>
              <w:pStyle w:val="null3"/>
              <w:jc w:val="left"/>
            </w:pPr>
            <w:r>
              <w:rPr>
                <w:sz w:val="21"/>
              </w:rPr>
              <w:t>4.要求所有端口均支持线速转发；</w:t>
            </w:r>
          </w:p>
          <w:p>
            <w:pPr>
              <w:pStyle w:val="null3"/>
              <w:jc w:val="left"/>
            </w:pPr>
            <w:r>
              <w:rPr>
                <w:sz w:val="21"/>
              </w:rPr>
              <w:t>5.要求支持环路检测、IP冲突检测；</w:t>
            </w:r>
          </w:p>
          <w:p>
            <w:pPr>
              <w:pStyle w:val="null3"/>
            </w:pPr>
            <w:r>
              <w:rPr>
                <w:sz w:val="21"/>
              </w:rPr>
              <w:t>6.要求支持线缆检测、端口镜像。</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十三</w:t>
      </w:r>
      <w:r>
        <w:rPr>
          <w:b/>
        </w:rPr>
        <w:t>：</w:t>
      </w:r>
      <w:r>
        <w:rPr>
          <w:b/>
        </w:rPr>
        <w:t>网络机柜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1.材质：冷轧钢板，钢化玻璃门；</w:t>
            </w:r>
          </w:p>
          <w:p>
            <w:pPr>
              <w:pStyle w:val="null3"/>
              <w:jc w:val="left"/>
            </w:pPr>
            <w:r>
              <w:rPr>
                <w:sz w:val="21"/>
              </w:rPr>
              <w:t>2.尺寸：宽度≥550MM，深度≥400MM，高度≥600MM；</w:t>
            </w:r>
          </w:p>
          <w:p>
            <w:pPr>
              <w:pStyle w:val="null3"/>
              <w:jc w:val="left"/>
            </w:pPr>
            <w:r>
              <w:rPr>
                <w:sz w:val="21"/>
              </w:rPr>
              <w:t>3.支撑挂壁或落地，前后门可拆卸；</w:t>
            </w:r>
          </w:p>
          <w:p>
            <w:pPr>
              <w:pStyle w:val="null3"/>
              <w:jc w:val="left"/>
            </w:pPr>
            <w:r>
              <w:rPr>
                <w:sz w:val="21"/>
              </w:rPr>
              <w:t>4.容量≥12U；</w:t>
            </w:r>
          </w:p>
          <w:p>
            <w:pPr>
              <w:pStyle w:val="null3"/>
              <w:jc w:val="left"/>
            </w:pPr>
            <w:r>
              <w:rPr>
                <w:sz w:val="21"/>
              </w:rPr>
              <w:t>5.机柜侧面、顶部带散热孔；</w:t>
            </w:r>
          </w:p>
          <w:p>
            <w:pPr>
              <w:pStyle w:val="null3"/>
              <w:jc w:val="left"/>
            </w:pPr>
            <w:r>
              <w:rPr>
                <w:sz w:val="21"/>
              </w:rPr>
              <w:t>6.机柜带散热孔；</w:t>
            </w:r>
          </w:p>
          <w:p>
            <w:pPr>
              <w:pStyle w:val="null3"/>
            </w:pPr>
            <w:r>
              <w:rPr>
                <w:sz w:val="21"/>
              </w:rPr>
              <w:t>7.配套托盘≥1块，钥匙≥1条，脚轮≥4个。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十四</w:t>
      </w:r>
      <w:r>
        <w:rPr>
          <w:b/>
        </w:rPr>
        <w:t>：</w:t>
      </w:r>
      <w:r>
        <w:rPr>
          <w:b/>
        </w:rPr>
        <w:t>音箱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1.额定功率：60W-300W；</w:t>
            </w:r>
          </w:p>
          <w:p>
            <w:pPr>
              <w:pStyle w:val="null3"/>
              <w:jc w:val="left"/>
            </w:pPr>
            <w:r>
              <w:rPr>
                <w:sz w:val="21"/>
              </w:rPr>
              <w:t>2.频率响应：50Hz-20KHz；</w:t>
            </w:r>
          </w:p>
          <w:p>
            <w:pPr>
              <w:pStyle w:val="null3"/>
              <w:jc w:val="left"/>
            </w:pPr>
            <w:r>
              <w:rPr>
                <w:sz w:val="21"/>
              </w:rPr>
              <w:t>3.尺寸：≥250MM*250MM*390MM；</w:t>
            </w:r>
          </w:p>
          <w:p>
            <w:pPr>
              <w:pStyle w:val="null3"/>
              <w:jc w:val="left"/>
            </w:pPr>
            <w:r>
              <w:rPr>
                <w:sz w:val="21"/>
              </w:rPr>
              <w:t>4.灵敏度：≥93dB；</w:t>
            </w:r>
          </w:p>
          <w:p>
            <w:pPr>
              <w:pStyle w:val="null3"/>
              <w:jc w:val="left"/>
            </w:pPr>
            <w:r>
              <w:rPr>
                <w:sz w:val="21"/>
              </w:rPr>
              <w:t>5.额定阻抗：≥8Ω；</w:t>
            </w:r>
          </w:p>
          <w:p>
            <w:pPr>
              <w:pStyle w:val="null3"/>
              <w:jc w:val="left"/>
            </w:pPr>
            <w:r>
              <w:rPr>
                <w:sz w:val="21"/>
              </w:rPr>
              <w:t>6.材质：木质箱体；</w:t>
            </w:r>
          </w:p>
          <w:p>
            <w:pPr>
              <w:pStyle w:val="null3"/>
            </w:pPr>
            <w:r>
              <w:rPr>
                <w:sz w:val="21"/>
              </w:rPr>
              <w:t>7.低频单元：相当于或优于1*8（100磁25芯）。</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十五</w:t>
      </w:r>
      <w:r>
        <w:rPr>
          <w:b/>
        </w:rPr>
        <w:t>：</w:t>
      </w:r>
      <w:r>
        <w:rPr>
          <w:b/>
        </w:rPr>
        <w:t>大功率功放</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w:t>
            </w:r>
            <w:r>
              <w:rPr>
                <w:sz w:val="21"/>
              </w:rPr>
              <w:t>.尺寸：≥350MM*240MM*80MM；</w:t>
            </w:r>
          </w:p>
          <w:p>
            <w:pPr>
              <w:pStyle w:val="null3"/>
              <w:jc w:val="left"/>
            </w:pPr>
            <w:r>
              <w:rPr>
                <w:sz w:val="21"/>
              </w:rPr>
              <w:t>2</w:t>
            </w:r>
            <w:r>
              <w:rPr>
                <w:sz w:val="21"/>
              </w:rPr>
              <w:t>.额定阻抗：≥8Ω；</w:t>
            </w:r>
          </w:p>
          <w:p>
            <w:pPr>
              <w:pStyle w:val="null3"/>
              <w:jc w:val="left"/>
            </w:pPr>
            <w:r>
              <w:rPr>
                <w:sz w:val="21"/>
              </w:rPr>
              <w:t>3</w:t>
            </w:r>
            <w:r>
              <w:rPr>
                <w:sz w:val="21"/>
              </w:rPr>
              <w:t>.信噪比：≥74dB；</w:t>
            </w:r>
          </w:p>
          <w:p>
            <w:pPr>
              <w:pStyle w:val="null3"/>
              <w:jc w:val="left"/>
            </w:pPr>
            <w:r>
              <w:rPr>
                <w:sz w:val="21"/>
              </w:rPr>
              <w:t>4</w:t>
            </w:r>
            <w:r>
              <w:rPr>
                <w:sz w:val="21"/>
              </w:rPr>
              <w:t>：输出功率：</w:t>
            </w:r>
            <w:r>
              <w:rPr>
                <w:sz w:val="21"/>
              </w:rPr>
              <w:t>≥80W*2；</w:t>
            </w:r>
          </w:p>
          <w:p>
            <w:pPr>
              <w:pStyle w:val="null3"/>
            </w:pPr>
            <w:r>
              <w:rPr>
                <w:sz w:val="21"/>
              </w:rPr>
              <w:t>5</w:t>
            </w:r>
            <w:r>
              <w:rPr>
                <w:sz w:val="21"/>
              </w:rPr>
              <w:t>：额定电源：</w:t>
            </w:r>
            <w:r>
              <w:rPr>
                <w:sz w:val="21"/>
              </w:rPr>
              <w:t>≥AC220V。</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十六</w:t>
      </w:r>
      <w:r>
        <w:rPr>
          <w:b/>
        </w:rPr>
        <w:t>：</w:t>
      </w:r>
      <w:r>
        <w:rPr>
          <w:b/>
        </w:rPr>
        <w:t>无线U段麦克风</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1.调节方式：FM；</w:t>
            </w:r>
          </w:p>
          <w:p>
            <w:pPr>
              <w:pStyle w:val="null3"/>
              <w:jc w:val="left"/>
            </w:pPr>
            <w:r>
              <w:rPr>
                <w:sz w:val="21"/>
              </w:rPr>
              <w:t>2.频率响应：30Hz-20KHz；</w:t>
            </w:r>
          </w:p>
          <w:p>
            <w:pPr>
              <w:pStyle w:val="null3"/>
              <w:jc w:val="left"/>
            </w:pPr>
            <w:r>
              <w:rPr>
                <w:sz w:val="21"/>
              </w:rPr>
              <w:t>3.使用距离：空旷地面≥100米；</w:t>
            </w:r>
          </w:p>
          <w:p>
            <w:pPr>
              <w:pStyle w:val="null3"/>
              <w:jc w:val="left"/>
            </w:pPr>
            <w:r>
              <w:rPr>
                <w:sz w:val="21"/>
              </w:rPr>
              <w:t>4.要求配套麦克风不少于1对；</w:t>
            </w:r>
          </w:p>
          <w:p>
            <w:pPr>
              <w:pStyle w:val="null3"/>
              <w:jc w:val="left"/>
            </w:pPr>
            <w:r>
              <w:rPr>
                <w:sz w:val="21"/>
              </w:rPr>
              <w:t>5.要求配套鹅颈麦不少于1对；</w:t>
            </w:r>
          </w:p>
          <w:p>
            <w:pPr>
              <w:pStyle w:val="null3"/>
              <w:jc w:val="left"/>
            </w:pPr>
            <w:r>
              <w:rPr>
                <w:sz w:val="21"/>
              </w:rPr>
              <w:t>6.频率响应：30Hz-20KHz(±2dB) ；</w:t>
            </w:r>
          </w:p>
          <w:p>
            <w:pPr>
              <w:pStyle w:val="null3"/>
              <w:jc w:val="left"/>
            </w:pPr>
            <w:r>
              <w:rPr>
                <w:sz w:val="21"/>
              </w:rPr>
              <w:t>7.信噪比：≥98dB ；</w:t>
            </w:r>
          </w:p>
          <w:p>
            <w:pPr>
              <w:pStyle w:val="null3"/>
              <w:jc w:val="left"/>
            </w:pPr>
            <w:r>
              <w:rPr>
                <w:sz w:val="21"/>
              </w:rPr>
              <w:t>8.调节方式：FM ；</w:t>
            </w:r>
          </w:p>
          <w:p>
            <w:pPr>
              <w:pStyle w:val="null3"/>
              <w:jc w:val="left"/>
            </w:pPr>
            <w:r>
              <w:rPr>
                <w:sz w:val="21"/>
              </w:rPr>
              <w:t>9.使用距离：空旷地≥100米；</w:t>
            </w:r>
          </w:p>
          <w:p>
            <w:pPr>
              <w:pStyle w:val="null3"/>
            </w:pPr>
            <w:r>
              <w:rPr>
                <w:sz w:val="21"/>
              </w:rPr>
              <w:t>10.接收方式：UHF。</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1.采购代理机构：本项目是指广东国科招标有限公司，负责整个采购活动的组织，依法负责编制和发布招标文件，对招标文件拥有最终的解释权，不以任何身份出任评标委员会成员。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广州市机电技师学院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从提交投标文件的截止之日起90天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的招标代理服务费收费标准以中标金额为计算基数根据招标代理机构官网（http://www.gzgkbidding.com/index.php?m=Home&amp;c=News&amp;a=detail&amp;id=25）规定的收费标准按货物采购类型下浮20%进行计算收取。不足8000元，按8000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异常低价审查，本项目评审中出现下列情形之一的，评审委员会应当启动异常低价投标（响应）审查程序：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3.投标（响应）报价低于采购项目最高限价45%的，即投标（响应）报价&lt;采购项目最高限价×45%； 4.其他评审委员会认为供应商报价过低，有可能影响产品质量或者不能诚信履约的情形。 如项目（包组）采用下浮率报价的，则所述的投标（响应）报价， 则为（1-下浮率报价）。 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 被启动异常低价审查的供应商，如果不提供书面说明、证明材料，或者提供的书面说明、证明材料不能证明其报价合理性的，应当将其作为无效投标（响应）处理。 通过异常低价审查的不足3家，不得进入详细评审。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广东国科招标有限公司网（www.gzgkbidding.com）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广东国科招标有限公司网（www.gzgkbidding.com）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陈小盼、张锡宇</w:t>
      </w:r>
    </w:p>
    <w:p>
      <w:pPr>
        <w:pStyle w:val="null3"/>
        <w:ind w:firstLine="480"/>
      </w:pPr>
      <w:r>
        <w:rPr/>
        <w:t>电话：</w:t>
      </w:r>
      <w:r>
        <w:rPr/>
        <w:t>020-87688273、020-37635007</w:t>
      </w:r>
    </w:p>
    <w:p>
      <w:pPr>
        <w:pStyle w:val="null3"/>
        <w:ind w:firstLine="480"/>
      </w:pPr>
      <w:r>
        <w:rPr/>
        <w:t>传真：</w:t>
      </w:r>
      <w:r>
        <w:rPr/>
        <w:t>020-87685201</w:t>
      </w:r>
    </w:p>
    <w:p>
      <w:pPr>
        <w:pStyle w:val="null3"/>
        <w:ind w:firstLine="480"/>
      </w:pPr>
      <w:r>
        <w:rPr/>
        <w:t>邮箱：</w:t>
      </w:r>
      <w:r>
        <w:rPr/>
        <w:t>gzgk@gzgkbidding.com</w:t>
      </w:r>
    </w:p>
    <w:p>
      <w:pPr>
        <w:pStyle w:val="null3"/>
        <w:ind w:firstLine="480"/>
      </w:pPr>
      <w:r>
        <w:rPr/>
        <w:t>地址：</w:t>
      </w:r>
      <w:r>
        <w:rPr/>
        <w:t>广州市先烈中路100号科学院大院9号楼东座2楼（中国广州分析测试中心对面）</w:t>
      </w:r>
    </w:p>
    <w:p>
      <w:pPr>
        <w:pStyle w:val="null3"/>
        <w:ind w:firstLine="480"/>
      </w:pPr>
      <w:r>
        <w:rPr/>
        <w:t>邮编：</w:t>
      </w:r>
      <w:r>
        <w:rPr/>
        <w:t>510070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子项目3：VR技术研发实验室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广东国科招标有限公司</w:t>
      </w:r>
      <w:r>
        <w:rPr/>
        <w:t>统一对外发布。</w:t>
      </w:r>
    </w:p>
    <w:p>
      <w:pPr>
        <w:pStyle w:val="null3"/>
        <w:ind w:firstLine="480"/>
      </w:pPr>
      <w:r>
        <w:rPr/>
        <w:t>（2）对</w:t>
      </w:r>
      <w:r>
        <w:rPr/>
        <w:t>广东国科招标有限公司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采购包1（子项目3：VR技术研发实验室项目）：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1、根据财政部、工业和信息化部印发的《政府采购促进中小企业发展管理办法》（财库〔2020〕46号）及相关规定，不专门面向中小企业采购的采购项目或者采购包，除执行国家统一定价标准和实行固定价格采购外，对符合该办法规定的小微企业报价给予P1（货物、服务项目P1的取值为10%，工程项目P1的取值为5%）的扣除，用扣除后的价格参与评审。适用招标投标法的政府采购工程建设项目，采用综合评估法但未采用低价优先法计算价格分的，评标时应当在采用原报价进行评分的基础上，原则上按5%增加其价格得分。 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负责人，是指单位法定代表人或者法律、行政法规规定代表单位行使职权的主要负责人；控股，是指出资额占有限责任公司资本总额50%以上或者其持有的股份占股份有限公司股本总额50%以上的，以及出资额或者持有股份的比例虽然不足50%，但依其出资额或者持有的股份所享有的表决权已足以对股东会、股东会的决议产生重大影响的；管理关系，是指与不具有出资持股关系的其他单位之间存在的管理与被管理关系。 事业单位、社会组织等非企业主体不享受中小企业扶持政策，但事业单位、社会组织等非企业主体提供全部由中小企业制造的货物参加货物采购项目的除外。事业单位直接控股和管理的企业，依据中小企业划型标准认定其企业类型；符合中小企业划分标准的个体工商户，在政府采购活动中视同中小企业。 3、在政府采购活动中，供应商提供的货物、工程或者服务符合下列情形的，享受中小企业扶持政策： （1）符合《工业和信息化部、国家统计局、国家发展和改革委员会、财政部关于印发中小企业划型标准规定的通知》（工信部联企业〔2011〕300号）规定的划分标准； （2）在货物采购项目中，货物由中小企业制造，即货物由中小企业生产且使用该中小企业商号或者注册商标，不对供应商主体类型作任何限制要求； （3）在工程采购项目中，工程由中小企业承建，即工程施工单位为中小企业； （4）在服务采购项目中，服务由中小企业承接，即提供服务的人员为中小企业依照《中华人民共和国劳动合同法》订立劳动合同的从业人员。 （5）在货物采购项目中，供应商提供的货物既有中小企业制造货物，也有大型企业制造货物的，不享受本办法规定的中小企业扶持政策。 4、在本项目政府采购活动中，对符合《政府采购促进中小企业发展管理办法》规定的小微企业报价给予一定比例的扣除，用扣除后的价格参加评审。具体扣除办法如下： 投标人提供的货物全部由符合政策要求的小型或微型企业制造（工程的施工单位全部为符合政策要求的小型、微型企业，或者服务全部由符合政策要求的小型、微型企业承接），对投标人的报价给予P1的价格扣除，即：评标价＝投标价×（1-P1）。 5、参加本项目投标的小型和微型企业应当提供《中小企业声明函》，否则不得享受相关中小企业扶持政策。新成立企业无上一年度相关数据的，根据其出具的《中小企业声明函》认可其为中小企业。采购代理机构、评标委员会（评审小组）在依法进行资格审查、评审过程中，发现《中小企业声明函》存在明显笔误或者含义不明确的，按照政府采购相关规定要求供应商进行澄清、说明或补正。澄清、说明或补正后符合中小企业条件的供应商，可以享受中小企业扶持政策。中标、成交供应商享受中小企业扶持政策的，随中标、成交结果公开中标、成交供应商的《中小企业声明函》。供应商提供《中小企业声明函》内容不实的，属于提供虚假材料谋取中标、成交，依照《中华人民共和国政府采购法》等国家有关规定追究相应责任。 6、监狱企业参加政府采购活动时，应当提供由省级以上监狱管理局、戒毒管理局(含新疆生产建设兵团)出具的属于监狱企业的证明文件。 7、根据《关于促进残疾人就业政府采购政策的通知(财库〔2017〕141号)》，残疾人福利性单位参加政府采购活动时，应当提供《残疾人福利性单位声明函》，并对声明的真实性负责。残疾人福利性单位属于小型、微型企业的，不重复享受政策。</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1、如本次采购产品属于财政部、发展改革委、生态环境部等部门最新发布的《节能产品政府采购品目清单》或《环境标志产品政府采购品目清单》的清单范围内优先采购的节能产品、环境标志产品类别，对于具有国家确定的认证机构出具的、处于有效期之内的节能产品认证证书或环境标志产品认证证书的，对节能产品或环境标志产品的价格分别给予1%的价格扣除。 2、如属于品目清单范围内的节能或环境标志产品，应当提供国家确定的认证机构出具的、处于有效期之内的节能产品认证证书或环境标志产品认证证书复印件，并加盖投标人单位的公章。 特别说明：已经作为评审因素进行评分的不再进行价格扣除。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采购包1（子项目3：VR技术研发实验室项目）：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依据投标函相关承诺格式内容</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依据投标函相关承诺格式内容</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依据投标函相关承诺格式内容或提供具有履行合同所必需的设备和专业技术能力的其他证明材料。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单位负责人为同一人或者存在直接控股、管理关系的不同供应商，不得同时参加本采购项目投标。 为本项目提供整体设计、规范编制或者项目管理、监理、检测等服务的供应商，不得再参与本项目投标。 依据投标函承诺相关要求内容。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本采购包不属于专门面向中小企业采购的项目。</w:t>
            </w:r>
          </w:p>
        </w:tc>
      </w:tr>
    </w:tbl>
    <w:p>
      <w:pPr>
        <w:pStyle w:val="null3"/>
        <w:ind w:firstLine="480"/>
      </w:pPr>
      <w:r>
        <w:rPr/>
        <w:t>表二符合性审查表：</w:t>
      </w:r>
    </w:p>
    <w:p>
      <w:pPr>
        <w:pStyle w:val="null3"/>
      </w:pPr>
      <w:r>
        <w:rPr/>
        <w:t>采购包1（子项目3：VR技术研发实验室项目）：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投标函</w:t>
            </w:r>
          </w:p>
        </w:tc>
      </w:tr>
      <w:tr>
        <w:tc>
          <w:tcPr>
            <w:tcW w:type="dxa" w:w="890"/>
          </w:tcPr>
          <w:p>
            <w:pPr>
              <w:pStyle w:val="null3"/>
            </w:pPr>
            <w:r>
              <w:rPr/>
              <w:t>2</w:t>
            </w:r>
          </w:p>
        </w:tc>
        <w:tc>
          <w:tcPr>
            <w:tcW w:type="dxa" w:w="3178"/>
          </w:tcPr>
          <w:p>
            <w:pPr>
              <w:pStyle w:val="null3"/>
            </w:pPr>
            <w:r>
              <w:rPr/>
              <w:t>授权文件</w:t>
            </w:r>
          </w:p>
        </w:tc>
        <w:tc>
          <w:tcPr>
            <w:tcW w:type="dxa" w:w="4238"/>
          </w:tcPr>
          <w:p>
            <w:pPr>
              <w:pStyle w:val="null3"/>
            </w:pPr>
            <w:r>
              <w:rPr/>
              <w:t>法定代表人（负责人）证明书、法定代表人（负责人）授权委托书</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投标有效期：90天</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投标文件按照项目采购文件规定要求签署、盖章</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投标单价是固定价且未超过本项目采购标的对应的单价限价</w:t>
            </w:r>
          </w:p>
        </w:tc>
      </w:tr>
      <w:tr>
        <w:tc>
          <w:tcPr>
            <w:tcW w:type="dxa" w:w="890"/>
          </w:tcPr>
          <w:p>
            <w:pPr>
              <w:pStyle w:val="null3"/>
            </w:pPr>
            <w:r>
              <w:rPr/>
              <w:t>6</w:t>
            </w:r>
          </w:p>
        </w:tc>
        <w:tc>
          <w:tcPr>
            <w:tcW w:type="dxa" w:w="3178"/>
          </w:tcPr>
          <w:p>
            <w:pPr>
              <w:pStyle w:val="null3"/>
            </w:pPr>
            <w:r>
              <w:rPr/>
              <w:t>带“★”号条款</w:t>
            </w:r>
          </w:p>
        </w:tc>
        <w:tc>
          <w:tcPr>
            <w:tcW w:type="dxa" w:w="4238"/>
          </w:tcPr>
          <w:p>
            <w:pPr>
              <w:pStyle w:val="null3"/>
            </w:pPr>
            <w:r>
              <w:rPr/>
              <w:t>能满足采购需求的主要参数（带“★”号条款）</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未出现法律法规和项目采购文件规定的其他无效情形</w:t>
            </w:r>
          </w:p>
        </w:tc>
      </w:tr>
      <w:tr>
        <w:tc>
          <w:tcPr>
            <w:tcW w:type="dxa" w:w="890"/>
          </w:tcPr>
          <w:p>
            <w:pPr>
              <w:pStyle w:val="null3"/>
            </w:pPr>
            <w:r>
              <w:rPr/>
              <w:t>9</w:t>
            </w:r>
          </w:p>
        </w:tc>
        <w:tc>
          <w:tcPr>
            <w:tcW w:type="dxa" w:w="3178"/>
          </w:tcPr>
          <w:p>
            <w:pPr>
              <w:pStyle w:val="null3"/>
            </w:pPr>
            <w:r>
              <w:rPr/>
              <w:t>进口情况</w:t>
            </w:r>
          </w:p>
        </w:tc>
        <w:tc>
          <w:tcPr>
            <w:tcW w:type="dxa" w:w="4238"/>
          </w:tcPr>
          <w:p>
            <w:pPr>
              <w:pStyle w:val="null3"/>
            </w:pPr>
            <w:r>
              <w:rPr/>
              <w:t>采购文件不允许进口产品参与投标时未以进口产品投标</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采购包1(子项目3：VR技术研发实验室项目):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技术部分45.0分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功能技术参数响应情况（一） (22.0分)</w:t>
            </w:r>
          </w:p>
        </w:tc>
        <w:tc>
          <w:tcPr>
            <w:tcW w:type="dxa" w:w="5076"/>
          </w:tcPr>
          <w:p>
            <w:pPr>
              <w:pStyle w:val="null3"/>
              <w:jc w:val="left"/>
            </w:pPr>
            <w:r>
              <w:rPr/>
              <w:t>根据投标人对“第二章采购需求”中除需要进行功能演示的标注“▲”号的技术参数（共11项）响应情况进行评审： 每有 1 项满足得2分，不满足不得分，满分22分。 注：凡是标有序号且为最末级序号的条款均以一项单独的条款计算。如采购需求中有明确提供的证明资料，则以采购需求要求为准，无或未按要求提供证明材料的不得分；如采购需求中无明确证明材料的，以投标人的投标文件《技术和服务要求响应表》中的响应情况填写内容为准，未填写或不满足的视为负偏离。</w:t>
            </w:r>
          </w:p>
        </w:tc>
      </w:tr>
      <w:tr>
        <w:tc>
          <w:tcPr>
            <w:tcW w:type="dxa" w:w="922"/>
            <w:gridSpan w:val="2"/>
            <w:vMerge/>
          </w:tcPr>
          <w:p/>
        </w:tc>
        <w:tc>
          <w:tcPr>
            <w:tcW w:type="dxa" w:w="2307"/>
          </w:tcPr>
          <w:p>
            <w:pPr>
              <w:pStyle w:val="null3"/>
              <w:jc w:val="left"/>
            </w:pPr>
            <w:r>
              <w:rPr/>
              <w:t>功能技术参数响应情况（二） (8.0分)</w:t>
            </w:r>
          </w:p>
        </w:tc>
        <w:tc>
          <w:tcPr>
            <w:tcW w:type="dxa" w:w="5076"/>
          </w:tcPr>
          <w:p>
            <w:pPr>
              <w:pStyle w:val="null3"/>
              <w:jc w:val="left"/>
            </w:pPr>
            <w:r>
              <w:rPr/>
              <w:t>根据投标人对“第二章采购需求”中除“★”及“▲”及需要演示条款之外的条款的技术参数响应情况进行评审： （共16项），只要有一条（或以上）一般技术参数负偏离或不满足，则对应设备一般参数整体不得分。每有一种产品完全满足的得0.5分，本小点最高得8分。 注：凡是标有序号且为最末级序号的条款均以一项单独的条款计算。如采购需求中有明确提供的证明资料，则以采购需求要求为准，无或未按要求提供证明材料的不得分；如采购需求中无明确证明材料的，以投标人的投标文件《技术和服务要求响应表》中的响应情况填写内容为准，未填写或不满足的视为负偏离。</w:t>
            </w:r>
          </w:p>
        </w:tc>
      </w:tr>
      <w:tr>
        <w:tc>
          <w:tcPr>
            <w:tcW w:type="dxa" w:w="922"/>
            <w:gridSpan w:val="2"/>
            <w:vMerge/>
          </w:tcPr>
          <w:p/>
        </w:tc>
        <w:tc>
          <w:tcPr>
            <w:tcW w:type="dxa" w:w="2307"/>
          </w:tcPr>
          <w:p>
            <w:pPr>
              <w:pStyle w:val="null3"/>
              <w:jc w:val="left"/>
            </w:pPr>
            <w:r>
              <w:rPr/>
              <w:t>演示情况 (5.0分)</w:t>
            </w:r>
          </w:p>
        </w:tc>
        <w:tc>
          <w:tcPr>
            <w:tcW w:type="dxa" w:w="5076"/>
          </w:tcPr>
          <w:p>
            <w:pPr>
              <w:pStyle w:val="null3"/>
              <w:jc w:val="left"/>
            </w:pPr>
            <w:r>
              <w:rPr/>
              <w:t>根据投标人现场演示情况进行评分。 演示内容如下： 1.要求支持模型参数调节功能，支持文生图、图生图、后期处理、PNG 图片信息、模型融合、Colab Terminal、Infinite Zoom、Additional Networks、无边图像浏览、模型转换、超级模型融合、模型工具箱、标签器、通配符管理功能； 2.要求支持设置Comtrolnt控制、风格参考图与换脸图，图像依次生成，支持导入上一步图像，使用局部重绘工作流进行图像优化调整，工作流模块不少于5个，修改条件多次生成图像，可查看图像修改前后对比效果； 3.客户端缓存功能:客户端支持将服务器镜像文件缓存至本地硬盘，支持小容量固态硬盘以增量非分区的方式缓存至少五个的镜像；客户端需要支持多种模式，包含无缓存、全盘缓存、分区缓存等功能。支持硬盘故障的情况下自动以无盘方式启动系统； 4.集中化管理要求：软件需同时具有控制台及WEB页面的统一管理。管理员可通过WEB页面同时管理多台服务器下的所有客户端机器。WEB平台集成：服务器维护，资产管理，云盘管理，应用虚拟化管理，日志管理，用户管理，桌面管理，三员管理模块要求在同一界面上操作，以便高效能管理； 5.支持用户自定义缓存载入方案，管理员可设置学生机缓存从任意IP地址载入缓存，服务器内置多种预设方案选择，可配置学生机从邻近计算机载入缓存，减少系统下发及更新时服务器压力过大及网络环境的影响； 演示视频内容完全满足技术参数要求的，每符合1项得1分；最高得5分。 注：1.到现场参与演示的投标人需凭授权委托书与身份证原件参加演示，参加人数不超过2人（含授权代表在内）自行准备演示所需要的设备，演示现场只提供电源和投影（HDMI接口）。2. 允许投标人提前录制演示视频放入U盘在投标截止时间前密封邮寄到开标现场，由代理机构工作人员播放视频,不得采用PPT、静态页面演示,演示视频时间总长不超过15分钟。演示视频内容不符合相关技术参数要求的或未提供演示视频的，不得分。</w:t>
            </w:r>
          </w:p>
        </w:tc>
      </w:tr>
      <w:tr>
        <w:tc>
          <w:tcPr>
            <w:tcW w:type="dxa" w:w="922"/>
            <w:gridSpan w:val="2"/>
            <w:vMerge/>
          </w:tcPr>
          <w:p/>
        </w:tc>
        <w:tc>
          <w:tcPr>
            <w:tcW w:type="dxa" w:w="2307"/>
          </w:tcPr>
          <w:p>
            <w:pPr>
              <w:pStyle w:val="null3"/>
              <w:jc w:val="left"/>
            </w:pPr>
            <w:r>
              <w:rPr/>
              <w:t>供货方案 (5.0分)</w:t>
            </w:r>
            <w:r>
              <w:rPr/>
              <w:t>，（等次分值选择：</w:t>
            </w:r>
            <w:r>
              <w:rPr/>
              <w:t>0.0;</w:t>
            </w:r>
            <w:r>
              <w:rPr/>
              <w:t>1.0;</w:t>
            </w:r>
            <w:r>
              <w:rPr/>
              <w:t>3.0;</w:t>
            </w:r>
            <w:r>
              <w:rPr/>
              <w:t>5.0;</w:t>
            </w:r>
            <w:r>
              <w:rPr/>
              <w:t>）</w:t>
            </w:r>
          </w:p>
        </w:tc>
        <w:tc>
          <w:tcPr>
            <w:tcW w:type="dxa" w:w="5076"/>
          </w:tcPr>
          <w:p>
            <w:pPr>
              <w:pStyle w:val="null3"/>
              <w:jc w:val="left"/>
            </w:pPr>
            <w:r>
              <w:rPr/>
              <w:t>根据投标人提供的供货方案（包括但不限于安装、调试、质量保障措施等）进行评分： 1.供货方案完全满足或优于采购需求。具体表现为：对项目需求响应全面、精确；提出的方案科学、合理、详尽，具备可操作性；内容完全针对本项目编制，逻辑严谨。能有效保障本项目实施，有利于实现项目效果。得5分； 2.供货方案基本满足采购需求。具体表现为：对项目需求响应基本全面；提出的方案基本合理，具备一定的可操作性，但部分细节不够完善；内容与本项目有一定结合，但未能充分结合本项目具体特点进行深化。能基本保障项目实施。得3分； 3.供货方案不能满足采购需求。具体表现为：提出的方案空洞、缺乏针对性或难以执行；措施关键内容缺失，或未与本项目具体需求结合，与本项目关联度弱。无法保障项目实施效果。得1分； 4.未提供相关方案或方案与本项目无关则不得分。</w:t>
            </w:r>
          </w:p>
        </w:tc>
      </w:tr>
      <w:tr>
        <w:tc>
          <w:tcPr>
            <w:tcW w:type="dxa" w:w="922"/>
            <w:gridSpan w:val="2"/>
            <w:vMerge/>
          </w:tcPr>
          <w:p/>
        </w:tc>
        <w:tc>
          <w:tcPr>
            <w:tcW w:type="dxa" w:w="2307"/>
          </w:tcPr>
          <w:p>
            <w:pPr>
              <w:pStyle w:val="null3"/>
              <w:jc w:val="left"/>
            </w:pPr>
            <w:r>
              <w:rPr/>
              <w:t>项目实施方案 (5.0分)</w:t>
            </w:r>
            <w:r>
              <w:rPr/>
              <w:t>，（等次分值选择：</w:t>
            </w:r>
            <w:r>
              <w:rPr/>
              <w:t>0.0;</w:t>
            </w:r>
            <w:r>
              <w:rPr/>
              <w:t>1.0;</w:t>
            </w:r>
            <w:r>
              <w:rPr/>
              <w:t>3.0;</w:t>
            </w:r>
            <w:r>
              <w:rPr/>
              <w:t>5.0;</w:t>
            </w:r>
            <w:r>
              <w:rPr/>
              <w:t>）</w:t>
            </w:r>
          </w:p>
        </w:tc>
        <w:tc>
          <w:tcPr>
            <w:tcW w:type="dxa" w:w="5076"/>
          </w:tcPr>
          <w:p>
            <w:pPr>
              <w:pStyle w:val="null3"/>
              <w:jc w:val="left"/>
            </w:pPr>
            <w:r>
              <w:rPr/>
              <w:t>根据投标人针对本项目提供的项目实施方案（包括但不限于项目进度安排、技术团队保障、应急处理措施等）进行评审： 1.项目实施方案完全满足或优于采购需求。具体表现为：对项目需求响应全面、精确；对项目重点、难点剖析深刻、全面；提出的进度安排、技术团队保障、应急处理措施等方案科学、合理、详尽，具备可操作性；内容完全针对本项目编制，逻辑严谨。能有效保障本项目实施，有利于实现项目效果。得5分； 2.项目实施方案基本满足采购需求。具体表现为：对项目需求响应基本全面；能识别主要重点、难点，但分析深度不足；提出的方案基本合理，具备一定的可操作性，但部分细节不够完善；内容与本项目有一定结合，但未能充分结合本项目具体特点进行深化。能基本保障项目实施。得3分； 3.项目实施方案不能满足采购需求。具体表现为：对需求响应不全面、不具体；重点、难点分析肤浅或错误；提出的方案空洞、缺乏针对性或难以执行；措施关键内容缺失，或未与本项目具体需求结合，与本项目关联度弱。无法保障项目实施效果。得1分； 4.不提供相关方案或方案与本项目无关则不得分。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(2.0分)</w:t>
            </w:r>
          </w:p>
        </w:tc>
        <w:tc>
          <w:tcPr>
            <w:tcW w:type="dxa" w:w="5076"/>
          </w:tcPr>
          <w:p>
            <w:pPr>
              <w:pStyle w:val="null3"/>
              <w:jc w:val="left"/>
            </w:pPr>
            <w:r>
              <w:rPr/>
              <w:t>2023年1月1日(以合同签订日为准)至投标截止日，投标人具有同类项目经验（同类项目是指：VR相关教学设备或计算机设备）的，每提供一个业绩得1分，最高得2分，未提供不得分。 注：须同时提供合同、验收报告关键页复印件加盖投标人公章。</w:t>
            </w:r>
          </w:p>
        </w:tc>
      </w:tr>
      <w:tr>
        <w:tc>
          <w:tcPr>
            <w:tcW w:type="dxa" w:w="922"/>
            <w:gridSpan w:val="2"/>
            <w:vMerge/>
          </w:tcPr>
          <w:p/>
        </w:tc>
        <w:tc>
          <w:tcPr>
            <w:tcW w:type="dxa" w:w="2307"/>
          </w:tcPr>
          <w:p>
            <w:pPr>
              <w:pStyle w:val="null3"/>
              <w:jc w:val="left"/>
            </w:pPr>
            <w:r>
              <w:rPr/>
              <w:t>认证情况 (3.0分)</w:t>
            </w:r>
          </w:p>
        </w:tc>
        <w:tc>
          <w:tcPr>
            <w:tcW w:type="dxa" w:w="5076"/>
          </w:tcPr>
          <w:p>
            <w:pPr>
              <w:pStyle w:val="null3"/>
              <w:jc w:val="left"/>
            </w:pPr>
            <w:r>
              <w:rPr/>
              <w:t>投标人具有有效期内的质量管理体系认证、环境管理体系认证、职业健康安全管理体系认证,且需包含数字艺术或影视拍摄或数字媒体或动画制作或数字影视技术或相关认证范围的，每提供一项得 1分最高3分。 注:须同时提供认证证书复印件与在全国认证认可信息公共服务平台（http://cx.cnca.cn/）对体系证书的信息查询截图作为评审依据。未提供或证书已暂停、失效或撤销的不得分。因供应商成立时间不满足认证时间要求且办理认证所需要的合理时间不足导致未能获得认证证书的，供应商提供相关佐证资料，情况属实的，可对应得分，否则不得分。</w:t>
            </w:r>
          </w:p>
        </w:tc>
      </w:tr>
      <w:tr>
        <w:tc>
          <w:tcPr>
            <w:tcW w:type="dxa" w:w="922"/>
            <w:gridSpan w:val="2"/>
            <w:vMerge/>
          </w:tcPr>
          <w:p/>
        </w:tc>
        <w:tc>
          <w:tcPr>
            <w:tcW w:type="dxa" w:w="2307"/>
          </w:tcPr>
          <w:p>
            <w:pPr>
              <w:pStyle w:val="null3"/>
              <w:jc w:val="left"/>
            </w:pPr>
            <w:r>
              <w:rPr/>
              <w:t>培训方案 (6.0分)</w:t>
            </w:r>
            <w:r>
              <w:rPr/>
              <w:t>，（等次分值选择：</w:t>
            </w:r>
            <w:r>
              <w:rPr/>
              <w:t>0.0;</w:t>
            </w:r>
            <w:r>
              <w:rPr/>
              <w:t>1.0;</w:t>
            </w:r>
            <w:r>
              <w:rPr/>
              <w:t>3.0;</w:t>
            </w:r>
            <w:r>
              <w:rPr/>
              <w:t>6.0;</w:t>
            </w:r>
            <w:r>
              <w:rPr/>
              <w:t>）</w:t>
            </w:r>
          </w:p>
        </w:tc>
        <w:tc>
          <w:tcPr>
            <w:tcW w:type="dxa" w:w="5076"/>
          </w:tcPr>
          <w:p>
            <w:pPr>
              <w:pStyle w:val="null3"/>
              <w:jc w:val="left"/>
            </w:pPr>
            <w:r>
              <w:rPr/>
              <w:t>根据投标人针对本项目提供的培训方案（包括但不限于培训人员安排、培训时间安排、培训内容、培训资料等）进行综合评审： （1）培训方案完全满足或优于采购需求。具体表现为：对项目需求响应全面、精确；提出的培训人员安排、培训时间安排、培训内容、培训资料等方案科学、合理、详尽，具备可操作性；内容完全针对本项目编制，逻辑严谨。能有效保障本项目实施，有利于实现项目效果。得6分。 （2）培训方案基本满足采购需求。具体表现为：对项目需求响应基本全面；提出的方案基本合理，具备一定的可操作性，但部分细节不够完善；内容与本项目有一定结合，但未能充分结合本项目具体特点进行深化。能基本保障项目实施。得3分。 （3）培训方案不能满足采购需求。具体表现为：对需求响应不全面、不具体；提出的方案空洞、缺乏针对性或难以执行；措施关键内容缺失，或未与本项目具体需求结合，与本项目关联度弱。无法保障项目实施效果。得1分。 （4）未提供方案。得0分。</w:t>
            </w:r>
          </w:p>
        </w:tc>
      </w:tr>
      <w:tr>
        <w:tc>
          <w:tcPr>
            <w:tcW w:type="dxa" w:w="922"/>
            <w:gridSpan w:val="2"/>
            <w:vMerge/>
          </w:tcPr>
          <w:p/>
        </w:tc>
        <w:tc>
          <w:tcPr>
            <w:tcW w:type="dxa" w:w="2307"/>
          </w:tcPr>
          <w:p>
            <w:pPr>
              <w:pStyle w:val="null3"/>
              <w:jc w:val="left"/>
            </w:pPr>
            <w:r>
              <w:rPr/>
              <w:t>质保期承诺 (3.0分)</w:t>
            </w:r>
          </w:p>
        </w:tc>
        <w:tc>
          <w:tcPr>
            <w:tcW w:type="dxa" w:w="5076"/>
          </w:tcPr>
          <w:p>
            <w:pPr>
              <w:pStyle w:val="null3"/>
              <w:jc w:val="left"/>
            </w:pPr>
            <w:r>
              <w:rPr/>
              <w:t>质保期承诺：在满足质保期3年的基础上，每增加1年得1.5分，增加不足1年的部分不得分，最高得3分。提供承诺函（格式自拟）并加盖投标人公章，否则不得分。</w:t>
            </w:r>
          </w:p>
        </w:tc>
      </w:tr>
      <w:tr>
        <w:tc>
          <w:tcPr>
            <w:tcW w:type="dxa" w:w="922"/>
            <w:gridSpan w:val="2"/>
            <w:vMerge/>
          </w:tcPr>
          <w:p/>
        </w:tc>
        <w:tc>
          <w:tcPr>
            <w:tcW w:type="dxa" w:w="2307"/>
          </w:tcPr>
          <w:p>
            <w:pPr>
              <w:pStyle w:val="null3"/>
              <w:jc w:val="left"/>
            </w:pPr>
            <w:r>
              <w:rPr/>
              <w:t>售后服务方案 (6.0分)</w:t>
            </w:r>
            <w:r>
              <w:rPr/>
              <w:t>，（等次分值选择：</w:t>
            </w:r>
            <w:r>
              <w:rPr/>
              <w:t>0.0;</w:t>
            </w:r>
            <w:r>
              <w:rPr/>
              <w:t>1.0;</w:t>
            </w:r>
            <w:r>
              <w:rPr/>
              <w:t>3.0;</w:t>
            </w:r>
            <w:r>
              <w:rPr/>
              <w:t>6.0;</w:t>
            </w:r>
            <w:r>
              <w:rPr/>
              <w:t>）</w:t>
            </w:r>
          </w:p>
        </w:tc>
        <w:tc>
          <w:tcPr>
            <w:tcW w:type="dxa" w:w="5076"/>
          </w:tcPr>
          <w:p>
            <w:pPr>
              <w:pStyle w:val="null3"/>
              <w:jc w:val="left"/>
            </w:pPr>
            <w:r>
              <w:rPr/>
              <w:t>根据投标人针对本项目提供的售后服务方案（包括但不限于故障处理流程和安排、售后服务的原则、范围、时间响应情况等）进行综合评审： （1）售后服务方案完全满足或优于采购需求。具体表现为：对项目需求响应全面、精确；提出的故障处理流程和安排、售后服务的原则、范围、时间响应情况等方案科学、合理、详尽，具备可操作性；内容完全针对本项目编制，逻辑严谨。能有效保障本项目实施，有利于实现项目效果。得6分。 （2）售后服务方案基本满足采购需求。具体表现为：对项目需求响应基本全面；提出的方案基本合理，具备一定的可操作性，但部分细节不够完善；内容与本项目有一定结合，但未能充分结合本项目具体特点进行深化。能基本保障项目实施。得3分。 （3）售后服务方案不能满足采购需求。具体表现为：对需求响应不全面、不具体；提出的方案空洞、缺乏针对性或难以执行；措施关键内容缺失，或未与本项目具体需求结合，与本项目关联度弱。无法保障项目实施效果。得1分。 （4）未提供方案。得0分。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满足招标文件要求且投标价格最低的投标报价为评标基准价。 投标报价得分=（评标基准价/投标报价）×价格分分值 评标过程中，不得去掉报价中的最高报价和最低报价。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名次按技术（服务）评分由高到低顺序排列；如以上都相同的，名次由评标委员会抽签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候选人推荐资格；评审得分相同的，由采购人或者采购人委托评标委员会采取随机抽取方式确定，其他同品牌投标人不作为中标候选人）。第二中标候选人报价高于第一中标候选人报价20％以上的，只推荐1名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注：</w:t>
      </w:r>
      <w:r>
        <w:rPr>
          <w:sz w:val="21"/>
          <w:b/>
        </w:rPr>
        <w:t>合同具体事项须根据采购文件的约定及乙方投标文件的承诺执行</w:t>
      </w:r>
      <w:r>
        <w:rPr>
          <w:sz w:val="21"/>
          <w:b/>
        </w:rPr>
        <w:t>。</w:t>
      </w:r>
    </w:p>
    <w:p>
      <w:pPr>
        <w:pStyle w:val="null3"/>
      </w:pPr>
      <w:r>
        <w:rPr/>
        <w:t xml:space="preserve"> </w:t>
      </w:r>
    </w:p>
    <w:p>
      <w:pPr>
        <w:pStyle w:val="null3"/>
        <w:jc w:val="center"/>
      </w:pPr>
      <w:r>
        <w:rPr>
          <w:sz w:val="28"/>
          <w:b/>
        </w:rPr>
        <w:t>政府采购合同</w:t>
      </w:r>
    </w:p>
    <w:p>
      <w:pPr>
        <w:pStyle w:val="null3"/>
        <w:jc w:val="both"/>
      </w:pPr>
      <w:r>
        <w:rPr>
          <w:sz w:val="21"/>
        </w:rPr>
        <w:t>合同名称：</w:t>
      </w:r>
    </w:p>
    <w:p>
      <w:pPr>
        <w:pStyle w:val="null3"/>
        <w:jc w:val="both"/>
      </w:pPr>
      <w:r>
        <w:rPr>
          <w:sz w:val="21"/>
        </w:rPr>
        <w:t>合同编号：</w:t>
      </w:r>
    </w:p>
    <w:p>
      <w:pPr>
        <w:pStyle w:val="null3"/>
        <w:jc w:val="both"/>
      </w:pPr>
      <w:r>
        <w:rPr>
          <w:sz w:val="21"/>
        </w:rPr>
        <w:t>签约地点：</w:t>
      </w:r>
    </w:p>
    <w:p>
      <w:pPr>
        <w:pStyle w:val="null3"/>
        <w:jc w:val="both"/>
      </w:pPr>
      <w:r>
        <w:rPr>
          <w:sz w:val="21"/>
        </w:rPr>
        <w:t>合同类别：货物</w:t>
      </w:r>
    </w:p>
    <w:p>
      <w:pPr>
        <w:pStyle w:val="null3"/>
        <w:jc w:val="both"/>
      </w:pPr>
      <w:r>
        <w:rPr>
          <w:sz w:val="21"/>
        </w:rPr>
        <w:t>签订日期：</w:t>
      </w:r>
    </w:p>
    <w:p>
      <w:pPr>
        <w:pStyle w:val="null3"/>
        <w:jc w:val="both"/>
      </w:pPr>
      <w:r>
        <w:rPr>
          <w:sz w:val="21"/>
        </w:rPr>
        <w:t>签订类型：单项合同</w:t>
      </w:r>
    </w:p>
    <w:p>
      <w:pPr>
        <w:pStyle w:val="null3"/>
        <w:jc w:val="both"/>
      </w:pPr>
      <w:r>
        <w:rPr>
          <w:sz w:val="21"/>
        </w:rPr>
        <w:t>合同范本：采购合同</w:t>
      </w:r>
    </w:p>
    <w:p>
      <w:pPr>
        <w:pStyle w:val="null3"/>
        <w:jc w:val="both"/>
      </w:pPr>
      <w:r>
        <w:rPr>
          <w:sz w:val="21"/>
        </w:rPr>
        <w:t>合同期限：</w:t>
      </w:r>
      <w:r>
        <w:rPr>
          <w:sz w:val="21"/>
        </w:rPr>
        <w:t>20</w:t>
      </w:r>
      <w:r>
        <w:rPr>
          <w:sz w:val="21"/>
        </w:rPr>
        <w:t>XX</w:t>
      </w:r>
      <w:r>
        <w:rPr>
          <w:sz w:val="21"/>
        </w:rPr>
        <w:t>年</w:t>
      </w:r>
      <w:r>
        <w:rPr>
          <w:sz w:val="21"/>
        </w:rPr>
        <w:t>XX</w:t>
      </w:r>
      <w:r>
        <w:rPr>
          <w:sz w:val="21"/>
        </w:rPr>
        <w:t>月</w:t>
      </w:r>
      <w:r>
        <w:rPr>
          <w:sz w:val="21"/>
        </w:rPr>
        <w:t>XX</w:t>
      </w:r>
      <w:r>
        <w:rPr>
          <w:sz w:val="21"/>
        </w:rPr>
        <w:t>日</w:t>
      </w:r>
      <w:r>
        <w:rPr>
          <w:sz w:val="21"/>
        </w:rPr>
        <w:t>至</w:t>
      </w:r>
      <w:r>
        <w:rPr>
          <w:sz w:val="21"/>
        </w:rPr>
        <w:t>20</w:t>
      </w:r>
      <w:r>
        <w:rPr>
          <w:sz w:val="21"/>
        </w:rPr>
        <w:t>XX</w:t>
      </w:r>
      <w:r>
        <w:rPr>
          <w:sz w:val="21"/>
        </w:rPr>
        <w:t>年</w:t>
      </w:r>
      <w:r>
        <w:rPr>
          <w:sz w:val="21"/>
        </w:rPr>
        <w:t>XX</w:t>
      </w:r>
      <w:r>
        <w:rPr>
          <w:sz w:val="21"/>
        </w:rPr>
        <w:t>月</w:t>
      </w:r>
      <w:r>
        <w:rPr>
          <w:sz w:val="21"/>
        </w:rPr>
        <w:t>XX</w:t>
      </w:r>
      <w:r>
        <w:rPr>
          <w:sz w:val="21"/>
        </w:rPr>
        <w:t>日</w:t>
      </w:r>
    </w:p>
    <w:p>
      <w:pPr>
        <w:pStyle w:val="null3"/>
        <w:jc w:val="both"/>
      </w:pPr>
      <w:r>
        <w:rPr>
          <w:sz w:val="21"/>
        </w:rPr>
        <w:t>是否包含涉密条款：否</w:t>
      </w:r>
    </w:p>
    <w:p>
      <w:pPr>
        <w:pStyle w:val="null3"/>
        <w:jc w:val="both"/>
      </w:pPr>
      <w:r>
        <w:rPr>
          <w:sz w:val="21"/>
        </w:rPr>
        <w:t>备注：</w:t>
      </w:r>
    </w:p>
    <w:p>
      <w:pPr>
        <w:pStyle w:val="null3"/>
        <w:jc w:val="both"/>
      </w:pPr>
      <w:r>
        <w:rPr>
          <w:sz w:val="21"/>
        </w:rPr>
        <w:t>甲方（采购人）：</w:t>
      </w:r>
      <w:r>
        <w:rPr>
          <w:sz w:val="21"/>
        </w:rPr>
        <w:t xml:space="preserve">                                </w:t>
      </w:r>
    </w:p>
    <w:p>
      <w:pPr>
        <w:pStyle w:val="null3"/>
        <w:jc w:val="both"/>
      </w:pPr>
      <w:r>
        <w:rPr>
          <w:sz w:val="21"/>
        </w:rPr>
        <w:t>乙方（中标供应商）：</w:t>
      </w:r>
      <w:r>
        <w:rPr>
          <w:sz w:val="21"/>
        </w:rPr>
        <w:t xml:space="preserve">                                </w:t>
      </w:r>
    </w:p>
    <w:p>
      <w:pPr>
        <w:pStyle w:val="null3"/>
        <w:jc w:val="both"/>
      </w:pPr>
      <w:r>
        <w:rPr>
          <w:sz w:val="21"/>
        </w:rPr>
        <w:t xml:space="preserve">    </w:t>
      </w:r>
      <w:r>
        <w:rPr>
          <w:sz w:val="21"/>
        </w:rPr>
        <w:t>根据《中华人民共和国政府采购法》、《中华人民共和国民法典》等相关法律法规及</w:t>
      </w:r>
      <w:r>
        <w:rPr>
          <w:sz w:val="21"/>
          <w:u w:val="single"/>
        </w:rPr>
        <w:t>广州市机电技师学院智能实训教学设备购置项目（</w:t>
      </w:r>
      <w:r>
        <w:rPr>
          <w:sz w:val="21"/>
          <w:u w:val="single"/>
        </w:rPr>
        <w:t>2026年）子项目3：VR技术研发实验室项目</w:t>
      </w:r>
      <w:r>
        <w:rPr>
          <w:sz w:val="21"/>
        </w:rPr>
        <w:t>招标文件（项目编号：</w:t>
      </w:r>
      <w:r>
        <w:rPr>
          <w:sz w:val="21"/>
        </w:rPr>
        <w:t>GZGK26D020A0020Z</w:t>
      </w:r>
      <w:r>
        <w:rPr>
          <w:sz w:val="21"/>
        </w:rPr>
        <w:t>）的要求，经双方协商，本着平等互利和诚实信用的原则，一致同意签订本合同。</w:t>
      </w:r>
    </w:p>
    <w:p>
      <w:pPr>
        <w:pStyle w:val="null3"/>
        <w:jc w:val="both"/>
      </w:pPr>
      <w:r>
        <w:rPr>
          <w:sz w:val="21"/>
          <w:b/>
        </w:rPr>
        <w:t>一、</w:t>
      </w:r>
      <w:r>
        <w:rPr>
          <w:sz w:val="21"/>
          <w:b/>
        </w:rPr>
        <w:t>合同采购内容</w:t>
      </w:r>
    </w:p>
    <w:tbl>
      <w:tblPr>
        <w:tblW w:w="0" w:type="auto"/>
        <w:tblBorders>
          <w:top w:val="none" w:color="000000" w:sz="4"/>
          <w:left w:val="none" w:color="000000" w:sz="4"/>
          <w:bottom w:val="none" w:color="000000" w:sz="4"/>
          <w:right w:val="none" w:color="000000" w:sz="4"/>
          <w:insideH w:val="none"/>
          <w:insideV w:val="none"/>
        </w:tblBorders>
      </w:tblPr>
      <w:tblGrid>
        <w:gridCol w:w="791"/>
        <w:gridCol w:w="869"/>
        <w:gridCol w:w="829"/>
        <w:gridCol w:w="829"/>
        <w:gridCol w:w="829"/>
        <w:gridCol w:w="829"/>
        <w:gridCol w:w="831"/>
        <w:gridCol w:w="831"/>
        <w:gridCol w:w="832"/>
        <w:gridCol w:w="832"/>
      </w:tblGrid>
      <w:tr>
        <w:tc>
          <w:tcPr>
            <w:tcW w:type="dxa" w:w="7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8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标的名称</w:t>
            </w:r>
          </w:p>
        </w:tc>
        <w:tc>
          <w:tcPr>
            <w:tcW w:type="dxa" w:w="8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品目编码</w:t>
            </w:r>
          </w:p>
        </w:tc>
        <w:tc>
          <w:tcPr>
            <w:tcW w:type="dxa" w:w="8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技术要求</w:t>
            </w:r>
          </w:p>
        </w:tc>
        <w:tc>
          <w:tcPr>
            <w:tcW w:type="dxa" w:w="8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w:t>
            </w:r>
          </w:p>
        </w:tc>
        <w:tc>
          <w:tcPr>
            <w:tcW w:type="dxa" w:w="8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规格参数</w:t>
            </w:r>
          </w:p>
        </w:tc>
        <w:tc>
          <w:tcPr>
            <w:tcW w:type="dxa" w:w="8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采购数量</w:t>
            </w:r>
          </w:p>
        </w:tc>
        <w:tc>
          <w:tcPr>
            <w:tcW w:type="dxa" w:w="8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计量单位</w:t>
            </w:r>
          </w:p>
        </w:tc>
        <w:tc>
          <w:tcPr>
            <w:tcW w:type="dxa" w:w="8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8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总价（元）</w:t>
            </w: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35"/>
              <w:jc w:val="center"/>
            </w:pPr>
            <w:r>
              <w:rPr>
                <w:sz w:val="21"/>
              </w:rPr>
              <w:t>1</w:t>
            </w:r>
          </w:p>
        </w:tc>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详见合同文本</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合计金额人民币（大写）：</w:t>
      </w:r>
      <w:r>
        <w:rPr>
          <w:sz w:val="21"/>
          <w:u w:val="single"/>
        </w:rPr>
        <w:t xml:space="preserve">                     </w:t>
      </w:r>
      <w:r>
        <w:rPr>
          <w:sz w:val="21"/>
        </w:rPr>
        <w:t>（￥</w:t>
      </w:r>
      <w:r>
        <w:rPr>
          <w:sz w:val="21"/>
          <w:u w:val="single"/>
        </w:rPr>
        <w:t xml:space="preserve">                </w:t>
      </w:r>
      <w:r>
        <w:rPr>
          <w:sz w:val="21"/>
        </w:rPr>
        <w:t>)</w:t>
      </w:r>
    </w:p>
    <w:p>
      <w:pPr>
        <w:pStyle w:val="null3"/>
        <w:ind w:firstLine="413"/>
        <w:jc w:val="both"/>
      </w:pPr>
      <w:r>
        <w:rPr>
          <w:sz w:val="21"/>
          <w:b/>
        </w:rPr>
        <w:t>注：货物名称内容必须与投标文件中货物名称内容一致。</w:t>
      </w:r>
    </w:p>
    <w:p>
      <w:pPr>
        <w:pStyle w:val="null3"/>
        <w:ind w:firstLine="420"/>
        <w:jc w:val="both"/>
      </w:pPr>
      <w:r>
        <w:rPr>
          <w:sz w:val="21"/>
        </w:rPr>
        <w:t>合同总额包括货款、设计、安装、随机零配件、标配工具、运输保险、</w:t>
      </w:r>
      <w:r>
        <w:rPr>
          <w:sz w:val="21"/>
        </w:rPr>
        <w:t>调试、验收、培训、</w:t>
      </w:r>
      <w:r>
        <w:rPr>
          <w:sz w:val="21"/>
        </w:rPr>
        <w:t>质量保证期服务、各项税费及合同实施过程中不可预见费用等。</w:t>
      </w:r>
    </w:p>
    <w:p>
      <w:pPr>
        <w:pStyle w:val="null3"/>
        <w:jc w:val="both"/>
      </w:pPr>
      <w:r>
        <w:rPr>
          <w:sz w:val="21"/>
          <w:b/>
        </w:rPr>
        <w:t>二、</w:t>
      </w:r>
      <w:r>
        <w:rPr>
          <w:sz w:val="21"/>
          <w:b/>
        </w:rPr>
        <w:t>合同金额</w:t>
      </w:r>
    </w:p>
    <w:p>
      <w:pPr>
        <w:pStyle w:val="null3"/>
        <w:ind w:left="825"/>
        <w:jc w:val="both"/>
      </w:pPr>
      <w:r>
        <w:rPr>
          <w:sz w:val="21"/>
        </w:rPr>
        <w:t>合同总金额：小写：￥</w:t>
      </w:r>
      <w:r>
        <w:rPr>
          <w:sz w:val="21"/>
          <w:u w:val="single"/>
        </w:rPr>
        <w:t xml:space="preserve">                  </w:t>
      </w:r>
      <w:r>
        <w:rPr>
          <w:sz w:val="21"/>
        </w:rPr>
        <w:t>；</w:t>
      </w:r>
      <w:r>
        <w:rPr>
          <w:sz w:val="21"/>
        </w:rPr>
        <w:t>大写：人民币</w:t>
      </w:r>
      <w:r>
        <w:rPr>
          <w:sz w:val="21"/>
          <w:u w:val="single"/>
        </w:rPr>
        <w:t xml:space="preserve">             </w:t>
      </w:r>
      <w:r>
        <w:rPr>
          <w:sz w:val="21"/>
        </w:rPr>
        <w:t>。</w:t>
      </w:r>
    </w:p>
    <w:p>
      <w:pPr>
        <w:pStyle w:val="null3"/>
        <w:jc w:val="both"/>
      </w:pPr>
      <w:r>
        <w:rPr>
          <w:sz w:val="21"/>
          <w:b/>
        </w:rPr>
        <w:t>三、</w:t>
      </w:r>
      <w:r>
        <w:rPr>
          <w:sz w:val="21"/>
          <w:b/>
        </w:rPr>
        <w:t>设备要求</w:t>
      </w:r>
    </w:p>
    <w:p>
      <w:pPr>
        <w:pStyle w:val="null3"/>
        <w:ind w:left="570"/>
        <w:jc w:val="both"/>
      </w:pPr>
      <w:r>
        <w:rPr>
          <w:sz w:val="21"/>
        </w:rPr>
        <w:t>1、</w:t>
      </w:r>
      <w:r>
        <w:rPr>
          <w:sz w:val="21"/>
        </w:rPr>
        <w:t>乙方提供的货物必须符合中华人民共和国</w:t>
      </w:r>
      <w:r>
        <w:rPr>
          <w:sz w:val="21"/>
        </w:rPr>
        <w:t>“国家安全环保标准”。</w:t>
      </w:r>
    </w:p>
    <w:p>
      <w:pPr>
        <w:pStyle w:val="null3"/>
        <w:ind w:left="570"/>
        <w:jc w:val="both"/>
      </w:pPr>
      <w:r>
        <w:rPr>
          <w:sz w:val="21"/>
        </w:rPr>
        <w:t>2、</w:t>
      </w:r>
      <w:r>
        <w:rPr>
          <w:sz w:val="21"/>
        </w:rPr>
        <w:t>货物为原制造商制造的全新产品（含零部件、配件、随机工具等），整机无污染，无侵权行为、表面无划损、无任何缺陷隐患、无碰撞、配件齐全，完全符合国家有关质量标准，并附有产品质量检验合格证书，在中国境内可依常规安全合法使用。</w:t>
      </w:r>
    </w:p>
    <w:p>
      <w:pPr>
        <w:pStyle w:val="null3"/>
        <w:ind w:left="570"/>
        <w:jc w:val="both"/>
      </w:pPr>
      <w:r>
        <w:rPr>
          <w:sz w:val="21"/>
        </w:rPr>
        <w:t>3、</w:t>
      </w:r>
      <w:r>
        <w:rPr>
          <w:sz w:val="21"/>
        </w:rPr>
        <w:t>货物为原厂商未启封全新包装，具出厂合格证，序列号、包装箱号与出厂批号一致，并可</w:t>
      </w:r>
      <w:r>
        <w:rPr>
          <w:sz w:val="21"/>
        </w:rPr>
        <w:t>追溯</w:t>
      </w:r>
      <w:r>
        <w:rPr>
          <w:sz w:val="21"/>
        </w:rPr>
        <w:t>查阅。</w:t>
      </w:r>
    </w:p>
    <w:p>
      <w:pPr>
        <w:pStyle w:val="null3"/>
        <w:ind w:left="570"/>
        <w:jc w:val="both"/>
      </w:pPr>
      <w:r>
        <w:rPr>
          <w:sz w:val="21"/>
        </w:rPr>
        <w:t>4、</w:t>
      </w:r>
      <w:r>
        <w:rPr>
          <w:sz w:val="21"/>
        </w:rPr>
        <w:t>乙方应将关键主机设备的用户手册、保修手册、有关单证资料及配备件、随机工具等交付给甲方，使用操作及安全须知等重要资料应附有中文说明。</w:t>
      </w:r>
    </w:p>
    <w:p>
      <w:pPr>
        <w:pStyle w:val="null3"/>
        <w:ind w:left="570"/>
        <w:jc w:val="both"/>
      </w:pPr>
      <w:r>
        <w:rPr>
          <w:sz w:val="21"/>
        </w:rPr>
        <w:t>5、</w:t>
      </w:r>
      <w:r>
        <w:rPr>
          <w:sz w:val="21"/>
        </w:rPr>
        <w:t>如果发现货物的质量和规格与合同规定不符或货物在质量保证期内被证明有缺陷，包括内在缺陷或使用不适当原材料，甲方将有权要求有关部门进行检验，并依据检验证书向乙方索赔。</w:t>
      </w:r>
    </w:p>
    <w:p>
      <w:pPr>
        <w:pStyle w:val="null3"/>
        <w:jc w:val="both"/>
      </w:pPr>
      <w:r>
        <w:rPr>
          <w:sz w:val="21"/>
          <w:b/>
        </w:rPr>
        <w:t>四、</w:t>
      </w:r>
      <w:r>
        <w:rPr>
          <w:sz w:val="21"/>
          <w:b/>
        </w:rPr>
        <w:t>知识产权</w:t>
      </w:r>
    </w:p>
    <w:p>
      <w:pPr>
        <w:pStyle w:val="null3"/>
        <w:ind w:left="570"/>
        <w:jc w:val="both"/>
      </w:pPr>
      <w:r>
        <w:rPr>
          <w:sz w:val="21"/>
        </w:rPr>
        <w:t>1、</w:t>
      </w:r>
      <w:r>
        <w:rPr>
          <w:sz w:val="21"/>
        </w:rPr>
        <w:t>乙方保证合同项下提供的货物不侵犯任何第三方的专利权、商标权或其它知识产权。否则，乙方须承担对第三方的专利权、商标权或其它知识产权的侵权责任并承担因此而发生的所有费用及给甲方造成的损失。</w:t>
      </w:r>
    </w:p>
    <w:p>
      <w:pPr>
        <w:pStyle w:val="null3"/>
        <w:jc w:val="both"/>
      </w:pPr>
      <w:r>
        <w:rPr>
          <w:sz w:val="21"/>
          <w:b/>
        </w:rPr>
        <w:t>五、</w:t>
      </w:r>
      <w:r>
        <w:rPr>
          <w:sz w:val="21"/>
          <w:b/>
        </w:rPr>
        <w:t>交付时间、地点、方式</w:t>
      </w:r>
    </w:p>
    <w:p>
      <w:pPr>
        <w:pStyle w:val="null3"/>
        <w:ind w:left="570"/>
        <w:jc w:val="both"/>
      </w:pPr>
      <w:r>
        <w:rPr>
          <w:sz w:val="21"/>
        </w:rPr>
        <w:t>1、</w:t>
      </w:r>
      <w:r>
        <w:rPr>
          <w:sz w:val="21"/>
        </w:rPr>
        <w:t>交付时间：（按采购需求要求）</w:t>
      </w:r>
    </w:p>
    <w:p>
      <w:pPr>
        <w:pStyle w:val="null3"/>
        <w:ind w:left="570"/>
        <w:jc w:val="both"/>
      </w:pPr>
      <w:r>
        <w:rPr>
          <w:sz w:val="21"/>
        </w:rPr>
        <w:t>2、</w:t>
      </w:r>
      <w:r>
        <w:rPr>
          <w:sz w:val="21"/>
        </w:rPr>
        <w:t>交付地点：甲方指定地点</w:t>
      </w:r>
    </w:p>
    <w:p>
      <w:pPr>
        <w:pStyle w:val="null3"/>
        <w:ind w:left="570"/>
        <w:jc w:val="both"/>
      </w:pPr>
      <w:r>
        <w:rPr>
          <w:sz w:val="21"/>
        </w:rPr>
        <w:t>3、</w:t>
      </w:r>
      <w:r>
        <w:rPr>
          <w:sz w:val="21"/>
        </w:rPr>
        <w:t>交付条件：项目验收通过</w:t>
      </w:r>
    </w:p>
    <w:p>
      <w:pPr>
        <w:pStyle w:val="null3"/>
        <w:ind w:left="570"/>
        <w:jc w:val="both"/>
      </w:pPr>
      <w:r>
        <w:rPr>
          <w:sz w:val="21"/>
        </w:rPr>
        <w:t>4、</w:t>
      </w:r>
      <w:r>
        <w:rPr>
          <w:sz w:val="21"/>
        </w:rPr>
        <w:t>甲方联系人及联系电话：</w:t>
      </w:r>
    </w:p>
    <w:p>
      <w:pPr>
        <w:pStyle w:val="null3"/>
        <w:ind w:left="570"/>
        <w:jc w:val="both"/>
      </w:pPr>
      <w:r>
        <w:rPr>
          <w:sz w:val="21"/>
        </w:rPr>
        <w:t>5、</w:t>
      </w:r>
      <w:r>
        <w:rPr>
          <w:sz w:val="21"/>
        </w:rPr>
        <w:t>乙方联系人及联系电话：</w:t>
      </w:r>
    </w:p>
    <w:p>
      <w:pPr>
        <w:pStyle w:val="null3"/>
        <w:jc w:val="both"/>
      </w:pPr>
      <w:r>
        <w:rPr>
          <w:sz w:val="21"/>
          <w:b/>
        </w:rPr>
        <w:t>六、</w:t>
      </w:r>
      <w:r>
        <w:rPr>
          <w:sz w:val="21"/>
          <w:b/>
        </w:rPr>
        <w:t>付款方式、时间及付款条件</w:t>
      </w:r>
    </w:p>
    <w:p>
      <w:pPr>
        <w:pStyle w:val="null3"/>
        <w:ind w:firstLine="411"/>
        <w:jc w:val="both"/>
      </w:pPr>
      <w:r>
        <w:rPr>
          <w:sz w:val="21"/>
        </w:rPr>
        <w:t>付款时间及条件：（按照采购需求要求的付款方式）</w:t>
      </w:r>
    </w:p>
    <w:p>
      <w:pPr>
        <w:pStyle w:val="null3"/>
        <w:ind w:firstLine="411"/>
        <w:jc w:val="both"/>
      </w:pPr>
      <w:r>
        <w:rPr>
          <w:sz w:val="21"/>
        </w:rPr>
        <w:t>付款方式：</w:t>
      </w:r>
    </w:p>
    <w:p>
      <w:pPr>
        <w:pStyle w:val="null3"/>
        <w:jc w:val="both"/>
      </w:pPr>
      <w:r>
        <w:rPr>
          <w:sz w:val="21"/>
          <w:b/>
        </w:rPr>
        <w:t>七、</w:t>
      </w:r>
      <w:r>
        <w:rPr>
          <w:sz w:val="21"/>
          <w:b/>
        </w:rPr>
        <w:t>培训、质量保证期及售后服务要求</w:t>
      </w:r>
    </w:p>
    <w:p>
      <w:pPr>
        <w:pStyle w:val="null3"/>
        <w:ind w:left="570"/>
        <w:jc w:val="both"/>
      </w:pPr>
      <w:r>
        <w:rPr>
          <w:sz w:val="21"/>
        </w:rPr>
        <w:t>1、</w:t>
      </w:r>
      <w:r>
        <w:rPr>
          <w:sz w:val="21"/>
        </w:rPr>
        <w:t>乙方负责甲方使用人员的使用操作技术及维护技术的培训。</w:t>
      </w:r>
    </w:p>
    <w:p>
      <w:pPr>
        <w:pStyle w:val="null3"/>
        <w:ind w:left="570"/>
        <w:jc w:val="both"/>
      </w:pPr>
      <w:r>
        <w:rPr>
          <w:sz w:val="21"/>
        </w:rPr>
        <w:t>2、</w:t>
      </w:r>
      <w:r>
        <w:rPr>
          <w:sz w:val="21"/>
        </w:rPr>
        <w:t>本合同的质量保证期（简称</w:t>
      </w:r>
      <w:r>
        <w:rPr>
          <w:sz w:val="21"/>
        </w:rPr>
        <w:t>“质量保证期”）为</w:t>
      </w:r>
      <w:r>
        <w:rPr>
          <w:sz w:val="21"/>
          <w:u w:val="single"/>
        </w:rPr>
        <w:t xml:space="preserve">    </w:t>
      </w:r>
      <w:r>
        <w:rPr>
          <w:sz w:val="21"/>
        </w:rPr>
        <w:t>年，自甲乙双方代表在货物安装调试验收后的验收书上签字之日起计算。质量保证期内乙方对所供货物实行包修、包换、包退、包维护保养，</w:t>
      </w:r>
      <w:r>
        <w:rPr>
          <w:sz w:val="21"/>
        </w:rPr>
        <w:t>保修期后设备维修配件更换只收取成本费用。</w:t>
      </w:r>
    </w:p>
    <w:p>
      <w:pPr>
        <w:pStyle w:val="null3"/>
        <w:ind w:left="570"/>
        <w:jc w:val="both"/>
      </w:pPr>
      <w:r>
        <w:rPr>
          <w:sz w:val="21"/>
        </w:rPr>
        <w:t>3、</w:t>
      </w:r>
      <w:r>
        <w:rPr>
          <w:sz w:val="21"/>
        </w:rPr>
        <w:t>质量保证期内，如设备或零部件因非人为因素出现故障而造成短期停用时，则质量保证期相应顺延。如停用时间累计超过</w:t>
      </w:r>
      <w:r>
        <w:rPr>
          <w:sz w:val="21"/>
        </w:rPr>
        <w:t>60天则质量保证期重新计算。</w:t>
      </w:r>
    </w:p>
    <w:p>
      <w:pPr>
        <w:pStyle w:val="null3"/>
        <w:ind w:left="570"/>
        <w:jc w:val="both"/>
      </w:pPr>
      <w:r>
        <w:rPr>
          <w:sz w:val="21"/>
        </w:rPr>
        <w:t>4、</w:t>
      </w:r>
      <w:r>
        <w:rPr>
          <w:sz w:val="21"/>
        </w:rPr>
        <w:t>在质量保证期内，如货品非因甲方的人为原因而出现的问题由乙方负责保修、包换或包退，并承担修理、调换或退货的实际费用。</w:t>
      </w:r>
    </w:p>
    <w:p>
      <w:pPr>
        <w:pStyle w:val="null3"/>
        <w:ind w:left="570"/>
        <w:jc w:val="both"/>
      </w:pPr>
      <w:r>
        <w:rPr>
          <w:sz w:val="21"/>
        </w:rPr>
        <w:t>5、</w:t>
      </w:r>
      <w:r>
        <w:rPr>
          <w:sz w:val="21"/>
        </w:rPr>
        <w:t>质量保证期内，乙方负责对其提供的货物整机进行维修和系统维护，不再收取任何费用，但非乙方责任的人为因素、自然因素（如火灾、雷击等）造成的故障除外。</w:t>
      </w:r>
    </w:p>
    <w:p>
      <w:pPr>
        <w:pStyle w:val="null3"/>
        <w:ind w:left="570"/>
        <w:jc w:val="both"/>
      </w:pPr>
      <w:r>
        <w:rPr>
          <w:sz w:val="21"/>
        </w:rPr>
        <w:t>6、</w:t>
      </w:r>
      <w:r>
        <w:rPr>
          <w:sz w:val="21"/>
        </w:rPr>
        <w:t>对甲方的服务通知，乙方在接报后</w:t>
      </w:r>
      <w:r>
        <w:rPr>
          <w:sz w:val="21"/>
          <w:u w:val="single"/>
        </w:rPr>
        <w:t xml:space="preserve">   </w:t>
      </w:r>
      <w:r>
        <w:rPr>
          <w:sz w:val="21"/>
        </w:rPr>
        <w:t>小时内响应，</w:t>
      </w:r>
      <w:r>
        <w:rPr>
          <w:sz w:val="21"/>
          <w:u w:val="single"/>
        </w:rPr>
        <w:t xml:space="preserve">   </w:t>
      </w:r>
      <w:r>
        <w:rPr>
          <w:sz w:val="21"/>
        </w:rPr>
        <w:t>小时内到达现场，</w:t>
      </w:r>
      <w:r>
        <w:rPr>
          <w:sz w:val="21"/>
          <w:u w:val="single"/>
        </w:rPr>
        <w:t xml:space="preserve">   </w:t>
      </w:r>
      <w:r>
        <w:rPr>
          <w:sz w:val="21"/>
        </w:rPr>
        <w:t>小时内处理完毕。若在</w:t>
      </w:r>
      <w:r>
        <w:rPr>
          <w:sz w:val="21"/>
          <w:u w:val="single"/>
        </w:rPr>
        <w:t xml:space="preserve">   </w:t>
      </w:r>
      <w:r>
        <w:rPr>
          <w:sz w:val="21"/>
        </w:rPr>
        <w:t>小时内仍未能有效解决，乙方须提供同一档次的设备予甲方临时使用。</w:t>
      </w:r>
    </w:p>
    <w:p>
      <w:pPr>
        <w:pStyle w:val="null3"/>
        <w:ind w:left="570"/>
        <w:jc w:val="both"/>
      </w:pPr>
      <w:r>
        <w:rPr>
          <w:sz w:val="21"/>
        </w:rPr>
        <w:t>7、</w:t>
      </w:r>
      <w:r>
        <w:rPr>
          <w:sz w:val="21"/>
        </w:rPr>
        <w:t>质量保证期间，同一硬件一个月内连续</w:t>
      </w:r>
      <w:r>
        <w:rPr>
          <w:sz w:val="21"/>
        </w:rPr>
        <w:t>2次出现同一故障，乙方须无偿更换同一档次货物。</w:t>
      </w:r>
    </w:p>
    <w:p>
      <w:pPr>
        <w:pStyle w:val="null3"/>
        <w:ind w:left="570"/>
        <w:jc w:val="both"/>
      </w:pPr>
      <w:r>
        <w:rPr>
          <w:sz w:val="21"/>
        </w:rPr>
        <w:t>8、</w:t>
      </w:r>
      <w:r>
        <w:rPr>
          <w:sz w:val="21"/>
        </w:rPr>
        <w:t>负责售后服务维修的单位名称（如有）：</w:t>
      </w:r>
      <w:r>
        <w:rPr>
          <w:sz w:val="21"/>
          <w:u w:val="single"/>
        </w:rPr>
        <w:t xml:space="preserve">                       </w:t>
      </w:r>
    </w:p>
    <w:p>
      <w:pPr>
        <w:pStyle w:val="null3"/>
        <w:ind w:firstLine="630"/>
        <w:jc w:val="both"/>
      </w:pPr>
      <w:r>
        <w:rPr>
          <w:sz w:val="21"/>
        </w:rPr>
        <w:t>地址：</w:t>
      </w:r>
      <w:r>
        <w:rPr>
          <w:sz w:val="21"/>
          <w:u w:val="single"/>
        </w:rPr>
        <w:t xml:space="preserve">                                       </w:t>
      </w:r>
    </w:p>
    <w:p>
      <w:pPr>
        <w:pStyle w:val="null3"/>
        <w:ind w:firstLine="630"/>
        <w:jc w:val="both"/>
      </w:pPr>
      <w:r>
        <w:rPr>
          <w:sz w:val="21"/>
        </w:rPr>
        <w:t>联系人：</w:t>
      </w:r>
      <w:r>
        <w:rPr>
          <w:sz w:val="21"/>
          <w:u w:val="single"/>
        </w:rPr>
        <w:t xml:space="preserve">                                     </w:t>
      </w:r>
    </w:p>
    <w:p>
      <w:pPr>
        <w:pStyle w:val="null3"/>
        <w:ind w:firstLine="630"/>
        <w:jc w:val="both"/>
      </w:pPr>
      <w:r>
        <w:rPr>
          <w:sz w:val="21"/>
        </w:rPr>
        <w:t>联系电话</w:t>
      </w:r>
      <w:r>
        <w:rPr>
          <w:sz w:val="21"/>
          <w:u w:val="single"/>
        </w:rPr>
        <w:t xml:space="preserve">                                     </w:t>
      </w:r>
    </w:p>
    <w:p>
      <w:pPr>
        <w:pStyle w:val="null3"/>
        <w:ind w:firstLine="630"/>
        <w:jc w:val="both"/>
      </w:pPr>
      <w:r>
        <w:rPr>
          <w:sz w:val="21"/>
        </w:rPr>
        <w:t>手机号码：</w:t>
      </w:r>
      <w:r>
        <w:rPr>
          <w:sz w:val="21"/>
          <w:u w:val="single"/>
        </w:rPr>
        <w:t xml:space="preserve">                                   </w:t>
      </w:r>
    </w:p>
    <w:p>
      <w:pPr>
        <w:pStyle w:val="null3"/>
        <w:ind w:firstLine="630"/>
        <w:jc w:val="both"/>
      </w:pPr>
      <w:r>
        <w:rPr>
          <w:sz w:val="21"/>
        </w:rPr>
        <w:t>传真号码：</w:t>
      </w:r>
      <w:r>
        <w:rPr>
          <w:sz w:val="21"/>
          <w:u w:val="single"/>
        </w:rPr>
        <w:t xml:space="preserve">                                   </w:t>
      </w:r>
    </w:p>
    <w:p>
      <w:pPr>
        <w:pStyle w:val="null3"/>
        <w:jc w:val="both"/>
      </w:pPr>
      <w:r>
        <w:rPr>
          <w:sz w:val="21"/>
          <w:b/>
        </w:rPr>
        <w:t>八、</w:t>
      </w:r>
      <w:r>
        <w:rPr>
          <w:sz w:val="21"/>
          <w:b/>
        </w:rPr>
        <w:t>包装、到货检验、</w:t>
      </w:r>
      <w:r>
        <w:rPr>
          <w:sz w:val="21"/>
          <w:b/>
        </w:rPr>
        <w:t>安装与调试</w:t>
      </w:r>
      <w:r>
        <w:rPr>
          <w:sz w:val="21"/>
        </w:rPr>
        <w:t>:</w:t>
      </w:r>
    </w:p>
    <w:p>
      <w:pPr>
        <w:pStyle w:val="null3"/>
        <w:ind w:left="570"/>
        <w:jc w:val="both"/>
      </w:pPr>
      <w:r>
        <w:rPr>
          <w:sz w:val="21"/>
        </w:rPr>
        <w:t>1、</w:t>
      </w:r>
      <w:r>
        <w:rPr>
          <w:sz w:val="21"/>
        </w:rPr>
        <w:t>合同货物的包装：货物的包装均应有良好的防湿、防锈、防潮、防雨、防腐及防碰撞的措施。凡由于包装不良造成的损失和由此产生的费用均由乙方承担。</w:t>
      </w:r>
    </w:p>
    <w:p>
      <w:pPr>
        <w:pStyle w:val="null3"/>
        <w:ind w:left="570"/>
        <w:jc w:val="both"/>
      </w:pPr>
      <w:r>
        <w:rPr>
          <w:sz w:val="21"/>
        </w:rPr>
        <w:t>2、</w:t>
      </w:r>
      <w:r>
        <w:rPr>
          <w:sz w:val="21"/>
        </w:rPr>
        <w:t>到货检验</w:t>
      </w:r>
    </w:p>
    <w:p>
      <w:pPr>
        <w:pStyle w:val="null3"/>
        <w:ind w:left="1140"/>
        <w:jc w:val="both"/>
      </w:pPr>
      <w:r>
        <w:rPr>
          <w:sz w:val="21"/>
        </w:rPr>
        <w:t>（</w:t>
      </w:r>
      <w:r>
        <w:rPr>
          <w:sz w:val="21"/>
        </w:rPr>
        <w:t>1）</w:t>
      </w:r>
      <w:r>
        <w:rPr>
          <w:sz w:val="21"/>
        </w:rPr>
        <w:t>货物的到货验收包括：型号、规格、数量、外观质量及货物包装完整无破损，在货物抵达交货目的地后，甲乙双方就货物外观质量、规格和型号进行初步检验。货物为原厂商未启封全新包装，具出厂合格证，序列号、包装箱号与出厂批号一致，并可</w:t>
      </w:r>
      <w:r>
        <w:rPr>
          <w:sz w:val="21"/>
        </w:rPr>
        <w:t>追溯</w:t>
      </w:r>
      <w:r>
        <w:rPr>
          <w:sz w:val="21"/>
        </w:rPr>
        <w:t>查阅。所有随货物的附件必须齐全。如果发现到货的外观质量、规格和型号与合同不符，甲方有权拒收货物，并可向乙方索赔。</w:t>
      </w:r>
    </w:p>
    <w:p>
      <w:pPr>
        <w:pStyle w:val="null3"/>
        <w:ind w:left="1140"/>
        <w:jc w:val="both"/>
      </w:pPr>
      <w:r>
        <w:rPr>
          <w:sz w:val="21"/>
        </w:rPr>
        <w:t>（</w:t>
      </w:r>
      <w:r>
        <w:rPr>
          <w:sz w:val="21"/>
        </w:rPr>
        <w:t>2）</w:t>
      </w:r>
      <w:r>
        <w:rPr>
          <w:sz w:val="21"/>
        </w:rPr>
        <w:t>货物送到甲方指定场地后，甲、乙双方同时在场时才能开封检验。</w:t>
      </w:r>
    </w:p>
    <w:p>
      <w:pPr>
        <w:pStyle w:val="null3"/>
        <w:ind w:left="570"/>
        <w:jc w:val="both"/>
      </w:pPr>
      <w:r>
        <w:rPr>
          <w:sz w:val="21"/>
        </w:rPr>
        <w:t>3、</w:t>
      </w:r>
      <w:r>
        <w:rPr>
          <w:sz w:val="21"/>
        </w:rPr>
        <w:t>合同货物的安装调试：</w:t>
      </w:r>
    </w:p>
    <w:p>
      <w:pPr>
        <w:pStyle w:val="null3"/>
        <w:ind w:left="1140"/>
        <w:jc w:val="both"/>
      </w:pPr>
      <w:r>
        <w:rPr>
          <w:sz w:val="21"/>
        </w:rPr>
        <w:t>（</w:t>
      </w:r>
      <w:r>
        <w:rPr>
          <w:sz w:val="21"/>
        </w:rPr>
        <w:t>1）</w:t>
      </w:r>
      <w:r>
        <w:rPr>
          <w:sz w:val="21"/>
        </w:rPr>
        <w:t>除非甲方另有通知，乙方应按照合同的要求以及合同执行计划的时间安排，派出足够的人员进行现场安装和负责调试工作。</w:t>
      </w:r>
    </w:p>
    <w:p>
      <w:pPr>
        <w:pStyle w:val="null3"/>
        <w:ind w:left="1140"/>
        <w:jc w:val="both"/>
      </w:pPr>
      <w:r>
        <w:rPr>
          <w:sz w:val="21"/>
        </w:rPr>
        <w:t>（</w:t>
      </w:r>
      <w:r>
        <w:rPr>
          <w:sz w:val="21"/>
        </w:rPr>
        <w:t>2）</w:t>
      </w:r>
      <w:r>
        <w:rPr>
          <w:sz w:val="21"/>
        </w:rPr>
        <w:t>乙方必须依照招标文件的要求和投标文件的承诺，将设备、系统安装并调试至正常运行的最佳状态。</w:t>
      </w:r>
    </w:p>
    <w:p>
      <w:pPr>
        <w:pStyle w:val="null3"/>
        <w:ind w:left="1140"/>
        <w:jc w:val="both"/>
      </w:pPr>
      <w:r>
        <w:rPr>
          <w:sz w:val="21"/>
        </w:rPr>
        <w:t>（</w:t>
      </w:r>
      <w:r>
        <w:rPr>
          <w:sz w:val="21"/>
        </w:rPr>
        <w:t>3）</w:t>
      </w:r>
      <w:r>
        <w:rPr>
          <w:sz w:val="21"/>
        </w:rPr>
        <w:t>合同项下的安装调试所发生费用及耗材由乙方承担。</w:t>
      </w:r>
    </w:p>
    <w:p>
      <w:pPr>
        <w:pStyle w:val="null3"/>
        <w:ind w:left="1140"/>
        <w:jc w:val="both"/>
      </w:pPr>
      <w:r>
        <w:rPr>
          <w:sz w:val="21"/>
        </w:rPr>
        <w:t>（</w:t>
      </w:r>
      <w:r>
        <w:rPr>
          <w:sz w:val="21"/>
        </w:rPr>
        <w:t>4）</w:t>
      </w:r>
      <w:r>
        <w:rPr>
          <w:sz w:val="21"/>
        </w:rPr>
        <w:t>乙方安装时须对各安装场地内的其它货物、设施有良好保护措施。</w:t>
      </w:r>
    </w:p>
    <w:p>
      <w:pPr>
        <w:pStyle w:val="null3"/>
        <w:jc w:val="both"/>
      </w:pPr>
      <w:r>
        <w:rPr>
          <w:sz w:val="21"/>
          <w:b/>
        </w:rPr>
        <w:t>九、</w:t>
      </w:r>
      <w:r>
        <w:rPr>
          <w:sz w:val="21"/>
          <w:b/>
        </w:rPr>
        <w:t>验收：</w:t>
      </w:r>
    </w:p>
    <w:p>
      <w:pPr>
        <w:pStyle w:val="null3"/>
        <w:ind w:left="570"/>
        <w:jc w:val="both"/>
      </w:pPr>
      <w:r>
        <w:rPr>
          <w:sz w:val="21"/>
        </w:rPr>
        <w:t>1、</w:t>
      </w:r>
      <w:r>
        <w:rPr>
          <w:sz w:val="21"/>
        </w:rPr>
        <w:t>甲方按照采购合同规定的技术、服务、安全标准组织对乙方履约情况进行验收，并出具验收书。验收书应当包括每一项技术、服务、安全标准的履约情况。</w:t>
      </w:r>
    </w:p>
    <w:p>
      <w:pPr>
        <w:pStyle w:val="null3"/>
        <w:ind w:left="570"/>
        <w:jc w:val="both"/>
      </w:pPr>
      <w:r>
        <w:rPr>
          <w:sz w:val="21"/>
        </w:rPr>
        <w:t>2、</w:t>
      </w:r>
      <w:r>
        <w:rPr>
          <w:sz w:val="21"/>
        </w:rPr>
        <w:t>交付验收标准依次序对照适用标准为：</w:t>
      </w:r>
    </w:p>
    <w:p>
      <w:pPr>
        <w:pStyle w:val="null3"/>
        <w:ind w:left="1140"/>
        <w:jc w:val="both"/>
      </w:pPr>
      <w:r>
        <w:rPr>
          <w:sz w:val="21"/>
        </w:rPr>
        <w:t>（</w:t>
      </w:r>
      <w:r>
        <w:rPr>
          <w:sz w:val="21"/>
        </w:rPr>
        <w:t>1）</w:t>
      </w:r>
      <w:r>
        <w:rPr>
          <w:sz w:val="21"/>
        </w:rPr>
        <w:t>符合中华人民共和国</w:t>
      </w:r>
      <w:r>
        <w:rPr>
          <w:sz w:val="21"/>
        </w:rPr>
        <w:t>“国家安全质量标准、环保标准或行业标准”；</w:t>
      </w:r>
    </w:p>
    <w:p>
      <w:pPr>
        <w:pStyle w:val="null3"/>
        <w:ind w:left="1140"/>
        <w:jc w:val="both"/>
      </w:pPr>
      <w:r>
        <w:rPr>
          <w:sz w:val="21"/>
        </w:rPr>
        <w:t>（</w:t>
      </w:r>
      <w:r>
        <w:rPr>
          <w:sz w:val="21"/>
        </w:rPr>
        <w:t>2）</w:t>
      </w:r>
      <w:r>
        <w:rPr>
          <w:sz w:val="21"/>
        </w:rPr>
        <w:t>符合招标文件和投标承诺中甲方认可的合理最佳配置、参数及各项要求；</w:t>
      </w:r>
    </w:p>
    <w:p>
      <w:pPr>
        <w:pStyle w:val="null3"/>
        <w:ind w:left="1140"/>
        <w:jc w:val="both"/>
      </w:pPr>
      <w:r>
        <w:rPr>
          <w:sz w:val="21"/>
        </w:rPr>
        <w:t>（</w:t>
      </w:r>
      <w:r>
        <w:rPr>
          <w:sz w:val="21"/>
        </w:rPr>
        <w:t>3）</w:t>
      </w:r>
      <w:r>
        <w:rPr>
          <w:sz w:val="21"/>
        </w:rPr>
        <w:t>货物来源国官方标准。</w:t>
      </w:r>
    </w:p>
    <w:p>
      <w:pPr>
        <w:pStyle w:val="null3"/>
        <w:ind w:left="570"/>
        <w:jc w:val="both"/>
      </w:pPr>
      <w:r>
        <w:rPr>
          <w:sz w:val="21"/>
        </w:rPr>
        <w:t>3、</w:t>
      </w:r>
      <w:r>
        <w:rPr>
          <w:sz w:val="21"/>
        </w:rPr>
        <w:t>国内货物必须具备出厂合格证及原厂保修卡。</w:t>
      </w:r>
    </w:p>
    <w:p>
      <w:pPr>
        <w:pStyle w:val="null3"/>
        <w:ind w:left="570"/>
        <w:jc w:val="both"/>
      </w:pPr>
      <w:r>
        <w:rPr>
          <w:sz w:val="21"/>
        </w:rPr>
        <w:t>4、</w:t>
      </w:r>
      <w:r>
        <w:rPr>
          <w:sz w:val="21"/>
        </w:rPr>
        <w:t>货物为原厂商未启封全新包装，具出厂合格证，序列号、包装箱号与出厂批号一致，并可</w:t>
      </w:r>
      <w:r>
        <w:rPr>
          <w:sz w:val="21"/>
        </w:rPr>
        <w:t>追溯</w:t>
      </w:r>
      <w:r>
        <w:rPr>
          <w:sz w:val="21"/>
        </w:rPr>
        <w:t>查阅。所有随设备的附件必须齐全。</w:t>
      </w:r>
    </w:p>
    <w:p>
      <w:pPr>
        <w:pStyle w:val="null3"/>
        <w:ind w:left="570"/>
        <w:jc w:val="both"/>
      </w:pPr>
      <w:r>
        <w:rPr>
          <w:sz w:val="21"/>
        </w:rPr>
        <w:t>5、</w:t>
      </w:r>
      <w:r>
        <w:rPr>
          <w:sz w:val="21"/>
        </w:rPr>
        <w:t>乙方将货物的用户手册、保修手册、有关单证资料及备品备件、随机工具等交付给甲方，使用操作及安全须知等重要资料应附有中文说明。</w:t>
      </w:r>
    </w:p>
    <w:p>
      <w:pPr>
        <w:pStyle w:val="null3"/>
        <w:ind w:left="570"/>
        <w:jc w:val="both"/>
      </w:pPr>
      <w:r>
        <w:rPr>
          <w:sz w:val="21"/>
        </w:rPr>
        <w:t>6、</w:t>
      </w:r>
      <w:r>
        <w:rPr>
          <w:sz w:val="21"/>
        </w:rPr>
        <w:t>货物验收所发生的检验费用由乙方负担。</w:t>
      </w:r>
    </w:p>
    <w:p>
      <w:pPr>
        <w:pStyle w:val="null3"/>
        <w:ind w:left="570"/>
        <w:jc w:val="both"/>
      </w:pPr>
      <w:r>
        <w:rPr>
          <w:sz w:val="21"/>
        </w:rPr>
        <w:t>7、</w:t>
      </w:r>
      <w:r>
        <w:rPr>
          <w:sz w:val="21"/>
        </w:rPr>
        <w:t>设备到货并经乙方技术人员安装后，甲方有权委托中国有资格的单位对上述设备进行校准或检验。</w:t>
      </w:r>
    </w:p>
    <w:p>
      <w:pPr>
        <w:pStyle w:val="null3"/>
        <w:ind w:left="570"/>
        <w:jc w:val="both"/>
      </w:pPr>
      <w:r>
        <w:rPr>
          <w:sz w:val="21"/>
        </w:rPr>
        <w:t>8、</w:t>
      </w:r>
      <w:r>
        <w:rPr>
          <w:sz w:val="21"/>
        </w:rPr>
        <w:t>甲方组成验收小组，按照采购合同规定的技术、服务、安全标准组织对乙方履约情况进行验收。因货物质量问题发生争议时，由甲方本地质量技术监督部门鉴定。货物符合质量技术标准的，鉴定费由甲方承担；否则鉴定费由乙方承担。</w:t>
      </w:r>
    </w:p>
    <w:p>
      <w:pPr>
        <w:pStyle w:val="null3"/>
        <w:ind w:left="570"/>
        <w:jc w:val="both"/>
      </w:pPr>
      <w:r>
        <w:rPr>
          <w:sz w:val="21"/>
        </w:rPr>
        <w:t>9、</w:t>
      </w:r>
      <w:r>
        <w:rPr>
          <w:sz w:val="21"/>
        </w:rPr>
        <w:t>当出现不合格产品时，乙方要无条件更换合格产品。除甲方认可，否则不接受任何形式的降格处理。</w:t>
      </w:r>
    </w:p>
    <w:p>
      <w:pPr>
        <w:pStyle w:val="null3"/>
        <w:ind w:left="570"/>
        <w:jc w:val="both"/>
      </w:pPr>
      <w:r>
        <w:rPr>
          <w:sz w:val="21"/>
        </w:rPr>
        <w:t>10、</w:t>
      </w:r>
      <w:r>
        <w:rPr>
          <w:sz w:val="21"/>
        </w:rPr>
        <w:t>验收期限：全部货物到货后</w:t>
      </w:r>
      <w:r>
        <w:rPr>
          <w:sz w:val="21"/>
          <w:u w:val="single"/>
        </w:rPr>
        <w:t xml:space="preserve">   </w:t>
      </w:r>
      <w:r>
        <w:rPr>
          <w:sz w:val="21"/>
        </w:rPr>
        <w:t>天内完成项目验收。</w:t>
      </w:r>
    </w:p>
    <w:p>
      <w:pPr>
        <w:pStyle w:val="null3"/>
        <w:jc w:val="both"/>
      </w:pPr>
      <w:r>
        <w:rPr>
          <w:sz w:val="21"/>
          <w:b/>
        </w:rPr>
        <w:t>十、</w:t>
      </w:r>
      <w:r>
        <w:rPr>
          <w:sz w:val="21"/>
          <w:b/>
        </w:rPr>
        <w:t>违约责任与赔偿损失</w:t>
      </w:r>
    </w:p>
    <w:p>
      <w:pPr>
        <w:pStyle w:val="null3"/>
        <w:ind w:left="570"/>
        <w:jc w:val="both"/>
      </w:pPr>
      <w:r>
        <w:rPr>
          <w:sz w:val="21"/>
        </w:rPr>
        <w:t>1、</w:t>
      </w:r>
      <w:r>
        <w:rPr>
          <w:sz w:val="21"/>
        </w:rPr>
        <w:t>乙方交付的货物不符合招标文件、投标文件或本合同规定的，甲方有权拒收，并且乙方须向甲方支付本合同总价</w:t>
      </w:r>
      <w:r>
        <w:rPr>
          <w:sz w:val="21"/>
        </w:rPr>
        <w:t>5%的违约金。</w:t>
      </w:r>
    </w:p>
    <w:p>
      <w:pPr>
        <w:pStyle w:val="null3"/>
        <w:ind w:left="570"/>
        <w:jc w:val="both"/>
      </w:pPr>
      <w:r>
        <w:rPr>
          <w:sz w:val="21"/>
        </w:rPr>
        <w:t>2、</w:t>
      </w:r>
      <w:r>
        <w:rPr>
          <w:sz w:val="21"/>
        </w:rPr>
        <w:t>乙方未能按本合同规定的交货时间交付货物的，从逾期之日起每日按本合同总价</w:t>
      </w:r>
      <w:r>
        <w:rPr>
          <w:sz w:val="21"/>
        </w:rPr>
        <w:t>3‰的数额向甲方支付违约金；逾期半个月以上的，甲方有权终止合同，由此造成的甲方经济损失由乙方承担。</w:t>
      </w:r>
    </w:p>
    <w:p>
      <w:pPr>
        <w:pStyle w:val="null3"/>
        <w:ind w:left="570"/>
        <w:jc w:val="both"/>
      </w:pPr>
      <w:r>
        <w:rPr>
          <w:sz w:val="21"/>
        </w:rPr>
        <w:t>3、</w:t>
      </w:r>
      <w:r>
        <w:rPr>
          <w:sz w:val="21"/>
        </w:rPr>
        <w:t>甲方无正当理由拒收货物，不按合同约定付款的，甲方向乙方偿付本合同总价</w:t>
      </w:r>
      <w:r>
        <w:rPr>
          <w:sz w:val="21"/>
        </w:rPr>
        <w:t>5%的违约金。甲方逾期未按合同约定时间支付款项的，则每日按本合同总价的3‰向乙方偿付违约金</w:t>
      </w:r>
      <w:r>
        <w:rPr>
          <w:sz w:val="21"/>
        </w:rPr>
        <w:t>，</w:t>
      </w:r>
      <w:r>
        <w:rPr>
          <w:sz w:val="21"/>
        </w:rPr>
        <w:t>最高不超过本合同总价的</w:t>
      </w:r>
      <w:r>
        <w:rPr>
          <w:sz w:val="21"/>
        </w:rPr>
        <w:t xml:space="preserve">   </w:t>
      </w:r>
      <w:r>
        <w:rPr>
          <w:sz w:val="21"/>
        </w:rPr>
        <w:t>%。</w:t>
      </w:r>
    </w:p>
    <w:p>
      <w:pPr>
        <w:pStyle w:val="null3"/>
        <w:ind w:left="570"/>
        <w:jc w:val="both"/>
      </w:pPr>
      <w:r>
        <w:rPr>
          <w:sz w:val="21"/>
        </w:rPr>
        <w:t>4、</w:t>
      </w:r>
      <w:r>
        <w:rPr>
          <w:sz w:val="21"/>
        </w:rPr>
        <w:t>乙方如没有按合同规定履行售后服务承诺，甲方可由第三方单位进行修复，其费用全部由乙方支付，否则，追究乙方违约的法律责任。</w:t>
      </w:r>
    </w:p>
    <w:p>
      <w:pPr>
        <w:pStyle w:val="null3"/>
        <w:ind w:left="570"/>
        <w:jc w:val="both"/>
      </w:pPr>
      <w:r>
        <w:rPr>
          <w:sz w:val="21"/>
        </w:rPr>
        <w:t>5、</w:t>
      </w:r>
      <w:r>
        <w:rPr>
          <w:sz w:val="21"/>
        </w:rPr>
        <w:t>因甲方原因导致变更、中止或者终止政府采购合同的，甲方对乙方受到的损失予以赔偿或者补偿，赔偿或者补偿金额为：</w:t>
      </w:r>
      <w:r>
        <w:rPr>
          <w:sz w:val="21"/>
          <w:u w:val="single"/>
        </w:rPr>
        <w:t>本合同总价的</w:t>
      </w:r>
      <w:r>
        <w:rPr>
          <w:sz w:val="21"/>
          <w:u w:val="single"/>
        </w:rPr>
        <w:t>%</w:t>
      </w:r>
      <w:r>
        <w:rPr>
          <w:sz w:val="21"/>
        </w:rPr>
        <w:t>。</w:t>
      </w:r>
    </w:p>
    <w:p>
      <w:pPr>
        <w:pStyle w:val="null3"/>
        <w:ind w:left="570"/>
        <w:jc w:val="both"/>
      </w:pPr>
      <w:r>
        <w:rPr>
          <w:sz w:val="21"/>
        </w:rPr>
        <w:t>6、</w:t>
      </w:r>
      <w:r>
        <w:rPr>
          <w:sz w:val="21"/>
        </w:rPr>
        <w:t>其它违约责任按《中华人民共和国民法典》处理。</w:t>
      </w:r>
    </w:p>
    <w:p>
      <w:pPr>
        <w:pStyle w:val="null3"/>
        <w:jc w:val="both"/>
      </w:pPr>
      <w:r>
        <w:rPr>
          <w:sz w:val="21"/>
          <w:b/>
        </w:rPr>
        <w:t>十一、</w:t>
      </w:r>
      <w:r>
        <w:rPr>
          <w:sz w:val="21"/>
          <w:b/>
        </w:rPr>
        <w:t>履约保证金</w:t>
      </w:r>
    </w:p>
    <w:p>
      <w:pPr>
        <w:pStyle w:val="null3"/>
        <w:ind w:left="825"/>
        <w:jc w:val="both"/>
      </w:pPr>
      <w:r>
        <w:rPr>
          <w:sz w:val="21"/>
          <w:b/>
        </w:rPr>
        <w:t>（按照采购需求要求）</w:t>
      </w:r>
    </w:p>
    <w:p>
      <w:pPr>
        <w:pStyle w:val="null3"/>
        <w:jc w:val="both"/>
      </w:pPr>
      <w:r>
        <w:rPr>
          <w:sz w:val="21"/>
          <w:b/>
        </w:rPr>
        <w:t>十二、</w:t>
      </w:r>
      <w:r>
        <w:rPr>
          <w:sz w:val="21"/>
          <w:b/>
        </w:rPr>
        <w:t>争议的解决</w:t>
      </w:r>
    </w:p>
    <w:p>
      <w:pPr>
        <w:pStyle w:val="null3"/>
        <w:ind w:left="120" w:firstLine="420"/>
        <w:jc w:val="both"/>
      </w:pPr>
      <w:r>
        <w:rPr>
          <w:sz w:val="21"/>
        </w:rPr>
        <w:t>合同执行过程中发生的任何争议，双方应通过友好协商解决，若经协商不能达成协议时，则向甲方所在地有管辖权的人民法院提起诉讼。诉讼期间，双方应继续执行合同其余部分。</w:t>
      </w:r>
    </w:p>
    <w:p>
      <w:pPr>
        <w:pStyle w:val="null3"/>
        <w:jc w:val="both"/>
      </w:pPr>
      <w:r>
        <w:rPr>
          <w:sz w:val="21"/>
          <w:b/>
        </w:rPr>
        <w:t>十三、</w:t>
      </w:r>
      <w:r>
        <w:rPr>
          <w:sz w:val="21"/>
          <w:b/>
        </w:rPr>
        <w:t>不可抗力</w:t>
      </w:r>
    </w:p>
    <w:p>
      <w:pPr>
        <w:pStyle w:val="null3"/>
        <w:ind w:left="120" w:firstLine="420"/>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十四、</w:t>
      </w:r>
      <w:r>
        <w:rPr>
          <w:sz w:val="21"/>
          <w:b/>
        </w:rPr>
        <w:t>税费</w:t>
      </w:r>
    </w:p>
    <w:p>
      <w:pPr>
        <w:pStyle w:val="null3"/>
        <w:ind w:left="120" w:firstLine="420"/>
        <w:jc w:val="both"/>
      </w:pPr>
      <w:r>
        <w:rPr>
          <w:sz w:val="21"/>
        </w:rPr>
        <w:t>在中国境内、外发生的与本合同执行有关的一切税费均由乙方负担。</w:t>
      </w:r>
    </w:p>
    <w:p>
      <w:pPr>
        <w:pStyle w:val="null3"/>
        <w:jc w:val="both"/>
      </w:pPr>
      <w:r>
        <w:rPr>
          <w:sz w:val="21"/>
          <w:b/>
        </w:rPr>
        <w:t>十五、</w:t>
      </w:r>
      <w:r>
        <w:rPr>
          <w:sz w:val="21"/>
          <w:b/>
        </w:rPr>
        <w:t>其它</w:t>
      </w:r>
    </w:p>
    <w:p>
      <w:pPr>
        <w:pStyle w:val="null3"/>
        <w:ind w:left="570"/>
        <w:jc w:val="both"/>
      </w:pPr>
      <w:r>
        <w:rPr>
          <w:sz w:val="21"/>
        </w:rPr>
        <w:t>1、</w:t>
      </w:r>
      <w:r>
        <w:rPr>
          <w:sz w:val="21"/>
        </w:rPr>
        <w:t>本合同所有附件、招标文件、投标文件、中标通知书均</w:t>
      </w:r>
      <w:r>
        <w:rPr>
          <w:sz w:val="21"/>
        </w:rPr>
        <w:t>为本</w:t>
      </w:r>
      <w:r>
        <w:rPr>
          <w:sz w:val="21"/>
        </w:rPr>
        <w:t>合同的有效组成部分，与本合同具有同等法律效力。</w:t>
      </w:r>
    </w:p>
    <w:p>
      <w:pPr>
        <w:pStyle w:val="null3"/>
        <w:ind w:left="570"/>
        <w:jc w:val="both"/>
      </w:pPr>
      <w:r>
        <w:rPr>
          <w:sz w:val="21"/>
        </w:rPr>
        <w:t>2、</w:t>
      </w:r>
      <w:r>
        <w:rPr>
          <w:sz w:val="21"/>
        </w:rPr>
        <w:t>在执行本合同的过程中，所有经双方签署确认的文件（包括会议纪要、补充协议、往来信函）即成为本合同的有效组成部分。</w:t>
      </w:r>
    </w:p>
    <w:p>
      <w:pPr>
        <w:pStyle w:val="null3"/>
        <w:ind w:left="570"/>
        <w:jc w:val="both"/>
      </w:pPr>
      <w:r>
        <w:rPr>
          <w:sz w:val="21"/>
        </w:rPr>
        <w:t>3、</w:t>
      </w:r>
      <w:r>
        <w:rPr>
          <w:sz w:val="21"/>
        </w:rPr>
        <w:t>如一方地址、电话、传真号码有变更，应在变更当日内书面通知对方，否则，应承担相应责任。</w:t>
      </w:r>
    </w:p>
    <w:p>
      <w:pPr>
        <w:pStyle w:val="null3"/>
        <w:ind w:left="570"/>
        <w:jc w:val="both"/>
      </w:pPr>
      <w:r>
        <w:rPr>
          <w:sz w:val="21"/>
        </w:rPr>
        <w:t>4、</w:t>
      </w:r>
      <w:r>
        <w:rPr>
          <w:sz w:val="21"/>
        </w:rPr>
        <w:t>除甲方事先书面同意外，乙方不得部分或全部转让其应履行的合同项下的义务。</w:t>
      </w:r>
    </w:p>
    <w:p>
      <w:pPr>
        <w:pStyle w:val="null3"/>
        <w:ind w:left="570"/>
        <w:jc w:val="both"/>
      </w:pPr>
      <w:r>
        <w:rPr>
          <w:sz w:val="21"/>
        </w:rPr>
        <w:t>5、</w:t>
      </w:r>
      <w:r>
        <w:rPr>
          <w:sz w:val="21"/>
        </w:rPr>
        <w:t>乙方完全遵守《中华人民共和国民法典》有关规定和《中华人民共和国妇女权益保障法》中关于</w:t>
      </w:r>
      <w:r>
        <w:rPr>
          <w:sz w:val="21"/>
        </w:rPr>
        <w:t>“劳动和社会保障权益”的有关要求。</w:t>
      </w:r>
    </w:p>
    <w:p>
      <w:pPr>
        <w:pStyle w:val="null3"/>
        <w:jc w:val="both"/>
      </w:pPr>
      <w:r>
        <w:rPr>
          <w:sz w:val="21"/>
          <w:b/>
        </w:rPr>
        <w:t>十六、</w:t>
      </w:r>
      <w:r>
        <w:rPr>
          <w:sz w:val="21"/>
          <w:b/>
        </w:rPr>
        <w:t>合同生效</w:t>
      </w:r>
    </w:p>
    <w:p>
      <w:pPr>
        <w:pStyle w:val="null3"/>
        <w:ind w:left="570"/>
        <w:jc w:val="both"/>
      </w:pPr>
      <w:r>
        <w:rPr>
          <w:sz w:val="21"/>
        </w:rPr>
        <w:t>1、</w:t>
      </w:r>
      <w:r>
        <w:rPr>
          <w:sz w:val="21"/>
        </w:rPr>
        <w:t>本合同在乙方提交履约保证金并甲乙双方法人代表或其授权代表签字盖章后生效。如果不需要提交履约保证金的则甲乙双方法人代表或其授权代表签字并盖章后生效。合同生效日期以后一个签字的日期为准。</w:t>
      </w:r>
    </w:p>
    <w:p>
      <w:pPr>
        <w:pStyle w:val="null3"/>
        <w:ind w:left="570"/>
        <w:jc w:val="both"/>
      </w:pPr>
      <w:r>
        <w:rPr>
          <w:sz w:val="21"/>
        </w:rPr>
        <w:t>2、</w:t>
      </w:r>
      <w:r>
        <w:rPr>
          <w:sz w:val="21"/>
        </w:rPr>
        <w:t>合同一式</w:t>
      </w:r>
      <w:r>
        <w:rPr>
          <w:sz w:val="21"/>
          <w:u w:val="single"/>
        </w:rPr>
        <w:t xml:space="preserve">    </w:t>
      </w:r>
      <w:r>
        <w:rPr>
          <w:sz w:val="21"/>
        </w:rPr>
        <w:t>份。</w:t>
      </w:r>
      <w:r>
        <w:rPr>
          <w:sz w:val="21"/>
        </w:rPr>
        <w:t>甲、乙双方各执</w:t>
      </w:r>
      <w:r>
        <w:rPr>
          <w:sz w:val="21"/>
          <w:u w:val="single"/>
        </w:rPr>
        <w:t xml:space="preserve">    </w:t>
      </w:r>
      <w:r>
        <w:rPr>
          <w:sz w:val="21"/>
        </w:rPr>
        <w:t>份，采购代理机构壹份，</w:t>
      </w:r>
      <w:r>
        <w:rPr>
          <w:sz w:val="21"/>
        </w:rPr>
        <w:t>具有</w:t>
      </w:r>
      <w:r>
        <w:rPr>
          <w:sz w:val="21"/>
        </w:rPr>
        <w:t>同等法律效力。</w:t>
      </w:r>
    </w:p>
    <w:p>
      <w:pPr>
        <w:pStyle w:val="null3"/>
        <w:ind w:left="825"/>
        <w:jc w:val="both"/>
      </w:pPr>
      <w:r>
        <w:rPr>
          <w:sz w:val="21"/>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3664"/>
        <w:gridCol w:w="4642"/>
      </w:tblGrid>
      <w:tr>
        <w:tc>
          <w:tcPr>
            <w:tcW w:type="dxa" w:w="366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甲方（公章）：</w:t>
            </w:r>
            <w:r>
              <w:rPr>
                <w:sz w:val="21"/>
              </w:rPr>
              <w:t xml:space="preserve"> </w:t>
            </w:r>
          </w:p>
          <w:p>
            <w:pPr>
              <w:pStyle w:val="null3"/>
              <w:jc w:val="both"/>
            </w:pPr>
            <w:r>
              <w:rPr>
                <w:sz w:val="21"/>
              </w:rPr>
              <w:t>联系人：</w:t>
            </w:r>
          </w:p>
          <w:p>
            <w:pPr>
              <w:pStyle w:val="null3"/>
              <w:jc w:val="both"/>
            </w:pPr>
            <w:r>
              <w:rPr>
                <w:sz w:val="21"/>
              </w:rPr>
              <w:t>开户名称：</w:t>
            </w:r>
          </w:p>
          <w:p>
            <w:pPr>
              <w:pStyle w:val="null3"/>
              <w:jc w:val="both"/>
            </w:pPr>
            <w:r>
              <w:rPr>
                <w:sz w:val="21"/>
              </w:rPr>
              <w:t>开户银行：</w:t>
            </w:r>
          </w:p>
          <w:p>
            <w:pPr>
              <w:pStyle w:val="null3"/>
              <w:jc w:val="both"/>
            </w:pPr>
            <w:r>
              <w:rPr>
                <w:sz w:val="21"/>
              </w:rPr>
              <w:t>银行账号：</w:t>
            </w:r>
          </w:p>
          <w:p>
            <w:pPr>
              <w:pStyle w:val="null3"/>
              <w:jc w:val="both"/>
            </w:pPr>
            <w:r>
              <w:rPr>
                <w:sz w:val="21"/>
              </w:rPr>
              <w:t>纳税人识别号：</w:t>
            </w:r>
          </w:p>
          <w:p>
            <w:pPr>
              <w:pStyle w:val="null3"/>
              <w:jc w:val="both"/>
            </w:pPr>
            <w:r>
              <w:rPr>
                <w:sz w:val="21"/>
              </w:rPr>
              <w:t>地址：</w:t>
            </w:r>
          </w:p>
          <w:p>
            <w:pPr>
              <w:pStyle w:val="null3"/>
              <w:jc w:val="both"/>
            </w:pPr>
            <w:r>
              <w:rPr>
                <w:sz w:val="21"/>
              </w:rPr>
              <w:t>联系方式：</w:t>
            </w:r>
          </w:p>
          <w:p>
            <w:pPr>
              <w:pStyle w:val="null3"/>
              <w:jc w:val="both"/>
            </w:pPr>
            <w:r>
              <w:rPr>
                <w:sz w:val="21"/>
              </w:rPr>
              <w:t>传真：</w:t>
            </w:r>
          </w:p>
          <w:p>
            <w:pPr>
              <w:pStyle w:val="null3"/>
              <w:jc w:val="both"/>
            </w:pPr>
          </w:p>
        </w:tc>
        <w:tc>
          <w:tcPr>
            <w:tcW w:type="dxa" w:w="46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乙方（公章）：</w:t>
            </w:r>
            <w:r>
              <w:rPr>
                <w:sz w:val="21"/>
              </w:rPr>
              <w:t xml:space="preserve"> </w:t>
            </w:r>
          </w:p>
          <w:p>
            <w:pPr>
              <w:pStyle w:val="null3"/>
              <w:jc w:val="both"/>
            </w:pPr>
            <w:r>
              <w:rPr>
                <w:sz w:val="21"/>
              </w:rPr>
              <w:t>联系人：</w:t>
            </w:r>
          </w:p>
          <w:p>
            <w:pPr>
              <w:pStyle w:val="null3"/>
              <w:jc w:val="both"/>
            </w:pPr>
            <w:r>
              <w:rPr>
                <w:sz w:val="21"/>
              </w:rPr>
              <w:t>供应商规模：（大型企业</w:t>
            </w:r>
            <w:r>
              <w:rPr>
                <w:sz w:val="21"/>
              </w:rPr>
              <w:t>/中型企业/小微型企业/其他）</w:t>
            </w:r>
          </w:p>
          <w:p>
            <w:pPr>
              <w:pStyle w:val="null3"/>
              <w:jc w:val="both"/>
            </w:pPr>
            <w:r>
              <w:rPr>
                <w:sz w:val="21"/>
              </w:rPr>
              <w:t>供应商特殊性质：（监狱企业</w:t>
            </w:r>
            <w:r>
              <w:rPr>
                <w:sz w:val="21"/>
              </w:rPr>
              <w:t>/残疾人福利性单位/其他）</w:t>
            </w:r>
          </w:p>
          <w:p>
            <w:pPr>
              <w:pStyle w:val="null3"/>
              <w:jc w:val="both"/>
            </w:pPr>
            <w:r>
              <w:rPr>
                <w:sz w:val="21"/>
              </w:rPr>
              <w:t>开户名称：</w:t>
            </w:r>
          </w:p>
          <w:p>
            <w:pPr>
              <w:pStyle w:val="null3"/>
              <w:jc w:val="both"/>
            </w:pPr>
            <w:r>
              <w:rPr>
                <w:sz w:val="21"/>
              </w:rPr>
              <w:t>开户银行：</w:t>
            </w:r>
          </w:p>
          <w:p>
            <w:pPr>
              <w:pStyle w:val="null3"/>
              <w:jc w:val="both"/>
            </w:pPr>
            <w:r>
              <w:rPr>
                <w:sz w:val="21"/>
              </w:rPr>
              <w:t>银行账号：</w:t>
            </w:r>
          </w:p>
          <w:p>
            <w:pPr>
              <w:pStyle w:val="null3"/>
              <w:jc w:val="both"/>
            </w:pPr>
            <w:r>
              <w:rPr>
                <w:sz w:val="21"/>
              </w:rPr>
              <w:t>纳税人识别号：</w:t>
            </w:r>
          </w:p>
          <w:p>
            <w:pPr>
              <w:pStyle w:val="null3"/>
              <w:jc w:val="both"/>
            </w:pPr>
            <w:r>
              <w:rPr>
                <w:sz w:val="21"/>
              </w:rPr>
              <w:t>供应商所在区域：</w:t>
            </w:r>
          </w:p>
          <w:p>
            <w:pPr>
              <w:pStyle w:val="null3"/>
              <w:jc w:val="both"/>
            </w:pPr>
            <w:r>
              <w:rPr>
                <w:sz w:val="21"/>
              </w:rPr>
              <w:t>地址：</w:t>
            </w:r>
          </w:p>
          <w:p>
            <w:pPr>
              <w:pStyle w:val="null3"/>
              <w:jc w:val="both"/>
            </w:pPr>
            <w:r>
              <w:rPr>
                <w:sz w:val="21"/>
              </w:rPr>
              <w:t>联系方式：</w:t>
            </w:r>
          </w:p>
          <w:p>
            <w:pPr>
              <w:pStyle w:val="null3"/>
              <w:jc w:val="both"/>
            </w:pPr>
            <w:r>
              <w:rPr>
                <w:sz w:val="21"/>
              </w:rPr>
              <w:t>传真：</w:t>
            </w:r>
          </w:p>
        </w:tc>
      </w:tr>
    </w:tbl>
    <w:p>
      <w:pPr>
        <w:pStyle w:val="null3"/>
        <w:ind w:left="825"/>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440101-2026-02151</w:t>
      </w:r>
    </w:p>
    <w:p>
      <w:pPr>
        <w:pStyle w:val="null3"/>
        <w:jc w:val="center"/>
        <w:outlineLvl w:val="3"/>
      </w:pPr>
      <w:r>
        <w:rPr>
          <w:sz w:val="24"/>
          <w:b/>
        </w:rPr>
        <w:t>采购项目编号：</w:t>
      </w:r>
      <w:r>
        <w:rPr>
          <w:sz w:val="24"/>
          <w:b/>
        </w:rPr>
        <w:t>GZGK26D020A0020Z</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广东国科招标有限公司</w:t>
      </w:r>
    </w:p>
    <w:p>
      <w:pPr>
        <w:pStyle w:val="null3"/>
        <w:ind w:firstLine="480"/>
      </w:pPr>
      <w:r>
        <w:rPr/>
        <w:t xml:space="preserve"> 你方组织的</w:t>
      </w:r>
      <w:r>
        <w:rPr>
          <w:u w:val="single"/>
        </w:rPr>
        <w:t>“</w:t>
      </w:r>
      <w:r>
        <w:rPr>
          <w:u w:val="single"/>
        </w:rPr>
        <w:t>广州市机电技师学院智能实训教学设备购置项目（2026年）子项目3：VR技术研发实验室项目</w:t>
      </w:r>
      <w:r>
        <w:rPr>
          <w:u w:val="single"/>
        </w:rPr>
        <w:t>”</w:t>
      </w:r>
      <w:r>
        <w:rPr/>
        <w:t>项目的招标[采购项目编号为：</w:t>
      </w:r>
      <w:r>
        <w:rPr>
          <w:u w:val="single"/>
        </w:rPr>
        <w:t>GZGK26D020A0020Z</w:t>
      </w:r>
      <w:r>
        <w:rPr/>
        <w:t>]，我方愿参与投标。</w:t>
      </w:r>
    </w:p>
    <w:p>
      <w:pPr>
        <w:pStyle w:val="null3"/>
        <w:ind w:firstLine="480"/>
      </w:pPr>
      <w:r>
        <w:rPr/>
        <w:t>我方确认收到贵方提供的</w:t>
      </w:r>
      <w:r>
        <w:rPr>
          <w:u w:val="single"/>
        </w:rPr>
        <w:t>“</w:t>
      </w:r>
      <w:r>
        <w:rPr>
          <w:u w:val="single"/>
        </w:rPr>
        <w:t>广州市机电技师学院智能实训教学设备购置项目（2026年）子项目3：VR技术研发实验室项目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从提交投标文件的截止之日起90天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广东国科招标有限公司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广州市机电技师学院智能实训教学设备购置项目（2026年）子项目3：VR技术研发实验室项目</w:t>
      </w:r>
      <w:r>
        <w:rPr/>
        <w:t>”项目采购[采购项目编号为</w:t>
      </w:r>
      <w:r>
        <w:rPr/>
        <w:t>GZGK26D020A0020Z</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广州市机电技师学院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广东国科招标有限公司</w:t>
      </w:r>
    </w:p>
    <w:p>
      <w:pPr>
        <w:pStyle w:val="null3"/>
        <w:ind w:firstLine="480"/>
      </w:pPr>
      <w:r>
        <w:rPr/>
        <w:t xml:space="preserve"> 如果我方在贵采购代理机构组织的</w:t>
      </w:r>
      <w:r>
        <w:rPr/>
        <w:t>广州市机电技师学院智能实训教学设备购置项目（2026年）子项目3：VR技术研发实验室项目</w:t>
      </w:r>
      <w:r>
        <w:rPr/>
        <w:t>招标中获中标（采购项目编号：</w:t>
      </w:r>
      <w:r>
        <w:rPr/>
        <w:t>GZGK26D020A0020Z</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广东国科招标有限公司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