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6ECEA22C">
      <w:pPr>
        <w:rPr>
          <w:rFonts w:hint="eastAsia" w:ascii="仿宋" w:hAnsi="仿宋" w:eastAsia="仿宋" w:cs="仿宋"/>
          <w:b/>
          <w:bCs/>
          <w:kern w:val="0"/>
          <w:sz w:val="40"/>
          <w:szCs w:val="40"/>
          <w:lang w:val="en-US" w:eastAsia="zh-CN"/>
        </w:rPr>
      </w:pPr>
      <w:bookmarkStart w:id="0" w:name="_GoBack"/>
      <w:bookmarkEnd w:id="0"/>
      <w:r>
        <w:rPr>
          <w:rFonts w:hint="eastAsia" w:ascii="仿宋" w:hAnsi="仿宋" w:eastAsia="仿宋" w:cs="仿宋"/>
          <w:b/>
          <w:bCs/>
          <w:kern w:val="0"/>
          <w:sz w:val="40"/>
          <w:szCs w:val="40"/>
          <w:lang w:val="en-US" w:eastAsia="zh-CN"/>
        </w:rPr>
        <w:t>商务要求：</w:t>
      </w:r>
    </w:p>
    <w:p w14:paraId="2FFAA422">
      <w:pPr>
        <w:rPr>
          <w:rFonts w:hint="default" w:ascii="仿宋" w:hAnsi="仿宋" w:eastAsia="仿宋" w:cs="仿宋"/>
          <w:kern w:val="0"/>
          <w:sz w:val="24"/>
          <w:lang w:val="en-US" w:eastAsia="zh-CN"/>
        </w:rPr>
      </w:pPr>
      <w:r>
        <w:rPr>
          <w:rFonts w:hint="eastAsia" w:ascii="仿宋" w:hAnsi="仿宋" w:eastAsia="仿宋" w:cs="仿宋"/>
          <w:kern w:val="0"/>
          <w:sz w:val="24"/>
        </w:rPr>
        <w:t>★1. 交货期：合同签订后，</w:t>
      </w:r>
      <w:r>
        <w:rPr>
          <w:rFonts w:hint="eastAsia" w:ascii="仿宋" w:hAnsi="仿宋" w:eastAsia="仿宋" w:cs="仿宋"/>
          <w:kern w:val="0"/>
          <w:sz w:val="24"/>
          <w:lang w:val="en-US" w:eastAsia="zh-CN"/>
        </w:rPr>
        <w:t>国产设备在</w:t>
      </w:r>
      <w:r>
        <w:rPr>
          <w:rFonts w:hint="eastAsia" w:ascii="仿宋" w:hAnsi="仿宋" w:eastAsia="仿宋" w:cs="仿宋"/>
          <w:kern w:val="0"/>
          <w:sz w:val="24"/>
        </w:rPr>
        <w:t>接采购人通知在30天内交货</w:t>
      </w:r>
      <w:r>
        <w:rPr>
          <w:rFonts w:hint="eastAsia" w:ascii="仿宋" w:hAnsi="仿宋" w:eastAsia="仿宋" w:cs="仿宋"/>
          <w:kern w:val="0"/>
          <w:sz w:val="24"/>
          <w:lang w:eastAsia="zh-CN"/>
        </w:rPr>
        <w:t>，进口设备</w:t>
      </w:r>
      <w:r>
        <w:rPr>
          <w:rFonts w:hint="eastAsia" w:ascii="仿宋" w:hAnsi="仿宋" w:eastAsia="仿宋" w:cs="仿宋"/>
          <w:kern w:val="0"/>
          <w:sz w:val="24"/>
          <w:lang w:val="en-US" w:eastAsia="zh-CN"/>
        </w:rPr>
        <w:t>在</w:t>
      </w:r>
      <w:r>
        <w:rPr>
          <w:rFonts w:hint="eastAsia" w:ascii="仿宋" w:hAnsi="仿宋" w:eastAsia="仿宋" w:cs="仿宋"/>
          <w:kern w:val="0"/>
          <w:sz w:val="24"/>
        </w:rPr>
        <w:t>接采购人通知在</w:t>
      </w:r>
      <w:r>
        <w:rPr>
          <w:rFonts w:hint="eastAsia" w:ascii="仿宋" w:hAnsi="仿宋" w:eastAsia="仿宋" w:cs="仿宋"/>
          <w:kern w:val="0"/>
          <w:sz w:val="24"/>
          <w:lang w:eastAsia="zh-CN"/>
        </w:rPr>
        <w:t>60天</w:t>
      </w:r>
      <w:r>
        <w:rPr>
          <w:rFonts w:hint="eastAsia" w:ascii="仿宋" w:hAnsi="仿宋" w:eastAsia="仿宋" w:cs="仿宋"/>
          <w:kern w:val="0"/>
          <w:sz w:val="24"/>
        </w:rPr>
        <w:t xml:space="preserve">内交货。 </w:t>
      </w:r>
      <w:r>
        <w:rPr>
          <w:rFonts w:hint="eastAsia" w:ascii="仿宋" w:hAnsi="仿宋" w:eastAsia="仿宋" w:cs="仿宋"/>
          <w:kern w:val="0"/>
          <w:sz w:val="24"/>
          <w:lang w:val="en-US" w:eastAsia="zh-CN"/>
        </w:rPr>
        <w:t>交货地点：采购人指定地点。</w:t>
      </w:r>
    </w:p>
    <w:p w14:paraId="149A8CBB">
      <w:pPr>
        <w:rPr>
          <w:rFonts w:hint="eastAsia" w:ascii="仿宋" w:hAnsi="仿宋" w:eastAsia="仿宋" w:cs="仿宋"/>
          <w:kern w:val="0"/>
          <w:sz w:val="24"/>
        </w:rPr>
      </w:pPr>
      <w:r>
        <w:rPr>
          <w:rFonts w:hint="eastAsia" w:ascii="仿宋" w:hAnsi="仿宋" w:eastAsia="仿宋" w:cs="仿宋"/>
          <w:kern w:val="0"/>
          <w:sz w:val="24"/>
        </w:rPr>
        <w:t>★2. 付款方法和条件：</w:t>
      </w:r>
    </w:p>
    <w:p w14:paraId="014877DD">
      <w:pPr>
        <w:rPr>
          <w:rFonts w:hint="eastAsia" w:ascii="仿宋" w:hAnsi="仿宋" w:eastAsia="仿宋" w:cs="仿宋"/>
          <w:kern w:val="0"/>
          <w:sz w:val="24"/>
        </w:rPr>
      </w:pPr>
      <w:r>
        <w:rPr>
          <w:rFonts w:hint="eastAsia" w:ascii="仿宋" w:hAnsi="仿宋" w:eastAsia="仿宋" w:cs="仿宋"/>
          <w:kern w:val="0"/>
          <w:sz w:val="24"/>
        </w:rPr>
        <w:t>2.1合同签订后，接采购人通知，中标供应商供货完毕，通过采购人验收，中标供应商提供合法有效的发票之后，采购人</w:t>
      </w:r>
      <w:r>
        <w:rPr>
          <w:rFonts w:hint="eastAsia" w:ascii="仿宋" w:hAnsi="仿宋" w:eastAsia="仿宋" w:cs="仿宋"/>
          <w:kern w:val="0"/>
          <w:sz w:val="24"/>
          <w:lang w:val="en-US" w:eastAsia="zh-CN"/>
        </w:rPr>
        <w:t>10</w:t>
      </w:r>
      <w:r>
        <w:rPr>
          <w:rFonts w:hint="eastAsia" w:ascii="仿宋" w:hAnsi="仿宋" w:eastAsia="仿宋" w:cs="仿宋"/>
          <w:kern w:val="0"/>
          <w:sz w:val="24"/>
        </w:rPr>
        <w:t>个工作日内以银行转账方式向中标供应商支付全额货款。</w:t>
      </w:r>
    </w:p>
    <w:p w14:paraId="2D878DB0">
      <w:pPr>
        <w:rPr>
          <w:rFonts w:hint="eastAsia" w:ascii="仿宋" w:hAnsi="仿宋" w:eastAsia="仿宋" w:cs="仿宋"/>
          <w:kern w:val="0"/>
          <w:sz w:val="24"/>
        </w:rPr>
      </w:pPr>
      <w:r>
        <w:rPr>
          <w:rFonts w:hint="eastAsia" w:ascii="仿宋" w:hAnsi="仿宋" w:eastAsia="仿宋" w:cs="仿宋"/>
          <w:kern w:val="0"/>
          <w:sz w:val="24"/>
        </w:rPr>
        <w:t>2.2合同签订后，中标供应商按采购人要求分批次进行供货的，中标供应商可在当次供货完成后提出验收申请，采购人同意验收后，按照合同清单对中标供应商提供的产品进行验收。验收合格后，接采购人通知，中标供应商提供合法有效的发票之后，采购人</w:t>
      </w:r>
      <w:r>
        <w:rPr>
          <w:rFonts w:hint="eastAsia" w:ascii="仿宋" w:hAnsi="仿宋" w:eastAsia="仿宋" w:cs="仿宋"/>
          <w:kern w:val="0"/>
          <w:sz w:val="24"/>
          <w:lang w:val="en-US" w:eastAsia="zh-CN"/>
        </w:rPr>
        <w:t>10</w:t>
      </w:r>
      <w:r>
        <w:rPr>
          <w:rFonts w:hint="eastAsia" w:ascii="仿宋" w:hAnsi="仿宋" w:eastAsia="仿宋" w:cs="仿宋"/>
          <w:kern w:val="0"/>
          <w:sz w:val="24"/>
        </w:rPr>
        <w:t>个工作日内以银行转账方式向中标供应商支付验收合格部分货物的全额货款。</w:t>
      </w:r>
    </w:p>
    <w:p w14:paraId="27853E61">
      <w:pPr>
        <w:rPr>
          <w:rFonts w:hint="eastAsia" w:ascii="仿宋" w:hAnsi="仿宋" w:eastAsia="仿宋" w:cs="仿宋"/>
          <w:kern w:val="0"/>
          <w:sz w:val="24"/>
        </w:rPr>
      </w:pPr>
      <w:r>
        <w:rPr>
          <w:rFonts w:hint="eastAsia" w:ascii="仿宋" w:hAnsi="仿宋" w:eastAsia="仿宋" w:cs="仿宋"/>
          <w:kern w:val="0"/>
          <w:sz w:val="24"/>
        </w:rPr>
        <w:t>★3. 凡是属于或者包含计量产品的，投标人应在采购人确定产品为全新的之后进行首次检定，并经质量技术监督授权部门检测合格、出具计量检定证书后，方可向医院提出验收申请。检测费用由投标人支付，未经检测合格的产品采购人不予验收。</w:t>
      </w:r>
    </w:p>
    <w:p w14:paraId="4A7F597C">
      <w:pPr>
        <w:rPr>
          <w:rFonts w:hint="eastAsia" w:ascii="仿宋" w:hAnsi="仿宋" w:eastAsia="仿宋" w:cs="仿宋"/>
          <w:kern w:val="0"/>
          <w:sz w:val="24"/>
        </w:rPr>
      </w:pPr>
      <w:r>
        <w:rPr>
          <w:rFonts w:hint="eastAsia" w:ascii="仿宋" w:hAnsi="仿宋" w:eastAsia="仿宋" w:cs="仿宋"/>
          <w:kern w:val="0"/>
          <w:sz w:val="24"/>
        </w:rPr>
        <w:t>★4</w:t>
      </w:r>
      <w:r>
        <w:rPr>
          <w:rFonts w:hint="eastAsia" w:ascii="仿宋" w:hAnsi="仿宋" w:eastAsia="仿宋" w:cs="仿宋"/>
          <w:kern w:val="0"/>
          <w:sz w:val="24"/>
          <w:lang w:val="en-US" w:eastAsia="zh-CN"/>
        </w:rPr>
        <w:t>.</w:t>
      </w:r>
      <w:r>
        <w:rPr>
          <w:rFonts w:hint="eastAsia" w:ascii="仿宋" w:hAnsi="仿宋" w:eastAsia="仿宋" w:cs="仿宋"/>
          <w:kern w:val="0"/>
          <w:sz w:val="24"/>
        </w:rPr>
        <w:t>若投标设备存在易损易耗件且与设备保修时间不一致的，需在投标文件中单独提供易损易耗件清单（清单中列出名称及保修时间），设备包含的所有易损易耗件质保期至少1年，未提供视为易损易耗件的保修时间与设备保修时间一致。</w:t>
      </w:r>
    </w:p>
    <w:p w14:paraId="2ED79BAC">
      <w:pPr>
        <w:rPr>
          <w:rFonts w:hint="eastAsia" w:ascii="仿宋" w:hAnsi="仿宋" w:eastAsia="仿宋" w:cs="仿宋"/>
          <w:kern w:val="0"/>
          <w:sz w:val="24"/>
        </w:rPr>
      </w:pPr>
      <w:r>
        <w:rPr>
          <w:rFonts w:hint="eastAsia" w:ascii="仿宋" w:hAnsi="仿宋" w:eastAsia="仿宋" w:cs="仿宋"/>
          <w:kern w:val="0"/>
          <w:sz w:val="24"/>
        </w:rPr>
        <w:t xml:space="preserve">★5.若产品在验收后叁个月内出现故障、不能达到合同约定的质量标准，投标人负责更换与原产品相同规格型号的、全新的产品，费用由投标人承担。若经投标人更换产品后仍不能达到合同约定的质量标准，采购人有权按合同约定追究投标人的违约责任。 </w:t>
      </w:r>
    </w:p>
    <w:p w14:paraId="4E158C68">
      <w:pPr>
        <w:rPr>
          <w:rFonts w:hint="eastAsia" w:ascii="仿宋" w:hAnsi="仿宋" w:eastAsia="仿宋" w:cs="仿宋"/>
          <w:kern w:val="0"/>
          <w:sz w:val="24"/>
        </w:rPr>
      </w:pPr>
      <w:r>
        <w:rPr>
          <w:rFonts w:hint="eastAsia" w:ascii="仿宋" w:hAnsi="仿宋" w:eastAsia="仿宋" w:cs="仿宋"/>
          <w:kern w:val="0"/>
          <w:sz w:val="24"/>
        </w:rPr>
        <w:t>★6.中标后合同签订时，必须提供投标产品的三级保养计划，明确保养内容及执行表单。每次对投标产品定期巡检后将巡检报告交由使用科室负责人签字确认并在三日内交设备科审核存档。供应商未按以上要求进行巡检并提供巡检报告的，视为供应商违约，每发现一次需退回已支付合同总金额的2%作为违约金。</w:t>
      </w:r>
    </w:p>
    <w:p w14:paraId="38CC1EF9">
      <w:pPr>
        <w:rPr>
          <w:rFonts w:hint="eastAsia" w:ascii="仿宋" w:hAnsi="仿宋" w:eastAsia="仿宋" w:cs="仿宋"/>
          <w:kern w:val="0"/>
          <w:sz w:val="24"/>
        </w:rPr>
      </w:pPr>
      <w:r>
        <w:rPr>
          <w:rFonts w:hint="eastAsia" w:ascii="仿宋" w:hAnsi="仿宋" w:eastAsia="仿宋" w:cs="仿宋"/>
          <w:kern w:val="0"/>
          <w:sz w:val="24"/>
        </w:rPr>
        <w:t xml:space="preserve">★7.如设备需接入医院PACS等系统，中标供应商负责相关对接工作，并承担接入费用。 </w:t>
      </w:r>
    </w:p>
    <w:p w14:paraId="68152A1B">
      <w:pPr>
        <w:rPr>
          <w:rFonts w:hint="eastAsia" w:ascii="仿宋" w:hAnsi="仿宋" w:eastAsia="仿宋" w:cs="仿宋"/>
          <w:kern w:val="0"/>
          <w:sz w:val="24"/>
        </w:rPr>
      </w:pPr>
      <w:r>
        <w:rPr>
          <w:rFonts w:hint="eastAsia" w:ascii="仿宋" w:hAnsi="仿宋" w:eastAsia="仿宋" w:cs="仿宋"/>
          <w:kern w:val="0"/>
          <w:sz w:val="24"/>
        </w:rPr>
        <w:t xml:space="preserve">★8.如涉及旧设备的拆除，由投标人负责承担相关工作，产生的所有费用（包括人工、运输、机械使用等）包含在总报价中。 </w:t>
      </w:r>
    </w:p>
    <w:p w14:paraId="2CBA8CCF">
      <w:pPr>
        <w:rPr>
          <w:rFonts w:hint="eastAsia" w:ascii="仿宋" w:hAnsi="仿宋" w:eastAsia="仿宋" w:cs="仿宋"/>
          <w:kern w:val="0"/>
          <w:sz w:val="24"/>
        </w:rPr>
      </w:pPr>
      <w:r>
        <w:rPr>
          <w:rFonts w:hint="eastAsia" w:ascii="仿宋" w:hAnsi="仿宋" w:eastAsia="仿宋" w:cs="仿宋"/>
          <w:kern w:val="0"/>
          <w:sz w:val="24"/>
        </w:rPr>
        <w:t xml:space="preserve">9.售后服务： </w:t>
      </w:r>
    </w:p>
    <w:p w14:paraId="68B4C696">
      <w:pPr>
        <w:rPr>
          <w:rFonts w:hint="eastAsia" w:ascii="仿宋" w:hAnsi="仿宋" w:eastAsia="仿宋" w:cs="仿宋"/>
          <w:kern w:val="0"/>
          <w:sz w:val="24"/>
        </w:rPr>
      </w:pPr>
      <w:r>
        <w:rPr>
          <w:rFonts w:hint="eastAsia" w:ascii="仿宋" w:hAnsi="仿宋" w:eastAsia="仿宋" w:cs="仿宋"/>
          <w:kern w:val="0"/>
          <w:sz w:val="24"/>
        </w:rPr>
        <w:t>9.1投标人应对以下服务提供承诺书（投标人需提供售后承诺书，编制于第六章响应文件格式-《</w:t>
      </w:r>
      <w:r>
        <w:rPr>
          <w:rFonts w:hint="eastAsia" w:ascii="仿宋" w:hAnsi="仿宋" w:eastAsia="仿宋" w:cs="仿宋"/>
          <w:kern w:val="0"/>
          <w:sz w:val="24"/>
          <w:lang w:val="en-US" w:eastAsia="zh-CN"/>
        </w:rPr>
        <w:t>供应商</w:t>
      </w:r>
      <w:r>
        <w:rPr>
          <w:rFonts w:hint="eastAsia" w:ascii="仿宋" w:hAnsi="仿宋" w:eastAsia="仿宋" w:cs="仿宋"/>
          <w:kern w:val="0"/>
          <w:sz w:val="24"/>
        </w:rPr>
        <w:t xml:space="preserve">售后承诺书》）：  </w:t>
      </w:r>
    </w:p>
    <w:p w14:paraId="7D7D482D">
      <w:pPr>
        <w:rPr>
          <w:rFonts w:hint="eastAsia" w:ascii="仿宋" w:hAnsi="仿宋" w:eastAsia="仿宋" w:cs="仿宋"/>
          <w:kern w:val="0"/>
          <w:sz w:val="24"/>
        </w:rPr>
      </w:pPr>
      <w:r>
        <w:rPr>
          <w:rFonts w:hint="eastAsia" w:ascii="仿宋" w:hAnsi="仿宋" w:eastAsia="仿宋" w:cs="仿宋"/>
          <w:kern w:val="0"/>
          <w:sz w:val="24"/>
        </w:rPr>
        <w:t xml:space="preserve">9.1.1在设备使用期间，保证国内零配件送达时间不超过7天，进口设备零配件送达时间不超过20天。如果设备停产，其备件的供应期可达到10年及以上，并以不高于市场价提供该设备所需的维修零配件（在承诺书中标明零配件价格）。 </w:t>
      </w:r>
    </w:p>
    <w:p w14:paraId="0224DCA5">
      <w:pPr>
        <w:rPr>
          <w:rFonts w:hint="eastAsia" w:ascii="仿宋" w:hAnsi="仿宋" w:eastAsia="仿宋" w:cs="仿宋"/>
          <w:kern w:val="0"/>
          <w:sz w:val="24"/>
        </w:rPr>
      </w:pPr>
      <w:r>
        <w:rPr>
          <w:rFonts w:hint="eastAsia" w:ascii="仿宋" w:hAnsi="仿宋" w:eastAsia="仿宋" w:cs="仿宋"/>
          <w:kern w:val="0"/>
          <w:sz w:val="24"/>
        </w:rPr>
        <w:t xml:space="preserve">9.1.2投标人须安排对操作人员进行现场培训，直至院方操作人员能独立操作，同时能完成一般常见故障的维修工作（在承诺书中标明培训计划）。 </w:t>
      </w:r>
    </w:p>
    <w:p w14:paraId="6130A4A8">
      <w:pPr>
        <w:rPr>
          <w:rFonts w:hint="eastAsia" w:ascii="仿宋" w:hAnsi="仿宋" w:eastAsia="仿宋" w:cs="仿宋"/>
          <w:kern w:val="0"/>
          <w:sz w:val="24"/>
        </w:rPr>
      </w:pPr>
      <w:r>
        <w:rPr>
          <w:rFonts w:hint="eastAsia" w:ascii="仿宋" w:hAnsi="仿宋" w:eastAsia="仿宋" w:cs="仿宋"/>
          <w:kern w:val="0"/>
          <w:sz w:val="24"/>
        </w:rPr>
        <w:t xml:space="preserve">9.1.3投标人设有24小时电话维修系统，提供工程师名单、联系电话、通讯地址及备件库地址。 </w:t>
      </w:r>
    </w:p>
    <w:p w14:paraId="26ACE4E7">
      <w:pPr>
        <w:rPr>
          <w:rFonts w:hint="eastAsia" w:ascii="仿宋" w:hAnsi="仿宋" w:eastAsia="仿宋" w:cs="仿宋"/>
          <w:kern w:val="0"/>
          <w:sz w:val="24"/>
        </w:rPr>
      </w:pPr>
      <w:r>
        <w:rPr>
          <w:rFonts w:hint="eastAsia" w:ascii="仿宋" w:hAnsi="仿宋" w:eastAsia="仿宋" w:cs="仿宋"/>
          <w:kern w:val="0"/>
          <w:sz w:val="24"/>
        </w:rPr>
        <w:t xml:space="preserve">9.1.4制定计划每年至少对所中选设备定期巡检2次并出具纸质巡检报告且由使用部门负责人签字确认（在承诺书中明确巡检时间）。 </w:t>
      </w:r>
    </w:p>
    <w:p w14:paraId="338FC7DF">
      <w:pPr>
        <w:rPr>
          <w:rFonts w:hint="eastAsia" w:ascii="仿宋" w:hAnsi="仿宋" w:eastAsia="仿宋" w:cs="仿宋"/>
          <w:kern w:val="0"/>
          <w:sz w:val="24"/>
        </w:rPr>
      </w:pPr>
      <w:r>
        <w:rPr>
          <w:rFonts w:hint="eastAsia" w:ascii="仿宋" w:hAnsi="仿宋" w:eastAsia="仿宋" w:cs="仿宋"/>
          <w:kern w:val="0"/>
          <w:sz w:val="24"/>
        </w:rPr>
        <w:t>9.1.5承诺无论质保期是否届满，如设备出现故障时，接到采购人通知后1小时做出响应，4小时内给予技术支持（技术支持所涉及费用包含本次报价中，采购人不另行支付）或到达现场维修排除故障。质保期内供应商未按上述约定提供技术支持或到场维修的，给采购人造成的所有损失均由供应商独立承担。</w:t>
      </w:r>
    </w:p>
    <w:p w14:paraId="3319D4F6">
      <w:pPr>
        <w:rPr>
          <w:rFonts w:hint="eastAsia" w:ascii="仿宋" w:hAnsi="仿宋" w:eastAsia="仿宋" w:cs="仿宋"/>
          <w:kern w:val="0"/>
          <w:sz w:val="24"/>
        </w:rPr>
      </w:pPr>
      <w:r>
        <w:rPr>
          <w:rFonts w:hint="eastAsia" w:ascii="仿宋" w:hAnsi="仿宋" w:eastAsia="仿宋" w:cs="仿宋"/>
          <w:kern w:val="0"/>
          <w:sz w:val="24"/>
        </w:rPr>
        <w:t>▲9.2提供所投产品制造商（进口产品应提供国内授权总经销商）的针对本项目的售后服务承诺书（产品制造商承诺的质量保证期不能少于招标文件要求），并承诺中标后制造厂商（进口产品应提供国内授权总经销商）或其指定的四川省内的售后服务机构为本项目指派≥2人的售后服务人员（须明确售后服务人员名单），详见附件格式。（若本项目/包件不止单一产品，须提供所有产品制造商（进口产品应提供国内授权总经销商）的售后服务承诺书，否则该项按不响应处理）（投标人需提供售后承诺书，编制于第六章响应文件格式-《xxx设备制造商</w:t>
      </w:r>
      <w:r>
        <w:rPr>
          <w:rFonts w:hint="eastAsia" w:ascii="仿宋" w:hAnsi="仿宋" w:eastAsia="仿宋" w:cs="仿宋"/>
          <w:kern w:val="0"/>
          <w:sz w:val="24"/>
          <w:lang w:val="en-US" w:eastAsia="zh-CN"/>
        </w:rPr>
        <w:t>/国内授权总经销商</w:t>
      </w:r>
      <w:r>
        <w:rPr>
          <w:rFonts w:hint="eastAsia" w:ascii="仿宋" w:hAnsi="仿宋" w:eastAsia="仿宋" w:cs="仿宋"/>
          <w:kern w:val="0"/>
          <w:sz w:val="24"/>
        </w:rPr>
        <w:t>售后承诺书》）</w:t>
      </w:r>
    </w:p>
    <w:p w14:paraId="093E74E2">
      <w:pPr>
        <w:rPr>
          <w:rFonts w:hint="eastAsia" w:ascii="仿宋" w:hAnsi="仿宋" w:eastAsia="仿宋" w:cs="仿宋"/>
          <w:kern w:val="0"/>
          <w:sz w:val="24"/>
        </w:rPr>
      </w:pPr>
      <w:r>
        <w:rPr>
          <w:rFonts w:hint="eastAsia" w:ascii="仿宋" w:hAnsi="仿宋" w:eastAsia="仿宋" w:cs="仿宋"/>
          <w:kern w:val="0"/>
          <w:sz w:val="24"/>
        </w:rPr>
        <w:t xml:space="preserve">▲9.3所投核心产品制造商（进口产品应提供国内授权总经销商）在四川省内设立售后服务机构（提供相关证明材料）或承诺中标后签订合同前设立售后服务机构（提供制造商（进口产品应提供国内授权总经销商）承诺函）或有授权委托的服务机构（提供相关证明资料）。（以上三项内容满足一项即可） （投标人需提供相关证明材料或承诺函，编制于第六章响应文件格式-《供应商认为需要提供的其他证明材料》）   </w:t>
      </w:r>
    </w:p>
    <w:p w14:paraId="137A0018">
      <w:pPr>
        <w:rPr>
          <w:rFonts w:hint="eastAsia" w:ascii="仿宋" w:hAnsi="仿宋" w:eastAsia="仿宋" w:cs="仿宋"/>
          <w:kern w:val="0"/>
          <w:sz w:val="24"/>
        </w:rPr>
      </w:pPr>
      <w:r>
        <w:rPr>
          <w:rFonts w:hint="eastAsia" w:ascii="仿宋" w:hAnsi="仿宋" w:eastAsia="仿宋" w:cs="仿宋"/>
          <w:kern w:val="0"/>
          <w:sz w:val="24"/>
        </w:rPr>
        <w:t>★10. 本项目参加政府采购活动的供应商不得具有串标围标等违反《中华人民共和国政府采购法》等相关法律法规规定的情形（在投标文件中进行承诺，如果虚假承诺，报同级财政进行处理）（投标人须提供承诺函，编制于第六章响应文件格式-《非围标串标承诺函》）</w:t>
      </w:r>
    </w:p>
    <w:p w14:paraId="7FEA8EB6">
      <w:pPr>
        <w:rPr>
          <w:rFonts w:hint="eastAsia" w:ascii="仿宋" w:hAnsi="仿宋" w:eastAsia="仿宋" w:cs="仿宋"/>
          <w:kern w:val="0"/>
          <w:sz w:val="24"/>
        </w:rPr>
      </w:pPr>
      <w:r>
        <w:rPr>
          <w:rFonts w:hint="eastAsia" w:ascii="仿宋" w:hAnsi="仿宋" w:eastAsia="仿宋" w:cs="仿宋"/>
          <w:kern w:val="0"/>
          <w:sz w:val="24"/>
        </w:rPr>
        <w:t>★11.违约责任与解决争议的方法：</w:t>
      </w:r>
    </w:p>
    <w:p w14:paraId="468BEC2F">
      <w:pPr>
        <w:rPr>
          <w:rFonts w:hint="eastAsia" w:ascii="仿宋" w:hAnsi="仿宋" w:eastAsia="仿宋" w:cs="仿宋"/>
          <w:kern w:val="0"/>
          <w:sz w:val="24"/>
        </w:rPr>
      </w:pPr>
      <w:r>
        <w:rPr>
          <w:rFonts w:hint="eastAsia" w:ascii="仿宋" w:hAnsi="仿宋" w:eastAsia="仿宋" w:cs="仿宋"/>
          <w:kern w:val="0"/>
          <w:sz w:val="24"/>
        </w:rPr>
        <w:t xml:space="preserve">11.1.每延迟到货一日应按照成交总价的0.5％作为违约金由中标供应商支付给采购人，且采购人保留要求中标供应商继续履行合同的权利。 </w:t>
      </w:r>
    </w:p>
    <w:p w14:paraId="41D21C0F">
      <w:pPr>
        <w:rPr>
          <w:rFonts w:hint="eastAsia" w:ascii="仿宋" w:hAnsi="仿宋" w:eastAsia="仿宋" w:cs="仿宋"/>
          <w:kern w:val="0"/>
          <w:sz w:val="24"/>
        </w:rPr>
      </w:pPr>
      <w:r>
        <w:rPr>
          <w:rFonts w:hint="eastAsia" w:ascii="仿宋" w:hAnsi="仿宋" w:eastAsia="仿宋" w:cs="仿宋"/>
          <w:kern w:val="0"/>
          <w:sz w:val="24"/>
        </w:rPr>
        <w:t>11.2.如中标供应商未能按本合同约定及时履行维修义务，每出现一次违约情况，应按照成交总价的5%作为违约金由中标供应商支付给采购人，且采购人保留要求中标供应商继续履行合同的权利。若中标供应商未按合同约定及时履行维修义务超过三次，采购人有权解除本合同并追究中标供应商违约责任。</w:t>
      </w:r>
    </w:p>
    <w:p w14:paraId="7183CFC0">
      <w:pPr>
        <w:rPr>
          <w:rFonts w:hint="eastAsia" w:ascii="仿宋" w:hAnsi="仿宋" w:eastAsia="仿宋" w:cs="仿宋"/>
          <w:kern w:val="0"/>
          <w:sz w:val="24"/>
        </w:rPr>
      </w:pPr>
      <w:r>
        <w:rPr>
          <w:rFonts w:hint="eastAsia" w:ascii="仿宋" w:hAnsi="仿宋" w:eastAsia="仿宋" w:cs="仿宋"/>
          <w:kern w:val="0"/>
          <w:sz w:val="24"/>
        </w:rPr>
        <w:t xml:space="preserve">11.3.若中标供应商不能按照合同约定提供产品，采购人有权退货、解除合同并取消中标供应商的中标人资格，如已支付货款的，要求中标供应商全额返还货款，并按照成交总价的5%作为违约金由中标供应商支付给采购人。 </w:t>
      </w:r>
    </w:p>
    <w:p w14:paraId="2EA5F84A">
      <w:pPr>
        <w:rPr>
          <w:rFonts w:hint="eastAsia" w:ascii="仿宋" w:hAnsi="仿宋" w:eastAsia="仿宋" w:cs="仿宋"/>
          <w:kern w:val="0"/>
          <w:sz w:val="24"/>
        </w:rPr>
      </w:pPr>
      <w:r>
        <w:rPr>
          <w:rFonts w:hint="eastAsia" w:ascii="仿宋" w:hAnsi="仿宋" w:eastAsia="仿宋" w:cs="仿宋"/>
          <w:kern w:val="0"/>
          <w:sz w:val="24"/>
        </w:rPr>
        <w:t xml:space="preserve">11.4.若中标供应商未在货物拆箱当天内将货物外包装清理并运离医院管理范围，违约金2000元（大写人民币贰仟圆整），在采购人支付货物款项时自动扣除。 </w:t>
      </w:r>
    </w:p>
    <w:p w14:paraId="54B3B2CD">
      <w:pPr>
        <w:rPr>
          <w:rFonts w:hint="eastAsia" w:ascii="仿宋" w:hAnsi="仿宋" w:eastAsia="仿宋" w:cs="仿宋"/>
          <w:kern w:val="0"/>
          <w:sz w:val="24"/>
        </w:rPr>
      </w:pPr>
      <w:r>
        <w:rPr>
          <w:rFonts w:hint="eastAsia" w:ascii="仿宋" w:hAnsi="仿宋" w:eastAsia="仿宋" w:cs="仿宋"/>
          <w:kern w:val="0"/>
          <w:sz w:val="24"/>
        </w:rPr>
        <w:t>11.5.在采购人发出违约索赔通知后三十日内中标供应商答复，若中标供应商未作答复，上述索赔应视为已被中标供应商接受。中标供应商应以实际损失为准，向采购人承担赔偿责任。解决争议的方法：因履行本合同导致的纠纷由双方本着诚信、友好之原则积极协商，如协商无果，可向采购人所在地人民法院提起诉讼。</w:t>
      </w:r>
    </w:p>
    <w:p w14:paraId="5AE6D19E">
      <w:pPr>
        <w:rPr>
          <w:rFonts w:hint="eastAsia" w:ascii="仿宋" w:hAnsi="仿宋" w:eastAsia="仿宋" w:cs="仿宋"/>
          <w:kern w:val="0"/>
          <w:sz w:val="24"/>
        </w:rPr>
      </w:pPr>
      <w:r>
        <w:rPr>
          <w:rFonts w:hint="eastAsia" w:ascii="仿宋" w:hAnsi="仿宋" w:eastAsia="仿宋" w:cs="仿宋"/>
          <w:kern w:val="0"/>
          <w:sz w:val="24"/>
        </w:rPr>
        <w:t>★12.质量保修范围和保修期：设备调试验收合格后</w:t>
      </w:r>
      <w:r>
        <w:rPr>
          <w:rFonts w:hint="eastAsia" w:ascii="仿宋" w:hAnsi="仿宋" w:eastAsia="仿宋" w:cs="仿宋"/>
          <w:kern w:val="0"/>
          <w:sz w:val="24"/>
          <w:lang w:val="en-US" w:eastAsia="zh-CN"/>
        </w:rPr>
        <w:t>3</w:t>
      </w:r>
      <w:r>
        <w:rPr>
          <w:rFonts w:hint="eastAsia" w:ascii="仿宋" w:hAnsi="仿宋" w:eastAsia="仿宋" w:cs="仿宋"/>
          <w:kern w:val="0"/>
          <w:sz w:val="24"/>
        </w:rPr>
        <w:t>年（具体设备有明确的质保期要求的，以具体设备的明确要求为准）。设备终身维护，软件须及时升级（软件升级费用（终身）包含本次报价中，采购人不另行支付。设备故障后3日内不能恢复正常使用的，需提供备用机或给出能继续使用的替代方案。</w:t>
      </w:r>
    </w:p>
    <w:p w14:paraId="458B7FDF">
      <w:pPr>
        <w:rPr>
          <w:rFonts w:hint="eastAsia" w:ascii="仿宋" w:hAnsi="仿宋" w:eastAsia="仿宋" w:cs="仿宋"/>
          <w:kern w:val="0"/>
          <w:sz w:val="24"/>
        </w:rPr>
      </w:pPr>
      <w:r>
        <w:rPr>
          <w:rFonts w:hint="eastAsia" w:ascii="仿宋" w:hAnsi="仿宋" w:eastAsia="仿宋" w:cs="仿宋"/>
          <w:kern w:val="0"/>
          <w:sz w:val="24"/>
        </w:rPr>
        <w:t>★13.包装方式及运输：涉及的商品包装和快递包装，均应符合《商品包装政府采购需求标准（试行）》《快递包装政府采购需求标准（试行）》的要求，包装应适应于远距离运输、防潮、防震、防锈和防野蛮装卸，以确保货物安全无损运抵指定地点。</w:t>
      </w:r>
    </w:p>
    <w:p w14:paraId="66847D8A">
      <w:pPr>
        <w:rPr>
          <w:rFonts w:hint="eastAsia" w:ascii="仿宋" w:hAnsi="仿宋" w:eastAsia="仿宋" w:cs="仿宋"/>
          <w:kern w:val="0"/>
          <w:sz w:val="24"/>
        </w:rPr>
      </w:pPr>
      <w:r>
        <w:rPr>
          <w:rFonts w:hint="eastAsia" w:ascii="仿宋" w:hAnsi="仿宋" w:eastAsia="仿宋" w:cs="仿宋"/>
          <w:kern w:val="0"/>
          <w:sz w:val="24"/>
        </w:rPr>
        <w:t>★14.验收标准和方法</w:t>
      </w:r>
    </w:p>
    <w:p w14:paraId="1CB13507">
      <w:pPr>
        <w:numPr>
          <w:ilvl w:val="0"/>
          <w:numId w:val="1"/>
        </w:numPr>
        <w:rPr>
          <w:rFonts w:hint="eastAsia" w:ascii="仿宋" w:hAnsi="仿宋" w:eastAsia="仿宋" w:cs="仿宋"/>
          <w:kern w:val="0"/>
          <w:sz w:val="24"/>
        </w:rPr>
      </w:pPr>
      <w:r>
        <w:rPr>
          <w:rFonts w:hint="eastAsia" w:ascii="仿宋" w:hAnsi="仿宋" w:eastAsia="仿宋" w:cs="仿宋"/>
          <w:kern w:val="0"/>
          <w:sz w:val="24"/>
        </w:rPr>
        <w:t>履约验收标准 （一）验收主体及组织方式：成都市第六人民医院自行验收。 （二）履约验收程序：一次性验收。 （三）履约验收时间：中标供应商提出验收申请，采购人确认同意之日起十日内组织验收。 （四）中标供应商安装、调试时须对安装场地内的其他设施、设备有良好的保护措施，验收合格前货物的所有风险由中标供应商承担。 （五）验收合格后，交付使用（如由于采购人的原因造成延迟验收的，时间顺延）。 （六）验收内容及标准：按招标文件约定的质量标准和《关于进一步加强政府采购需求和履约验收管理的指导意见》（财库[2016]205号）文件技术要求进行验收；如该约定标准有相互抵触或双方对该约定标准有异议的事项，由采购人按比较优胜的原则确定该项的约定标准进行验收。 （七）验收时若发现所交付的产品有短缺、次品、损坏或其他不符合本合同约定的质量标准者，采购人有权拒签验收合格报告，并要求中标供应商无条件更换或补齐；中标供应商应在采购人提出上述要求后十日内提供符合本合同约定的产品，由此产生的费用由中标供应商承担。若再次更换的产品仍然不符合验收要求，采购人有权拒绝验收且不执行合同。 （八）中标供应商应在验收时提供产品的合法性文件、说明产品使用、证明产品质量的所有书面文件：包括但不限于装箱单、注册证、说明书（或用户手册）、保修卡、合格证（仅国产产品提供）、报关单复印件（仅进口产品提供）、检验检疫证明（仅进口产品提供）、首次计量检定证书（计量产品）等相关资料。未能完整交付的，视为未按本合同约定交货。 （九）验收合格后，双方签署验收报告。</w:t>
      </w:r>
    </w:p>
    <w:p w14:paraId="563A8962">
      <w:pPr>
        <w:rPr>
          <w:rFonts w:hint="eastAsia" w:ascii="仿宋" w:hAnsi="仿宋" w:eastAsia="仿宋" w:cs="仿宋"/>
          <w:kern w:val="0"/>
          <w:sz w:val="24"/>
        </w:rPr>
      </w:pPr>
      <w:r>
        <w:rPr>
          <w:rFonts w:hint="eastAsia" w:ascii="仿宋" w:hAnsi="仿宋" w:eastAsia="仿宋" w:cs="仿宋"/>
          <w:kern w:val="0"/>
          <w:sz w:val="24"/>
        </w:rPr>
        <w:t>★15、其余事项以合同约定为准。</w:t>
      </w:r>
    </w:p>
    <w:p w14:paraId="4A419D15">
      <w:pPr>
        <w:rPr>
          <w:rFonts w:hint="eastAsia" w:ascii="仿宋" w:hAnsi="仿宋" w:eastAsia="仿宋" w:cs="仿宋"/>
          <w:kern w:val="0"/>
          <w:sz w:val="24"/>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1"/>
    <w:family w:val="auto"/>
    <w:pitch w:val="default"/>
    <w:sig w:usb0="E0002EFF" w:usb1="C000785B" w:usb2="00000009" w:usb3="00000000" w:csb0="400001FF" w:csb1="FFFF0000"/>
  </w:font>
  <w:font w:name="宋体">
    <w:panose1 w:val="02010600030101010101"/>
    <w:charset w:val="86"/>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方正仿宋">
    <w:altName w:val="微软雅黑"/>
    <w:panose1 w:val="00000000000000000000"/>
    <w:charset w:val="00"/>
    <w:family w:val="auto"/>
    <w:pitch w:val="default"/>
    <w:sig w:usb0="00000000" w:usb1="00000000" w:usb2="00000000" w:usb3="00000000" w:csb0="00000000" w:csb1="00000000"/>
  </w:font>
  <w:font w:name="仿宋">
    <w:panose1 w:val="02010609060101010101"/>
    <w:charset w:val="86"/>
    <w:family w:val="modern"/>
    <w:pitch w:val="default"/>
    <w:sig w:usb0="800002BF" w:usb1="38CF7CFA" w:usb2="00000016" w:usb3="00000000" w:csb0="00040001" w:csb1="00000000"/>
  </w:font>
  <w:font w:name="微软雅黑">
    <w:panose1 w:val="020B0503020204020204"/>
    <w:charset w:val="86"/>
    <w:family w:val="auto"/>
    <w:pitch w:val="default"/>
    <w:sig w:usb0="80000287" w:usb1="2ACF3C50" w:usb2="00000016" w:usb3="00000000" w:csb0="0004001F" w:csb1="00000000"/>
  </w:font>
</w:font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F5F74428"/>
    <w:multiLevelType w:val="singleLevel"/>
    <w:tmpl w:val="F5F74428"/>
    <w:lvl w:ilvl="0" w:tentative="0">
      <w:start w:val="1"/>
      <w:numFmt w:val="chineseCounting"/>
      <w:suff w:val="nothing"/>
      <w:lvlText w:val="%1、"/>
      <w:lvlJc w:val="left"/>
      <w:rPr>
        <w:rFonts w:hint="eastAsia"/>
      </w:r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60"/>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YWJmNTAxYTA0NTllZTU0OWY5NWY0MWNlMzBjNGU2OTYifQ=="/>
  </w:docVars>
  <w:rsids>
    <w:rsidRoot w:val="21CF663C"/>
    <w:rsid w:val="001A26F3"/>
    <w:rsid w:val="00321764"/>
    <w:rsid w:val="004C1DE2"/>
    <w:rsid w:val="00696191"/>
    <w:rsid w:val="00A674D5"/>
    <w:rsid w:val="0A8B4D41"/>
    <w:rsid w:val="11CA4110"/>
    <w:rsid w:val="177F6285"/>
    <w:rsid w:val="21CF663C"/>
    <w:rsid w:val="287634D4"/>
    <w:rsid w:val="5D146B37"/>
    <w:rsid w:val="61683761"/>
    <w:rsid w:val="6386541E"/>
    <w:rsid w:val="6BF9DC21"/>
    <w:rsid w:val="6DF80063"/>
    <w:rsid w:val="70DB55DC"/>
    <w:rsid w:val="7BA20B12"/>
    <w:rsid w:val="7CB621BC"/>
    <w:rsid w:val="7F8F2350"/>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heme="minorHAnsi" w:hAnsiTheme="minorHAnsi" w:eastAsiaTheme="minorEastAsia" w:cstheme="minorBidi"/>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qFormat="1" w:unhideWhenUsed="0" w:uiPriority="0" w:semiHidden="0" w:name="annotation text"/>
    <w:lsdException w:qFormat="1" w:unhideWhenUsed="0" w:uiPriority="0" w:semiHidden="0" w:name="header"/>
    <w:lsdException w:qFormat="1"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qFormat="1"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iPriority="1"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qFormat="1"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iPriority="99" w:name="Normal Table"/>
    <w:lsdException w:unhideWhenUsed="0" w:uiPriority="0" w:semiHidden="0" w:name="annotation subject"/>
    <w:lsdException w:uiPriority="0" w:name="Table Simple 1"/>
    <w:lsdException w:uiPriority="0" w:name="Table Simple 2"/>
    <w:lsdException w:uiPriority="0" w:name="Table Simple 3"/>
    <w:lsdException w:uiPriority="0" w:name="Table Classic 1"/>
    <w:lsdException w:uiPriority="0" w:name="Table Classic 2"/>
    <w:lsdException w:uiPriority="0" w:name="Table Classic 3"/>
    <w:lsdException w:uiPriority="0" w:name="Table Classic 4"/>
    <w:lsdException w:uiPriority="0" w:name="Table Colorful 1"/>
    <w:lsdException w:uiPriority="0" w:name="Table Colorful 2"/>
    <w:lsdException w:uiPriority="0" w:name="Table Colorful 3"/>
    <w:lsdException w:uiPriority="0" w:name="Table Columns 1"/>
    <w:lsdException w:uiPriority="0" w:name="Table Columns 2"/>
    <w:lsdException w:uiPriority="0" w:name="Table Columns 3"/>
    <w:lsdException w:uiPriority="0" w:name="Table Columns 4"/>
    <w:lsdException w:uiPriority="0" w:name="Table Columns 5"/>
    <w:lsdException w:uiPriority="0" w:name="Table Grid 1"/>
    <w:lsdException w:uiPriority="0" w:name="Table Grid 2"/>
    <w:lsdException w:uiPriority="0" w:name="Table Grid 3"/>
    <w:lsdException w:uiPriority="0" w:name="Table Grid 4"/>
    <w:lsdException w:uiPriority="0" w:name="Table Grid 5"/>
    <w:lsdException w:uiPriority="0" w:name="Table Grid 6"/>
    <w:lsdException w:uiPriority="0" w:name="Table Grid 7"/>
    <w:lsdException w:uiPriority="0" w:name="Table Grid 8"/>
    <w:lsdException w:uiPriority="0" w:name="Table List 1"/>
    <w:lsdException w:uiPriority="0" w:name="Table List 2"/>
    <w:lsdException w:uiPriority="0" w:name="Table List 3"/>
    <w:lsdException w:uiPriority="0" w:name="Table List 4"/>
    <w:lsdException w:uiPriority="0" w:name="Table List 5"/>
    <w:lsdException w:uiPriority="0" w:name="Table List 6"/>
    <w:lsdException w:uiPriority="0" w:name="Table List 7"/>
    <w:lsdException w:uiPriority="0" w:name="Table List 8"/>
    <w:lsdException w:uiPriority="0" w:name="Table 3D effects 1"/>
    <w:lsdException w:uiPriority="0" w:name="Table 3D effects 2"/>
    <w:lsdException w:uiPriority="0" w:name="Table 3D effects 3"/>
    <w:lsdException w:uiPriority="0" w:name="Table Contemporary"/>
    <w:lsdException w:uiPriority="0" w:name="Table Elegant"/>
    <w:lsdException w:uiPriority="0" w:name="Table Professional"/>
    <w:lsdException w:uiPriority="0" w:name="Table Subtle 1"/>
    <w:lsdException w:uiPriority="0" w:name="Table Subtle 2"/>
    <w:lsdException w:uiPriority="0" w:name="Table Web 1"/>
    <w:lsdException w:uiPriority="0" w:name="Table Web 2"/>
    <w:lsdException w:uiPriority="0" w:name="Table Web 3"/>
    <w:lsdException w:unhideWhenUsed="0" w:uiPriority="0" w:semiHidden="0" w:name="Balloon Text"/>
    <w:lsdException w:unhideWhenUsed="0" w:uiPriority="0" w:semiHidden="0" w:name="Table Grid"/>
    <w:lsdException w:uiPriority="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autoRedefine/>
    <w:qFormat/>
    <w:uiPriority w:val="0"/>
    <w:pPr>
      <w:widowControl w:val="0"/>
      <w:jc w:val="both"/>
    </w:pPr>
    <w:rPr>
      <w:rFonts w:ascii="Times New Roman" w:hAnsi="Times New Roman" w:eastAsia="方正仿宋" w:cs="Times New Roman"/>
      <w:kern w:val="2"/>
      <w:sz w:val="32"/>
      <w:szCs w:val="24"/>
      <w:lang w:val="en-US" w:eastAsia="zh-CN" w:bidi="ar-SA"/>
    </w:rPr>
  </w:style>
  <w:style w:type="character" w:default="1" w:styleId="8">
    <w:name w:val="Default Paragraph Font"/>
    <w:semiHidden/>
    <w:unhideWhenUsed/>
    <w:qFormat/>
    <w:uiPriority w:val="1"/>
  </w:style>
  <w:style w:type="table" w:default="1" w:styleId="7">
    <w:name w:val="Normal Table"/>
    <w:semiHidden/>
    <w:unhideWhenUsed/>
    <w:qFormat/>
    <w:uiPriority w:val="99"/>
    <w:tblPr>
      <w:tblCellMar>
        <w:top w:w="0" w:type="dxa"/>
        <w:left w:w="108" w:type="dxa"/>
        <w:bottom w:w="0" w:type="dxa"/>
        <w:right w:w="108" w:type="dxa"/>
      </w:tblCellMar>
    </w:tblPr>
  </w:style>
  <w:style w:type="paragraph" w:styleId="2">
    <w:name w:val="annotation text"/>
    <w:basedOn w:val="1"/>
    <w:link w:val="12"/>
    <w:autoRedefine/>
    <w:qFormat/>
    <w:uiPriority w:val="0"/>
    <w:pPr>
      <w:jc w:val="left"/>
    </w:pPr>
  </w:style>
  <w:style w:type="paragraph" w:styleId="3">
    <w:name w:val="Plain Text"/>
    <w:basedOn w:val="1"/>
    <w:qFormat/>
    <w:uiPriority w:val="0"/>
    <w:rPr>
      <w:rFonts w:ascii="宋体" w:hAnsi="Courier New" w:eastAsia="宋体"/>
      <w:sz w:val="21"/>
      <w:szCs w:val="20"/>
    </w:rPr>
  </w:style>
  <w:style w:type="paragraph" w:styleId="4">
    <w:name w:val="footer"/>
    <w:basedOn w:val="1"/>
    <w:link w:val="11"/>
    <w:qFormat/>
    <w:uiPriority w:val="0"/>
    <w:pPr>
      <w:tabs>
        <w:tab w:val="center" w:pos="4153"/>
        <w:tab w:val="right" w:pos="8306"/>
      </w:tabs>
      <w:snapToGrid w:val="0"/>
      <w:jc w:val="left"/>
    </w:pPr>
    <w:rPr>
      <w:sz w:val="18"/>
      <w:szCs w:val="18"/>
    </w:rPr>
  </w:style>
  <w:style w:type="paragraph" w:styleId="5">
    <w:name w:val="header"/>
    <w:basedOn w:val="1"/>
    <w:link w:val="10"/>
    <w:qFormat/>
    <w:uiPriority w:val="0"/>
    <w:pPr>
      <w:tabs>
        <w:tab w:val="center" w:pos="4153"/>
        <w:tab w:val="right" w:pos="8306"/>
      </w:tabs>
      <w:snapToGrid w:val="0"/>
      <w:jc w:val="center"/>
    </w:pPr>
    <w:rPr>
      <w:sz w:val="18"/>
      <w:szCs w:val="18"/>
    </w:rPr>
  </w:style>
  <w:style w:type="paragraph" w:styleId="6">
    <w:name w:val="annotation subject"/>
    <w:basedOn w:val="2"/>
    <w:next w:val="2"/>
    <w:link w:val="13"/>
    <w:uiPriority w:val="0"/>
    <w:rPr>
      <w:b/>
      <w:bCs/>
    </w:rPr>
  </w:style>
  <w:style w:type="character" w:styleId="9">
    <w:name w:val="annotation reference"/>
    <w:basedOn w:val="8"/>
    <w:qFormat/>
    <w:uiPriority w:val="0"/>
    <w:rPr>
      <w:sz w:val="21"/>
      <w:szCs w:val="21"/>
    </w:rPr>
  </w:style>
  <w:style w:type="character" w:customStyle="1" w:styleId="10">
    <w:name w:val="页眉 字符"/>
    <w:basedOn w:val="8"/>
    <w:link w:val="5"/>
    <w:qFormat/>
    <w:uiPriority w:val="0"/>
    <w:rPr>
      <w:rFonts w:ascii="Times New Roman" w:hAnsi="Times New Roman" w:eastAsia="方正仿宋" w:cs="Times New Roman"/>
      <w:kern w:val="2"/>
      <w:sz w:val="18"/>
      <w:szCs w:val="18"/>
    </w:rPr>
  </w:style>
  <w:style w:type="character" w:customStyle="1" w:styleId="11">
    <w:name w:val="页脚 字符"/>
    <w:basedOn w:val="8"/>
    <w:link w:val="4"/>
    <w:qFormat/>
    <w:uiPriority w:val="0"/>
    <w:rPr>
      <w:rFonts w:ascii="Times New Roman" w:hAnsi="Times New Roman" w:eastAsia="方正仿宋" w:cs="Times New Roman"/>
      <w:kern w:val="2"/>
      <w:sz w:val="18"/>
      <w:szCs w:val="18"/>
    </w:rPr>
  </w:style>
  <w:style w:type="character" w:customStyle="1" w:styleId="12">
    <w:name w:val="批注文字 字符"/>
    <w:basedOn w:val="8"/>
    <w:link w:val="2"/>
    <w:qFormat/>
    <w:uiPriority w:val="0"/>
    <w:rPr>
      <w:rFonts w:ascii="Times New Roman" w:hAnsi="Times New Roman" w:eastAsia="方正仿宋" w:cs="Times New Roman"/>
      <w:kern w:val="2"/>
      <w:sz w:val="32"/>
      <w:szCs w:val="24"/>
    </w:rPr>
  </w:style>
  <w:style w:type="character" w:customStyle="1" w:styleId="13">
    <w:name w:val="批注主题 字符"/>
    <w:basedOn w:val="12"/>
    <w:link w:val="6"/>
    <w:qFormat/>
    <w:uiPriority w:val="0"/>
    <w:rPr>
      <w:rFonts w:ascii="Times New Roman" w:hAnsi="Times New Roman" w:eastAsia="方正仿宋" w:cs="Times New Roman"/>
      <w:b/>
      <w:bCs/>
      <w:kern w:val="2"/>
      <w:sz w:val="32"/>
      <w:szCs w:val="24"/>
    </w:rPr>
  </w:style>
  <w:style w:type="paragraph" w:customStyle="1" w:styleId="14">
    <w:name w:val="null3"/>
    <w:autoRedefine/>
    <w:hidden/>
    <w:qFormat/>
    <w:uiPriority w:val="0"/>
    <w:rPr>
      <w:rFonts w:hint="eastAsia" w:asciiTheme="minorHAnsi" w:hAnsiTheme="minorHAnsi" w:eastAsiaTheme="minorEastAsia" w:cstheme="minorBidi"/>
      <w:lang w:val="en-US" w:eastAsia="zh-CN" w:bidi="ar-SA"/>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numbering" Target="numbering.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Template>
  <Pages>3</Pages>
  <Words>3285</Words>
  <Characters>3383</Characters>
  <Lines>31</Lines>
  <Paragraphs>8</Paragraphs>
  <TotalTime>4</TotalTime>
  <ScaleCrop>false</ScaleCrop>
  <LinksUpToDate>false</LinksUpToDate>
  <CharactersWithSpaces>3414</CharactersWithSpaces>
  <Application>WPS Office_12.1.0.17857_F1E327BC-269C-435d-A152-05C5408002CA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2024-08-02T06:18:00Z</dcterms:created>
  <dc:creator>成与诚 朱秋虹</dc:creator>
  <cp:lastModifiedBy>成与诚 朱秋虹</cp:lastModifiedBy>
  <dcterms:modified xsi:type="dcterms:W3CDTF">2024-08-28T01:56:51Z</dcterms:modified>
  <cp:revision>2</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2052-12.1.0.17857</vt:lpwstr>
  </property>
  <property fmtid="{D5CDD505-2E9C-101B-9397-08002B2CF9AE}" pid="3" name="ICV">
    <vt:lpwstr>33B7E9728CC146CF8A2A6B90D318C3FC_13</vt:lpwstr>
  </property>
</Properties>
</file>