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版本号：N510187202600008420260630002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政府性投资项目（100万元-1000万元）概算评审咨询服务采购项目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N5101872026000084</w:t>
      </w:r>
    </w:p>
    <w:p>
      <w:pPr>
        <w:pStyle w:val="null3"/>
        <w:jc w:val="left"/>
        <w:outlineLvl w:val="2"/>
      </w:pPr>
      <w:r>
        <w:rPr>
          <w:rFonts w:ascii="仿宋_GB2312" w:hAnsi="仿宋_GB2312" w:cs="仿宋_GB2312" w:eastAsia="仿宋_GB2312"/>
          <w:sz w:val="28"/>
          <w:b/>
        </w:rPr>
        <w:t>成都东部新区管理委员会经济发展局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成都东部新区管理委员会经济发展局</w:t>
      </w:r>
      <w:r>
        <w:rPr>
          <w:rFonts w:ascii="仿宋_GB2312" w:hAnsi="仿宋_GB2312" w:cs="仿宋_GB2312" w:eastAsia="仿宋_GB2312"/>
        </w:rPr>
        <w:t xml:space="preserve"> 委托，拟对 </w:t>
      </w:r>
      <w:r>
        <w:rPr>
          <w:rFonts w:ascii="仿宋_GB2312" w:hAnsi="仿宋_GB2312" w:cs="仿宋_GB2312" w:eastAsia="仿宋_GB2312"/>
        </w:rPr>
        <w:t>政府性投资项目（100万元-1000万元）概算评审咨询服务采购项目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N5101872026000084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政府性投资项目（100万元-1000万元）概算评审咨询服务采购项目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本项目共一个包，采购政府性投资项目（100万元-1000万元）概算评审咨询服务供应商1名。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联合体资格要求（描述：（1）以联合体形式参加投标的，联合体各方均应当符合《中华人民共和国政府采购法》第二十二条第一款规定的条件，并提交联合体协议，联合体家数不超过4家，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资格证明材料》。 ②因系统原因，联合体协议需线下签订并加盖各方公章，签订完成后，扫描上传并编制于第六章投标文件格式《投标人应提交的相关资格证明材料》】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 二、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成都东部新区管理委员会经济发展局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成都东部新区西部金融创新中心5栋6楼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641418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028-86360139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曾女士、唐女士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13111881710、15502826981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预算金额作为计算基数，按差额定率累进法进行计算，费率标准按以下标准下浮20%计取（服务采购项目）：预算金额100万元以下，费率1.5%；预算金额100-500万元，费率0.8%。 收款单位：四川国际招标有限责任公司 开户行：中国民生银行股份有限公司成都分行营业部 银行账号：9902001853348918 2.采购合同签订前向代理机构交纳招标代理服务费。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成都东部新区管理委员会经济发展局</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成都东部新区管理委员会经济发展局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单个委托评审项目提交成果文件后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单个委托评审项目提交成果文件后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按照本项目招标文件中“技术要求”以及中标人的投标文件进行验收。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按照本项目招标文件中“服务要求”以及中标人的投标文件进行验收。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按招标文件要求、中标人的投标文件应答及有关承诺以及合同约定标准及严格按照《财政部关于进一步加强政府采购需求和履约验收管理的指导意见》（财库〔2016〕205号）进行验收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成都东部新区管理委员会经济发展局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曾老师</w:t>
      </w:r>
    </w:p>
    <w:p>
      <w:pPr>
        <w:pStyle w:val="null3"/>
        <w:jc w:val="left"/>
      </w:pPr>
      <w:r>
        <w:rPr>
          <w:rFonts w:ascii="仿宋_GB2312" w:hAnsi="仿宋_GB2312" w:cs="仿宋_GB2312" w:eastAsia="仿宋_GB2312"/>
        </w:rPr>
        <w:t>联系电话：028-86360139</w:t>
      </w:r>
    </w:p>
    <w:p>
      <w:pPr>
        <w:pStyle w:val="null3"/>
        <w:jc w:val="left"/>
      </w:pPr>
      <w:r>
        <w:rPr>
          <w:rFonts w:ascii="仿宋_GB2312" w:hAnsi="仿宋_GB2312" w:cs="仿宋_GB2312" w:eastAsia="仿宋_GB2312"/>
        </w:rPr>
        <w:t>地址：成都东部新区西部金融创新中心5栋6楼</w:t>
      </w:r>
    </w:p>
    <w:p>
      <w:pPr>
        <w:pStyle w:val="null3"/>
        <w:jc w:val="left"/>
      </w:pPr>
      <w:r>
        <w:rPr>
          <w:rFonts w:ascii="仿宋_GB2312" w:hAnsi="仿宋_GB2312" w:cs="仿宋_GB2312" w:eastAsia="仿宋_GB2312"/>
        </w:rPr>
        <w:t>邮编：641418</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联系电话：028 -87797776分机820</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C20030900 评审咨询服务</w:t>
            </w:r>
          </w:p>
        </w:tc>
        <w:tc>
          <w:tcPr>
            <w:tcW w:type="dxa" w:w="821"/>
          </w:tcPr>
          <w:p>
            <w:pPr>
              <w:pStyle w:val="null3"/>
              <w:jc w:val="left"/>
            </w:pPr>
            <w:r>
              <w:rPr>
                <w:rFonts w:ascii="仿宋_GB2312" w:hAnsi="仿宋_GB2312" w:cs="仿宋_GB2312" w:eastAsia="仿宋_GB2312"/>
              </w:rPr>
              <w:t>概算评审咨询服务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概算评审咨询服务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统一折扣</w:t>
            </w:r>
          </w:p>
        </w:tc>
        <w:tc>
          <w:tcPr>
            <w:tcW w:type="dxa" w:w="1466"/>
          </w:tcPr>
          <w:p>
            <w:pPr>
              <w:pStyle w:val="null3"/>
              <w:jc w:val="left"/>
            </w:pPr>
            <w:r>
              <w:rPr>
                <w:rFonts w:ascii="仿宋_GB2312" w:hAnsi="仿宋_GB2312" w:cs="仿宋_GB2312" w:eastAsia="仿宋_GB2312"/>
              </w:rPr>
              <w:t>本项目报价要求为统一折扣，否则投标无效（统一折扣的定义：如单价最高限价为 10元的产品减到8．0 元叫 8折，统一折扣就是80%=0.8)。即：单个委托评审项目费用结算金额=《成都市政府投资项目评审中心评审咨询服务费用计取标准（2026年版）》中评审基本费用×考核系数×投标时的统一折扣。</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标的名称：概算评审咨询服务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after="165"/>
              <w:jc w:val="both"/>
            </w:pPr>
            <w:r>
              <w:rPr>
                <w:rFonts w:ascii="仿宋_GB2312" w:hAnsi="仿宋_GB2312" w:cs="仿宋_GB2312" w:eastAsia="仿宋_GB2312"/>
                <w:sz w:val="24"/>
              </w:rPr>
              <w:t>1.供应商应独立、客观、公正、科学地开展评审咨询工作，并承担相应的法律责任。接受采购人监督管理，按时完成评审任务，对不符合评审质量要求或违反廉政纪律的，采购人单位有权按照成都东部新区经济发展局《评审机构造价咨询类项目单项评价表》（详见附件-成都东部新区经济发展局造价咨询项目单项评价表）扣减相应服务费用或终止其协作评审资格。</w:t>
            </w:r>
          </w:p>
          <w:p>
            <w:pPr>
              <w:pStyle w:val="null3"/>
              <w:spacing w:after="165"/>
              <w:jc w:val="both"/>
            </w:pPr>
            <w:r>
              <w:rPr>
                <w:rFonts w:ascii="仿宋_GB2312" w:hAnsi="仿宋_GB2312" w:cs="仿宋_GB2312" w:eastAsia="仿宋_GB2312"/>
                <w:sz w:val="24"/>
              </w:rPr>
              <w:t>2.对总投资100万元（含）至1000万元（不含）的政府性投资项目初步设计概算进行评审。送审项目涉及</w:t>
            </w:r>
            <w:r>
              <w:rPr>
                <w:rFonts w:ascii="仿宋_GB2312" w:hAnsi="仿宋_GB2312" w:cs="仿宋_GB2312" w:eastAsia="仿宋_GB2312"/>
                <w:sz w:val="24"/>
                <w:b/>
              </w:rPr>
              <w:t>房建</w:t>
            </w:r>
            <w:r>
              <w:rPr>
                <w:rFonts w:ascii="仿宋_GB2312" w:hAnsi="仿宋_GB2312" w:cs="仿宋_GB2312" w:eastAsia="仿宋_GB2312"/>
                <w:sz w:val="24"/>
                <w:b/>
              </w:rPr>
              <w:t>、公路、市政、水利等专业。</w:t>
            </w:r>
          </w:p>
          <w:p>
            <w:pPr>
              <w:pStyle w:val="null3"/>
              <w:spacing w:after="165"/>
              <w:jc w:val="both"/>
            </w:pPr>
            <w:r>
              <w:rPr>
                <w:rFonts w:ascii="仿宋_GB2312" w:hAnsi="仿宋_GB2312" w:cs="仿宋_GB2312" w:eastAsia="仿宋_GB2312"/>
                <w:sz w:val="24"/>
              </w:rPr>
              <w:t>3.供应商应为本项目配置固定的管理和作业团队，包括但不限于项目负责人、专业技术人员。</w:t>
            </w:r>
          </w:p>
          <w:p>
            <w:pPr>
              <w:pStyle w:val="null3"/>
              <w:spacing w:after="165"/>
              <w:jc w:val="both"/>
            </w:pPr>
            <w:r>
              <w:rPr>
                <w:rFonts w:ascii="仿宋_GB2312" w:hAnsi="仿宋_GB2312" w:cs="仿宋_GB2312" w:eastAsia="仿宋_GB2312"/>
                <w:sz w:val="24"/>
              </w:rPr>
              <w:t>4.供应商如与送审单位或其委托的咨询服务单位等有按照相关法律法规、行业规定应当回避的情形或者存在其他影响或可能影响评审公平、公正的情形，不得接受对应项目委托并应当主动向采购人书面说明。</w:t>
            </w:r>
            <w:r>
              <w:rPr>
                <w:rFonts w:ascii="仿宋_GB2312" w:hAnsi="仿宋_GB2312" w:cs="仿宋_GB2312" w:eastAsia="仿宋_GB2312"/>
                <w:sz w:val="24"/>
                <w:b/>
              </w:rPr>
              <w:t>（投标时提供承诺函，格式自拟）</w:t>
            </w:r>
          </w:p>
          <w:p>
            <w:pPr>
              <w:pStyle w:val="null3"/>
              <w:spacing w:after="165"/>
              <w:jc w:val="both"/>
            </w:pPr>
            <w:r>
              <w:rPr>
                <w:rFonts w:ascii="仿宋_GB2312" w:hAnsi="仿宋_GB2312" w:cs="仿宋_GB2312" w:eastAsia="仿宋_GB2312"/>
                <w:sz w:val="24"/>
              </w:rPr>
              <w:t>5.保密要求：未经采购人同意，供应商不得外泄相关成果，否则承担相应的法律责任。</w:t>
            </w:r>
          </w:p>
          <w:p>
            <w:pPr>
              <w:pStyle w:val="null3"/>
              <w:spacing w:after="165"/>
              <w:jc w:val="both"/>
            </w:pPr>
            <w:r>
              <w:rPr>
                <w:rFonts w:ascii="仿宋_GB2312" w:hAnsi="仿宋_GB2312" w:cs="仿宋_GB2312" w:eastAsia="仿宋_GB2312"/>
                <w:sz w:val="24"/>
              </w:rPr>
              <w:t>6.质量要求：</w:t>
            </w:r>
          </w:p>
          <w:p>
            <w:pPr>
              <w:pStyle w:val="null3"/>
              <w:spacing w:after="165"/>
              <w:jc w:val="left"/>
            </w:pPr>
            <w:r>
              <w:rPr>
                <w:rFonts w:ascii="仿宋_GB2312" w:hAnsi="仿宋_GB2312" w:cs="仿宋_GB2312" w:eastAsia="仿宋_GB2312"/>
                <w:sz w:val="24"/>
              </w:rPr>
              <w:t>（1）根据项目实际情况，对需现场踏勘的项目开展踏勘工作，了解项目概况；</w:t>
            </w:r>
          </w:p>
          <w:p>
            <w:pPr>
              <w:pStyle w:val="null3"/>
              <w:spacing w:after="165"/>
              <w:jc w:val="left"/>
            </w:pPr>
            <w:r>
              <w:rPr>
                <w:rFonts w:ascii="仿宋_GB2312" w:hAnsi="仿宋_GB2312" w:cs="仿宋_GB2312" w:eastAsia="仿宋_GB2312"/>
                <w:sz w:val="24"/>
              </w:rPr>
              <w:t>（2）将送审概算与可研进行对比分析，分析差异并确定评审重点；</w:t>
            </w:r>
          </w:p>
          <w:p>
            <w:pPr>
              <w:pStyle w:val="null3"/>
              <w:spacing w:after="165"/>
              <w:jc w:val="left"/>
            </w:pPr>
            <w:r>
              <w:rPr>
                <w:rFonts w:ascii="仿宋_GB2312" w:hAnsi="仿宋_GB2312" w:cs="仿宋_GB2312" w:eastAsia="仿宋_GB2312"/>
                <w:sz w:val="24"/>
              </w:rPr>
              <w:t>（3）全面开展概算评审工作,对概算工程量进行全面计算并复核，对定额套用(含概算指标) 进行全面复核，对措施费、材料价格等进行全面复核，对工程建设其他费用、预备费、建设期贷款利息等进行全面复核，各类专项进行调研，确保准确性；</w:t>
            </w:r>
          </w:p>
          <w:p>
            <w:pPr>
              <w:pStyle w:val="null3"/>
              <w:spacing w:after="165"/>
              <w:jc w:val="left"/>
            </w:pPr>
            <w:r>
              <w:rPr>
                <w:rFonts w:ascii="仿宋_GB2312" w:hAnsi="仿宋_GB2312" w:cs="仿宋_GB2312" w:eastAsia="仿宋_GB2312"/>
                <w:sz w:val="24"/>
              </w:rPr>
              <w:t>（4）对初步设计概算阶段的设计图纸、方案提出优化意见、节约成本的建议；</w:t>
            </w:r>
          </w:p>
          <w:p>
            <w:pPr>
              <w:pStyle w:val="null3"/>
              <w:spacing w:after="165"/>
              <w:jc w:val="left"/>
            </w:pPr>
            <w:r>
              <w:rPr>
                <w:rFonts w:ascii="仿宋_GB2312" w:hAnsi="仿宋_GB2312" w:cs="仿宋_GB2312" w:eastAsia="仿宋_GB2312"/>
                <w:sz w:val="24"/>
              </w:rPr>
              <w:t>（5）评审初稿形成后将评审概算与送审概算、可研进行对比分析，分析差异原因，确定合理的概算投资;</w:t>
            </w:r>
          </w:p>
          <w:p>
            <w:pPr>
              <w:pStyle w:val="null3"/>
              <w:jc w:val="left"/>
            </w:pPr>
            <w:r>
              <w:rPr>
                <w:rFonts w:ascii="仿宋_GB2312" w:hAnsi="仿宋_GB2312" w:cs="仿宋_GB2312" w:eastAsia="仿宋_GB2312"/>
                <w:sz w:val="24"/>
              </w:rPr>
              <w:t>（6）向采购人提交初步设计概算评审全套成果资料，包括但不限于评审报告及附件、软件版评审成果。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各审核项目履约时间：由采购人根据各项目的情况在委托任务时提出具体要求。在接件后5个工作日内提交初稿，提交初稿后10个工作日内完成项目评审工作（此处的完成是指向采购人提交正式的评审报告），如项目情况特殊、技术特别复杂的项目，中标供应商可向采购人申请延长履约时间并说明理由，采购人同意后可以延长履约时间。</w:t>
            </w:r>
          </w:p>
          <w:p>
            <w:pPr>
              <w:pStyle w:val="null3"/>
              <w:jc w:val="left"/>
            </w:pPr>
            <w:r>
              <w:rPr>
                <w:rFonts w:ascii="仿宋_GB2312" w:hAnsi="仿宋_GB2312" w:cs="仿宋_GB2312" w:eastAsia="仿宋_GB2312"/>
                <w:sz w:val="24"/>
              </w:rPr>
              <w:t>2、每个项目均须向采购人提交成果文件的纸质报告及电子文档，同时将项目全部过程资料与最终成果资料整理刻录为一张光盘，随成果文件一并提交。</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both"/>
            </w:pPr>
            <w:r>
              <w:rPr>
                <w:rFonts w:ascii="仿宋_GB2312" w:hAnsi="仿宋_GB2312" w:cs="仿宋_GB2312" w:eastAsia="仿宋_GB2312"/>
                <w:sz w:val="24"/>
                <w:b/>
              </w:rPr>
              <w:t>【因一体化系统固化，3.3.2.商务要求中的付款进度安排不适用本项目，供应商应答“付款进度安排”时，可仅应答本条要求即可，对于3.3.2商务要求中“付款进度安排”要求不适用本项目，应答不作强制要求】</w:t>
            </w:r>
          </w:p>
          <w:p>
            <w:pPr>
              <w:pStyle w:val="null3"/>
              <w:jc w:val="both"/>
            </w:pPr>
            <w:r>
              <w:rPr>
                <w:rFonts w:ascii="仿宋_GB2312" w:hAnsi="仿宋_GB2312" w:cs="仿宋_GB2312" w:eastAsia="仿宋_GB2312"/>
                <w:sz w:val="24"/>
              </w:rPr>
              <w:t>1、采购人在合同年度内对评审项目数量进行据实结算，每季度支付一次费用，对应季度执行项目经采购人验收合格后中标人向采购人提供合法有效发票后10个工作日内支付该季度费用。单个委托评审项目费用结算金额=《成都市政府投资项目评审中心评审咨询服务费用计取标准（2026年版）》中评审基本费用×考核系数×投标时的统一折扣。</w:t>
            </w:r>
          </w:p>
          <w:p>
            <w:pPr>
              <w:pStyle w:val="null3"/>
              <w:jc w:val="both"/>
            </w:pPr>
            <w:r>
              <w:rPr>
                <w:rFonts w:ascii="仿宋_GB2312" w:hAnsi="仿宋_GB2312" w:cs="仿宋_GB2312" w:eastAsia="仿宋_GB2312"/>
                <w:sz w:val="24"/>
              </w:rPr>
              <w:t>2、报价要求：参照按《成都市政府投资项目评审中心评审咨询服务费用计取标准（2026年版）》进行统一折扣报价。</w:t>
            </w:r>
          </w:p>
          <w:p>
            <w:pPr>
              <w:pStyle w:val="null3"/>
              <w:jc w:val="left"/>
            </w:pPr>
            <w:r>
              <w:rPr>
                <w:rFonts w:ascii="仿宋_GB2312" w:hAnsi="仿宋_GB2312" w:cs="仿宋_GB2312" w:eastAsia="仿宋_GB2312"/>
                <w:sz w:val="24"/>
              </w:rPr>
              <w:t>3、中标供应商在服务期间，可能因国家政策变化或其他原因导致无具体业务执行，采购人不保证中标供应商的具体业务量，均按实际发生业务结算。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1.本项目服务期限为：签订合同之日起至2027年1月19日止。 2.中标人与采购人签订首期评审协作合同，双方按照合同共同承担合同规定的义务和权利。 3.供应商一年内累计两次未按时完成服务项目或质量不合格的，不再对其进行服务的委托，采购人有权单方面解除合同。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成都东部新区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（注：由于系统固化，若与2.6.6履约验收方案有冲突的，以此处为准） 一、验收组织方式：自行验收 二、是否邀请本项目的其他供应商：否 三、是否邀请专家：否 四、是否邀请服务对象：否 五、是否邀请第三方检测机构：否 六、履约验收程序：分期验收 七、履约验收时间：单个委托评审项目提交成果文件后10日内验收 八、验收组织的其他事项：无 九、技术履约验收内容：按照本项目招标文件中“技术要求”以及中标人投标文件进行验收 十、商务履约验收内容：按照本项目招标文件中“服务要求”以及中标人投标文件进行验收 十一、履约验收标准：按招标文件要求、中标人投标文件应答及有关承诺以及合同约定标准及严格按照《财政部关于进一步加强政府采购需求和履约验收管理的指导意见》（财库〔2016〕205号）进行验收 十二、履约验收其他事项： 无</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采购人在合同年度内对评审项目数量进行据实结算，每季度支付一次费用，对应季度执行项目经采购人验收合格后中标人向采购人提供合法有效发票后，达到付款条件起10个工作日内，据实情况为支付该季度费用。单个委托评审项目费用结算金额=《成都市政府投资项目评审中心评审咨询服务费用计取标准（2026年版）》中评审基本费用×考核系数×投标时的统一折扣。</w:t>
            </w:r>
            <w:r>
              <w:br/>
            </w:r>
            <w:r>
              <w:rPr>
                <w:rFonts w:ascii="仿宋_GB2312" w:hAnsi="仿宋_GB2312" w:cs="仿宋_GB2312" w:eastAsia="仿宋_GB2312"/>
              </w:rPr>
              <w:t>2、</w:t>
            </w:r>
            <w:r>
              <w:rPr>
                <w:rFonts w:ascii="仿宋_GB2312" w:hAnsi="仿宋_GB2312" w:cs="仿宋_GB2312" w:eastAsia="仿宋_GB2312"/>
              </w:rPr>
              <w:t>自定义，采购人在合同年度内对评审项目数量进行据实结算，每季度支付一次费用，对应季度执行项目经采购人验收合格后中标人向采购人提供合法有效发票后，达到付款条件起10个工作日内，据实情况为支付该季度费用。单个委托评审项目费用结算金额=《成都市政府投资项目评审中心评审咨询服务费用计取标准（2026年版）》中评审基本费用×考核系数×投标时的统一折扣。</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【因系统固化，本条仅作告知说明，供应商无需单独应答】1.未载明或者载明的标的名称、数量、计量单位及其他政府采购合同实质性内容与采购文件要求不一-致，且采购单位无法接受的，属于无效响应。 2.供应商按照附件-《成都市政府投资项目评审中心评审咨询服务费用计取标准（2026年版）》进行报价即可，供应商无需单独应答此附件。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如供应商以联合体形式参加的，联合体各方均应满足以上资格要求，提供对应证明材料〔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联合体资格要求</w:t>
            </w:r>
          </w:p>
        </w:tc>
        <w:tc>
          <w:tcPr>
            <w:tcW w:type="dxa" w:w="3322"/>
          </w:tcPr>
          <w:p>
            <w:pPr>
              <w:pStyle w:val="null3"/>
              <w:jc w:val="left"/>
            </w:pPr>
            <w:r>
              <w:rPr>
                <w:rFonts w:ascii="仿宋_GB2312" w:hAnsi="仿宋_GB2312" w:cs="仿宋_GB2312" w:eastAsia="仿宋_GB2312"/>
              </w:rPr>
              <w:t>（1）以联合体形式参加投标的，联合体各方均应当符合《中华人民共和国政府采购法》第二十二条第一款规定的条件，并提交联合体协议，联合体家数不超过4家，载明联合体各方承担的工作和相应的责任。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资格证明材料》。 ②因系统原因，联合体协议需线下签订并加盖各方公章，签订完成后，扫描上传并编制于第六章投标文件格式《投标人应提交的相关资格证明材料》】 （2）联合体中有同类资质的供应商按照联合体分工承担相同工作的，应当按照资质等级较低的供应商确定资质等级。 （3）同一个包内联合体各方不得再单独参加或者与其他供应商另外组成联合体参加同一合同项下的政府采购活动。）</w:t>
            </w:r>
          </w:p>
        </w:tc>
        <w:tc>
          <w:tcPr>
            <w:tcW w:type="dxa" w:w="1661"/>
          </w:tcPr>
          <w:p>
            <w:pPr>
              <w:pStyle w:val="null3"/>
              <w:jc w:val="left"/>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投标人认为需要提供的其他证明材料,技术、服务要求应答表,报价表,投标（响应）函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投标人认为需要提供的其他证明材料,技术、服务要求应答表,报价表,投标（响应）函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因系统固化原因，本项序号1的具体标准和要求不适用本项目，以此为准】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投标人认为需要提供的其他证明材料,投标（响应）函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供应商针对本项目提供评审实施方案，应包括：①评审目标；②评审团队组建；③工作内容分配；④工作流程；⑤评审准备、评审方法；⑥评审时间安排及评审质量控制；⑦保密管理、档案管理；⑧廉政措施；⑨成果文件整理；⑩应急管理措施；完整提供以上10项内容的得46分，每缺少一项内容扣4.6分，每有一处内容存在缺陷的扣2.3分，每项最多扣4.6分。 注：缺陷是指存在项目名称错误、地点区域错误、内容与本项目需求无关、方案内容矛盾、仅有框架或标题、适用的标准（方法）错误、明显复制其他项目内容等任意一种情形。 【编制于第六章投标文件格式-《服务方案》】</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1.投标人（或联合体成员）具有2024年1月1日（含）至递交投标文件截止时间止完成的政府性投资项目评审类似业绩（业绩类别：房屋建筑类），每具有一个符合要求的业绩得1分，本项最高得5分。 2.投标人（或联合体成员）具有2024年1月1日（含）至递交投标文件截止时间止完成的政府性投资项目评审类似业绩【业绩类别市政类（道桥类）】，每具有一个符合要求的业绩得1分，本项最高得5分。 3.投标人（或联合体成员）具有2024年1月1日（含）至递交投标文件截止时间止完成的政府性投资项目评审类似业绩（业绩类别：水利类），每具有一个符合要求的业绩得1分，本项最高得5分。 4.投标人（或联合体成员）具有2024年1月1日（含）至递交投标文件截止时间止完成的政府性投资项目评审类似业绩（业绩类别：公路类），每具有一个符合要求的业绩得1分，本项最高得5分。 注： ①以上文件须提供扫描件并加盖投标人印章。投标人若为联合体时，须加盖联合体牵头人及相应业绩成员印章； ②若多个单位参与完成同一项目概算评审，每个单位可分别计算业绩。 ③业绩认定要件为：体现项目业绩的合同（协议）或委托单位证明文件，以上文件须提供扫描件并加盖投标人印章。业绩时间以成果文件出具时间为准。【编制于第六章投标文件格式-《投标人认为需要提供的其他证明材料》】</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专业技术力量</w:t>
            </w:r>
          </w:p>
        </w:tc>
        <w:tc>
          <w:tcPr>
            <w:tcW w:type="dxa" w:w="2575"/>
          </w:tcPr>
          <w:p>
            <w:pPr>
              <w:pStyle w:val="null3"/>
              <w:jc w:val="left"/>
            </w:pPr>
            <w:r>
              <w:rPr>
                <w:rFonts w:ascii="仿宋_GB2312" w:hAnsi="仿宋_GB2312" w:cs="仿宋_GB2312" w:eastAsia="仿宋_GB2312"/>
              </w:rPr>
              <w:t>1、项目负责人（12分）： 拟派本项目的项目负责人须具备以下条件： 投标人或每个联合体成员至少派项目负责人1人，项目负责人总人数≤4人。每个项目负责人均须具有一级造价工程师注册证书（土建或水利工程或安装或交通运输中的任意两个或两个以上专业）的得4分。每个项目负责人具有副高级技术职称的加0.5分，具有正高级技术职称的加1分，最多加4分。拟派本项目的项目负责人中，每有一个2024年1月1日（含）至递交投标文件截止时间止负责的类似业绩的加0.5分，最多加4分。（注：此业绩与履约能力中提供的业绩不可重复计分。） 2、专业技术人员（12分）： 拟派本项目的专业技术人员（不包括项目负责人）须满足以下条件：具有一级造价工程师注册证书总人数≥10人。以10人为基准，每增加1人具有一级造价工程师注册证书（土建或水利工程或安装或交通运输中的任意一个或一个以上专业）的加1分，最多加6分。每具有1名中级及以上技术职称的加1分，最多加6分。本项最高得12分。 注：以上各类具有注册证书的人员须注册在投标人单位，并提供以下相应证明材料： ①投标人单位（或联合体成员单位）与其签订的劳动合同扫描件（法定代表人除外）加盖投标人印章； ②一级造价工程师注册证书认定要件为：提供有效期内相关注册证书扫描件和“全国建筑市场监管公共服务平台”或住建部、水利部、交通运输部等对应专业主管部门官网查询有效的截图并加盖投标人印章； ③职称认定要件为：提供职称证扫描件加盖投标人印章； ④类似业绩是指：本项目相应专业的政府性投资项目概算（调整概算）评审业绩，包括但不限于房屋建筑类、市政类（道桥类）、水利类、公路类 ； ⑤ 投标人若为联合体时，须加盖联合体牵头人及相应成员印章。 ⑥以上人员可以重复得分。 【编制于第六章投标文件格式-《投标人认为需要提供的其他证明材料》】</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满足招标文件要求且响应价格最低的响应报价为基准价，其价格分为满分。其他供应商的价格分统一按照下列公式计算：报价得分=(基准价／投标报价)*10%*100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详见附件：投标人认为需要提供的其他证明材料</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