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39F36">
      <w:pPr>
        <w:autoSpaceDE w:val="0"/>
        <w:autoSpaceDN w:val="0"/>
        <w:adjustRightInd w:val="0"/>
        <w:spacing w:line="360" w:lineRule="auto"/>
        <w:jc w:val="center"/>
        <w:outlineLvl w:val="0"/>
        <w:rPr>
          <w:b/>
          <w:sz w:val="24"/>
        </w:rPr>
      </w:pPr>
      <w:r>
        <w:rPr>
          <w:b/>
          <w:kern w:val="0"/>
          <w:sz w:val="36"/>
          <w:szCs w:val="36"/>
        </w:rPr>
        <w:t>项目需求</w:t>
      </w:r>
    </w:p>
    <w:p w14:paraId="1B2E945F">
      <w:pPr>
        <w:pStyle w:val="5"/>
        <w:rPr>
          <w:rFonts w:ascii="Times New Roman" w:hAnsi="Times New Roman"/>
        </w:rPr>
      </w:pPr>
    </w:p>
    <w:p w14:paraId="3D5F781F"/>
    <w:p w14:paraId="536C8EAC">
      <w:pPr>
        <w:tabs>
          <w:tab w:val="left" w:pos="1560"/>
        </w:tabs>
        <w:adjustRightInd w:val="0"/>
        <w:snapToGrid w:val="0"/>
        <w:jc w:val="center"/>
        <w:rPr>
          <w:rFonts w:hint="eastAsia"/>
          <w:b/>
          <w:sz w:val="30"/>
          <w:szCs w:val="30"/>
        </w:rPr>
      </w:pPr>
      <w:r>
        <w:rPr>
          <w:b/>
          <w:sz w:val="30"/>
          <w:szCs w:val="30"/>
        </w:rPr>
        <w:t>一、货物需求一览表</w:t>
      </w:r>
    </w:p>
    <w:p w14:paraId="643ADB9A">
      <w:pPr>
        <w:pStyle w:val="6"/>
        <w:rPr>
          <w:rFonts w:ascii="Times New Roman" w:hAnsi="Times New Roman"/>
        </w:rPr>
      </w:pPr>
    </w:p>
    <w:p w14:paraId="64BC312C">
      <w:pPr>
        <w:pStyle w:val="6"/>
        <w:rPr>
          <w:rFonts w:hint="eastAsia" w:ascii="Times New Roman" w:hAnsi="Times New Roman"/>
        </w:rPr>
      </w:pPr>
    </w:p>
    <w:tbl>
      <w:tblPr>
        <w:tblStyle w:val="7"/>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51"/>
        <w:gridCol w:w="1887"/>
        <w:gridCol w:w="1701"/>
        <w:gridCol w:w="2551"/>
        <w:gridCol w:w="2168"/>
      </w:tblGrid>
      <w:tr w14:paraId="3F0E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63" w:hRule="atLeast"/>
          <w:jc w:val="center"/>
        </w:trPr>
        <w:tc>
          <w:tcPr>
            <w:tcW w:w="851" w:type="dxa"/>
            <w:noWrap w:val="0"/>
            <w:vAlign w:val="center"/>
          </w:tcPr>
          <w:p w14:paraId="58B104EB">
            <w:pPr>
              <w:jc w:val="center"/>
              <w:rPr>
                <w:sz w:val="24"/>
              </w:rPr>
            </w:pPr>
            <w:r>
              <w:rPr>
                <w:sz w:val="24"/>
              </w:rPr>
              <w:t>包号</w:t>
            </w:r>
          </w:p>
        </w:tc>
        <w:tc>
          <w:tcPr>
            <w:tcW w:w="1887" w:type="dxa"/>
            <w:noWrap w:val="0"/>
            <w:vAlign w:val="center"/>
          </w:tcPr>
          <w:p w14:paraId="29CF8BC0">
            <w:pPr>
              <w:jc w:val="center"/>
              <w:rPr>
                <w:sz w:val="24"/>
              </w:rPr>
            </w:pPr>
            <w:r>
              <w:rPr>
                <w:sz w:val="24"/>
              </w:rPr>
              <w:t>货物名称</w:t>
            </w:r>
          </w:p>
        </w:tc>
        <w:tc>
          <w:tcPr>
            <w:tcW w:w="1701" w:type="dxa"/>
            <w:noWrap w:val="0"/>
            <w:vAlign w:val="center"/>
          </w:tcPr>
          <w:p w14:paraId="27D3C4AE">
            <w:pPr>
              <w:jc w:val="center"/>
              <w:rPr>
                <w:sz w:val="24"/>
              </w:rPr>
            </w:pPr>
            <w:r>
              <w:rPr>
                <w:sz w:val="24"/>
              </w:rPr>
              <w:t>数量</w:t>
            </w:r>
          </w:p>
        </w:tc>
        <w:tc>
          <w:tcPr>
            <w:tcW w:w="2551" w:type="dxa"/>
            <w:noWrap w:val="0"/>
            <w:vAlign w:val="center"/>
          </w:tcPr>
          <w:p w14:paraId="20321F8B">
            <w:pPr>
              <w:jc w:val="center"/>
              <w:rPr>
                <w:sz w:val="24"/>
              </w:rPr>
            </w:pPr>
            <w:r>
              <w:rPr>
                <w:sz w:val="24"/>
              </w:rPr>
              <w:t>交货期</w:t>
            </w:r>
          </w:p>
        </w:tc>
        <w:tc>
          <w:tcPr>
            <w:tcW w:w="2168" w:type="dxa"/>
            <w:noWrap w:val="0"/>
            <w:vAlign w:val="center"/>
          </w:tcPr>
          <w:p w14:paraId="333652FE">
            <w:pPr>
              <w:jc w:val="center"/>
              <w:rPr>
                <w:sz w:val="24"/>
              </w:rPr>
            </w:pPr>
            <w:r>
              <w:rPr>
                <w:sz w:val="24"/>
              </w:rPr>
              <w:t>交付地点</w:t>
            </w:r>
          </w:p>
        </w:tc>
      </w:tr>
      <w:tr w14:paraId="4B325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80" w:hRule="atLeast"/>
          <w:jc w:val="center"/>
        </w:trPr>
        <w:tc>
          <w:tcPr>
            <w:tcW w:w="851" w:type="dxa"/>
            <w:noWrap w:val="0"/>
            <w:vAlign w:val="center"/>
          </w:tcPr>
          <w:p w14:paraId="67FC18A5">
            <w:pPr>
              <w:jc w:val="center"/>
              <w:rPr>
                <w:sz w:val="24"/>
              </w:rPr>
            </w:pPr>
            <w:r>
              <w:rPr>
                <w:sz w:val="24"/>
              </w:rPr>
              <w:t>1</w:t>
            </w:r>
          </w:p>
        </w:tc>
        <w:tc>
          <w:tcPr>
            <w:tcW w:w="1887" w:type="dxa"/>
            <w:noWrap w:val="0"/>
            <w:vAlign w:val="center"/>
          </w:tcPr>
          <w:p w14:paraId="75DD6FB0">
            <w:pPr>
              <w:jc w:val="center"/>
              <w:rPr>
                <w:rFonts w:hint="eastAsia"/>
                <w:bCs/>
                <w:sz w:val="24"/>
              </w:rPr>
            </w:pPr>
            <w:r>
              <w:rPr>
                <w:rFonts w:hint="eastAsia"/>
                <w:bCs/>
                <w:sz w:val="24"/>
              </w:rPr>
              <w:t>高温带材电流角度依赖测试系统</w:t>
            </w:r>
          </w:p>
        </w:tc>
        <w:tc>
          <w:tcPr>
            <w:tcW w:w="1701" w:type="dxa"/>
            <w:noWrap w:val="0"/>
            <w:vAlign w:val="center"/>
          </w:tcPr>
          <w:p w14:paraId="79DF3388">
            <w:pPr>
              <w:jc w:val="center"/>
              <w:rPr>
                <w:kern w:val="0"/>
                <w:sz w:val="24"/>
              </w:rPr>
            </w:pPr>
            <w:r>
              <w:rPr>
                <w:rFonts w:hint="eastAsia"/>
                <w:kern w:val="0"/>
                <w:sz w:val="24"/>
              </w:rPr>
              <w:t>1套</w:t>
            </w:r>
          </w:p>
        </w:tc>
        <w:tc>
          <w:tcPr>
            <w:tcW w:w="2551" w:type="dxa"/>
            <w:noWrap w:val="0"/>
            <w:vAlign w:val="center"/>
          </w:tcPr>
          <w:p w14:paraId="48F8FD53">
            <w:pPr>
              <w:jc w:val="center"/>
              <w:rPr>
                <w:rFonts w:hint="eastAsia"/>
                <w:kern w:val="0"/>
                <w:sz w:val="24"/>
                <w:highlight w:val="none"/>
              </w:rPr>
            </w:pPr>
            <w:r>
              <w:rPr>
                <w:rFonts w:hint="eastAsia" w:ascii="宋体" w:hAnsi="宋体" w:cs="宋体"/>
                <w:kern w:val="0"/>
                <w:sz w:val="24"/>
                <w:highlight w:val="none"/>
              </w:rPr>
              <w:t>合同签订后的18个月内交货</w:t>
            </w:r>
          </w:p>
        </w:tc>
        <w:tc>
          <w:tcPr>
            <w:tcW w:w="2168" w:type="dxa"/>
            <w:noWrap w:val="0"/>
            <w:vAlign w:val="center"/>
          </w:tcPr>
          <w:p w14:paraId="208004CD">
            <w:pPr>
              <w:jc w:val="center"/>
              <w:rPr>
                <w:sz w:val="24"/>
                <w:highlight w:val="none"/>
              </w:rPr>
            </w:pPr>
            <w:bookmarkStart w:id="0" w:name="_Hlk148629753"/>
            <w:r>
              <w:rPr>
                <w:rFonts w:hint="eastAsia" w:ascii="宋体" w:hAnsi="宋体" w:cs="宋体"/>
                <w:kern w:val="0"/>
                <w:sz w:val="24"/>
                <w:highlight w:val="none"/>
              </w:rPr>
              <w:t>中国科学院电工研究所用户指定地点</w:t>
            </w:r>
            <w:bookmarkEnd w:id="0"/>
          </w:p>
        </w:tc>
      </w:tr>
    </w:tbl>
    <w:p w14:paraId="3E0B0CDC">
      <w:pPr>
        <w:pStyle w:val="5"/>
        <w:rPr>
          <w:rFonts w:ascii="Times New Roman" w:hAnsi="Times New Roman"/>
        </w:rPr>
      </w:pPr>
    </w:p>
    <w:p w14:paraId="29E0EB9F">
      <w:pPr>
        <w:spacing w:line="360" w:lineRule="auto"/>
        <w:rPr>
          <w:szCs w:val="21"/>
        </w:rPr>
      </w:pPr>
      <w:r>
        <w:rPr>
          <w:sz w:val="24"/>
        </w:rPr>
        <w:t>注：</w:t>
      </w:r>
      <w:r>
        <w:rPr>
          <w:rFonts w:hint="eastAsia"/>
          <w:sz w:val="24"/>
        </w:rPr>
        <w:t>本项目共一个包，</w:t>
      </w:r>
      <w:r>
        <w:rPr>
          <w:sz w:val="24"/>
        </w:rPr>
        <w:t>投标人须对上述投标内容中完整的一包进行</w:t>
      </w:r>
      <w:r>
        <w:rPr>
          <w:rFonts w:hint="eastAsia"/>
          <w:sz w:val="24"/>
        </w:rPr>
        <w:t>投标</w:t>
      </w:r>
      <w:r>
        <w:rPr>
          <w:sz w:val="24"/>
        </w:rPr>
        <w:t>响应，不完整的投标将视为非响应性投标予以拒绝。</w:t>
      </w:r>
    </w:p>
    <w:p w14:paraId="44974061">
      <w:pPr>
        <w:adjustRightInd w:val="0"/>
        <w:snapToGrid w:val="0"/>
        <w:rPr>
          <w:szCs w:val="21"/>
        </w:rPr>
      </w:pPr>
    </w:p>
    <w:p w14:paraId="1BFCDD28">
      <w:pPr>
        <w:pStyle w:val="6"/>
      </w:pPr>
      <w:r>
        <w:br w:type="page"/>
      </w:r>
    </w:p>
    <w:p w14:paraId="688B7138">
      <w:pPr>
        <w:tabs>
          <w:tab w:val="left" w:pos="720"/>
        </w:tabs>
        <w:adjustRightInd w:val="0"/>
        <w:snapToGrid w:val="0"/>
        <w:jc w:val="center"/>
        <w:rPr>
          <w:b/>
          <w:sz w:val="32"/>
          <w:szCs w:val="32"/>
        </w:rPr>
      </w:pPr>
      <w:r>
        <w:rPr>
          <w:b/>
          <w:sz w:val="32"/>
          <w:szCs w:val="32"/>
        </w:rPr>
        <w:t>二、总则</w:t>
      </w:r>
    </w:p>
    <w:p w14:paraId="5B64B3E6">
      <w:pPr>
        <w:spacing w:before="156" w:beforeLines="50" w:after="156" w:afterLines="50" w:line="360" w:lineRule="auto"/>
        <w:ind w:left="601" w:hanging="601"/>
        <w:rPr>
          <w:b/>
          <w:sz w:val="28"/>
        </w:rPr>
      </w:pPr>
      <w:r>
        <w:rPr>
          <w:b/>
          <w:sz w:val="28"/>
        </w:rPr>
        <w:t>1、投标要求</w:t>
      </w:r>
    </w:p>
    <w:p w14:paraId="0E2557EE">
      <w:pPr>
        <w:spacing w:line="360" w:lineRule="auto"/>
        <w:ind w:left="554" w:hanging="554" w:hangingChars="231"/>
        <w:rPr>
          <w:sz w:val="24"/>
        </w:rPr>
      </w:pPr>
      <w:r>
        <w:rPr>
          <w:sz w:val="24"/>
        </w:rPr>
        <w:t>1.1  供应商在准备投标文件时，务必在所提供的商品的技术规格文件中，标明型号、商标名称、目录号。</w:t>
      </w:r>
    </w:p>
    <w:p w14:paraId="6E9DEB7F">
      <w:pPr>
        <w:spacing w:line="360" w:lineRule="auto"/>
        <w:ind w:left="554" w:hanging="554" w:hangingChars="231"/>
        <w:rPr>
          <w:sz w:val="24"/>
        </w:rPr>
      </w:pPr>
      <w:r>
        <w:rPr>
          <w:sz w:val="24"/>
        </w:rPr>
        <w:t xml:space="preserve">1.2  </w:t>
      </w:r>
      <w:r>
        <w:rPr>
          <w:b/>
          <w:bCs/>
          <w:sz w:val="24"/>
        </w:rPr>
        <w:t>供应商提供的货物须是成熟的全新的产品</w:t>
      </w:r>
      <w:r>
        <w:rPr>
          <w:sz w:val="24"/>
        </w:rPr>
        <w:t>，其技术规格应符合采购文件的要求。如与采购文件的技术规格有偏差，应提供技术规格偏差的量值或说明（偏离表）。如供应商有意隐瞒对规格要求的偏差或在开标后提出新的偏差，采购人有权拒绝其投标。</w:t>
      </w:r>
    </w:p>
    <w:p w14:paraId="39883C0C">
      <w:pPr>
        <w:spacing w:line="360" w:lineRule="auto"/>
        <w:ind w:left="554" w:hanging="554" w:hangingChars="231"/>
        <w:rPr>
          <w:sz w:val="24"/>
        </w:rPr>
      </w:pPr>
      <w:r>
        <w:rPr>
          <w:sz w:val="24"/>
        </w:rPr>
        <w:t>1.3  供应商提供的产品样本，必须是“原件”而非复印件，图表、简图、电路图以及印刷电路板图等都应清晰易读。采购人有权不付任何附加费用复制这些资料以供参考。</w:t>
      </w:r>
    </w:p>
    <w:p w14:paraId="7C546716">
      <w:pPr>
        <w:spacing w:line="360" w:lineRule="auto"/>
        <w:ind w:left="554" w:hanging="554" w:hangingChars="231"/>
        <w:rPr>
          <w:sz w:val="24"/>
        </w:rPr>
      </w:pPr>
      <w:r>
        <w:rPr>
          <w:sz w:val="24"/>
        </w:rPr>
        <w:t>1.4  供应商的投标产品应符合国家有关部门规定的相应技术、节能、安全和环保标准；如国家有关部门对供应商的投标产品有强制性规定或要求的，则供应商的投标产品必须符合相应规定或要求。</w:t>
      </w:r>
    </w:p>
    <w:p w14:paraId="5265DB1C">
      <w:pPr>
        <w:spacing w:before="156" w:beforeLines="50" w:after="156" w:afterLines="50" w:line="360" w:lineRule="auto"/>
        <w:ind w:left="601" w:hanging="601"/>
        <w:rPr>
          <w:b/>
          <w:sz w:val="28"/>
        </w:rPr>
      </w:pPr>
      <w:r>
        <w:rPr>
          <w:b/>
          <w:sz w:val="28"/>
        </w:rPr>
        <w:t>2、评标标准</w:t>
      </w:r>
    </w:p>
    <w:p w14:paraId="481B5AFA">
      <w:pPr>
        <w:spacing w:line="360" w:lineRule="auto"/>
        <w:ind w:left="554" w:hanging="554" w:hangingChars="231"/>
        <w:rPr>
          <w:sz w:val="24"/>
        </w:rPr>
      </w:pPr>
      <w:r>
        <w:rPr>
          <w:sz w:val="24"/>
        </w:rPr>
        <w:t>2.1  除采购文件中指定的附件和专用工具外，供应商应提供货物的正常运行和常规保养所需的全套标准附件、专用工具和消耗品。供应商在投标书中需列出这些附件和工具的数量和单价的清单，这些附件和工具的报价的总值需计入投标价中。</w:t>
      </w:r>
    </w:p>
    <w:p w14:paraId="0E1748FC">
      <w:pPr>
        <w:spacing w:line="360" w:lineRule="auto"/>
        <w:ind w:left="554" w:hanging="554" w:hangingChars="231"/>
        <w:rPr>
          <w:sz w:val="24"/>
        </w:rPr>
      </w:pPr>
      <w:r>
        <w:rPr>
          <w:sz w:val="24"/>
        </w:rPr>
        <w:t>2.2  对于标书技术规范中已列出的作为查询选件的附件、零配件、专用工具和消耗品，投标文件中应列明其数量、单价、总价供采购人参考。供应商也可推荐采购人没有要求的附件或专用工具作为选件，并列明其数量、单价、总价供采购人参考。选件价格不计入评标价中。</w:t>
      </w:r>
    </w:p>
    <w:p w14:paraId="07566FD4">
      <w:pPr>
        <w:spacing w:line="360" w:lineRule="auto"/>
        <w:ind w:left="554" w:hanging="554" w:hangingChars="231"/>
        <w:rPr>
          <w:sz w:val="24"/>
        </w:rPr>
      </w:pPr>
      <w:r>
        <w:rPr>
          <w:sz w:val="24"/>
        </w:rPr>
        <w:t>2.3  为便于用户进行接收</w:t>
      </w:r>
      <w:r>
        <w:rPr>
          <w:rFonts w:hint="eastAsia"/>
          <w:sz w:val="24"/>
        </w:rPr>
        <w:t>货物</w:t>
      </w:r>
      <w:r>
        <w:rPr>
          <w:sz w:val="24"/>
        </w:rPr>
        <w:t>的准备工作，供应商应在合同生效后</w:t>
      </w:r>
      <w:r>
        <w:rPr>
          <w:b/>
          <w:sz w:val="24"/>
        </w:rPr>
        <w:t>60</w:t>
      </w:r>
      <w:r>
        <w:rPr>
          <w:sz w:val="24"/>
        </w:rPr>
        <w:t>天内向用户提供一套完整的使用说明书、操作手册、维修及安装说明等文件。另一套完整上述资料应在交货时随货包装提供给用户，这些费用应计入投标价中。</w:t>
      </w:r>
    </w:p>
    <w:p w14:paraId="10506FF9">
      <w:pPr>
        <w:spacing w:line="360" w:lineRule="auto"/>
        <w:ind w:left="554" w:hanging="554" w:hangingChars="231"/>
        <w:rPr>
          <w:sz w:val="24"/>
        </w:rPr>
      </w:pPr>
      <w:r>
        <w:rPr>
          <w:sz w:val="24"/>
        </w:rPr>
        <w:t>2.4  关于货物的安装调试，如果有必要的安装准备条件，供应商应在合同生效后一个月内向采购人提出详细的要求或计划。安装调试的费用应计入投标价中，并应单独列出，供评标使用。</w:t>
      </w:r>
    </w:p>
    <w:p w14:paraId="7272E483">
      <w:pPr>
        <w:spacing w:line="360" w:lineRule="auto"/>
        <w:ind w:left="554" w:hanging="554" w:hangingChars="231"/>
        <w:rPr>
          <w:sz w:val="24"/>
        </w:rPr>
      </w:pPr>
      <w:r>
        <w:rPr>
          <w:sz w:val="24"/>
        </w:rPr>
        <w:t>2.5  制造厂家提供的培训指的是涉及货物的基本原理、操作使用和保养维修等有关内容的培训。培训教员的培训费、旅费、食宿费等费用和培训场地费及培训资料费均应由供应商支付。</w:t>
      </w:r>
    </w:p>
    <w:p w14:paraId="2D1A56F7">
      <w:pPr>
        <w:spacing w:line="360" w:lineRule="auto"/>
        <w:ind w:left="554" w:hanging="554" w:hangingChars="231"/>
        <w:rPr>
          <w:sz w:val="24"/>
        </w:rPr>
      </w:pPr>
      <w:r>
        <w:rPr>
          <w:sz w:val="24"/>
        </w:rPr>
        <w:t>2.6  在评标过程中，采购人有权向供应商索取任何与评标有关的资料，供应商务必在接到此类要求后，在规定时间内予以答复。对于无答复的供应商，采购人有权拒绝其投标。</w:t>
      </w:r>
    </w:p>
    <w:p w14:paraId="61C085FF">
      <w:pPr>
        <w:spacing w:before="156" w:beforeLines="50" w:after="156" w:afterLines="50" w:line="360" w:lineRule="auto"/>
        <w:ind w:left="601" w:hanging="601"/>
        <w:rPr>
          <w:b/>
          <w:sz w:val="28"/>
        </w:rPr>
      </w:pPr>
      <w:r>
        <w:rPr>
          <w:b/>
          <w:sz w:val="28"/>
        </w:rPr>
        <w:t>3、工作条件</w:t>
      </w:r>
    </w:p>
    <w:p w14:paraId="75B97510">
      <w:pPr>
        <w:spacing w:after="312" w:afterLines="100" w:line="360" w:lineRule="auto"/>
        <w:rPr>
          <w:sz w:val="24"/>
        </w:rPr>
      </w:pPr>
      <w:r>
        <w:rPr>
          <w:sz w:val="24"/>
        </w:rPr>
        <w:t>除非在技术规格中另有说明，所有</w:t>
      </w:r>
      <w:r>
        <w:rPr>
          <w:rFonts w:hint="eastAsia"/>
          <w:sz w:val="24"/>
        </w:rPr>
        <w:t>产品</w:t>
      </w:r>
      <w:r>
        <w:rPr>
          <w:sz w:val="24"/>
        </w:rPr>
        <w:t xml:space="preserve">、货物和系统都应符合下列要求： </w:t>
      </w:r>
    </w:p>
    <w:p w14:paraId="731B90D3">
      <w:pPr>
        <w:spacing w:line="360" w:lineRule="auto"/>
        <w:ind w:left="601" w:hanging="601"/>
        <w:rPr>
          <w:rFonts w:ascii="宋体" w:hAnsi="宋体"/>
          <w:sz w:val="24"/>
        </w:rPr>
      </w:pPr>
      <w:r>
        <w:rPr>
          <w:rFonts w:hint="eastAsia" w:ascii="宋体" w:hAnsi="宋体"/>
          <w:sz w:val="24"/>
        </w:rPr>
        <w:t>3.1  适于在气温为摄氏</w:t>
      </w:r>
      <w:r>
        <w:rPr>
          <w:rFonts w:hint="eastAsia" w:ascii="宋体" w:hAnsi="宋体"/>
          <w:b/>
          <w:sz w:val="24"/>
        </w:rPr>
        <w:t>-40℃～＋50℃</w:t>
      </w:r>
      <w:r>
        <w:rPr>
          <w:rFonts w:hint="eastAsia" w:ascii="宋体" w:hAnsi="宋体"/>
          <w:sz w:val="24"/>
        </w:rPr>
        <w:t>和相对湿度为</w:t>
      </w:r>
      <w:r>
        <w:rPr>
          <w:rFonts w:hint="eastAsia" w:ascii="宋体" w:hAnsi="宋体"/>
          <w:b/>
          <w:sz w:val="24"/>
        </w:rPr>
        <w:t>90％</w:t>
      </w:r>
      <w:r>
        <w:rPr>
          <w:rFonts w:hint="eastAsia" w:ascii="宋体" w:hAnsi="宋体"/>
          <w:sz w:val="24"/>
        </w:rPr>
        <w:t>的环境条件下运输和贮存。</w:t>
      </w:r>
    </w:p>
    <w:p w14:paraId="0A639772">
      <w:pPr>
        <w:spacing w:line="360" w:lineRule="auto"/>
        <w:ind w:left="601" w:hanging="601"/>
        <w:rPr>
          <w:rFonts w:hint="eastAsia" w:ascii="宋体" w:hAnsi="宋体"/>
          <w:sz w:val="24"/>
        </w:rPr>
      </w:pPr>
      <w:r>
        <w:rPr>
          <w:rFonts w:hint="eastAsia" w:ascii="宋体" w:hAnsi="宋体"/>
          <w:sz w:val="24"/>
        </w:rPr>
        <w:t>3.2  适于在电源</w:t>
      </w:r>
      <w:r>
        <w:rPr>
          <w:rFonts w:hint="eastAsia" w:ascii="宋体" w:hAnsi="宋体"/>
          <w:b/>
          <w:sz w:val="24"/>
        </w:rPr>
        <w:t>220V（</w:t>
      </w:r>
      <w:r>
        <w:rPr>
          <w:rFonts w:ascii="宋体" w:hAnsi="宋体"/>
          <w:b/>
          <w:sz w:val="24"/>
        </w:rPr>
        <w:t>±</w:t>
      </w:r>
      <w:r>
        <w:rPr>
          <w:rFonts w:hint="eastAsia" w:ascii="宋体" w:hAnsi="宋体"/>
          <w:b/>
          <w:sz w:val="24"/>
        </w:rPr>
        <w:t>10％）/50Hz</w:t>
      </w:r>
      <w:r>
        <w:rPr>
          <w:rFonts w:hint="eastAsia" w:ascii="宋体" w:hAnsi="宋体"/>
          <w:sz w:val="24"/>
        </w:rPr>
        <w:t>、气温摄氏</w:t>
      </w:r>
      <w:r>
        <w:rPr>
          <w:rFonts w:hint="eastAsia" w:ascii="宋体" w:hAnsi="宋体"/>
          <w:b/>
          <w:sz w:val="24"/>
        </w:rPr>
        <w:t>+15℃～＋30℃</w:t>
      </w:r>
      <w:r>
        <w:rPr>
          <w:rFonts w:hint="eastAsia" w:ascii="宋体" w:hAnsi="宋体"/>
          <w:sz w:val="24"/>
        </w:rPr>
        <w:t>和相对湿度小于</w:t>
      </w:r>
      <w:r>
        <w:rPr>
          <w:rFonts w:hint="eastAsia" w:ascii="宋体" w:hAnsi="宋体"/>
          <w:b/>
          <w:sz w:val="24"/>
        </w:rPr>
        <w:t>80％</w:t>
      </w:r>
      <w:r>
        <w:rPr>
          <w:rFonts w:hint="eastAsia" w:ascii="宋体" w:hAnsi="宋体"/>
          <w:sz w:val="24"/>
        </w:rPr>
        <w:t>的环境条件下连续稳定运行。</w:t>
      </w:r>
    </w:p>
    <w:p w14:paraId="336125E7">
      <w:pPr>
        <w:spacing w:line="360" w:lineRule="auto"/>
        <w:ind w:left="601" w:hanging="601"/>
        <w:rPr>
          <w:rFonts w:hint="eastAsia" w:ascii="宋体" w:hAnsi="宋体"/>
          <w:sz w:val="24"/>
        </w:rPr>
      </w:pPr>
      <w:r>
        <w:rPr>
          <w:rFonts w:hint="eastAsia" w:ascii="宋体" w:hAnsi="宋体"/>
          <w:sz w:val="24"/>
        </w:rPr>
        <w:t>3.3  适于在高频电力电子货物复杂电磁环境条件下连续稳定运行。</w:t>
      </w:r>
    </w:p>
    <w:p w14:paraId="55A527AC">
      <w:pPr>
        <w:spacing w:line="360" w:lineRule="auto"/>
        <w:ind w:left="601" w:hanging="601"/>
        <w:rPr>
          <w:rFonts w:hint="eastAsia" w:ascii="宋体" w:hAnsi="宋体"/>
          <w:sz w:val="24"/>
        </w:rPr>
      </w:pPr>
      <w:r>
        <w:rPr>
          <w:rFonts w:hint="eastAsia" w:ascii="宋体" w:hAnsi="宋体"/>
          <w:sz w:val="24"/>
        </w:rPr>
        <w:t>3.4  配置符合中国有关标准要求的插头，如果没有这样的插头，则需提供适当的转换插座。</w:t>
      </w:r>
    </w:p>
    <w:p w14:paraId="13F9E5CA">
      <w:pPr>
        <w:spacing w:line="360" w:lineRule="auto"/>
        <w:ind w:left="601" w:hanging="601"/>
        <w:rPr>
          <w:rFonts w:hint="eastAsia" w:ascii="宋体" w:hAnsi="宋体"/>
          <w:sz w:val="24"/>
        </w:rPr>
      </w:pPr>
      <w:r>
        <w:rPr>
          <w:rFonts w:hint="eastAsia" w:ascii="宋体" w:hAnsi="宋体"/>
          <w:sz w:val="24"/>
        </w:rPr>
        <w:t>3.5  如产品达不到上述要求，供应商应注明其偏差。如货物需要特殊工作条件（如水、电源、磁场强度、温度、湿度、动强度等）供应商应在投标书中加以说明。</w:t>
      </w:r>
    </w:p>
    <w:p w14:paraId="13E509EA">
      <w:pPr>
        <w:spacing w:before="156" w:beforeLines="50" w:after="156" w:afterLines="50" w:line="360" w:lineRule="auto"/>
        <w:ind w:left="601" w:hanging="601"/>
        <w:rPr>
          <w:b/>
          <w:sz w:val="28"/>
        </w:rPr>
      </w:pPr>
      <w:r>
        <w:rPr>
          <w:b/>
          <w:sz w:val="28"/>
        </w:rPr>
        <w:t>4、验收标准</w:t>
      </w:r>
    </w:p>
    <w:p w14:paraId="022EF479">
      <w:pPr>
        <w:spacing w:after="156" w:afterLines="50" w:line="360" w:lineRule="auto"/>
        <w:rPr>
          <w:sz w:val="24"/>
        </w:rPr>
      </w:pPr>
      <w:r>
        <w:rPr>
          <w:sz w:val="24"/>
        </w:rPr>
        <w:t xml:space="preserve">除非在具体要求中另有说明，所有货物按下列要求进行验收： </w:t>
      </w:r>
    </w:p>
    <w:p w14:paraId="35B3EB4C">
      <w:pPr>
        <w:spacing w:line="360" w:lineRule="auto"/>
        <w:ind w:left="554" w:hanging="554" w:hangingChars="231"/>
        <w:rPr>
          <w:sz w:val="24"/>
        </w:rPr>
      </w:pPr>
      <w:r>
        <w:rPr>
          <w:sz w:val="24"/>
        </w:rPr>
        <w:t>4.1  货物运抵安装现场后，采购人将与供应商共同开箱验收, 如供应商届时不派人来, 则验收结果应以采购人的验收报告为最终验收结果。验收时发现短缺、破损, 采购人有权要求供应商负责更换。</w:t>
      </w:r>
    </w:p>
    <w:p w14:paraId="0D4982FD">
      <w:pPr>
        <w:spacing w:line="360" w:lineRule="auto"/>
        <w:ind w:left="554" w:hanging="554" w:hangingChars="231"/>
        <w:rPr>
          <w:sz w:val="24"/>
        </w:rPr>
      </w:pPr>
      <w:r>
        <w:rPr>
          <w:sz w:val="24"/>
        </w:rPr>
        <w:t>4.2  验收标准以中标人提供的投标文件中所列的指标为准（该指标应不低于采购文件所要求的指标）。任何虚假指标响应一经发现即作废标，供应商必须承担由此给采购人带来的一切经济损失和其它相关责任。</w:t>
      </w:r>
    </w:p>
    <w:p w14:paraId="55E09E22">
      <w:pPr>
        <w:spacing w:line="360" w:lineRule="auto"/>
        <w:ind w:left="554" w:hanging="554" w:hangingChars="231"/>
        <w:rPr>
          <w:sz w:val="24"/>
        </w:rPr>
      </w:pPr>
      <w:r>
        <w:rPr>
          <w:sz w:val="24"/>
        </w:rPr>
        <w:t>4.3  验收由采购人、中标人及相关人员依国家有关标准、合同及有关附件要求进行，验收完毕由采购人及中标人在验收报告上签名。</w:t>
      </w:r>
    </w:p>
    <w:p w14:paraId="7C778B86">
      <w:pPr>
        <w:pStyle w:val="6"/>
      </w:pPr>
    </w:p>
    <w:p w14:paraId="59E2A7E5">
      <w:pPr>
        <w:spacing w:line="360" w:lineRule="auto"/>
        <w:ind w:left="410" w:hanging="410" w:hangingChars="170"/>
        <w:rPr>
          <w:b/>
          <w:sz w:val="24"/>
        </w:rPr>
      </w:pPr>
      <w:r>
        <w:rPr>
          <w:b/>
          <w:sz w:val="24"/>
        </w:rPr>
        <w:t>5、本具体要求中标注“</w:t>
      </w:r>
      <w:r>
        <w:rPr>
          <w:rFonts w:ascii="Segoe UI Symbol" w:hAnsi="Segoe UI Symbol" w:cs="Segoe UI Symbol"/>
          <w:b/>
          <w:sz w:val="24"/>
        </w:rPr>
        <w:t>★</w:t>
      </w:r>
      <w:r>
        <w:rPr>
          <w:b/>
          <w:sz w:val="24"/>
        </w:rPr>
        <w:t>”号的为实质性要求，不满足其投标将被拒绝。</w:t>
      </w:r>
    </w:p>
    <w:p w14:paraId="5380B266">
      <w:pPr>
        <w:pStyle w:val="6"/>
      </w:pPr>
    </w:p>
    <w:p w14:paraId="61D4D7BB">
      <w:pPr>
        <w:spacing w:line="360" w:lineRule="auto"/>
        <w:rPr>
          <w:b/>
          <w:sz w:val="24"/>
        </w:rPr>
      </w:pPr>
      <w:r>
        <w:rPr>
          <w:b/>
          <w:sz w:val="24"/>
        </w:rPr>
        <w:t>6、如在具体要求中有本总则不一致之处，以具体要求中的要求内容为准。</w:t>
      </w:r>
    </w:p>
    <w:p w14:paraId="2FC8C89C">
      <w:pPr>
        <w:pStyle w:val="6"/>
      </w:pPr>
      <w:r>
        <w:br w:type="page"/>
      </w:r>
      <w:bookmarkStart w:id="1" w:name="_Hlk148688652"/>
    </w:p>
    <w:p w14:paraId="1428C5C8">
      <w:pPr>
        <w:widowControl/>
        <w:snapToGrid w:val="0"/>
        <w:spacing w:line="360" w:lineRule="auto"/>
        <w:jc w:val="center"/>
        <w:rPr>
          <w:b/>
          <w:sz w:val="32"/>
          <w:szCs w:val="32"/>
        </w:rPr>
      </w:pPr>
      <w:bookmarkStart w:id="2" w:name="_Hlk152079560"/>
      <w:r>
        <w:rPr>
          <w:rFonts w:hint="eastAsia"/>
          <w:b/>
          <w:sz w:val="32"/>
          <w:szCs w:val="32"/>
        </w:rPr>
        <w:t>三、</w:t>
      </w:r>
      <w:r>
        <w:rPr>
          <w:b/>
          <w:sz w:val="32"/>
          <w:szCs w:val="32"/>
        </w:rPr>
        <w:t>具体要求：</w:t>
      </w:r>
    </w:p>
    <w:p w14:paraId="597641D6">
      <w:pPr>
        <w:rPr>
          <w:rFonts w:hint="eastAsia"/>
        </w:rPr>
      </w:pPr>
    </w:p>
    <w:p w14:paraId="04E64A69">
      <w:pPr>
        <w:widowControl/>
        <w:snapToGrid w:val="0"/>
        <w:spacing w:line="360" w:lineRule="auto"/>
        <w:jc w:val="center"/>
        <w:rPr>
          <w:rFonts w:hint="eastAsia"/>
          <w:b/>
          <w:sz w:val="28"/>
          <w:szCs w:val="28"/>
        </w:rPr>
      </w:pPr>
      <w:r>
        <w:rPr>
          <w:rFonts w:hint="eastAsia"/>
          <w:b/>
          <w:sz w:val="28"/>
          <w:szCs w:val="28"/>
        </w:rPr>
        <w:t>第一包：高温带材电流角度依赖测试系统</w:t>
      </w:r>
    </w:p>
    <w:p w14:paraId="393998BB">
      <w:pPr>
        <w:rPr>
          <w:rFonts w:hint="eastAsia"/>
        </w:rPr>
      </w:pPr>
    </w:p>
    <w:bookmarkEnd w:id="1"/>
    <w:bookmarkEnd w:id="2"/>
    <w:p w14:paraId="27976152">
      <w:pPr>
        <w:pStyle w:val="2"/>
        <w:ind w:left="0" w:firstLine="0" w:firstLineChars="0"/>
        <w:rPr>
          <w:rFonts w:ascii="宋体"/>
          <w:b/>
          <w:sz w:val="24"/>
        </w:rPr>
      </w:pPr>
      <w:r>
        <w:rPr>
          <w:rFonts w:hint="eastAsia" w:ascii="宋体"/>
          <w:b/>
          <w:sz w:val="24"/>
        </w:rPr>
        <w:t>1、工作条件：</w:t>
      </w:r>
    </w:p>
    <w:p w14:paraId="1D081E6C">
      <w:pPr>
        <w:pStyle w:val="2"/>
        <w:ind w:firstLine="4" w:firstLineChars="2"/>
        <w:rPr>
          <w:rFonts w:hint="eastAsia" w:ascii="宋体" w:eastAsia="宋体"/>
          <w:sz w:val="24"/>
          <w:szCs w:val="24"/>
        </w:rPr>
      </w:pPr>
      <w:r>
        <w:rPr>
          <w:rFonts w:hint="eastAsia" w:ascii="宋体" w:eastAsia="宋体"/>
          <w:sz w:val="24"/>
          <w:szCs w:val="24"/>
        </w:rPr>
        <w:t>除非在技术规格中另有说明，所有仪器、设备和系统都应符合下列要求：</w:t>
      </w:r>
    </w:p>
    <w:p w14:paraId="04C416AC">
      <w:pPr>
        <w:pStyle w:val="2"/>
        <w:ind w:firstLine="4" w:firstLineChars="2"/>
        <w:rPr>
          <w:rFonts w:hint="eastAsia" w:ascii="宋体" w:eastAsia="宋体"/>
          <w:sz w:val="24"/>
          <w:szCs w:val="24"/>
        </w:rPr>
      </w:pPr>
      <w:r>
        <w:rPr>
          <w:rFonts w:hint="eastAsia" w:ascii="宋体" w:eastAsia="宋体"/>
          <w:sz w:val="24"/>
          <w:szCs w:val="24"/>
        </w:rPr>
        <w:t>1）安装地点：室内布置</w:t>
      </w:r>
    </w:p>
    <w:p w14:paraId="3C4CCC74">
      <w:pPr>
        <w:pStyle w:val="2"/>
        <w:ind w:firstLine="4" w:firstLineChars="2"/>
        <w:rPr>
          <w:rFonts w:hint="eastAsia" w:ascii="宋体" w:eastAsia="宋体"/>
          <w:sz w:val="24"/>
          <w:szCs w:val="24"/>
        </w:rPr>
      </w:pPr>
      <w:r>
        <w:rPr>
          <w:rFonts w:hint="eastAsia" w:ascii="宋体" w:eastAsia="宋体"/>
          <w:sz w:val="24"/>
          <w:szCs w:val="24"/>
        </w:rPr>
        <w:t>2）适于在电源380V（</w:t>
      </w:r>
      <w:r>
        <w:rPr>
          <w:rFonts w:hint="eastAsia" w:ascii="宋体" w:eastAsia="宋体"/>
          <w:sz w:val="24"/>
          <w:szCs w:val="24"/>
        </w:rPr>
        <w:sym w:font="Symbol" w:char="F0B1"/>
      </w:r>
      <w:r>
        <w:rPr>
          <w:rFonts w:hint="eastAsia" w:ascii="宋体" w:eastAsia="宋体"/>
          <w:sz w:val="24"/>
          <w:szCs w:val="24"/>
        </w:rPr>
        <w:t>10％）/50Hz、220V（</w:t>
      </w:r>
      <w:r>
        <w:rPr>
          <w:rFonts w:hint="eastAsia" w:ascii="宋体" w:eastAsia="宋体"/>
          <w:sz w:val="24"/>
          <w:szCs w:val="24"/>
        </w:rPr>
        <w:sym w:font="Symbol" w:char="F0B1"/>
      </w:r>
      <w:r>
        <w:rPr>
          <w:rFonts w:hint="eastAsia" w:ascii="宋体" w:eastAsia="宋体"/>
          <w:sz w:val="24"/>
          <w:szCs w:val="24"/>
        </w:rPr>
        <w:t>10％）/50Hz下连续正常工作。</w:t>
      </w:r>
    </w:p>
    <w:p w14:paraId="6BF7DAA4">
      <w:pPr>
        <w:pStyle w:val="2"/>
        <w:ind w:firstLine="4" w:firstLineChars="2"/>
        <w:rPr>
          <w:rFonts w:hint="eastAsia" w:ascii="宋体" w:eastAsia="宋体"/>
          <w:sz w:val="24"/>
          <w:szCs w:val="24"/>
        </w:rPr>
      </w:pPr>
      <w:r>
        <w:rPr>
          <w:rFonts w:hint="eastAsia" w:ascii="宋体" w:eastAsia="宋体"/>
          <w:sz w:val="24"/>
          <w:szCs w:val="24"/>
        </w:rPr>
        <w:t>3）配置符合中国有关标准要求的插头，如果没有这样的插头，则需提供适当的转换插座。</w:t>
      </w:r>
    </w:p>
    <w:p w14:paraId="1408AFA6">
      <w:pPr>
        <w:pStyle w:val="2"/>
        <w:ind w:firstLine="4" w:firstLineChars="2"/>
        <w:rPr>
          <w:rFonts w:ascii="宋体"/>
          <w:sz w:val="24"/>
        </w:rPr>
      </w:pPr>
    </w:p>
    <w:p w14:paraId="3F52899E">
      <w:pPr>
        <w:widowControl/>
        <w:snapToGrid w:val="0"/>
        <w:spacing w:line="360" w:lineRule="auto"/>
        <w:rPr>
          <w:rFonts w:hint="eastAsia" w:ascii="宋体" w:hAnsi="宋体"/>
          <w:b/>
          <w:sz w:val="24"/>
        </w:rPr>
      </w:pPr>
      <w:r>
        <w:rPr>
          <w:rFonts w:ascii="宋体" w:hAnsi="宋体"/>
          <w:b/>
          <w:sz w:val="24"/>
        </w:rPr>
        <w:t>2</w:t>
      </w:r>
      <w:r>
        <w:rPr>
          <w:rFonts w:hint="eastAsia" w:ascii="宋体" w:hAnsi="宋体"/>
          <w:b/>
          <w:sz w:val="24"/>
        </w:rPr>
        <w:t>、</w:t>
      </w:r>
      <w:r>
        <w:rPr>
          <w:rFonts w:ascii="宋体" w:hAnsi="宋体"/>
          <w:b/>
          <w:sz w:val="24"/>
        </w:rPr>
        <w:t>设备用途说明：</w:t>
      </w:r>
    </w:p>
    <w:p w14:paraId="73AFDD06">
      <w:pPr>
        <w:widowControl/>
        <w:snapToGrid w:val="0"/>
        <w:spacing w:line="360" w:lineRule="auto"/>
        <w:ind w:firstLine="480" w:firstLineChars="200"/>
        <w:rPr>
          <w:rFonts w:hint="eastAsia" w:ascii="宋体" w:hAnsi="宋体"/>
          <w:sz w:val="24"/>
        </w:rPr>
      </w:pPr>
      <w:r>
        <w:rPr>
          <w:rFonts w:hint="eastAsia" w:ascii="宋体" w:hAnsi="宋体"/>
          <w:sz w:val="24"/>
        </w:rPr>
        <w:t>主要用于测试不同温度、不同磁场强度、不同磁场角度、不同应变下高温超导带材的临界电流特性。</w:t>
      </w:r>
    </w:p>
    <w:p w14:paraId="476AA78E"/>
    <w:p w14:paraId="5019F2CA">
      <w:pPr>
        <w:widowControl/>
        <w:tabs>
          <w:tab w:val="left" w:pos="8010"/>
        </w:tabs>
        <w:snapToGrid w:val="0"/>
        <w:spacing w:line="360" w:lineRule="auto"/>
        <w:rPr>
          <w:b/>
          <w:sz w:val="24"/>
        </w:rPr>
      </w:pPr>
      <w:r>
        <w:rPr>
          <w:b/>
          <w:sz w:val="24"/>
        </w:rPr>
        <w:t>3</w:t>
      </w:r>
      <w:r>
        <w:rPr>
          <w:rFonts w:hint="eastAsia"/>
          <w:b/>
          <w:sz w:val="24"/>
        </w:rPr>
        <w:t>、</w:t>
      </w:r>
      <w:r>
        <w:rPr>
          <w:b/>
          <w:sz w:val="24"/>
        </w:rPr>
        <w:t>技术要求及参数</w:t>
      </w:r>
      <w:r>
        <w:rPr>
          <w:rFonts w:hint="eastAsia"/>
          <w:b/>
          <w:sz w:val="24"/>
        </w:rPr>
        <w:t>：</w:t>
      </w:r>
    </w:p>
    <w:p w14:paraId="0CAA5FD4">
      <w:pPr>
        <w:pStyle w:val="2"/>
        <w:ind w:firstLine="4" w:firstLineChars="2"/>
        <w:rPr>
          <w:rFonts w:hint="eastAsia" w:ascii="宋体" w:eastAsia="宋体"/>
          <w:sz w:val="24"/>
          <w:szCs w:val="24"/>
        </w:rPr>
      </w:pPr>
      <w:r>
        <w:rPr>
          <w:rFonts w:hint="eastAsia" w:ascii="宋体" w:eastAsia="宋体"/>
          <w:sz w:val="24"/>
          <w:szCs w:val="24"/>
        </w:rPr>
        <w:t>3.1 磁体系统技术要求</w:t>
      </w:r>
    </w:p>
    <w:p w14:paraId="23BCF992">
      <w:pPr>
        <w:pStyle w:val="2"/>
        <w:ind w:firstLine="4" w:firstLineChars="2"/>
        <w:rPr>
          <w:rFonts w:hint="eastAsia" w:ascii="宋体" w:eastAsia="宋体"/>
          <w:sz w:val="24"/>
          <w:szCs w:val="24"/>
        </w:rPr>
      </w:pPr>
      <w:r>
        <w:rPr>
          <w:rFonts w:hint="eastAsia" w:ascii="宋体" w:eastAsia="宋体"/>
          <w:sz w:val="24"/>
          <w:szCs w:val="24"/>
        </w:rPr>
        <w:t>★3.1.1 样品温度：15K-90K</w:t>
      </w:r>
    </w:p>
    <w:p w14:paraId="30FAE75D">
      <w:pPr>
        <w:pStyle w:val="2"/>
        <w:ind w:firstLine="4" w:firstLineChars="2"/>
        <w:rPr>
          <w:rFonts w:hint="eastAsia" w:ascii="宋体" w:eastAsia="宋体"/>
          <w:sz w:val="24"/>
          <w:szCs w:val="24"/>
        </w:rPr>
      </w:pPr>
      <w:r>
        <w:rPr>
          <w:rFonts w:hint="eastAsia" w:ascii="宋体" w:eastAsia="宋体"/>
          <w:sz w:val="24"/>
          <w:szCs w:val="24"/>
        </w:rPr>
        <w:t>★3.1.2 温度稳定性：≤±0.02 K</w:t>
      </w:r>
    </w:p>
    <w:p w14:paraId="344F1DE4">
      <w:pPr>
        <w:pStyle w:val="2"/>
        <w:ind w:firstLine="4" w:firstLineChars="2"/>
        <w:rPr>
          <w:rFonts w:hint="eastAsia" w:ascii="宋体" w:eastAsia="宋体"/>
          <w:sz w:val="24"/>
          <w:szCs w:val="24"/>
        </w:rPr>
      </w:pPr>
      <w:r>
        <w:rPr>
          <w:rFonts w:hint="eastAsia" w:ascii="宋体" w:eastAsia="宋体"/>
          <w:sz w:val="24"/>
          <w:szCs w:val="24"/>
        </w:rPr>
        <w:t>★3.1.3 磁场强度：≥12T</w:t>
      </w:r>
    </w:p>
    <w:p w14:paraId="4A95CF34">
      <w:pPr>
        <w:pStyle w:val="2"/>
        <w:ind w:firstLine="4" w:firstLineChars="2"/>
        <w:rPr>
          <w:rFonts w:hint="eastAsia" w:ascii="宋体" w:eastAsia="宋体"/>
          <w:sz w:val="24"/>
          <w:szCs w:val="24"/>
        </w:rPr>
      </w:pPr>
      <w:r>
        <w:rPr>
          <w:rFonts w:hint="eastAsia" w:ascii="宋体" w:eastAsia="宋体"/>
          <w:sz w:val="24"/>
          <w:szCs w:val="24"/>
        </w:rPr>
        <w:t>★3.1.4 磁场稳定度：≤±0.01 T</w:t>
      </w:r>
    </w:p>
    <w:p w14:paraId="24D7CCE4">
      <w:pPr>
        <w:pStyle w:val="2"/>
        <w:ind w:firstLine="4" w:firstLineChars="2"/>
        <w:rPr>
          <w:rFonts w:hint="eastAsia" w:ascii="宋体" w:eastAsia="宋体"/>
          <w:sz w:val="24"/>
          <w:szCs w:val="24"/>
        </w:rPr>
      </w:pPr>
      <w:r>
        <w:rPr>
          <w:rFonts w:hint="eastAsia" w:ascii="宋体" w:eastAsia="宋体"/>
          <w:sz w:val="24"/>
          <w:szCs w:val="24"/>
        </w:rPr>
        <w:t>★3.1.5 磁体间隙：≥40mm</w:t>
      </w:r>
    </w:p>
    <w:p w14:paraId="35425344">
      <w:pPr>
        <w:pStyle w:val="2"/>
        <w:ind w:firstLine="4" w:firstLineChars="2"/>
        <w:rPr>
          <w:rFonts w:hint="eastAsia" w:ascii="宋体" w:eastAsia="宋体"/>
          <w:sz w:val="24"/>
          <w:szCs w:val="24"/>
        </w:rPr>
      </w:pPr>
      <w:r>
        <w:rPr>
          <w:rFonts w:hint="eastAsia" w:ascii="宋体" w:eastAsia="宋体"/>
          <w:sz w:val="24"/>
          <w:szCs w:val="24"/>
        </w:rPr>
        <w:t>▲3.1.6 中心磁场均匀区直径：≥10 mm</w:t>
      </w:r>
    </w:p>
    <w:p w14:paraId="7F6355B4">
      <w:pPr>
        <w:pStyle w:val="2"/>
        <w:ind w:firstLine="4" w:firstLineChars="2"/>
        <w:rPr>
          <w:rFonts w:hint="eastAsia" w:ascii="宋体" w:eastAsia="宋体"/>
          <w:sz w:val="24"/>
          <w:szCs w:val="24"/>
        </w:rPr>
      </w:pPr>
      <w:r>
        <w:rPr>
          <w:rFonts w:hint="eastAsia" w:ascii="宋体" w:eastAsia="宋体"/>
          <w:sz w:val="24"/>
          <w:szCs w:val="24"/>
        </w:rPr>
        <w:t>▲3.1.6 中心磁场均匀区高度：≥20 mm</w:t>
      </w:r>
    </w:p>
    <w:p w14:paraId="23F4DB05">
      <w:pPr>
        <w:pStyle w:val="2"/>
        <w:ind w:firstLine="4" w:firstLineChars="2"/>
        <w:rPr>
          <w:rFonts w:hint="eastAsia" w:ascii="宋体" w:eastAsia="宋体"/>
          <w:sz w:val="24"/>
          <w:szCs w:val="24"/>
        </w:rPr>
      </w:pPr>
      <w:r>
        <w:rPr>
          <w:rFonts w:hint="eastAsia" w:ascii="宋体" w:eastAsia="宋体"/>
          <w:sz w:val="24"/>
          <w:szCs w:val="24"/>
        </w:rPr>
        <w:t>★3.1.7 均匀区内磁场均匀度峰峰值：≤ 2.5% @ B&gt;1T</w:t>
      </w:r>
    </w:p>
    <w:p w14:paraId="7EE0B8E6">
      <w:pPr>
        <w:pStyle w:val="2"/>
        <w:ind w:firstLine="4" w:firstLineChars="2"/>
        <w:rPr>
          <w:rFonts w:hint="eastAsia" w:ascii="宋体" w:eastAsia="宋体"/>
          <w:sz w:val="24"/>
          <w:szCs w:val="24"/>
        </w:rPr>
      </w:pPr>
      <w:r>
        <w:rPr>
          <w:rFonts w:hint="eastAsia" w:ascii="宋体" w:eastAsia="宋体"/>
          <w:sz w:val="24"/>
          <w:szCs w:val="24"/>
        </w:rPr>
        <w:t>★3.1.8 磁场励磁时间：≤25min 到12T3.1.9 磁体冷却时间：≤50h</w:t>
      </w:r>
    </w:p>
    <w:p w14:paraId="0F0B1331">
      <w:pPr>
        <w:pStyle w:val="2"/>
        <w:ind w:firstLine="4" w:firstLineChars="2"/>
        <w:rPr>
          <w:rFonts w:hint="eastAsia" w:ascii="宋体" w:eastAsia="宋体"/>
          <w:sz w:val="24"/>
          <w:szCs w:val="24"/>
        </w:rPr>
      </w:pPr>
      <w:r>
        <w:rPr>
          <w:rFonts w:hint="eastAsia" w:ascii="宋体" w:eastAsia="宋体"/>
          <w:sz w:val="24"/>
          <w:szCs w:val="24"/>
        </w:rPr>
        <w:t>▲3.1.10 系统总重量：≤1300kg</w:t>
      </w:r>
    </w:p>
    <w:p w14:paraId="286934A4">
      <w:pPr>
        <w:pStyle w:val="2"/>
        <w:ind w:firstLine="4" w:firstLineChars="2"/>
        <w:rPr>
          <w:rFonts w:hint="eastAsia" w:ascii="宋体" w:eastAsia="宋体"/>
          <w:sz w:val="24"/>
          <w:szCs w:val="24"/>
        </w:rPr>
      </w:pPr>
    </w:p>
    <w:p w14:paraId="4BEB1AB9">
      <w:pPr>
        <w:pStyle w:val="2"/>
        <w:ind w:firstLine="4" w:firstLineChars="2"/>
        <w:rPr>
          <w:rFonts w:hint="eastAsia" w:ascii="宋体" w:eastAsia="宋体"/>
          <w:sz w:val="24"/>
          <w:szCs w:val="24"/>
        </w:rPr>
      </w:pPr>
      <w:r>
        <w:rPr>
          <w:rFonts w:hint="eastAsia" w:ascii="宋体" w:eastAsia="宋体"/>
          <w:sz w:val="24"/>
          <w:szCs w:val="24"/>
        </w:rPr>
        <w:t>3.2 面外角度测试杆技术要求</w:t>
      </w:r>
    </w:p>
    <w:p w14:paraId="430B1D41">
      <w:pPr>
        <w:pStyle w:val="2"/>
        <w:ind w:firstLine="4" w:firstLineChars="2"/>
        <w:rPr>
          <w:rFonts w:hint="eastAsia" w:ascii="宋体" w:eastAsia="宋体"/>
          <w:sz w:val="24"/>
          <w:szCs w:val="24"/>
        </w:rPr>
      </w:pPr>
      <w:r>
        <w:rPr>
          <w:rFonts w:hint="eastAsia" w:ascii="宋体" w:eastAsia="宋体"/>
          <w:sz w:val="24"/>
          <w:szCs w:val="24"/>
        </w:rPr>
        <w:t>★3.2.1 测试杆数量：≥2根</w:t>
      </w:r>
    </w:p>
    <w:p w14:paraId="37B133AA">
      <w:pPr>
        <w:pStyle w:val="2"/>
        <w:ind w:firstLine="4" w:firstLineChars="2"/>
        <w:rPr>
          <w:rFonts w:hint="eastAsia" w:ascii="宋体" w:eastAsia="宋体"/>
          <w:sz w:val="24"/>
          <w:szCs w:val="24"/>
        </w:rPr>
      </w:pPr>
      <w:r>
        <w:rPr>
          <w:rFonts w:hint="eastAsia" w:ascii="宋体" w:eastAsia="宋体"/>
          <w:sz w:val="24"/>
          <w:szCs w:val="24"/>
        </w:rPr>
        <w:t>★3.2.2 测试杆旋转角度：0-360度</w:t>
      </w:r>
    </w:p>
    <w:p w14:paraId="1DC6E5C8">
      <w:pPr>
        <w:pStyle w:val="2"/>
        <w:ind w:firstLine="4" w:firstLineChars="2"/>
        <w:rPr>
          <w:rFonts w:hint="eastAsia" w:ascii="宋体" w:eastAsia="宋体"/>
          <w:sz w:val="24"/>
          <w:szCs w:val="24"/>
        </w:rPr>
      </w:pPr>
      <w:r>
        <w:rPr>
          <w:rFonts w:hint="eastAsia" w:ascii="宋体" w:eastAsia="宋体"/>
          <w:sz w:val="24"/>
          <w:szCs w:val="24"/>
        </w:rPr>
        <w:t>★3.2.3 测试杆旋转角度精度：≤±0.5度</w:t>
      </w:r>
    </w:p>
    <w:p w14:paraId="4BC16C57">
      <w:pPr>
        <w:pStyle w:val="2"/>
        <w:ind w:firstLine="4" w:firstLineChars="2"/>
        <w:rPr>
          <w:rFonts w:hint="eastAsia" w:ascii="宋体" w:eastAsia="宋体"/>
          <w:sz w:val="24"/>
          <w:szCs w:val="24"/>
        </w:rPr>
      </w:pPr>
      <w:r>
        <w:rPr>
          <w:rFonts w:hint="eastAsia" w:ascii="宋体" w:eastAsia="宋体"/>
          <w:sz w:val="24"/>
          <w:szCs w:val="24"/>
        </w:rPr>
        <w:t>★3.2.3 测试杆最大电流：≥1200A</w:t>
      </w:r>
    </w:p>
    <w:p w14:paraId="247B423D">
      <w:pPr>
        <w:pStyle w:val="2"/>
        <w:ind w:firstLine="4" w:firstLineChars="2"/>
        <w:rPr>
          <w:rFonts w:hint="eastAsia" w:ascii="宋体" w:eastAsia="宋体"/>
          <w:sz w:val="24"/>
          <w:szCs w:val="24"/>
        </w:rPr>
      </w:pPr>
      <w:r>
        <w:rPr>
          <w:rFonts w:hint="eastAsia" w:ascii="宋体" w:eastAsia="宋体"/>
          <w:sz w:val="24"/>
          <w:szCs w:val="24"/>
        </w:rPr>
        <w:t>▲3.2.4 临界电流测试精度：≤1% 当临界电流判据为1</w:t>
      </w:r>
      <w:r>
        <w:rPr>
          <w:rFonts w:hint="eastAsia" w:ascii="宋体" w:eastAsia="宋体"/>
          <w:sz w:val="24"/>
          <w:szCs w:val="24"/>
        </w:rPr>
        <w:sym w:font="Symbol" w:char="F06D"/>
      </w:r>
      <w:r>
        <w:rPr>
          <w:rFonts w:hint="eastAsia" w:ascii="宋体" w:eastAsia="宋体"/>
          <w:sz w:val="24"/>
          <w:szCs w:val="24"/>
        </w:rPr>
        <w:t>V/cm</w:t>
      </w:r>
    </w:p>
    <w:p w14:paraId="2EB26983">
      <w:pPr>
        <w:pStyle w:val="2"/>
        <w:ind w:firstLine="4" w:firstLineChars="2"/>
        <w:rPr>
          <w:rFonts w:hint="eastAsia" w:ascii="宋体" w:eastAsia="宋体"/>
          <w:sz w:val="24"/>
          <w:szCs w:val="24"/>
        </w:rPr>
      </w:pPr>
      <w:r>
        <w:rPr>
          <w:rFonts w:hint="eastAsia" w:ascii="宋体" w:eastAsia="宋体"/>
          <w:sz w:val="24"/>
          <w:szCs w:val="24"/>
        </w:rPr>
        <w:t>▲3.2.5 每个数据点临界电流测试时间：≤20s</w:t>
      </w:r>
    </w:p>
    <w:p w14:paraId="23C06C97">
      <w:pPr>
        <w:pStyle w:val="2"/>
        <w:ind w:firstLine="4" w:firstLineChars="2"/>
        <w:rPr>
          <w:rFonts w:hint="eastAsia" w:ascii="宋体" w:eastAsia="宋体"/>
          <w:sz w:val="24"/>
          <w:szCs w:val="24"/>
        </w:rPr>
      </w:pPr>
      <w:r>
        <w:rPr>
          <w:rFonts w:hint="eastAsia" w:ascii="宋体" w:eastAsia="宋体"/>
          <w:sz w:val="24"/>
          <w:szCs w:val="24"/>
        </w:rPr>
        <w:t xml:space="preserve"> </w:t>
      </w:r>
    </w:p>
    <w:p w14:paraId="3058542E">
      <w:pPr>
        <w:pStyle w:val="2"/>
        <w:ind w:firstLine="4" w:firstLineChars="2"/>
        <w:rPr>
          <w:rFonts w:hint="eastAsia" w:ascii="宋体" w:eastAsia="宋体"/>
          <w:sz w:val="24"/>
          <w:szCs w:val="24"/>
        </w:rPr>
      </w:pPr>
      <w:r>
        <w:rPr>
          <w:rFonts w:hint="eastAsia" w:ascii="宋体" w:eastAsia="宋体"/>
          <w:sz w:val="24"/>
          <w:szCs w:val="24"/>
        </w:rPr>
        <w:t>3.3 面内角度测试杆技术要求</w:t>
      </w:r>
    </w:p>
    <w:p w14:paraId="62CA97CA">
      <w:pPr>
        <w:pStyle w:val="2"/>
        <w:ind w:firstLine="4" w:firstLineChars="2"/>
        <w:rPr>
          <w:rFonts w:hint="eastAsia" w:ascii="宋体" w:eastAsia="宋体"/>
          <w:sz w:val="24"/>
          <w:szCs w:val="24"/>
        </w:rPr>
      </w:pPr>
      <w:r>
        <w:rPr>
          <w:rFonts w:hint="eastAsia" w:ascii="宋体" w:eastAsia="宋体"/>
          <w:sz w:val="24"/>
          <w:szCs w:val="24"/>
        </w:rPr>
        <w:t>★3.3.1 测试杆数量：≥2根</w:t>
      </w:r>
    </w:p>
    <w:p w14:paraId="4DC187F3">
      <w:pPr>
        <w:pStyle w:val="2"/>
        <w:ind w:firstLine="4" w:firstLineChars="2"/>
        <w:rPr>
          <w:rFonts w:hint="eastAsia" w:ascii="宋体" w:eastAsia="宋体"/>
          <w:sz w:val="24"/>
          <w:szCs w:val="24"/>
        </w:rPr>
      </w:pPr>
      <w:r>
        <w:rPr>
          <w:rFonts w:hint="eastAsia" w:ascii="宋体" w:eastAsia="宋体"/>
          <w:sz w:val="24"/>
          <w:szCs w:val="24"/>
        </w:rPr>
        <w:t>★3.3.2 测试杆旋转角度：0-360度</w:t>
      </w:r>
    </w:p>
    <w:p w14:paraId="42585CEA">
      <w:pPr>
        <w:pStyle w:val="2"/>
        <w:ind w:firstLine="4" w:firstLineChars="2"/>
        <w:rPr>
          <w:rFonts w:hint="eastAsia" w:ascii="宋体" w:eastAsia="宋体"/>
          <w:sz w:val="24"/>
          <w:szCs w:val="24"/>
        </w:rPr>
      </w:pPr>
      <w:r>
        <w:rPr>
          <w:rFonts w:hint="eastAsia" w:ascii="宋体" w:eastAsia="宋体"/>
          <w:sz w:val="24"/>
          <w:szCs w:val="24"/>
        </w:rPr>
        <w:t>★3.3.3 测试杆旋转角度精度：≤±0.5度</w:t>
      </w:r>
    </w:p>
    <w:p w14:paraId="48A5DBDC">
      <w:pPr>
        <w:pStyle w:val="2"/>
        <w:ind w:firstLine="4" w:firstLineChars="2"/>
        <w:rPr>
          <w:rFonts w:hint="eastAsia" w:ascii="宋体" w:eastAsia="宋体"/>
          <w:sz w:val="24"/>
          <w:szCs w:val="24"/>
        </w:rPr>
      </w:pPr>
      <w:r>
        <w:rPr>
          <w:rFonts w:hint="eastAsia" w:ascii="宋体" w:eastAsia="宋体"/>
          <w:sz w:val="24"/>
          <w:szCs w:val="24"/>
        </w:rPr>
        <w:t>★3.3.3 测试杆最大电流：≥600A</w:t>
      </w:r>
    </w:p>
    <w:p w14:paraId="7D660BFC">
      <w:pPr>
        <w:pStyle w:val="2"/>
        <w:ind w:firstLine="4" w:firstLineChars="2"/>
        <w:rPr>
          <w:rFonts w:hint="eastAsia" w:ascii="宋体" w:eastAsia="宋体"/>
          <w:sz w:val="24"/>
          <w:szCs w:val="24"/>
        </w:rPr>
      </w:pPr>
      <w:r>
        <w:rPr>
          <w:rFonts w:hint="eastAsia" w:ascii="宋体" w:eastAsia="宋体"/>
          <w:sz w:val="24"/>
          <w:szCs w:val="24"/>
        </w:rPr>
        <w:t>▲3.3.4 临界电流测试精度：≤1% 当临界电流判据为1</w:t>
      </w:r>
      <w:r>
        <w:rPr>
          <w:rFonts w:hint="eastAsia" w:ascii="宋体" w:eastAsia="宋体"/>
          <w:sz w:val="24"/>
          <w:szCs w:val="24"/>
        </w:rPr>
        <w:sym w:font="Symbol" w:char="F06D"/>
      </w:r>
      <w:r>
        <w:rPr>
          <w:rFonts w:hint="eastAsia" w:ascii="宋体" w:eastAsia="宋体"/>
          <w:sz w:val="24"/>
          <w:szCs w:val="24"/>
        </w:rPr>
        <w:t>V/cm</w:t>
      </w:r>
    </w:p>
    <w:p w14:paraId="21F54CC0">
      <w:pPr>
        <w:pStyle w:val="2"/>
        <w:ind w:firstLine="4" w:firstLineChars="2"/>
        <w:rPr>
          <w:rFonts w:hint="eastAsia" w:ascii="宋体" w:eastAsia="宋体"/>
          <w:sz w:val="24"/>
          <w:szCs w:val="24"/>
        </w:rPr>
      </w:pPr>
      <w:r>
        <w:rPr>
          <w:rFonts w:hint="eastAsia" w:ascii="宋体" w:eastAsia="宋体"/>
          <w:sz w:val="24"/>
          <w:szCs w:val="24"/>
        </w:rPr>
        <w:t>▲3.3.5 每个数据点临界电流测试时间：≤20s</w:t>
      </w:r>
    </w:p>
    <w:p w14:paraId="2F72E546">
      <w:pPr>
        <w:pStyle w:val="2"/>
        <w:ind w:firstLine="4" w:firstLineChars="2"/>
        <w:rPr>
          <w:rFonts w:hint="eastAsia" w:ascii="宋体" w:eastAsia="宋体"/>
          <w:sz w:val="24"/>
          <w:szCs w:val="24"/>
        </w:rPr>
      </w:pPr>
    </w:p>
    <w:p w14:paraId="7CF817F8">
      <w:pPr>
        <w:pStyle w:val="2"/>
        <w:ind w:firstLine="4" w:firstLineChars="2"/>
        <w:rPr>
          <w:rFonts w:hint="eastAsia" w:ascii="宋体" w:eastAsia="宋体"/>
          <w:sz w:val="24"/>
          <w:szCs w:val="24"/>
        </w:rPr>
      </w:pPr>
      <w:r>
        <w:rPr>
          <w:rFonts w:hint="eastAsia" w:ascii="宋体" w:eastAsia="宋体"/>
          <w:sz w:val="24"/>
          <w:szCs w:val="24"/>
        </w:rPr>
        <w:t>3.4 原位应变角度测试杆技术要求</w:t>
      </w:r>
    </w:p>
    <w:p w14:paraId="77E38FF1">
      <w:pPr>
        <w:pStyle w:val="2"/>
        <w:ind w:firstLine="4" w:firstLineChars="2"/>
        <w:rPr>
          <w:rFonts w:hint="eastAsia" w:ascii="宋体" w:eastAsia="宋体"/>
          <w:sz w:val="24"/>
          <w:szCs w:val="24"/>
        </w:rPr>
      </w:pPr>
      <w:r>
        <w:rPr>
          <w:rFonts w:hint="eastAsia" w:ascii="宋体" w:eastAsia="宋体"/>
          <w:sz w:val="24"/>
          <w:szCs w:val="24"/>
        </w:rPr>
        <w:t>★3.4.1 测试杆数量：≥1根</w:t>
      </w:r>
    </w:p>
    <w:p w14:paraId="23BCF766">
      <w:pPr>
        <w:pStyle w:val="2"/>
        <w:ind w:firstLine="4" w:firstLineChars="2"/>
        <w:rPr>
          <w:rFonts w:hint="eastAsia" w:ascii="宋体" w:eastAsia="宋体"/>
          <w:sz w:val="24"/>
          <w:szCs w:val="24"/>
        </w:rPr>
      </w:pPr>
      <w:r>
        <w:rPr>
          <w:rFonts w:hint="eastAsia" w:ascii="宋体" w:eastAsia="宋体"/>
          <w:sz w:val="24"/>
          <w:szCs w:val="24"/>
        </w:rPr>
        <w:t>★3.4.2 测试杆旋转角度：0-360度</w:t>
      </w:r>
    </w:p>
    <w:p w14:paraId="5CB7EBF0">
      <w:pPr>
        <w:pStyle w:val="2"/>
        <w:ind w:firstLine="4" w:firstLineChars="2"/>
        <w:rPr>
          <w:rFonts w:hint="eastAsia" w:ascii="宋体" w:eastAsia="宋体"/>
          <w:sz w:val="24"/>
          <w:szCs w:val="24"/>
        </w:rPr>
      </w:pPr>
      <w:r>
        <w:rPr>
          <w:rFonts w:hint="eastAsia" w:ascii="宋体" w:eastAsia="宋体"/>
          <w:sz w:val="24"/>
          <w:szCs w:val="24"/>
        </w:rPr>
        <w:t>★3.4.3 测试杆旋转角度精度：≤±0.5度</w:t>
      </w:r>
    </w:p>
    <w:p w14:paraId="334BF99E">
      <w:pPr>
        <w:pStyle w:val="2"/>
        <w:ind w:firstLine="4" w:firstLineChars="2"/>
        <w:rPr>
          <w:rFonts w:hint="eastAsia" w:ascii="宋体" w:eastAsia="宋体"/>
          <w:sz w:val="24"/>
          <w:szCs w:val="24"/>
        </w:rPr>
      </w:pPr>
      <w:r>
        <w:rPr>
          <w:rFonts w:hint="eastAsia" w:ascii="宋体" w:eastAsia="宋体"/>
          <w:sz w:val="24"/>
          <w:szCs w:val="24"/>
        </w:rPr>
        <w:t>★3.4.3 测试杆最大电流：≥400A</w:t>
      </w:r>
    </w:p>
    <w:p w14:paraId="535FE4C1">
      <w:pPr>
        <w:pStyle w:val="2"/>
        <w:ind w:firstLine="4" w:firstLineChars="2"/>
        <w:rPr>
          <w:rFonts w:hint="eastAsia" w:ascii="宋体" w:eastAsia="宋体"/>
          <w:sz w:val="24"/>
          <w:szCs w:val="24"/>
        </w:rPr>
      </w:pPr>
      <w:r>
        <w:rPr>
          <w:rFonts w:hint="eastAsia" w:ascii="宋体" w:eastAsia="宋体"/>
          <w:sz w:val="24"/>
          <w:szCs w:val="24"/>
        </w:rPr>
        <w:t>▲3.4.4 临界电流测试精度：≤1% 当临界电流判据为1</w:t>
      </w:r>
      <w:r>
        <w:rPr>
          <w:rFonts w:hint="eastAsia" w:ascii="宋体" w:eastAsia="宋体"/>
          <w:sz w:val="24"/>
          <w:szCs w:val="24"/>
        </w:rPr>
        <w:sym w:font="Symbol" w:char="F06D"/>
      </w:r>
      <w:r>
        <w:rPr>
          <w:rFonts w:hint="eastAsia" w:ascii="宋体" w:eastAsia="宋体"/>
          <w:sz w:val="24"/>
          <w:szCs w:val="24"/>
        </w:rPr>
        <w:t>V/cm</w:t>
      </w:r>
    </w:p>
    <w:p w14:paraId="76328B63">
      <w:pPr>
        <w:pStyle w:val="2"/>
        <w:ind w:firstLine="4" w:firstLineChars="2"/>
        <w:rPr>
          <w:rFonts w:hint="eastAsia" w:ascii="宋体" w:eastAsia="宋体"/>
          <w:sz w:val="24"/>
          <w:szCs w:val="24"/>
        </w:rPr>
      </w:pPr>
      <w:r>
        <w:rPr>
          <w:rFonts w:hint="eastAsia" w:ascii="宋体" w:eastAsia="宋体"/>
          <w:sz w:val="24"/>
          <w:szCs w:val="24"/>
        </w:rPr>
        <w:t>▲3.4.5 每个数据点临界电流测试时间：≤20s</w:t>
      </w:r>
    </w:p>
    <w:p w14:paraId="289CAFB1">
      <w:pPr>
        <w:pStyle w:val="2"/>
        <w:ind w:firstLine="4" w:firstLineChars="2"/>
        <w:rPr>
          <w:rFonts w:hint="eastAsia" w:ascii="宋体" w:eastAsia="宋体"/>
          <w:sz w:val="24"/>
          <w:szCs w:val="24"/>
        </w:rPr>
      </w:pPr>
      <w:r>
        <w:rPr>
          <w:rFonts w:hint="eastAsia" w:ascii="宋体" w:eastAsia="宋体"/>
          <w:sz w:val="24"/>
          <w:szCs w:val="24"/>
        </w:rPr>
        <w:t>★3.4.6 最大正应变：≥+0.5%</w:t>
      </w:r>
    </w:p>
    <w:p w14:paraId="3D06F514">
      <w:pPr>
        <w:pStyle w:val="2"/>
        <w:ind w:firstLine="4" w:firstLineChars="2"/>
        <w:rPr>
          <w:rFonts w:hint="eastAsia" w:ascii="宋体" w:eastAsia="宋体"/>
          <w:sz w:val="24"/>
          <w:szCs w:val="24"/>
        </w:rPr>
      </w:pPr>
      <w:r>
        <w:rPr>
          <w:rFonts w:hint="eastAsia" w:ascii="宋体" w:eastAsia="宋体"/>
          <w:sz w:val="24"/>
          <w:szCs w:val="24"/>
        </w:rPr>
        <w:t>★3.4.7 最大负应变：≥-1%</w:t>
      </w:r>
    </w:p>
    <w:p w14:paraId="4A8745DD">
      <w:pPr>
        <w:pStyle w:val="2"/>
        <w:ind w:left="0" w:firstLine="0" w:firstLineChars="0"/>
        <w:rPr>
          <w:rFonts w:ascii="宋体"/>
          <w:sz w:val="24"/>
        </w:rPr>
      </w:pPr>
    </w:p>
    <w:p w14:paraId="2E0ADB2A">
      <w:pPr>
        <w:widowControl/>
        <w:tabs>
          <w:tab w:val="left" w:pos="8010"/>
        </w:tabs>
        <w:snapToGrid w:val="0"/>
        <w:spacing w:line="360" w:lineRule="auto"/>
        <w:rPr>
          <w:rFonts w:hint="eastAsia" w:ascii="宋体" w:hAnsi="宋体"/>
          <w:b/>
          <w:sz w:val="24"/>
        </w:rPr>
      </w:pPr>
      <w:r>
        <w:rPr>
          <w:rFonts w:ascii="宋体" w:hAnsi="宋体"/>
          <w:b/>
          <w:sz w:val="24"/>
        </w:rPr>
        <w:t>4、配置清单及零配件（包括专用工具）：</w:t>
      </w:r>
    </w:p>
    <w:tbl>
      <w:tblPr>
        <w:tblStyle w:val="7"/>
        <w:tblW w:w="9067" w:type="dxa"/>
        <w:tblInd w:w="113" w:type="dxa"/>
        <w:tblLayout w:type="fixed"/>
        <w:tblCellMar>
          <w:top w:w="0" w:type="dxa"/>
          <w:left w:w="108" w:type="dxa"/>
          <w:bottom w:w="0" w:type="dxa"/>
          <w:right w:w="108" w:type="dxa"/>
        </w:tblCellMar>
      </w:tblPr>
      <w:tblGrid>
        <w:gridCol w:w="700"/>
        <w:gridCol w:w="6525"/>
        <w:gridCol w:w="992"/>
        <w:gridCol w:w="850"/>
      </w:tblGrid>
      <w:tr w14:paraId="02B4E511">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1528E5C2">
            <w:pPr>
              <w:widowControl/>
              <w:snapToGrid w:val="0"/>
              <w:spacing w:before="156" w:beforeLines="50" w:line="360" w:lineRule="auto"/>
              <w:rPr>
                <w:rFonts w:hint="eastAsia" w:ascii="宋体" w:hAnsi="宋体"/>
                <w:b/>
                <w:bCs/>
                <w:sz w:val="24"/>
              </w:rPr>
            </w:pPr>
            <w:r>
              <w:rPr>
                <w:rFonts w:ascii="宋体" w:hAnsi="宋体"/>
                <w:b/>
                <w:bCs/>
                <w:sz w:val="24"/>
              </w:rPr>
              <w:t>序号</w:t>
            </w:r>
          </w:p>
        </w:tc>
        <w:tc>
          <w:tcPr>
            <w:tcW w:w="6525" w:type="dxa"/>
            <w:tcBorders>
              <w:top w:val="single" w:color="auto" w:sz="4" w:space="0"/>
              <w:left w:val="nil"/>
              <w:bottom w:val="single" w:color="auto" w:sz="4" w:space="0"/>
              <w:right w:val="single" w:color="auto" w:sz="4" w:space="0"/>
            </w:tcBorders>
            <w:noWrap/>
            <w:vAlign w:val="center"/>
          </w:tcPr>
          <w:p w14:paraId="53BDD71C">
            <w:pPr>
              <w:widowControl/>
              <w:snapToGrid w:val="0"/>
              <w:spacing w:before="156" w:beforeLines="50" w:line="360" w:lineRule="auto"/>
              <w:rPr>
                <w:rFonts w:hint="eastAsia" w:ascii="宋体" w:hAnsi="宋体"/>
                <w:b/>
                <w:bCs/>
                <w:sz w:val="24"/>
              </w:rPr>
            </w:pPr>
            <w:r>
              <w:rPr>
                <w:rFonts w:ascii="宋体" w:hAnsi="宋体"/>
                <w:b/>
                <w:bCs/>
                <w:sz w:val="24"/>
              </w:rPr>
              <w:t>名称</w:t>
            </w:r>
          </w:p>
        </w:tc>
        <w:tc>
          <w:tcPr>
            <w:tcW w:w="992" w:type="dxa"/>
            <w:tcBorders>
              <w:top w:val="single" w:color="auto" w:sz="4" w:space="0"/>
              <w:left w:val="nil"/>
              <w:bottom w:val="single" w:color="auto" w:sz="4" w:space="0"/>
              <w:right w:val="single" w:color="auto" w:sz="4" w:space="0"/>
            </w:tcBorders>
            <w:noWrap/>
            <w:vAlign w:val="center"/>
          </w:tcPr>
          <w:p w14:paraId="69546438">
            <w:pPr>
              <w:widowControl/>
              <w:snapToGrid w:val="0"/>
              <w:spacing w:before="156" w:beforeLines="50" w:line="360" w:lineRule="auto"/>
              <w:rPr>
                <w:rFonts w:hint="eastAsia" w:ascii="宋体" w:hAnsi="宋体"/>
                <w:b/>
                <w:bCs/>
                <w:sz w:val="24"/>
              </w:rPr>
            </w:pPr>
            <w:r>
              <w:rPr>
                <w:rFonts w:ascii="宋体" w:hAnsi="宋体"/>
                <w:b/>
                <w:bCs/>
                <w:sz w:val="24"/>
              </w:rPr>
              <w:t>单位</w:t>
            </w:r>
          </w:p>
        </w:tc>
        <w:tc>
          <w:tcPr>
            <w:tcW w:w="850" w:type="dxa"/>
            <w:tcBorders>
              <w:top w:val="single" w:color="auto" w:sz="4" w:space="0"/>
              <w:left w:val="nil"/>
              <w:bottom w:val="single" w:color="auto" w:sz="4" w:space="0"/>
              <w:right w:val="single" w:color="auto" w:sz="4" w:space="0"/>
            </w:tcBorders>
            <w:noWrap/>
            <w:vAlign w:val="center"/>
          </w:tcPr>
          <w:p w14:paraId="6E7F8EE7">
            <w:pPr>
              <w:widowControl/>
              <w:snapToGrid w:val="0"/>
              <w:spacing w:before="156" w:beforeLines="50" w:line="360" w:lineRule="auto"/>
              <w:rPr>
                <w:rFonts w:hint="eastAsia" w:ascii="宋体" w:hAnsi="宋体"/>
                <w:b/>
                <w:bCs/>
                <w:sz w:val="24"/>
              </w:rPr>
            </w:pPr>
            <w:r>
              <w:rPr>
                <w:rFonts w:ascii="宋体" w:hAnsi="宋体"/>
                <w:b/>
                <w:bCs/>
                <w:sz w:val="24"/>
              </w:rPr>
              <w:t>数量</w:t>
            </w:r>
          </w:p>
        </w:tc>
      </w:tr>
      <w:tr w14:paraId="6BC86E8D">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ign w:val="center"/>
          </w:tcPr>
          <w:p w14:paraId="18B57A68">
            <w:pPr>
              <w:widowControl/>
              <w:snapToGrid w:val="0"/>
              <w:spacing w:before="156" w:beforeLines="50" w:line="360" w:lineRule="auto"/>
              <w:jc w:val="center"/>
              <w:rPr>
                <w:rFonts w:hint="eastAsia" w:ascii="宋体" w:hAnsi="宋体"/>
                <w:sz w:val="24"/>
              </w:rPr>
            </w:pPr>
            <w:r>
              <w:rPr>
                <w:rFonts w:hint="eastAsia" w:ascii="宋体" w:hAnsi="宋体"/>
                <w:sz w:val="24"/>
              </w:rPr>
              <w:t>1</w:t>
            </w:r>
          </w:p>
        </w:tc>
        <w:tc>
          <w:tcPr>
            <w:tcW w:w="6525" w:type="dxa"/>
            <w:tcBorders>
              <w:top w:val="nil"/>
              <w:left w:val="nil"/>
              <w:bottom w:val="single" w:color="auto" w:sz="4" w:space="0"/>
              <w:right w:val="single" w:color="auto" w:sz="4" w:space="0"/>
            </w:tcBorders>
            <w:noWrap/>
            <w:vAlign w:val="center"/>
          </w:tcPr>
          <w:p w14:paraId="6479CB52">
            <w:pPr>
              <w:widowControl/>
              <w:snapToGrid w:val="0"/>
              <w:spacing w:before="156" w:beforeLines="50" w:line="360" w:lineRule="auto"/>
              <w:rPr>
                <w:rFonts w:hint="eastAsia" w:ascii="宋体" w:hAnsi="宋体"/>
                <w:sz w:val="24"/>
              </w:rPr>
            </w:pPr>
            <w:r>
              <w:rPr>
                <w:rFonts w:hint="eastAsia" w:ascii="宋体" w:hAnsi="宋体" w:cs="宋体"/>
                <w:kern w:val="0"/>
                <w:sz w:val="24"/>
              </w:rPr>
              <w:t>高温带材电流角度依赖测试系统</w:t>
            </w:r>
          </w:p>
        </w:tc>
        <w:tc>
          <w:tcPr>
            <w:tcW w:w="992" w:type="dxa"/>
            <w:tcBorders>
              <w:top w:val="nil"/>
              <w:left w:val="nil"/>
              <w:bottom w:val="single" w:color="auto" w:sz="4" w:space="0"/>
              <w:right w:val="single" w:color="auto" w:sz="4" w:space="0"/>
            </w:tcBorders>
            <w:noWrap/>
            <w:vAlign w:val="center"/>
          </w:tcPr>
          <w:p w14:paraId="2EA60CD2">
            <w:pPr>
              <w:widowControl/>
              <w:snapToGrid w:val="0"/>
              <w:spacing w:before="156" w:beforeLines="50" w:line="360" w:lineRule="auto"/>
              <w:rPr>
                <w:rFonts w:hint="eastAsia" w:ascii="宋体" w:hAnsi="宋体"/>
                <w:sz w:val="24"/>
              </w:rPr>
            </w:pPr>
            <w:r>
              <w:rPr>
                <w:rFonts w:hint="eastAsia" w:ascii="宋体" w:hAnsi="宋体"/>
                <w:sz w:val="24"/>
              </w:rPr>
              <w:t>套</w:t>
            </w:r>
          </w:p>
        </w:tc>
        <w:tc>
          <w:tcPr>
            <w:tcW w:w="850" w:type="dxa"/>
            <w:tcBorders>
              <w:top w:val="nil"/>
              <w:left w:val="nil"/>
              <w:bottom w:val="single" w:color="auto" w:sz="4" w:space="0"/>
              <w:right w:val="single" w:color="auto" w:sz="4" w:space="0"/>
            </w:tcBorders>
            <w:noWrap/>
            <w:vAlign w:val="center"/>
          </w:tcPr>
          <w:p w14:paraId="3F2D9A78">
            <w:pPr>
              <w:widowControl/>
              <w:snapToGrid w:val="0"/>
              <w:spacing w:before="156" w:beforeLines="50" w:line="360" w:lineRule="auto"/>
              <w:rPr>
                <w:rFonts w:hint="eastAsia" w:ascii="宋体" w:hAnsi="宋体"/>
                <w:sz w:val="24"/>
              </w:rPr>
            </w:pPr>
            <w:r>
              <w:rPr>
                <w:rFonts w:hint="eastAsia" w:ascii="宋体" w:hAnsi="宋体"/>
                <w:sz w:val="24"/>
              </w:rPr>
              <w:t>1</w:t>
            </w:r>
          </w:p>
        </w:tc>
      </w:tr>
      <w:tr w14:paraId="5A93B822">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ign w:val="center"/>
          </w:tcPr>
          <w:p w14:paraId="704AEEB5">
            <w:pPr>
              <w:widowControl/>
              <w:snapToGrid w:val="0"/>
              <w:spacing w:before="156" w:beforeLines="50" w:line="360" w:lineRule="auto"/>
              <w:jc w:val="center"/>
              <w:rPr>
                <w:rFonts w:hint="eastAsia" w:ascii="宋体" w:hAnsi="宋体"/>
                <w:sz w:val="24"/>
              </w:rPr>
            </w:pPr>
            <w:r>
              <w:rPr>
                <w:rFonts w:hint="eastAsia" w:ascii="宋体" w:hAnsi="宋体"/>
                <w:sz w:val="24"/>
              </w:rPr>
              <w:t>2</w:t>
            </w:r>
          </w:p>
        </w:tc>
        <w:tc>
          <w:tcPr>
            <w:tcW w:w="6525" w:type="dxa"/>
            <w:tcBorders>
              <w:top w:val="single" w:color="auto" w:sz="4" w:space="0"/>
              <w:left w:val="nil"/>
              <w:bottom w:val="single" w:color="auto" w:sz="4" w:space="0"/>
              <w:right w:val="single" w:color="auto" w:sz="4" w:space="0"/>
            </w:tcBorders>
            <w:noWrap/>
            <w:vAlign w:val="center"/>
          </w:tcPr>
          <w:p w14:paraId="1A4403E6">
            <w:pPr>
              <w:widowControl/>
              <w:snapToGrid w:val="0"/>
              <w:spacing w:before="156" w:beforeLines="50" w:line="360" w:lineRule="auto"/>
              <w:rPr>
                <w:rFonts w:hint="eastAsia" w:ascii="宋体" w:hAnsi="宋体"/>
                <w:sz w:val="24"/>
              </w:rPr>
            </w:pPr>
            <w:r>
              <w:rPr>
                <w:rFonts w:hint="eastAsia" w:ascii="宋体" w:hAnsi="宋体"/>
                <w:sz w:val="24"/>
              </w:rPr>
              <w:t>使用手册</w:t>
            </w:r>
          </w:p>
        </w:tc>
        <w:tc>
          <w:tcPr>
            <w:tcW w:w="992" w:type="dxa"/>
            <w:tcBorders>
              <w:top w:val="single" w:color="auto" w:sz="4" w:space="0"/>
              <w:left w:val="nil"/>
              <w:bottom w:val="single" w:color="auto" w:sz="4" w:space="0"/>
              <w:right w:val="single" w:color="auto" w:sz="4" w:space="0"/>
            </w:tcBorders>
            <w:noWrap/>
            <w:vAlign w:val="center"/>
          </w:tcPr>
          <w:p w14:paraId="37BC4869">
            <w:pPr>
              <w:widowControl/>
              <w:snapToGrid w:val="0"/>
              <w:spacing w:before="156" w:beforeLines="50" w:line="360" w:lineRule="auto"/>
              <w:rPr>
                <w:rFonts w:hint="eastAsia" w:ascii="宋体" w:hAnsi="宋体"/>
                <w:sz w:val="24"/>
              </w:rPr>
            </w:pPr>
            <w:r>
              <w:rPr>
                <w:rFonts w:hint="eastAsia" w:ascii="宋体" w:hAnsi="宋体"/>
                <w:sz w:val="24"/>
              </w:rPr>
              <w:t>套</w:t>
            </w:r>
          </w:p>
        </w:tc>
        <w:tc>
          <w:tcPr>
            <w:tcW w:w="850" w:type="dxa"/>
            <w:tcBorders>
              <w:top w:val="single" w:color="auto" w:sz="4" w:space="0"/>
              <w:left w:val="nil"/>
              <w:bottom w:val="single" w:color="auto" w:sz="4" w:space="0"/>
              <w:right w:val="single" w:color="auto" w:sz="4" w:space="0"/>
            </w:tcBorders>
            <w:noWrap/>
            <w:vAlign w:val="center"/>
          </w:tcPr>
          <w:p w14:paraId="074BA0F6">
            <w:pPr>
              <w:widowControl/>
              <w:snapToGrid w:val="0"/>
              <w:spacing w:before="156" w:beforeLines="50" w:line="360" w:lineRule="auto"/>
              <w:rPr>
                <w:rFonts w:hint="eastAsia" w:ascii="宋体" w:hAnsi="宋体"/>
                <w:sz w:val="24"/>
              </w:rPr>
            </w:pPr>
            <w:r>
              <w:rPr>
                <w:rFonts w:hint="eastAsia" w:ascii="宋体" w:hAnsi="宋体"/>
                <w:sz w:val="24"/>
              </w:rPr>
              <w:t>1</w:t>
            </w:r>
          </w:p>
        </w:tc>
      </w:tr>
    </w:tbl>
    <w:p w14:paraId="4EEDCCD5">
      <w:pPr>
        <w:pStyle w:val="2"/>
        <w:ind w:left="0" w:firstLine="0" w:firstLineChars="0"/>
      </w:pPr>
    </w:p>
    <w:p w14:paraId="106288E1">
      <w:pPr>
        <w:widowControl/>
        <w:snapToGrid w:val="0"/>
        <w:spacing w:line="360" w:lineRule="auto"/>
        <w:rPr>
          <w:rFonts w:hint="eastAsia" w:ascii="宋体" w:hAnsi="宋体"/>
          <w:b/>
          <w:sz w:val="28"/>
          <w:szCs w:val="28"/>
        </w:rPr>
      </w:pPr>
      <w:r>
        <w:rPr>
          <w:rFonts w:hint="eastAsia" w:ascii="宋体" w:hAnsi="宋体"/>
          <w:b/>
          <w:sz w:val="28"/>
          <w:szCs w:val="28"/>
        </w:rPr>
        <w:t>（二）商务要求：</w:t>
      </w:r>
    </w:p>
    <w:p w14:paraId="582D00CE"/>
    <w:p w14:paraId="5FF3AE10">
      <w:pPr>
        <w:widowControl/>
        <w:snapToGrid w:val="0"/>
        <w:spacing w:before="156" w:beforeLines="50" w:line="360" w:lineRule="auto"/>
        <w:rPr>
          <w:rFonts w:hint="eastAsia" w:ascii="宋体" w:hAnsi="宋体"/>
          <w:b/>
          <w:sz w:val="24"/>
        </w:rPr>
      </w:pPr>
      <w:r>
        <w:rPr>
          <w:rFonts w:hint="eastAsia" w:ascii="宋体" w:hAnsi="宋体"/>
          <w:b/>
          <w:sz w:val="24"/>
        </w:rPr>
        <w:t>1、</w:t>
      </w:r>
      <w:r>
        <w:rPr>
          <w:rFonts w:ascii="宋体" w:hAnsi="宋体"/>
          <w:b/>
          <w:sz w:val="24"/>
        </w:rPr>
        <w:t>技术服务条款：</w:t>
      </w:r>
    </w:p>
    <w:p w14:paraId="017BAA6E">
      <w:pPr>
        <w:widowControl/>
        <w:spacing w:line="360" w:lineRule="auto"/>
        <w:ind w:firstLine="480" w:firstLineChars="200"/>
        <w:jc w:val="left"/>
        <w:rPr>
          <w:sz w:val="24"/>
        </w:rPr>
      </w:pPr>
      <w:r>
        <w:rPr>
          <w:sz w:val="24"/>
        </w:rPr>
        <w:t>1）供应商负责完成安排运输工具、运输货物和支付运费，确保按照合同规定的交货期交货，产品运输至采购人指定的现场后，供应商应按照采购人要求完成产品的安装和调试，若因供应商原因对工期造成影响，则按商务条款进行惩罚。</w:t>
      </w:r>
    </w:p>
    <w:p w14:paraId="334137DE">
      <w:pPr>
        <w:widowControl/>
        <w:spacing w:line="360" w:lineRule="auto"/>
        <w:ind w:firstLine="480" w:firstLineChars="200"/>
        <w:jc w:val="left"/>
        <w:rPr>
          <w:sz w:val="24"/>
        </w:rPr>
      </w:pPr>
      <w:r>
        <w:rPr>
          <w:rFonts w:hint="eastAsia"/>
          <w:sz w:val="24"/>
        </w:rPr>
        <w:t>由于采购人的原因，供应商不能在规定的时间内完成安装和调试，则系统安装及培训顺延，时间由采购人通知和确定。</w:t>
      </w:r>
    </w:p>
    <w:p w14:paraId="238B1573">
      <w:pPr>
        <w:widowControl/>
        <w:spacing w:line="360" w:lineRule="auto"/>
        <w:ind w:firstLine="480" w:firstLineChars="200"/>
        <w:jc w:val="left"/>
        <w:rPr>
          <w:sz w:val="24"/>
        </w:rPr>
      </w:pPr>
      <w:r>
        <w:rPr>
          <w:rFonts w:hint="eastAsia"/>
          <w:sz w:val="24"/>
        </w:rPr>
        <w:t>在整个验收过程中，如遇到产品本身质量问题或供应商安装操作不当引起的产品损坏，产品供应商应及时解决。</w:t>
      </w:r>
    </w:p>
    <w:p w14:paraId="0AFE14E1">
      <w:pPr>
        <w:widowControl/>
        <w:spacing w:line="360" w:lineRule="auto"/>
        <w:ind w:firstLine="480" w:firstLineChars="200"/>
        <w:jc w:val="left"/>
        <w:rPr>
          <w:sz w:val="24"/>
        </w:rPr>
      </w:pPr>
      <w:r>
        <w:rPr>
          <w:rFonts w:hint="eastAsia"/>
          <w:sz w:val="24"/>
        </w:rPr>
        <w:t>2）供应商接到故障报告后4-8小时予以电话响应并给出方案，如无法通过电话解决故障，将在24小时内派工程师到现场解决问题，如有需要将在7个工作日内派原厂工程师到现场解决问题。</w:t>
      </w:r>
    </w:p>
    <w:p w14:paraId="703FA646">
      <w:pPr>
        <w:widowControl/>
        <w:spacing w:line="360" w:lineRule="auto"/>
        <w:ind w:firstLine="480" w:firstLineChars="200"/>
        <w:jc w:val="left"/>
        <w:rPr>
          <w:sz w:val="24"/>
        </w:rPr>
      </w:pPr>
      <w:r>
        <w:rPr>
          <w:rFonts w:hint="eastAsia"/>
          <w:sz w:val="24"/>
        </w:rPr>
        <w:t>3）质量保证期从产品最终验收之日起，保修期</w:t>
      </w:r>
      <w:r>
        <w:rPr>
          <w:sz w:val="24"/>
        </w:rPr>
        <w:t>3</w:t>
      </w:r>
      <w:r>
        <w:rPr>
          <w:rFonts w:hint="eastAsia"/>
          <w:sz w:val="24"/>
        </w:rPr>
        <w:t>年。质量保证期从产品最终验收之日起。高温超导带材等机械加工非标设备3年内出现由于加工、制作及校准原因引起的质量问题，供应商负责免费检测，维修和标定。如需现场进行设备维护工作，供应商自行承担维护人员的差旅、住宿等费用。</w:t>
      </w:r>
    </w:p>
    <w:p w14:paraId="666B3871">
      <w:pPr>
        <w:widowControl/>
        <w:spacing w:line="360" w:lineRule="auto"/>
        <w:ind w:firstLine="480" w:firstLineChars="200"/>
        <w:jc w:val="left"/>
        <w:rPr>
          <w:sz w:val="24"/>
        </w:rPr>
      </w:pPr>
      <w:r>
        <w:rPr>
          <w:rFonts w:hint="eastAsia"/>
          <w:sz w:val="24"/>
        </w:rPr>
        <w:t>（</w:t>
      </w:r>
      <w:r>
        <w:rPr>
          <w:sz w:val="24"/>
        </w:rPr>
        <w:t>4</w:t>
      </w:r>
      <w:r>
        <w:rPr>
          <w:rFonts w:hint="eastAsia"/>
          <w:sz w:val="24"/>
        </w:rPr>
        <w:t>）在保修期内，如果出现产品质量问题，供应商要调查故障原因并修复直至满足最终验收指标和性能的要求，或者更换整个或部分有缺陷的材料。一切服务费用（包括零配件的费用及运费）由供应商承担；</w:t>
      </w:r>
    </w:p>
    <w:p w14:paraId="719781B6">
      <w:pPr>
        <w:widowControl/>
        <w:spacing w:line="360" w:lineRule="auto"/>
        <w:ind w:firstLine="480" w:firstLineChars="200"/>
        <w:jc w:val="left"/>
        <w:rPr>
          <w:sz w:val="24"/>
        </w:rPr>
      </w:pPr>
      <w:r>
        <w:rPr>
          <w:rFonts w:hint="eastAsia"/>
          <w:sz w:val="24"/>
        </w:rPr>
        <w:t>（</w:t>
      </w:r>
      <w:r>
        <w:rPr>
          <w:sz w:val="24"/>
        </w:rPr>
        <w:t>5</w:t>
      </w:r>
      <w:r>
        <w:rPr>
          <w:rFonts w:hint="eastAsia"/>
          <w:sz w:val="24"/>
        </w:rPr>
        <w:t>）在保修期过后，供应商继续向采购人提供及时有效的售后服务和零备件供应，供应商应承诺保证零备件供应期不少于5年。</w:t>
      </w:r>
    </w:p>
    <w:p w14:paraId="68F3839A"/>
    <w:p w14:paraId="374E345B">
      <w:pPr>
        <w:widowControl/>
        <w:spacing w:before="156" w:beforeLines="50" w:line="360" w:lineRule="auto"/>
        <w:rPr>
          <w:rFonts w:hint="eastAsia" w:ascii="宋体" w:hAnsi="宋体"/>
          <w:b/>
          <w:sz w:val="24"/>
        </w:rPr>
      </w:pPr>
      <w:r>
        <w:rPr>
          <w:rFonts w:ascii="宋体" w:hAnsi="宋体"/>
          <w:b/>
          <w:sz w:val="24"/>
        </w:rPr>
        <w:t>2</w:t>
      </w:r>
      <w:r>
        <w:rPr>
          <w:rFonts w:hint="eastAsia" w:ascii="宋体" w:hAnsi="宋体"/>
          <w:b/>
          <w:sz w:val="24"/>
        </w:rPr>
        <w:t>、</w:t>
      </w:r>
      <w:r>
        <w:rPr>
          <w:rFonts w:ascii="宋体" w:hAnsi="宋体"/>
          <w:b/>
          <w:sz w:val="24"/>
        </w:rPr>
        <w:t>包装要求：</w:t>
      </w:r>
    </w:p>
    <w:p w14:paraId="449CACF3">
      <w:pPr>
        <w:widowControl/>
        <w:spacing w:line="360" w:lineRule="auto"/>
        <w:ind w:firstLine="480" w:firstLineChars="200"/>
        <w:rPr>
          <w:rFonts w:ascii="Calibri" w:hAnsi="Calibri"/>
          <w:sz w:val="24"/>
        </w:rPr>
      </w:pPr>
      <w:r>
        <w:rPr>
          <w:rFonts w:hint="eastAsia" w:ascii="宋体" w:hAnsi="宋体"/>
          <w:sz w:val="24"/>
        </w:rPr>
        <w:t>投标人应根据双方商定好的标准和采购人的实际运输条件，将产品包装好，并将全套产品合格证明书、出厂试验记录、产品外形尺寸图、运输尺寸图、装箱单等包装好，防止受潮。从投标人发货至采购人收到期间，产品和资料应完好无损。</w:t>
      </w:r>
    </w:p>
    <w:p w14:paraId="59E0103A">
      <w:pPr>
        <w:widowControl/>
        <w:spacing w:line="360" w:lineRule="auto"/>
        <w:ind w:firstLine="480" w:firstLineChars="200"/>
        <w:rPr>
          <w:rFonts w:ascii="Calibri" w:hAnsi="Calibri"/>
          <w:sz w:val="24"/>
        </w:rPr>
      </w:pPr>
      <w:r>
        <w:rPr>
          <w:rFonts w:hint="eastAsia" w:ascii="宋体" w:hAnsi="宋体"/>
          <w:sz w:val="24"/>
        </w:rPr>
        <w:t>包装箱应连续编号，不能有重号。</w:t>
      </w:r>
    </w:p>
    <w:p w14:paraId="330272F6">
      <w:pPr>
        <w:widowControl/>
        <w:spacing w:line="360" w:lineRule="auto"/>
        <w:ind w:firstLine="480" w:firstLineChars="200"/>
        <w:rPr>
          <w:rFonts w:ascii="Calibri" w:hAnsi="Calibri"/>
          <w:sz w:val="24"/>
        </w:rPr>
      </w:pPr>
      <w:r>
        <w:rPr>
          <w:rFonts w:hint="eastAsia" w:ascii="宋体" w:hAnsi="宋体"/>
          <w:sz w:val="24"/>
        </w:rPr>
        <w:t>产品、零部件、材料启运前投标人应按下述内容在箱面上写不褪色的醒目标志：</w:t>
      </w:r>
    </w:p>
    <w:p w14:paraId="31E49820">
      <w:pPr>
        <w:widowControl/>
        <w:numPr>
          <w:ilvl w:val="0"/>
          <w:numId w:val="1"/>
        </w:numPr>
        <w:spacing w:line="360" w:lineRule="auto"/>
        <w:ind w:left="902"/>
        <w:rPr>
          <w:rFonts w:ascii="Calibri" w:hAnsi="Calibri"/>
          <w:sz w:val="24"/>
        </w:rPr>
      </w:pPr>
      <w:r>
        <w:rPr>
          <w:rFonts w:hint="eastAsia" w:ascii="宋体" w:hAnsi="宋体"/>
          <w:sz w:val="24"/>
        </w:rPr>
        <w:t>合同号；</w:t>
      </w:r>
    </w:p>
    <w:p w14:paraId="66CCF5E7">
      <w:pPr>
        <w:widowControl/>
        <w:numPr>
          <w:ilvl w:val="0"/>
          <w:numId w:val="1"/>
        </w:numPr>
        <w:spacing w:line="360" w:lineRule="auto"/>
        <w:ind w:left="902"/>
        <w:rPr>
          <w:rFonts w:ascii="Calibri" w:hAnsi="Calibri"/>
          <w:sz w:val="24"/>
        </w:rPr>
      </w:pPr>
      <w:r>
        <w:rPr>
          <w:rFonts w:hint="eastAsia" w:ascii="宋体" w:hAnsi="宋体"/>
          <w:sz w:val="24"/>
        </w:rPr>
        <w:t>收货人及联系方式；</w:t>
      </w:r>
    </w:p>
    <w:p w14:paraId="1D8E32CA">
      <w:pPr>
        <w:widowControl/>
        <w:numPr>
          <w:ilvl w:val="0"/>
          <w:numId w:val="1"/>
        </w:numPr>
        <w:spacing w:line="360" w:lineRule="auto"/>
        <w:ind w:left="902"/>
        <w:rPr>
          <w:rFonts w:ascii="Calibri" w:hAnsi="Calibri"/>
          <w:sz w:val="24"/>
        </w:rPr>
      </w:pPr>
      <w:r>
        <w:rPr>
          <w:rFonts w:hint="eastAsia" w:ascii="宋体" w:hAnsi="宋体"/>
          <w:sz w:val="24"/>
        </w:rPr>
        <w:t>产品名称和项目号；</w:t>
      </w:r>
    </w:p>
    <w:p w14:paraId="2ED6845D">
      <w:pPr>
        <w:widowControl/>
        <w:numPr>
          <w:ilvl w:val="0"/>
          <w:numId w:val="1"/>
        </w:numPr>
        <w:spacing w:line="360" w:lineRule="auto"/>
        <w:ind w:left="902"/>
        <w:rPr>
          <w:rFonts w:ascii="Calibri" w:hAnsi="Calibri"/>
          <w:sz w:val="24"/>
        </w:rPr>
      </w:pPr>
      <w:r>
        <w:rPr>
          <w:rFonts w:hint="eastAsia" w:ascii="宋体" w:hAnsi="宋体"/>
          <w:sz w:val="24"/>
        </w:rPr>
        <w:t>箱号；</w:t>
      </w:r>
    </w:p>
    <w:p w14:paraId="17CBB033">
      <w:pPr>
        <w:widowControl/>
        <w:numPr>
          <w:ilvl w:val="0"/>
          <w:numId w:val="1"/>
        </w:numPr>
        <w:spacing w:line="360" w:lineRule="auto"/>
        <w:ind w:left="902"/>
        <w:rPr>
          <w:rFonts w:ascii="Calibri" w:hAnsi="Calibri"/>
          <w:sz w:val="24"/>
        </w:rPr>
      </w:pPr>
      <w:r>
        <w:rPr>
          <w:rFonts w:hint="eastAsia" w:ascii="宋体" w:hAnsi="宋体"/>
          <w:sz w:val="24"/>
        </w:rPr>
        <w:t>毛重与净重；</w:t>
      </w:r>
    </w:p>
    <w:p w14:paraId="3EC61A15">
      <w:pPr>
        <w:widowControl/>
        <w:numPr>
          <w:ilvl w:val="0"/>
          <w:numId w:val="1"/>
        </w:numPr>
        <w:spacing w:line="360" w:lineRule="auto"/>
        <w:ind w:left="902"/>
        <w:rPr>
          <w:rFonts w:ascii="Calibri" w:hAnsi="Calibri"/>
          <w:sz w:val="24"/>
        </w:rPr>
      </w:pPr>
      <w:r>
        <w:rPr>
          <w:rFonts w:hint="eastAsia" w:ascii="宋体" w:hAnsi="宋体"/>
          <w:sz w:val="24"/>
        </w:rPr>
        <w:t>外形尺寸；</w:t>
      </w:r>
    </w:p>
    <w:p w14:paraId="2A4F0B56">
      <w:pPr>
        <w:widowControl/>
        <w:spacing w:line="360" w:lineRule="auto"/>
        <w:ind w:firstLine="480" w:firstLineChars="200"/>
        <w:rPr>
          <w:rFonts w:ascii="Calibri" w:hAnsi="Calibri"/>
          <w:sz w:val="24"/>
        </w:rPr>
      </w:pPr>
      <w:r>
        <w:rPr>
          <w:rFonts w:hint="eastAsia" w:ascii="宋体" w:hAnsi="宋体"/>
          <w:sz w:val="24"/>
        </w:rPr>
        <w:t>在产品的包装箱外面应标上</w:t>
      </w:r>
      <w:r>
        <w:rPr>
          <w:rFonts w:hint="eastAsia" w:ascii="Calibri" w:hAnsi="Calibri"/>
          <w:sz w:val="24"/>
        </w:rPr>
        <w:t>“重心”、“起吊点”、“小心搬运”、“正面向上”、“防止受潮”、“勿倒”、“勿倾斜”、“防火”等字样。</w:t>
      </w:r>
    </w:p>
    <w:p w14:paraId="0646F48E">
      <w:pPr>
        <w:widowControl/>
        <w:spacing w:line="360" w:lineRule="auto"/>
        <w:ind w:firstLine="480" w:firstLineChars="200"/>
        <w:rPr>
          <w:rFonts w:ascii="Calibri" w:hAnsi="Calibri"/>
          <w:sz w:val="24"/>
        </w:rPr>
      </w:pPr>
      <w:r>
        <w:rPr>
          <w:rFonts w:hint="eastAsia" w:ascii="宋体" w:hAnsi="宋体"/>
          <w:sz w:val="24"/>
        </w:rPr>
        <w:t>投标人提供的技术文件的包装内外表面上应有如下中文标志：</w:t>
      </w:r>
    </w:p>
    <w:p w14:paraId="252A17F8">
      <w:pPr>
        <w:widowControl/>
        <w:numPr>
          <w:ilvl w:val="0"/>
          <w:numId w:val="2"/>
        </w:numPr>
        <w:spacing w:line="360" w:lineRule="auto"/>
        <w:ind w:left="902"/>
        <w:rPr>
          <w:rFonts w:ascii="Calibri" w:hAnsi="Calibri"/>
          <w:sz w:val="24"/>
        </w:rPr>
      </w:pPr>
      <w:r>
        <w:rPr>
          <w:rFonts w:hint="eastAsia" w:ascii="宋体" w:hAnsi="宋体"/>
          <w:sz w:val="24"/>
        </w:rPr>
        <w:t>合同号；</w:t>
      </w:r>
    </w:p>
    <w:p w14:paraId="3DA7F8D4">
      <w:pPr>
        <w:widowControl/>
        <w:numPr>
          <w:ilvl w:val="0"/>
          <w:numId w:val="2"/>
        </w:numPr>
        <w:spacing w:line="360" w:lineRule="auto"/>
        <w:ind w:left="902"/>
        <w:rPr>
          <w:rFonts w:ascii="Calibri" w:hAnsi="Calibri"/>
          <w:sz w:val="24"/>
        </w:rPr>
      </w:pPr>
      <w:r>
        <w:rPr>
          <w:rFonts w:hint="eastAsia" w:ascii="宋体" w:hAnsi="宋体"/>
          <w:sz w:val="24"/>
        </w:rPr>
        <w:t>收货人；</w:t>
      </w:r>
    </w:p>
    <w:p w14:paraId="7B95E73D">
      <w:pPr>
        <w:widowControl/>
        <w:numPr>
          <w:ilvl w:val="0"/>
          <w:numId w:val="2"/>
        </w:numPr>
        <w:spacing w:line="360" w:lineRule="auto"/>
        <w:ind w:left="902"/>
        <w:rPr>
          <w:rFonts w:ascii="Calibri" w:hAnsi="Calibri"/>
          <w:sz w:val="24"/>
        </w:rPr>
      </w:pPr>
      <w:r>
        <w:rPr>
          <w:rFonts w:hint="eastAsia" w:ascii="宋体" w:hAnsi="宋体"/>
          <w:sz w:val="24"/>
        </w:rPr>
        <w:t>目的地；</w:t>
      </w:r>
    </w:p>
    <w:p w14:paraId="1ED35636">
      <w:pPr>
        <w:widowControl/>
        <w:numPr>
          <w:ilvl w:val="0"/>
          <w:numId w:val="2"/>
        </w:numPr>
        <w:spacing w:line="360" w:lineRule="auto"/>
        <w:ind w:left="902"/>
        <w:rPr>
          <w:rFonts w:ascii="Calibri" w:hAnsi="Calibri"/>
          <w:sz w:val="24"/>
        </w:rPr>
      </w:pPr>
      <w:r>
        <w:rPr>
          <w:rFonts w:hint="eastAsia" w:ascii="宋体" w:hAnsi="宋体"/>
          <w:sz w:val="24"/>
        </w:rPr>
        <w:t>毛重；</w:t>
      </w:r>
    </w:p>
    <w:p w14:paraId="495C04EC">
      <w:pPr>
        <w:widowControl/>
        <w:numPr>
          <w:ilvl w:val="0"/>
          <w:numId w:val="2"/>
        </w:numPr>
        <w:spacing w:line="360" w:lineRule="auto"/>
        <w:ind w:left="902"/>
        <w:rPr>
          <w:rFonts w:ascii="Calibri" w:hAnsi="Calibri"/>
          <w:sz w:val="24"/>
        </w:rPr>
      </w:pPr>
      <w:r>
        <w:rPr>
          <w:rFonts w:hint="eastAsia" w:ascii="宋体" w:hAnsi="宋体"/>
          <w:sz w:val="24"/>
        </w:rPr>
        <w:t>箱号。</w:t>
      </w:r>
    </w:p>
    <w:p w14:paraId="108EA874">
      <w:pPr>
        <w:widowControl/>
        <w:spacing w:before="156" w:beforeLines="50" w:line="360" w:lineRule="auto"/>
        <w:ind w:firstLine="480" w:firstLineChars="200"/>
        <w:rPr>
          <w:rFonts w:ascii="Calibri" w:hAnsi="Calibri"/>
          <w:sz w:val="24"/>
        </w:rPr>
      </w:pPr>
      <w:r>
        <w:rPr>
          <w:rFonts w:hint="eastAsia" w:ascii="宋体" w:hAnsi="宋体"/>
          <w:sz w:val="24"/>
        </w:rPr>
        <w:t>采购人和投标人应在合同中明确规定产品在运输时的状态，以及对检测仪表和检测数据变化范围的要求。支柱绝缘子及其部件的保管期应在合同中明确规定。</w:t>
      </w:r>
    </w:p>
    <w:p w14:paraId="105E6579">
      <w:pPr>
        <w:widowControl/>
        <w:spacing w:line="360" w:lineRule="auto"/>
        <w:ind w:firstLine="480" w:firstLineChars="200"/>
        <w:rPr>
          <w:rFonts w:ascii="Calibri" w:hAnsi="Calibri"/>
          <w:sz w:val="24"/>
        </w:rPr>
      </w:pPr>
      <w:r>
        <w:rPr>
          <w:rFonts w:hint="eastAsia" w:ascii="宋体" w:hAnsi="宋体"/>
          <w:sz w:val="24"/>
        </w:rPr>
        <w:t>在产品启运后一周内，投标人应以最快捷的方式通知采购人以下内容</w:t>
      </w:r>
    </w:p>
    <w:p w14:paraId="50343503">
      <w:pPr>
        <w:widowControl/>
        <w:numPr>
          <w:ilvl w:val="0"/>
          <w:numId w:val="3"/>
        </w:numPr>
        <w:spacing w:line="360" w:lineRule="auto"/>
        <w:rPr>
          <w:rFonts w:ascii="Calibri" w:hAnsi="Calibri"/>
          <w:sz w:val="24"/>
        </w:rPr>
      </w:pPr>
      <w:r>
        <w:rPr>
          <w:rFonts w:hint="eastAsia" w:ascii="宋体" w:hAnsi="宋体"/>
          <w:sz w:val="24"/>
        </w:rPr>
        <w:t>产品名称；</w:t>
      </w:r>
    </w:p>
    <w:p w14:paraId="3866C8DA">
      <w:pPr>
        <w:widowControl/>
        <w:numPr>
          <w:ilvl w:val="0"/>
          <w:numId w:val="3"/>
        </w:numPr>
        <w:spacing w:line="360" w:lineRule="auto"/>
        <w:rPr>
          <w:rFonts w:ascii="Calibri" w:hAnsi="Calibri"/>
          <w:sz w:val="24"/>
        </w:rPr>
      </w:pPr>
      <w:r>
        <w:rPr>
          <w:rFonts w:hint="eastAsia" w:ascii="宋体" w:hAnsi="宋体"/>
          <w:sz w:val="24"/>
        </w:rPr>
        <w:t>件数、件号、重量；</w:t>
      </w:r>
    </w:p>
    <w:p w14:paraId="37B4F5AD">
      <w:pPr>
        <w:widowControl/>
        <w:numPr>
          <w:ilvl w:val="0"/>
          <w:numId w:val="3"/>
        </w:numPr>
        <w:spacing w:line="360" w:lineRule="auto"/>
        <w:rPr>
          <w:rFonts w:ascii="Calibri" w:hAnsi="Calibri"/>
          <w:sz w:val="24"/>
        </w:rPr>
      </w:pPr>
      <w:r>
        <w:rPr>
          <w:rFonts w:hint="eastAsia" w:ascii="宋体" w:hAnsi="宋体"/>
          <w:sz w:val="24"/>
        </w:rPr>
        <w:t>合同号及货运单号；</w:t>
      </w:r>
    </w:p>
    <w:p w14:paraId="6C44946D">
      <w:pPr>
        <w:widowControl/>
        <w:numPr>
          <w:ilvl w:val="0"/>
          <w:numId w:val="3"/>
        </w:numPr>
        <w:spacing w:line="360" w:lineRule="auto"/>
        <w:rPr>
          <w:rFonts w:ascii="Calibri" w:hAnsi="Calibri"/>
          <w:sz w:val="24"/>
        </w:rPr>
      </w:pPr>
      <w:r>
        <w:rPr>
          <w:rFonts w:hint="eastAsia" w:ascii="宋体" w:hAnsi="宋体"/>
          <w:sz w:val="24"/>
        </w:rPr>
        <w:t>达到地点；</w:t>
      </w:r>
    </w:p>
    <w:p w14:paraId="4F8B37BF">
      <w:pPr>
        <w:widowControl/>
        <w:numPr>
          <w:ilvl w:val="0"/>
          <w:numId w:val="3"/>
        </w:numPr>
        <w:spacing w:line="360" w:lineRule="auto"/>
        <w:rPr>
          <w:rFonts w:ascii="Calibri" w:hAnsi="Calibri"/>
          <w:sz w:val="24"/>
        </w:rPr>
      </w:pPr>
      <w:r>
        <w:rPr>
          <w:rFonts w:hint="eastAsia" w:ascii="宋体" w:hAnsi="宋体"/>
          <w:sz w:val="24"/>
        </w:rPr>
        <w:t>产品发出日期。</w:t>
      </w:r>
    </w:p>
    <w:p w14:paraId="28D9CEEA">
      <w:pPr>
        <w:widowControl/>
        <w:spacing w:line="360" w:lineRule="auto"/>
        <w:ind w:firstLine="480" w:firstLineChars="200"/>
        <w:rPr>
          <w:rFonts w:ascii="Calibri" w:hAnsi="Calibri"/>
          <w:sz w:val="24"/>
        </w:rPr>
      </w:pPr>
      <w:r>
        <w:rPr>
          <w:rFonts w:hint="eastAsia" w:ascii="宋体" w:hAnsi="宋体"/>
          <w:sz w:val="24"/>
        </w:rPr>
        <w:t>所有部件的装运方式均应便于卸货、操作和现场就位，标有千斤顶支架位置的起吊图和安装图，应与装运文件一起提供。</w:t>
      </w:r>
    </w:p>
    <w:p w14:paraId="4D23B01C">
      <w:pPr>
        <w:widowControl/>
        <w:spacing w:line="360" w:lineRule="auto"/>
        <w:ind w:firstLine="480" w:firstLineChars="200"/>
        <w:rPr>
          <w:rFonts w:ascii="Calibri" w:hAnsi="Calibri"/>
          <w:sz w:val="24"/>
        </w:rPr>
      </w:pPr>
      <w:r>
        <w:rPr>
          <w:rFonts w:hint="eastAsia" w:ascii="宋体" w:hAnsi="宋体"/>
          <w:sz w:val="24"/>
        </w:rPr>
        <w:t>任何在装运中可能丢失的成品应用箱式包装或捆成一束，并标志以清晰的记号以便识别。</w:t>
      </w:r>
    </w:p>
    <w:p w14:paraId="09BDF226">
      <w:pPr>
        <w:widowControl/>
        <w:spacing w:before="156" w:beforeLines="50" w:line="360" w:lineRule="auto"/>
        <w:ind w:firstLine="480" w:firstLineChars="200"/>
        <w:rPr>
          <w:rFonts w:hint="eastAsia" w:ascii="宋体" w:hAnsi="宋体"/>
          <w:b/>
          <w:bCs/>
          <w:sz w:val="24"/>
        </w:rPr>
      </w:pPr>
      <w:r>
        <w:rPr>
          <w:rFonts w:hint="eastAsia" w:ascii="宋体" w:hAnsi="宋体"/>
          <w:sz w:val="24"/>
        </w:rPr>
        <w:t>运输、贮存直到安装时应保护所有组、部件不得损坏、不得进水和受潮</w:t>
      </w:r>
      <w:r>
        <w:rPr>
          <w:rFonts w:ascii="宋体" w:hAnsi="宋体"/>
          <w:sz w:val="24"/>
        </w:rPr>
        <w:t>。</w:t>
      </w:r>
    </w:p>
    <w:p w14:paraId="6AA21385">
      <w:pPr>
        <w:widowControl/>
        <w:snapToGrid w:val="0"/>
        <w:spacing w:before="156" w:beforeLines="50" w:line="360" w:lineRule="auto"/>
        <w:rPr>
          <w:b/>
          <w:sz w:val="24"/>
        </w:rPr>
      </w:pPr>
      <w:r>
        <w:rPr>
          <w:b/>
          <w:sz w:val="24"/>
        </w:rPr>
        <w:t>3</w:t>
      </w:r>
      <w:r>
        <w:rPr>
          <w:rFonts w:hint="eastAsia"/>
          <w:b/>
          <w:sz w:val="24"/>
        </w:rPr>
        <w:t>、</w:t>
      </w:r>
      <w:r>
        <w:rPr>
          <w:b/>
          <w:sz w:val="24"/>
        </w:rPr>
        <w:t>交货日期：</w:t>
      </w:r>
    </w:p>
    <w:p w14:paraId="3398C710">
      <w:pPr>
        <w:widowControl/>
        <w:snapToGrid w:val="0"/>
        <w:spacing w:before="156" w:beforeLines="50" w:line="360" w:lineRule="auto"/>
        <w:ind w:firstLine="480" w:firstLineChars="200"/>
        <w:rPr>
          <w:sz w:val="24"/>
        </w:rPr>
      </w:pPr>
      <w:r>
        <w:rPr>
          <w:rFonts w:hint="eastAsia"/>
          <w:sz w:val="24"/>
        </w:rPr>
        <w:t>合同签订后的18个月内交货。</w:t>
      </w:r>
    </w:p>
    <w:p w14:paraId="12637883">
      <w:pPr>
        <w:widowControl/>
        <w:snapToGrid w:val="0"/>
        <w:spacing w:before="156" w:beforeLines="50" w:line="360" w:lineRule="auto"/>
        <w:rPr>
          <w:b/>
          <w:sz w:val="24"/>
        </w:rPr>
      </w:pPr>
      <w:bookmarkStart w:id="3" w:name="OLE_LINK3"/>
      <w:r>
        <w:rPr>
          <w:b/>
          <w:sz w:val="24"/>
        </w:rPr>
        <w:t>4</w:t>
      </w:r>
      <w:r>
        <w:rPr>
          <w:rFonts w:hint="eastAsia"/>
          <w:b/>
          <w:sz w:val="24"/>
        </w:rPr>
        <w:t>、</w:t>
      </w:r>
      <w:r>
        <w:rPr>
          <w:b/>
          <w:sz w:val="24"/>
        </w:rPr>
        <w:t>交货地点：</w:t>
      </w:r>
    </w:p>
    <w:bookmarkEnd w:id="3"/>
    <w:p w14:paraId="43426215">
      <w:pPr>
        <w:widowControl/>
        <w:snapToGrid w:val="0"/>
        <w:spacing w:before="156" w:beforeLines="50" w:line="360" w:lineRule="auto"/>
        <w:ind w:firstLine="480" w:firstLineChars="200"/>
        <w:rPr>
          <w:sz w:val="24"/>
        </w:rPr>
      </w:pPr>
      <w:r>
        <w:rPr>
          <w:rFonts w:hint="eastAsia"/>
          <w:sz w:val="24"/>
        </w:rPr>
        <w:t>中国科学院电工研究所</w:t>
      </w:r>
    </w:p>
    <w:p w14:paraId="37735320">
      <w:pPr>
        <w:widowControl/>
        <w:snapToGrid w:val="0"/>
        <w:spacing w:before="156" w:beforeLines="50" w:line="360" w:lineRule="auto"/>
        <w:rPr>
          <w:b/>
          <w:sz w:val="24"/>
        </w:rPr>
      </w:pPr>
      <w:r>
        <w:rPr>
          <w:b/>
          <w:sz w:val="24"/>
        </w:rPr>
        <w:t>5</w:t>
      </w:r>
      <w:r>
        <w:rPr>
          <w:rFonts w:hint="eastAsia"/>
          <w:b/>
          <w:sz w:val="24"/>
        </w:rPr>
        <w:t>、</w:t>
      </w:r>
      <w:r>
        <w:rPr>
          <w:b/>
          <w:sz w:val="24"/>
        </w:rPr>
        <w:t>验收标准：</w:t>
      </w:r>
    </w:p>
    <w:p w14:paraId="4E0A1C2F">
      <w:pPr>
        <w:widowControl/>
        <w:snapToGrid w:val="0"/>
        <w:spacing w:before="156" w:beforeLines="50" w:line="360" w:lineRule="auto"/>
        <w:rPr>
          <w:b/>
          <w:sz w:val="24"/>
        </w:rPr>
      </w:pPr>
      <w:r>
        <w:rPr>
          <w:rFonts w:hint="eastAsia" w:ascii="宋体" w:hAnsi="宋体"/>
          <w:sz w:val="24"/>
        </w:rPr>
        <w:t>1）货物运抵安装现场后，采购人将与供应商共同开箱验收, 如供应商届时不派人来, 则验收结果应以采购人的验收报告为最终验收结果。验收时发现短缺、破损，采购人有权要求供应商负责更换。</w:t>
      </w:r>
    </w:p>
    <w:p w14:paraId="6E0C4C5D">
      <w:pPr>
        <w:widowControl/>
        <w:tabs>
          <w:tab w:val="left" w:pos="0"/>
        </w:tabs>
        <w:spacing w:before="156" w:beforeLines="50" w:line="360" w:lineRule="auto"/>
        <w:jc w:val="left"/>
        <w:rPr>
          <w:rFonts w:hint="eastAsia" w:ascii="宋体" w:hAnsi="宋体"/>
          <w:sz w:val="24"/>
        </w:rPr>
      </w:pPr>
      <w:r>
        <w:rPr>
          <w:rFonts w:hint="eastAsia" w:ascii="宋体" w:hAnsi="宋体"/>
          <w:sz w:val="24"/>
        </w:rPr>
        <w:t>2）</w:t>
      </w:r>
      <w:r>
        <w:rPr>
          <w:rFonts w:ascii="宋体" w:hAnsi="宋体"/>
          <w:sz w:val="24"/>
        </w:rPr>
        <w:t>供应商应提出仪器设备测试</w:t>
      </w:r>
      <w:r>
        <w:rPr>
          <w:rFonts w:hint="eastAsia" w:ascii="宋体" w:hAnsi="宋体"/>
          <w:sz w:val="24"/>
        </w:rPr>
        <w:t>方案给采购人确认</w:t>
      </w:r>
      <w:r>
        <w:rPr>
          <w:rFonts w:ascii="宋体" w:hAnsi="宋体"/>
          <w:sz w:val="24"/>
        </w:rPr>
        <w:t>,供应商有责任对采购人的技术人员提出的问题作出解答。</w:t>
      </w:r>
      <w:r>
        <w:rPr>
          <w:rFonts w:hint="eastAsia" w:ascii="宋体" w:hAnsi="宋体"/>
          <w:sz w:val="24"/>
        </w:rPr>
        <w:t>仪器设备</w:t>
      </w:r>
      <w:r>
        <w:rPr>
          <w:rFonts w:ascii="宋体" w:hAnsi="宋体"/>
          <w:sz w:val="24"/>
        </w:rPr>
        <w:t>测试应进行详细记录,测试结束后,由供应商技术人员签字后交给采购人验收。</w:t>
      </w:r>
    </w:p>
    <w:p w14:paraId="74A4075E">
      <w:pPr>
        <w:widowControl/>
        <w:tabs>
          <w:tab w:val="left" w:pos="0"/>
        </w:tabs>
        <w:spacing w:before="156" w:beforeLines="50" w:line="360" w:lineRule="auto"/>
        <w:jc w:val="left"/>
        <w:rPr>
          <w:rFonts w:hint="eastAsia" w:ascii="宋体" w:hAnsi="宋体"/>
          <w:sz w:val="24"/>
        </w:rPr>
      </w:pPr>
      <w:r>
        <w:rPr>
          <w:rFonts w:hint="eastAsia" w:ascii="宋体" w:hAnsi="宋体"/>
          <w:sz w:val="24"/>
        </w:rPr>
        <w:t>3）</w:t>
      </w:r>
      <w:r>
        <w:rPr>
          <w:rFonts w:ascii="宋体" w:hAnsi="宋体"/>
          <w:sz w:val="24"/>
        </w:rPr>
        <w:t xml:space="preserve">保修期自最终安装验收合格后开始，保修期内供应商要保修除消耗品以外的所有部件。在保修期内，如果仪器设备发生故障，供应商要调查故障原因并修复直至满足最终验收指标和性能的要求，或者更换整个或部分有缺陷的材料。以上都应是免费的。 </w:t>
      </w:r>
    </w:p>
    <w:p w14:paraId="50C2D230">
      <w:pPr>
        <w:spacing w:line="360" w:lineRule="auto"/>
        <w:rPr>
          <w:rFonts w:hint="eastAsia" w:ascii="宋体" w:hAnsi="宋体"/>
          <w:sz w:val="24"/>
        </w:rPr>
      </w:pPr>
      <w:r>
        <w:rPr>
          <w:rFonts w:hint="eastAsia" w:ascii="宋体" w:hAnsi="宋体"/>
          <w:sz w:val="24"/>
        </w:rPr>
        <w:t>4）验收标准以成交人提供的响应文件中所列的指标为准（该指标应不低于采购文件所要求的指标）。任何虚假指标响应一经发现即作废标，成交人必须承担由此给采购人带来的一切经济损失和其它相关责任。</w:t>
      </w:r>
    </w:p>
    <w:p w14:paraId="7EA3DB13">
      <w:pPr>
        <w:spacing w:line="360" w:lineRule="auto"/>
        <w:rPr>
          <w:rFonts w:hint="eastAsia" w:ascii="宋体" w:hAnsi="宋体"/>
          <w:sz w:val="24"/>
        </w:rPr>
      </w:pPr>
      <w:r>
        <w:rPr>
          <w:rFonts w:ascii="宋体" w:hAnsi="宋体"/>
          <w:sz w:val="24"/>
        </w:rPr>
        <w:t>5</w:t>
      </w:r>
      <w:r>
        <w:rPr>
          <w:rFonts w:hint="eastAsia" w:ascii="宋体" w:hAnsi="宋体"/>
          <w:sz w:val="24"/>
        </w:rPr>
        <w:t>）</w:t>
      </w:r>
      <w:r>
        <w:rPr>
          <w:rFonts w:ascii="宋体" w:hAnsi="宋体"/>
          <w:sz w:val="24"/>
        </w:rPr>
        <w:t>验收由采购人、</w:t>
      </w:r>
      <w:r>
        <w:rPr>
          <w:rFonts w:hint="eastAsia" w:ascii="宋体" w:hAnsi="宋体"/>
          <w:sz w:val="24"/>
        </w:rPr>
        <w:t>成交</w:t>
      </w:r>
      <w:r>
        <w:rPr>
          <w:rFonts w:ascii="宋体" w:hAnsi="宋体"/>
          <w:sz w:val="24"/>
        </w:rPr>
        <w:t>人及相关人员依国家有关标准、合同及有关附件要求进行，验收完毕由采购人及</w:t>
      </w:r>
      <w:r>
        <w:rPr>
          <w:rFonts w:hint="eastAsia" w:ascii="宋体" w:hAnsi="宋体"/>
          <w:sz w:val="24"/>
        </w:rPr>
        <w:t>成交</w:t>
      </w:r>
      <w:r>
        <w:rPr>
          <w:rFonts w:ascii="宋体" w:hAnsi="宋体"/>
          <w:sz w:val="24"/>
        </w:rPr>
        <w:t>人在验收报告上签名。</w:t>
      </w:r>
    </w:p>
    <w:p w14:paraId="51A432FE">
      <w:pPr>
        <w:widowControl/>
        <w:snapToGrid w:val="0"/>
        <w:spacing w:before="156" w:beforeLines="50" w:line="360" w:lineRule="auto"/>
        <w:rPr>
          <w:b/>
          <w:sz w:val="24"/>
        </w:rPr>
      </w:pPr>
      <w:r>
        <w:rPr>
          <w:b/>
          <w:sz w:val="24"/>
        </w:rPr>
        <w:t>7</w:t>
      </w:r>
      <w:r>
        <w:rPr>
          <w:rFonts w:hint="eastAsia"/>
          <w:b/>
          <w:sz w:val="24"/>
        </w:rPr>
        <w:t>、执行的相关标准</w:t>
      </w:r>
    </w:p>
    <w:p w14:paraId="7E2EE732">
      <w:pPr>
        <w:widowControl/>
        <w:spacing w:before="156" w:beforeLines="50" w:line="360" w:lineRule="auto"/>
        <w:ind w:firstLine="480" w:firstLineChars="200"/>
        <w:rPr>
          <w:sz w:val="24"/>
          <w:highlight w:val="none"/>
        </w:rPr>
      </w:pPr>
      <w:r>
        <w:rPr>
          <w:rFonts w:hint="eastAsia"/>
          <w:sz w:val="24"/>
          <w:highlight w:val="none"/>
        </w:rPr>
        <w:t>无</w:t>
      </w:r>
    </w:p>
    <w:p w14:paraId="1024E824">
      <w:pPr>
        <w:widowControl/>
        <w:tabs>
          <w:tab w:val="left" w:pos="900"/>
        </w:tabs>
        <w:spacing w:before="312" w:beforeLines="100" w:line="360" w:lineRule="auto"/>
        <w:jc w:val="left"/>
        <w:rPr>
          <w:rFonts w:hint="eastAsia" w:ascii="宋体" w:hAnsi="宋体" w:cs="宋体"/>
          <w:b/>
          <w:bCs/>
          <w:kern w:val="0"/>
          <w:sz w:val="24"/>
          <w:highlight w:val="none"/>
        </w:rPr>
      </w:pPr>
      <w:r>
        <w:rPr>
          <w:rFonts w:ascii="宋体" w:hAnsi="宋体" w:cs="宋体"/>
          <w:b/>
          <w:bCs/>
          <w:kern w:val="0"/>
          <w:sz w:val="24"/>
          <w:highlight w:val="none"/>
        </w:rPr>
        <w:t>8</w:t>
      </w:r>
      <w:r>
        <w:rPr>
          <w:rFonts w:hint="eastAsia" w:ascii="宋体" w:hAnsi="宋体" w:cs="宋体"/>
          <w:b/>
          <w:bCs/>
          <w:kern w:val="0"/>
          <w:sz w:val="24"/>
          <w:highlight w:val="none"/>
        </w:rPr>
        <w:t>、付款方式：</w:t>
      </w:r>
    </w:p>
    <w:p w14:paraId="307AEFFB">
      <w:pPr>
        <w:spacing w:line="360" w:lineRule="auto"/>
        <w:ind w:firstLine="480" w:firstLineChars="200"/>
        <w:rPr>
          <w:rFonts w:hint="eastAsia" w:ascii="宋体" w:hAnsi="宋体"/>
          <w:sz w:val="24"/>
          <w:highlight w:val="none"/>
        </w:rPr>
      </w:pPr>
      <w:r>
        <w:rPr>
          <w:rFonts w:hint="eastAsia" w:ascii="宋体" w:hAnsi="宋体"/>
          <w:sz w:val="24"/>
          <w:highlight w:val="none"/>
        </w:rPr>
        <w:t>对于国产产品，50%合同签署后10个工作日支付，50%凭用户代表签字并加盖单位公章后的验收报告支付；</w:t>
      </w:r>
    </w:p>
    <w:p w14:paraId="204F6681">
      <w:pPr>
        <w:spacing w:line="360" w:lineRule="auto"/>
        <w:ind w:firstLine="480" w:firstLineChars="200"/>
        <w:rPr>
          <w:rFonts w:hint="eastAsia" w:ascii="宋体" w:hAnsi="宋体"/>
          <w:sz w:val="24"/>
          <w:highlight w:val="none"/>
        </w:rPr>
      </w:pPr>
      <w:r>
        <w:rPr>
          <w:rFonts w:hint="eastAsia" w:ascii="宋体" w:hAnsi="宋体"/>
          <w:sz w:val="24"/>
          <w:highlight w:val="none"/>
        </w:rPr>
        <w:t>对于进口产品对于进口产品，50%合同金额在合同签署后且收到中标方开具预付款保函后20个工作日电汇支付；30%合同金额在收到发货运单及中标方开具的预付款保函后电汇支付；在起运14日后，以上两个预付款保函终止；20%合同金额凭用户代表签字并加盖单位公章后的正本验收报告电汇支付。</w:t>
      </w:r>
    </w:p>
    <w:p w14:paraId="3284966A">
      <w:pPr>
        <w:rPr>
          <w:highlight w:val="none"/>
        </w:rPr>
      </w:pPr>
    </w:p>
    <w:p w14:paraId="0E81A877">
      <w:pPr>
        <w:spacing w:before="156" w:beforeLines="50" w:line="360" w:lineRule="auto"/>
        <w:rPr>
          <w:rFonts w:hint="eastAsia" w:ascii="宋体" w:hAnsi="宋体" w:cs="宋体"/>
          <w:b/>
          <w:bCs/>
          <w:kern w:val="0"/>
          <w:sz w:val="24"/>
          <w:highlight w:val="none"/>
        </w:rPr>
      </w:pPr>
      <w:r>
        <w:rPr>
          <w:rFonts w:hint="eastAsia" w:ascii="宋体" w:hAnsi="宋体" w:cs="宋体"/>
          <w:b/>
          <w:bCs/>
          <w:kern w:val="0"/>
          <w:sz w:val="24"/>
          <w:highlight w:val="none"/>
        </w:rPr>
        <w:t>★</w:t>
      </w:r>
      <w:r>
        <w:rPr>
          <w:rFonts w:ascii="宋体" w:hAnsi="宋体" w:cs="宋体"/>
          <w:b/>
          <w:bCs/>
          <w:kern w:val="0"/>
          <w:sz w:val="24"/>
          <w:highlight w:val="none"/>
        </w:rPr>
        <w:t>9</w:t>
      </w:r>
      <w:r>
        <w:rPr>
          <w:rFonts w:hint="eastAsia" w:ascii="宋体" w:hAnsi="宋体" w:cs="宋体"/>
          <w:b/>
          <w:bCs/>
          <w:kern w:val="0"/>
          <w:sz w:val="24"/>
          <w:highlight w:val="none"/>
        </w:rPr>
        <w:t>、投标报价要求：</w:t>
      </w:r>
    </w:p>
    <w:p w14:paraId="1F7D30AB">
      <w:pPr>
        <w:widowControl/>
        <w:tabs>
          <w:tab w:val="left" w:pos="900"/>
        </w:tabs>
        <w:spacing w:line="360" w:lineRule="auto"/>
        <w:jc w:val="left"/>
        <w:rPr>
          <w:rFonts w:hint="eastAsia" w:ascii="宋体" w:hAnsi="宋体" w:cs="仿宋_GB2312"/>
          <w:kern w:val="0"/>
          <w:sz w:val="24"/>
        </w:rPr>
      </w:pPr>
      <w:r>
        <w:rPr>
          <w:rFonts w:hint="eastAsia" w:ascii="宋体" w:hAnsi="宋体" w:cs="仿宋_GB2312"/>
          <w:kern w:val="0"/>
          <w:sz w:val="24"/>
        </w:rPr>
        <w:t>（1）本项目允许采购进口产品，进口产品与服务报项目现场交货外币免税价。（包含外贸代理费，清关杂费等所有费用）</w:t>
      </w:r>
    </w:p>
    <w:p w14:paraId="61933B33">
      <w:pPr>
        <w:widowControl/>
        <w:tabs>
          <w:tab w:val="left" w:pos="900"/>
        </w:tabs>
        <w:spacing w:line="360" w:lineRule="auto"/>
        <w:jc w:val="left"/>
        <w:rPr>
          <w:rFonts w:hint="eastAsia" w:ascii="宋体" w:hAnsi="宋体" w:cs="仿宋_GB2312"/>
          <w:sz w:val="24"/>
        </w:rPr>
      </w:pPr>
      <w:r>
        <w:rPr>
          <w:rFonts w:hint="eastAsia" w:ascii="宋体" w:hAnsi="宋体" w:cs="仿宋_GB2312"/>
          <w:sz w:val="24"/>
        </w:rPr>
        <w:t>价格包括：</w:t>
      </w:r>
    </w:p>
    <w:p w14:paraId="7D59FA74">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1）CIP价</w:t>
      </w:r>
    </w:p>
    <w:p w14:paraId="71DC192F">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2）其他伴随服务费用：</w:t>
      </w:r>
    </w:p>
    <w:p w14:paraId="64380934">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①货物从进口口岸至最终目的地的关境内运输、保险和其他当地发生的伴随费用。</w:t>
      </w:r>
    </w:p>
    <w:p w14:paraId="26E44591">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②安装与调试、验收、检验、培训、技术文件的移交、质保期服务、技术服务、卸货费及采购文件要求提供的其它服务。</w:t>
      </w:r>
    </w:p>
    <w:p w14:paraId="64569A20">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③外贸进口有关的一切费用（如外贸公司代理费用、清关费用、银行手续费、海关监管手续费、报关费用、商检费用、申办机电批文费用、机场码头费等）。</w:t>
      </w:r>
    </w:p>
    <w:p w14:paraId="184D907D">
      <w:pPr>
        <w:widowControl/>
        <w:tabs>
          <w:tab w:val="left" w:pos="900"/>
        </w:tabs>
        <w:spacing w:line="360" w:lineRule="auto"/>
        <w:ind w:firstLine="240" w:firstLineChars="100"/>
        <w:jc w:val="left"/>
        <w:rPr>
          <w:rFonts w:hint="eastAsia" w:ascii="宋体" w:hAnsi="宋体" w:cs="仿宋_GB2312"/>
          <w:sz w:val="24"/>
        </w:rPr>
      </w:pPr>
      <w:r>
        <w:rPr>
          <w:rFonts w:hint="eastAsia" w:ascii="宋体" w:hAnsi="宋体" w:cs="仿宋_GB2312"/>
          <w:sz w:val="24"/>
        </w:rPr>
        <w:t>④按照采购文件要求的除以上费用外的其他相关费用。</w:t>
      </w:r>
    </w:p>
    <w:p w14:paraId="2560C3C7">
      <w:pPr>
        <w:widowControl/>
        <w:tabs>
          <w:tab w:val="left" w:pos="900"/>
        </w:tabs>
        <w:spacing w:line="360" w:lineRule="auto"/>
        <w:jc w:val="left"/>
        <w:rPr>
          <w:rFonts w:hint="eastAsia" w:ascii="宋体" w:hAnsi="宋体" w:cs="仿宋_GB2312"/>
          <w:kern w:val="0"/>
          <w:sz w:val="24"/>
        </w:rPr>
      </w:pPr>
      <w:r>
        <w:rPr>
          <w:rFonts w:hint="eastAsia" w:ascii="宋体" w:hAnsi="宋体" w:cs="仿宋_GB2312"/>
          <w:kern w:val="0"/>
          <w:sz w:val="24"/>
        </w:rPr>
        <w:t>（2）国产产品与服务报项目现场交货人民币含税价。报价中需包括制造、装配和发运货物所使用的材料、部件及货物本身已支付或将支付的产品税、销售税和其它税费。采购人不再另行支付其他任何费用。</w:t>
      </w:r>
    </w:p>
    <w:p w14:paraId="0B1BE3FD">
      <w:pPr>
        <w:widowControl/>
        <w:tabs>
          <w:tab w:val="left" w:pos="900"/>
        </w:tabs>
        <w:spacing w:line="360" w:lineRule="auto"/>
        <w:jc w:val="left"/>
        <w:rPr>
          <w:rFonts w:hint="eastAsia" w:ascii="宋体" w:hAnsi="宋体" w:cs="仿宋_GB2312"/>
          <w:kern w:val="0"/>
          <w:sz w:val="24"/>
        </w:rPr>
      </w:pPr>
      <w:r>
        <w:rPr>
          <w:rFonts w:hint="eastAsia" w:ascii="宋体" w:hAnsi="宋体" w:cs="仿宋_GB2312"/>
          <w:kern w:val="0"/>
          <w:sz w:val="24"/>
        </w:rPr>
        <w:t>关境内供货的国外产品与服务报项目现场交货人民币含税价（报价中需包括制造、装配和发运货物所使用的材料、部件及货物本身已支付或将支付的产品税、销售税和其它税费）。采购人不再另行支付其他任何费用。</w:t>
      </w:r>
    </w:p>
    <w:p w14:paraId="52085763">
      <w:pPr>
        <w:widowControl/>
        <w:tabs>
          <w:tab w:val="left" w:pos="900"/>
        </w:tabs>
        <w:spacing w:line="360" w:lineRule="auto"/>
        <w:jc w:val="left"/>
        <w:rPr>
          <w:rFonts w:hint="eastAsia" w:ascii="宋体" w:hAnsi="宋体" w:cs="仿宋_GB2312"/>
          <w:kern w:val="0"/>
          <w:sz w:val="24"/>
        </w:rPr>
      </w:pPr>
      <w:r>
        <w:rPr>
          <w:rFonts w:hint="eastAsia" w:ascii="宋体" w:hAnsi="宋体" w:cs="仿宋_GB2312"/>
          <w:kern w:val="0"/>
          <w:sz w:val="24"/>
        </w:rPr>
        <w:t>（3）如投标产品中既有进口产品又有国产产品或者国内供货的国外货物应采用外币免税价加人民币含税价的报价方式。</w:t>
      </w:r>
    </w:p>
    <w:p w14:paraId="7D7BF28C">
      <w:pPr>
        <w:adjustRightInd w:val="0"/>
        <w:snapToGrid w:val="0"/>
        <w:spacing w:line="360" w:lineRule="auto"/>
        <w:rPr>
          <w:rFonts w:hint="eastAsia" w:ascii="宋体" w:hAnsi="宋体" w:cs="仿宋_GB2312"/>
          <w:kern w:val="0"/>
          <w:sz w:val="24"/>
        </w:rPr>
      </w:pPr>
      <w:r>
        <w:rPr>
          <w:rFonts w:hint="eastAsia" w:ascii="宋体" w:hAnsi="宋体" w:cs="仿宋_GB2312"/>
          <w:kern w:val="0"/>
          <w:sz w:val="24"/>
        </w:rPr>
        <w:t>（</w:t>
      </w:r>
      <w:r>
        <w:rPr>
          <w:rFonts w:ascii="宋体" w:hAnsi="宋体" w:cs="仿宋_GB2312"/>
          <w:kern w:val="0"/>
          <w:sz w:val="24"/>
        </w:rPr>
        <w:t>4</w:t>
      </w:r>
      <w:r>
        <w:rPr>
          <w:rFonts w:hint="eastAsia" w:ascii="宋体" w:hAnsi="宋体" w:cs="仿宋_GB2312"/>
          <w:kern w:val="0"/>
          <w:sz w:val="24"/>
        </w:rPr>
        <w:t>）上述价格的构成须按在分项报价表中格式要求详细列出。</w:t>
      </w:r>
    </w:p>
    <w:p w14:paraId="32262443">
      <w:pPr>
        <w:spacing w:line="360" w:lineRule="auto"/>
        <w:jc w:val="left"/>
        <w:rPr>
          <w:rFonts w:hint="eastAsia" w:ascii="宋体" w:hAnsi="宋体" w:cs="仿宋_GB2312"/>
          <w:b/>
          <w:kern w:val="0"/>
          <w:sz w:val="24"/>
        </w:rPr>
      </w:pPr>
      <w:r>
        <w:rPr>
          <w:rFonts w:hint="eastAsia" w:ascii="宋体" w:hAnsi="宋体" w:cs="仿宋_GB2312"/>
          <w:b/>
          <w:kern w:val="0"/>
          <w:sz w:val="24"/>
        </w:rPr>
        <w:t>（</w:t>
      </w:r>
      <w:r>
        <w:rPr>
          <w:rFonts w:ascii="宋体" w:hAnsi="宋体" w:cs="仿宋_GB2312"/>
          <w:b/>
          <w:kern w:val="0"/>
          <w:sz w:val="24"/>
        </w:rPr>
        <w:t>5</w:t>
      </w:r>
      <w:r>
        <w:rPr>
          <w:rFonts w:hint="eastAsia" w:ascii="宋体" w:hAnsi="宋体" w:cs="仿宋_GB2312"/>
          <w:b/>
          <w:kern w:val="0"/>
          <w:sz w:val="24"/>
        </w:rPr>
        <w:t>）对原产于美国的产品，进口时在正常科创免税之外，中国政府加征的特殊关税由中标人承担。</w:t>
      </w:r>
    </w:p>
    <w:p w14:paraId="07E0780F">
      <w:pPr>
        <w:spacing w:line="360" w:lineRule="auto"/>
        <w:jc w:val="left"/>
        <w:rPr>
          <w:rFonts w:hint="eastAsia" w:ascii="宋体" w:hAnsi="宋体" w:cs="仿宋_GB2312"/>
          <w:b/>
          <w:kern w:val="0"/>
          <w:sz w:val="24"/>
        </w:rPr>
      </w:pPr>
      <w:r>
        <w:rPr>
          <w:rFonts w:hint="eastAsia" w:ascii="宋体" w:hAnsi="宋体" w:cs="仿宋_GB2312"/>
          <w:b/>
          <w:kern w:val="0"/>
          <w:sz w:val="24"/>
        </w:rPr>
        <w:t>（</w:t>
      </w:r>
      <w:r>
        <w:rPr>
          <w:rFonts w:ascii="宋体" w:hAnsi="宋体" w:cs="仿宋_GB2312"/>
          <w:b/>
          <w:kern w:val="0"/>
          <w:sz w:val="24"/>
        </w:rPr>
        <w:t>6</w:t>
      </w:r>
      <w:r>
        <w:rPr>
          <w:rFonts w:hint="eastAsia" w:ascii="宋体" w:hAnsi="宋体" w:cs="仿宋_GB2312"/>
          <w:b/>
          <w:kern w:val="0"/>
          <w:sz w:val="24"/>
        </w:rPr>
        <w:t>）如因国家相关免税政策变动，无法办理进口仪器免税事宜，所产生的税费需由中标人承担。</w:t>
      </w:r>
    </w:p>
    <w:p w14:paraId="40AA6866">
      <w:pPr>
        <w:widowControl/>
        <w:tabs>
          <w:tab w:val="left" w:pos="900"/>
        </w:tabs>
        <w:spacing w:before="312" w:beforeLines="100" w:line="360" w:lineRule="auto"/>
        <w:jc w:val="left"/>
        <w:rPr>
          <w:rFonts w:hint="eastAsia" w:ascii="宋体" w:hAnsi="宋体" w:cs="宋体"/>
          <w:b/>
          <w:bCs/>
          <w:kern w:val="0"/>
          <w:sz w:val="24"/>
          <w:u w:val="single"/>
        </w:rPr>
      </w:pPr>
      <w:r>
        <w:rPr>
          <w:rFonts w:ascii="宋体" w:hAnsi="宋体" w:cs="宋体"/>
          <w:b/>
          <w:bCs/>
          <w:kern w:val="0"/>
          <w:sz w:val="24"/>
        </w:rPr>
        <w:t>10</w:t>
      </w:r>
      <w:r>
        <w:rPr>
          <w:rFonts w:hint="eastAsia" w:ascii="宋体" w:hAnsi="宋体" w:cs="宋体"/>
          <w:b/>
          <w:bCs/>
          <w:kern w:val="0"/>
          <w:sz w:val="24"/>
        </w:rPr>
        <w:t>、是否允许采购进口产品：</w:t>
      </w:r>
      <w:r>
        <w:rPr>
          <w:rFonts w:hint="eastAsia" w:ascii="宋体" w:hAnsi="宋体" w:cs="宋体"/>
          <w:kern w:val="0"/>
          <w:sz w:val="24"/>
          <w:u w:val="single"/>
        </w:rPr>
        <w:t xml:space="preserve"> 是 </w:t>
      </w:r>
    </w:p>
    <w:p w14:paraId="37952FCF">
      <w:pPr>
        <w:widowControl/>
        <w:tabs>
          <w:tab w:val="left" w:pos="900"/>
        </w:tabs>
        <w:spacing w:before="312" w:beforeLines="100" w:line="360" w:lineRule="auto"/>
        <w:jc w:val="left"/>
        <w:rPr>
          <w:rFonts w:hint="eastAsia" w:ascii="宋体" w:hAnsi="宋体" w:cs="宋体"/>
          <w:b/>
          <w:bCs/>
          <w:kern w:val="0"/>
          <w:sz w:val="24"/>
        </w:rPr>
      </w:pPr>
      <w:r>
        <w:rPr>
          <w:rFonts w:hint="eastAsia" w:ascii="宋体" w:hAnsi="宋体" w:cs="宋体"/>
          <w:b/>
          <w:bCs/>
          <w:kern w:val="0"/>
          <w:sz w:val="24"/>
        </w:rPr>
        <w:t>1</w:t>
      </w:r>
      <w:r>
        <w:rPr>
          <w:rFonts w:ascii="宋体" w:hAnsi="宋体" w:cs="宋体"/>
          <w:b/>
          <w:bCs/>
          <w:kern w:val="0"/>
          <w:sz w:val="24"/>
        </w:rPr>
        <w:t>1</w:t>
      </w:r>
      <w:r>
        <w:rPr>
          <w:rFonts w:hint="eastAsia" w:ascii="宋体" w:hAnsi="宋体" w:cs="宋体"/>
          <w:b/>
          <w:bCs/>
          <w:kern w:val="0"/>
          <w:sz w:val="24"/>
        </w:rPr>
        <w:t>、预算金额：1600万人民币</w:t>
      </w:r>
    </w:p>
    <w:p w14:paraId="5DD8904E">
      <w:r>
        <w:rPr>
          <w:rFonts w:hint="eastAsia" w:ascii="宋体" w:hAnsi="宋体" w:cs="宋体"/>
          <w:b/>
          <w:bCs/>
          <w:kern w:val="0"/>
          <w:sz w:val="24"/>
        </w:rPr>
        <w:t>最高限价（如有）：1600万人民币</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543BCE"/>
    <w:multiLevelType w:val="multilevel"/>
    <w:tmpl w:val="46543BCE"/>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
    <w:nsid w:val="55D640CC"/>
    <w:multiLevelType w:val="multilevel"/>
    <w:tmpl w:val="55D640CC"/>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5DB64DA2"/>
    <w:multiLevelType w:val="multilevel"/>
    <w:tmpl w:val="5DB64DA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23618E"/>
    <w:rsid w:val="3F236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spacing w:before="100" w:beforeAutospacing="1" w:after="100" w:afterAutospacing="1"/>
      <w:ind w:leftChars="0" w:firstLine="420" w:firstLineChars="200"/>
    </w:pPr>
    <w:rPr>
      <w:rFonts w:ascii="楷体_GB2312" w:hAnsi="宋体" w:eastAsia="楷体_GB2312"/>
      <w:sz w:val="28"/>
      <w:szCs w:val="28"/>
    </w:rPr>
  </w:style>
  <w:style w:type="paragraph" w:styleId="3">
    <w:name w:val="Body Text Indent"/>
    <w:basedOn w:val="1"/>
    <w:next w:val="4"/>
    <w:qFormat/>
    <w:uiPriority w:val="99"/>
    <w:pPr>
      <w:spacing w:after="120"/>
      <w:ind w:left="420" w:leftChars="200"/>
    </w:pPr>
  </w:style>
  <w:style w:type="paragraph" w:styleId="4">
    <w:name w:val="envelope return"/>
    <w:basedOn w:val="1"/>
    <w:qFormat/>
    <w:uiPriority w:val="99"/>
    <w:pPr>
      <w:snapToGrid w:val="0"/>
    </w:pPr>
    <w:rPr>
      <w:rFonts w:ascii="Arial" w:hAnsi="Arial" w:eastAsia="宋体" w:cs="Times New Roman"/>
    </w:rPr>
  </w:style>
  <w:style w:type="paragraph" w:styleId="5">
    <w:name w:val="Body Text"/>
    <w:basedOn w:val="1"/>
    <w:qFormat/>
    <w:uiPriority w:val="99"/>
    <w:pPr>
      <w:tabs>
        <w:tab w:val="left" w:pos="567"/>
      </w:tabs>
      <w:spacing w:before="120" w:line="22" w:lineRule="atLeast"/>
    </w:pPr>
    <w:rPr>
      <w:rFonts w:ascii="宋体" w:hAnsi="宋体"/>
      <w:sz w:val="24"/>
    </w:rPr>
  </w:style>
  <w:style w:type="paragraph" w:styleId="6">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2024-11-22T11:09:00Z</dcterms:created>
  <dc:creator>逆夢</dc:creator>
  <cp:lastModifiedBy>逆夢</cp:lastModifiedBy>
  <dcterms:modified xsi:type="dcterms:W3CDTF">2024-11-22T11:10:20Z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7AE574A074D74FF0ABC3F65C70AE4E17_11</vt:lpwstr>
  </property>
</Properties>
</file>